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75CB7" w14:textId="36F82FA1" w:rsidR="007E6BFD" w:rsidRPr="00D37FCE" w:rsidRDefault="000C4E9E" w:rsidP="00957066">
      <w:pPr>
        <w:pStyle w:val="FootnoteText"/>
        <w:rPr>
          <w:rFonts w:eastAsia="Segoe UI Emoji"/>
        </w:rPr>
      </w:pPr>
      <w:r w:rsidRPr="00D37FCE">
        <w:rPr>
          <w:rFonts w:eastAsia="Segoe UI Emoji"/>
          <w:noProof/>
        </w:rPr>
        <mc:AlternateContent>
          <mc:Choice Requires="wpg">
            <w:drawing>
              <wp:anchor distT="0" distB="0" distL="114300" distR="114300" simplePos="0" relativeHeight="251658275" behindDoc="0" locked="0" layoutInCell="1" allowOverlap="1" wp14:anchorId="3110F86E" wp14:editId="032EEF83">
                <wp:simplePos x="0" y="0"/>
                <wp:positionH relativeFrom="column">
                  <wp:posOffset>-893363</wp:posOffset>
                </wp:positionH>
                <wp:positionV relativeFrom="page">
                  <wp:posOffset>236275</wp:posOffset>
                </wp:positionV>
                <wp:extent cx="7200265" cy="1158240"/>
                <wp:effectExtent l="0" t="0" r="635" b="3810"/>
                <wp:wrapNone/>
                <wp:docPr id="479" name="Group 479"/>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g:grpSp>
                        <wpg:cNvPr id="7" name="Group 3"/>
                        <wpg:cNvGrpSpPr/>
                        <wpg:grpSpPr>
                          <a:xfrm>
                            <a:off x="0" y="0"/>
                            <a:ext cx="7200265" cy="1158240"/>
                            <a:chOff x="7315" y="21945"/>
                            <a:chExt cx="7200265" cy="1158240"/>
                          </a:xfrm>
                          <a:blipFill dpi="0" rotWithShape="1">
                            <a:blip r:embed="rId12">
                              <a:extLst>
                                <a:ext uri="{28A0092B-C50C-407E-A947-70E740481C1C}">
                                  <a14:useLocalDpi xmlns:a14="http://schemas.microsoft.com/office/drawing/2010/main" val="0"/>
                                </a:ext>
                              </a:extLst>
                            </a:blip>
                            <a:srcRect/>
                            <a:stretch>
                              <a:fillRect/>
                            </a:stretch>
                          </a:blipFill>
                        </wpg:grpSpPr>
                        <wps:wsp>
                          <wps:cNvPr id="235" name="Freeform 213"/>
                          <wps:cNvSpPr>
                            <a:spLocks/>
                          </wps:cNvSpPr>
                          <wps:spPr bwMode="auto">
                            <a:xfrm>
                              <a:off x="7315" y="21945"/>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88191" y="361310"/>
                              <a:ext cx="1399210" cy="559684"/>
                            </a:xfrm>
                            <a:prstGeom prst="rect">
                              <a:avLst/>
                            </a:prstGeom>
                            <a:grpFill/>
                          </pic:spPr>
                        </pic:pic>
                      </wpg:grpSp>
                      <wps:wsp>
                        <wps:cNvPr id="307" name="Text Box 2"/>
                        <wps:cNvSpPr txBox="1">
                          <a:spLocks noChangeArrowheads="1"/>
                        </wps:cNvSpPr>
                        <wps:spPr bwMode="auto">
                          <a:xfrm>
                            <a:off x="4330260" y="229586"/>
                            <a:ext cx="2743282" cy="788276"/>
                          </a:xfrm>
                          <a:prstGeom prst="rect">
                            <a:avLst/>
                          </a:prstGeom>
                          <a:noFill/>
                          <a:ln w="9525">
                            <a:noFill/>
                            <a:miter lim="800000"/>
                            <a:headEnd/>
                            <a:tailEnd/>
                          </a:ln>
                        </wps:spPr>
                        <wps:txbx>
                          <w:txbxContent>
                            <w:p w14:paraId="65BCDF37" w14:textId="54A8D695" w:rsidR="00E81695" w:rsidRPr="00D61250" w:rsidRDefault="003A4231" w:rsidP="000C02A8">
                              <w:pPr>
                                <w:spacing w:after="240"/>
                                <w:ind w:left="471" w:right="62" w:hanging="471"/>
                                <w:jc w:val="right"/>
                                <w:rPr>
                                  <w:rFonts w:eastAsia="Wingdings" w:cs="Wingdings"/>
                                  <w:b/>
                                  <w:sz w:val="18"/>
                                  <w:szCs w:val="18"/>
                                </w:rPr>
                              </w:pPr>
                              <w:r w:rsidRPr="003A4231">
                                <w:rPr>
                                  <w:rFonts w:eastAsia="Wingdings" w:cs="Wingdings"/>
                                  <w:b/>
                                  <w:color w:val="72AB6A"/>
                                  <w:spacing w:val="2"/>
                                  <w:sz w:val="18"/>
                                  <w:szCs w:val="18"/>
                                </w:rPr>
                                <w:t xml:space="preserve">Haratua </w:t>
                              </w:r>
                              <w:r w:rsidR="00E81695" w:rsidRPr="003A4231">
                                <w:rPr>
                                  <w:rFonts w:eastAsia="Wingdings" w:cs="Wingdings"/>
                                  <w:b/>
                                  <w:color w:val="72AB6A"/>
                                  <w:spacing w:val="2"/>
                                  <w:sz w:val="18"/>
                                  <w:szCs w:val="18"/>
                                </w:rPr>
                                <w:t xml:space="preserve">| </w:t>
                              </w:r>
                              <w:r w:rsidRPr="003A4231">
                                <w:rPr>
                                  <w:rFonts w:eastAsia="Wingdings" w:cs="Wingdings"/>
                                  <w:b/>
                                  <w:color w:val="72AB6A"/>
                                  <w:spacing w:val="2"/>
                                  <w:sz w:val="18"/>
                                  <w:szCs w:val="18"/>
                                </w:rPr>
                                <w:t xml:space="preserve">May </w:t>
                              </w:r>
                              <w:r w:rsidR="00E81695" w:rsidRPr="003A4231">
                                <w:rPr>
                                  <w:rFonts w:eastAsia="Wingdings" w:cs="Wingdings"/>
                                  <w:b/>
                                  <w:color w:val="72AB6A"/>
                                  <w:spacing w:val="2"/>
                                  <w:sz w:val="18"/>
                                  <w:szCs w:val="18"/>
                                </w:rPr>
                                <w:t>202</w:t>
                              </w:r>
                              <w:r w:rsidR="008A0385" w:rsidRPr="003A4231">
                                <w:rPr>
                                  <w:rFonts w:eastAsia="Wingdings" w:cs="Wingdings"/>
                                  <w:b/>
                                  <w:color w:val="72AB6A"/>
                                  <w:spacing w:val="2"/>
                                  <w:sz w:val="18"/>
                                  <w:szCs w:val="18"/>
                                </w:rPr>
                                <w:t>3</w:t>
                              </w:r>
                            </w:p>
                            <w:p w14:paraId="19CC3E0A" w14:textId="77777777" w:rsidR="00E81695" w:rsidRDefault="00E81695" w:rsidP="000C02A8">
                              <w:pPr>
                                <w:spacing w:before="26" w:after="60"/>
                                <w:ind w:left="181" w:right="62"/>
                                <w:jc w:val="right"/>
                                <w:rPr>
                                  <w:rFonts w:eastAsia="Wingdings" w:cs="Wingdings"/>
                                  <w:b/>
                                  <w:color w:val="72AB6A"/>
                                  <w:spacing w:val="-3"/>
                                  <w:sz w:val="18"/>
                                  <w:szCs w:val="18"/>
                                </w:rPr>
                              </w:pPr>
                              <w:r w:rsidRPr="003962F3">
                                <w:rPr>
                                  <w:rFonts w:eastAsia="Wingdings" w:cs="Wingdings"/>
                                  <w:b/>
                                  <w:color w:val="72AB6A"/>
                                  <w:spacing w:val="-3"/>
                                  <w:sz w:val="18"/>
                                  <w:szCs w:val="18"/>
                                </w:rPr>
                                <w:t>Te Whanganui-a-Tara, Aotearoa</w:t>
                              </w:r>
                            </w:p>
                            <w:p w14:paraId="4B74BF2D" w14:textId="77777777" w:rsidR="00E81695" w:rsidRPr="00D61250" w:rsidRDefault="00E81695" w:rsidP="00495F8C">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58D70E5E" w14:textId="77777777" w:rsidR="00E81695" w:rsidRDefault="00E81695">
                              <w:pPr>
                                <w:spacing w:after="78"/>
                                <w:ind w:left="184"/>
                              </w:pPr>
                            </w:p>
                          </w:txbxContent>
                        </wps:txbx>
                        <wps:bodyPr rot="0" vert="horz" wrap="square" lIns="91440" tIns="45720" rIns="91440" bIns="45720" anchor="t" anchorCtr="0">
                          <a:noAutofit/>
                        </wps:bodyPr>
                      </wps:wsp>
                    </wpg:wgp>
                  </a:graphicData>
                </a:graphic>
              </wp:anchor>
            </w:drawing>
          </mc:Choice>
          <mc:Fallback>
            <w:pict>
              <v:group w14:anchorId="3110F86E" id="Group 479" o:spid="_x0000_s1026" style="position:absolute;left:0;text-align:left;margin-left:-70.35pt;margin-top:18.6pt;width:566.95pt;height:91.2pt;z-index:251658275;mso-position-vertical-relative:page"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">
                <v:group id="Group 3" o:spid="_x0000_s1027" style="position:absolute;width:72002;height:11582" coordorigin="73,219" coordsize="72002,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13" o:spid="_x0000_s1028" style="position:absolute;left:73;top:219;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" path="m,1824r11339,l11339,,,,,1824e" filled="f" stroked="f">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2881;top:3613;width:13993;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">
                    <v:imagedata r:id="rId14" o:title=""/>
                  </v:shape>
                </v:group>
                <v:shapetype id="_x0000_t202" coordsize="21600,21600" o:spt="202" path="m,l,21600r21600,l21600,xe">
                  <v:stroke joinstyle="miter"/>
                  <v:path gradientshapeok="t" o:connecttype="rect"/>
                </v:shapetype>
                <v:shape id="Text Box 2" o:spid="_x0000_s1030" type="#_x0000_t202" style="position:absolute;left:43302;top:2295;width:27433;height:7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5BCDF37" w14:textId="54A8D695" w:rsidR="00E81695" w:rsidRPr="00D61250" w:rsidRDefault="003A4231" w:rsidP="000C02A8">
                        <w:pPr>
                          <w:spacing w:after="240"/>
                          <w:ind w:left="471" w:right="62" w:hanging="471"/>
                          <w:jc w:val="right"/>
                          <w:rPr>
                            <w:rFonts w:eastAsia="Wingdings" w:cs="Wingdings"/>
                            <w:b/>
                            <w:sz w:val="18"/>
                            <w:szCs w:val="18"/>
                          </w:rPr>
                        </w:pPr>
                        <w:r w:rsidRPr="003A4231">
                          <w:rPr>
                            <w:rFonts w:eastAsia="Wingdings" w:cs="Wingdings"/>
                            <w:b/>
                            <w:color w:val="72AB6A"/>
                            <w:spacing w:val="2"/>
                            <w:sz w:val="18"/>
                            <w:szCs w:val="18"/>
                          </w:rPr>
                          <w:t xml:space="preserve">Haratua </w:t>
                        </w:r>
                        <w:r w:rsidR="00E81695" w:rsidRPr="003A4231">
                          <w:rPr>
                            <w:rFonts w:eastAsia="Wingdings" w:cs="Wingdings"/>
                            <w:b/>
                            <w:color w:val="72AB6A"/>
                            <w:spacing w:val="2"/>
                            <w:sz w:val="18"/>
                            <w:szCs w:val="18"/>
                          </w:rPr>
                          <w:t xml:space="preserve">| </w:t>
                        </w:r>
                        <w:r w:rsidRPr="003A4231">
                          <w:rPr>
                            <w:rFonts w:eastAsia="Wingdings" w:cs="Wingdings"/>
                            <w:b/>
                            <w:color w:val="72AB6A"/>
                            <w:spacing w:val="2"/>
                            <w:sz w:val="18"/>
                            <w:szCs w:val="18"/>
                          </w:rPr>
                          <w:t xml:space="preserve">May </w:t>
                        </w:r>
                        <w:r w:rsidR="00E81695" w:rsidRPr="003A4231">
                          <w:rPr>
                            <w:rFonts w:eastAsia="Wingdings" w:cs="Wingdings"/>
                            <w:b/>
                            <w:color w:val="72AB6A"/>
                            <w:spacing w:val="2"/>
                            <w:sz w:val="18"/>
                            <w:szCs w:val="18"/>
                          </w:rPr>
                          <w:t>202</w:t>
                        </w:r>
                        <w:r w:rsidR="008A0385" w:rsidRPr="003A4231">
                          <w:rPr>
                            <w:rFonts w:eastAsia="Wingdings" w:cs="Wingdings"/>
                            <w:b/>
                            <w:color w:val="72AB6A"/>
                            <w:spacing w:val="2"/>
                            <w:sz w:val="18"/>
                            <w:szCs w:val="18"/>
                          </w:rPr>
                          <w:t>3</w:t>
                        </w:r>
                      </w:p>
                      <w:p w14:paraId="19CC3E0A" w14:textId="77777777" w:rsidR="00E81695" w:rsidRDefault="00E81695" w:rsidP="000C02A8">
                        <w:pPr>
                          <w:spacing w:before="26" w:after="60"/>
                          <w:ind w:left="181" w:right="62"/>
                          <w:jc w:val="right"/>
                          <w:rPr>
                            <w:rFonts w:eastAsia="Wingdings" w:cs="Wingdings"/>
                            <w:b/>
                            <w:color w:val="72AB6A"/>
                            <w:spacing w:val="-3"/>
                            <w:sz w:val="18"/>
                            <w:szCs w:val="18"/>
                          </w:rPr>
                        </w:pPr>
                        <w:r w:rsidRPr="003962F3">
                          <w:rPr>
                            <w:rFonts w:eastAsia="Wingdings" w:cs="Wingdings"/>
                            <w:b/>
                            <w:color w:val="72AB6A"/>
                            <w:spacing w:val="-3"/>
                            <w:sz w:val="18"/>
                            <w:szCs w:val="18"/>
                          </w:rPr>
                          <w:t>Te Whanganui-a-Tara, Aotearoa</w:t>
                        </w:r>
                      </w:p>
                      <w:p w14:paraId="4B74BF2D" w14:textId="77777777" w:rsidR="00E81695" w:rsidRPr="00D61250" w:rsidRDefault="00E81695" w:rsidP="00495F8C">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58D70E5E" w14:textId="77777777" w:rsidR="00E81695" w:rsidRDefault="00E81695">
                        <w:pPr>
                          <w:spacing w:after="78"/>
                          <w:ind w:left="184"/>
                        </w:pPr>
                      </w:p>
                    </w:txbxContent>
                  </v:textbox>
                </v:shape>
                <w10:wrap anchory="page"/>
              </v:group>
            </w:pict>
          </mc:Fallback>
        </mc:AlternateContent>
      </w:r>
    </w:p>
    <w:p w14:paraId="29DC9F84" w14:textId="6012FBE9" w:rsidR="007E6BFD" w:rsidRPr="00D37FCE" w:rsidRDefault="007E6BFD" w:rsidP="007E6BFD">
      <w:pPr>
        <w:spacing w:line="200" w:lineRule="exact"/>
        <w:rPr>
          <w:szCs w:val="20"/>
        </w:rPr>
      </w:pPr>
    </w:p>
    <w:p w14:paraId="0FE045ED" w14:textId="6D537D3B" w:rsidR="007E6BFD" w:rsidRPr="00D37FCE" w:rsidRDefault="007E6BFD" w:rsidP="007E6BFD">
      <w:pPr>
        <w:spacing w:line="200" w:lineRule="exact"/>
        <w:rPr>
          <w:szCs w:val="20"/>
        </w:rPr>
      </w:pPr>
    </w:p>
    <w:p w14:paraId="2890244F" w14:textId="36385B2B" w:rsidR="007E6BFD" w:rsidRPr="00D37FCE" w:rsidRDefault="007E6BFD" w:rsidP="007E6BFD">
      <w:pPr>
        <w:spacing w:line="200" w:lineRule="exact"/>
        <w:rPr>
          <w:szCs w:val="20"/>
        </w:rPr>
      </w:pPr>
    </w:p>
    <w:p w14:paraId="3B19A967" w14:textId="77777777" w:rsidR="002C04D2" w:rsidRPr="00D37FCE" w:rsidRDefault="002C04D2" w:rsidP="007E6BFD">
      <w:pPr>
        <w:spacing w:before="86"/>
        <w:ind w:right="97"/>
        <w:jc w:val="right"/>
        <w:rPr>
          <w:rFonts w:eastAsia="Segoe UI Emoji"/>
          <w:sz w:val="18"/>
          <w:szCs w:val="18"/>
          <w:vertAlign w:val="subscript"/>
        </w:rPr>
      </w:pPr>
    </w:p>
    <w:p w14:paraId="6284AB7C" w14:textId="77777777" w:rsidR="002C04D2" w:rsidRDefault="002C04D2" w:rsidP="00821ED2">
      <w:pPr>
        <w:spacing w:before="51"/>
        <w:ind w:left="117" w:right="-20"/>
        <w:rPr>
          <w:szCs w:val="20"/>
        </w:rPr>
      </w:pPr>
    </w:p>
    <w:p w14:paraId="7A9971DB" w14:textId="77777777" w:rsidR="009D3B09" w:rsidRDefault="009D3B09" w:rsidP="00821ED2">
      <w:pPr>
        <w:spacing w:before="51"/>
        <w:ind w:left="117" w:right="-20"/>
        <w:rPr>
          <w:szCs w:val="20"/>
        </w:rPr>
      </w:pPr>
    </w:p>
    <w:p w14:paraId="219C2904" w14:textId="77777777" w:rsidR="009D3B09" w:rsidRDefault="009D3B09" w:rsidP="00821ED2">
      <w:pPr>
        <w:spacing w:before="51"/>
        <w:ind w:left="117" w:right="-20"/>
        <w:rPr>
          <w:szCs w:val="20"/>
        </w:rPr>
      </w:pPr>
    </w:p>
    <w:p w14:paraId="2DDAC160" w14:textId="77777777" w:rsidR="009D3B09" w:rsidRPr="00D37FCE" w:rsidRDefault="009D3B09" w:rsidP="00821ED2">
      <w:pPr>
        <w:spacing w:before="51"/>
        <w:ind w:left="117" w:right="-20"/>
        <w:rPr>
          <w:szCs w:val="20"/>
        </w:rPr>
      </w:pPr>
    </w:p>
    <w:p w14:paraId="53B381B5" w14:textId="3D81AEFD" w:rsidR="00ED3BBA" w:rsidRDefault="0010590D">
      <w:pPr>
        <w:spacing w:before="51"/>
        <w:ind w:left="117" w:right="-20"/>
        <w:rPr>
          <w:rFonts w:ascii="Metropolis Extra Bold" w:eastAsia="Metropolis Extra Bold" w:hAnsi="Metropolis Extra Bold" w:cs="Metropolis Extra Bold"/>
          <w:color w:val="414042"/>
          <w:sz w:val="33"/>
          <w:szCs w:val="33"/>
        </w:rPr>
      </w:pPr>
      <w:r w:rsidRPr="00D37FCE">
        <w:rPr>
          <w:rFonts w:ascii="Metropolis Extra Bold" w:eastAsia="Metropolis Extra Bold" w:hAnsi="Metropolis Extra Bold" w:cs="Metropolis Extra Bold"/>
          <w:color w:val="414042"/>
          <w:sz w:val="33"/>
          <w:szCs w:val="33"/>
        </w:rPr>
        <w:t xml:space="preserve">He Puka Kaupapa </w:t>
      </w:r>
      <w:r w:rsidR="00EA7381">
        <w:rPr>
          <w:rFonts w:ascii="Metropolis Extra Bold" w:eastAsia="Metropolis Extra Bold" w:hAnsi="Metropolis Extra Bold" w:cs="Metropolis Extra Bold"/>
          <w:color w:val="414042"/>
          <w:sz w:val="33"/>
          <w:szCs w:val="33"/>
        </w:rPr>
        <w:t xml:space="preserve">| </w:t>
      </w:r>
      <w:r w:rsidR="00062703" w:rsidRPr="00D37FCE">
        <w:rPr>
          <w:rFonts w:ascii="Metropolis Extra Bold" w:eastAsia="Metropolis Extra Bold" w:hAnsi="Metropolis Extra Bold" w:cs="Metropolis Extra Bold"/>
          <w:color w:val="414042"/>
          <w:spacing w:val="3"/>
          <w:sz w:val="33"/>
          <w:szCs w:val="33"/>
        </w:rPr>
        <w:t>I</w:t>
      </w:r>
      <w:r w:rsidR="00062703" w:rsidRPr="00D37FCE">
        <w:rPr>
          <w:rFonts w:ascii="Metropolis Extra Bold" w:eastAsia="Metropolis Extra Bold" w:hAnsi="Metropolis Extra Bold" w:cs="Metropolis Extra Bold"/>
          <w:color w:val="414042"/>
          <w:spacing w:val="1"/>
          <w:sz w:val="33"/>
          <w:szCs w:val="33"/>
        </w:rPr>
        <w:t>ss</w:t>
      </w:r>
      <w:r w:rsidR="00062703" w:rsidRPr="00D37FCE">
        <w:rPr>
          <w:rFonts w:ascii="Metropolis Extra Bold" w:eastAsia="Metropolis Extra Bold" w:hAnsi="Metropolis Extra Bold" w:cs="Metropolis Extra Bold"/>
          <w:color w:val="414042"/>
          <w:spacing w:val="2"/>
          <w:sz w:val="33"/>
          <w:szCs w:val="33"/>
        </w:rPr>
        <w:t>u</w:t>
      </w:r>
      <w:r w:rsidR="00062703" w:rsidRPr="00D37FCE">
        <w:rPr>
          <w:rFonts w:ascii="Metropolis Extra Bold" w:eastAsia="Metropolis Extra Bold" w:hAnsi="Metropolis Extra Bold" w:cs="Metropolis Extra Bold"/>
          <w:color w:val="414042"/>
          <w:spacing w:val="-1"/>
          <w:sz w:val="33"/>
          <w:szCs w:val="33"/>
        </w:rPr>
        <w:t>e</w:t>
      </w:r>
      <w:r w:rsidR="00062703" w:rsidRPr="00D37FCE">
        <w:rPr>
          <w:rFonts w:ascii="Metropolis Extra Bold" w:eastAsia="Metropolis Extra Bold" w:hAnsi="Metropolis Extra Bold" w:cs="Metropolis Extra Bold"/>
          <w:color w:val="414042"/>
          <w:sz w:val="33"/>
          <w:szCs w:val="33"/>
        </w:rPr>
        <w:t xml:space="preserve">s </w:t>
      </w:r>
      <w:r w:rsidR="00062703" w:rsidRPr="00D37FCE">
        <w:rPr>
          <w:rFonts w:ascii="Metropolis Extra Bold" w:eastAsia="Metropolis Extra Bold" w:hAnsi="Metropolis Extra Bold" w:cs="Metropolis Extra Bold"/>
          <w:color w:val="414042"/>
          <w:spacing w:val="-5"/>
          <w:sz w:val="33"/>
          <w:szCs w:val="33"/>
        </w:rPr>
        <w:t>P</w:t>
      </w:r>
      <w:r w:rsidR="00062703" w:rsidRPr="00D37FCE">
        <w:rPr>
          <w:rFonts w:ascii="Metropolis Extra Bold" w:eastAsia="Metropolis Extra Bold" w:hAnsi="Metropolis Extra Bold" w:cs="Metropolis Extra Bold"/>
          <w:color w:val="414042"/>
          <w:spacing w:val="2"/>
          <w:sz w:val="33"/>
          <w:szCs w:val="33"/>
        </w:rPr>
        <w:t>a</w:t>
      </w:r>
      <w:r w:rsidR="00062703" w:rsidRPr="00D37FCE">
        <w:rPr>
          <w:rFonts w:ascii="Metropolis Extra Bold" w:eastAsia="Metropolis Extra Bold" w:hAnsi="Metropolis Extra Bold" w:cs="Metropolis Extra Bold"/>
          <w:color w:val="414042"/>
          <w:spacing w:val="1"/>
          <w:sz w:val="33"/>
          <w:szCs w:val="33"/>
        </w:rPr>
        <w:t>pe</w:t>
      </w:r>
      <w:r w:rsidR="00062703" w:rsidRPr="00D37FCE">
        <w:rPr>
          <w:rFonts w:ascii="Metropolis Extra Bold" w:eastAsia="Metropolis Extra Bold" w:hAnsi="Metropolis Extra Bold" w:cs="Metropolis Extra Bold"/>
          <w:color w:val="414042"/>
          <w:sz w:val="33"/>
          <w:szCs w:val="33"/>
        </w:rPr>
        <w:t>r</w:t>
      </w:r>
      <w:r w:rsidR="00ED3BBA">
        <w:rPr>
          <w:rFonts w:ascii="Metropolis Extra Bold" w:eastAsia="Metropolis Extra Bold" w:hAnsi="Metropolis Extra Bold" w:cs="Metropolis Extra Bold"/>
          <w:color w:val="414042"/>
          <w:sz w:val="33"/>
          <w:szCs w:val="33"/>
        </w:rPr>
        <w:t xml:space="preserve"> </w:t>
      </w:r>
      <w:r w:rsidR="008C7005">
        <w:rPr>
          <w:rFonts w:ascii="Metropolis Extra Bold" w:eastAsia="Metropolis Extra Bold" w:hAnsi="Metropolis Extra Bold" w:cs="Metropolis Extra Bold"/>
          <w:color w:val="414042"/>
          <w:sz w:val="33"/>
          <w:szCs w:val="33"/>
        </w:rPr>
        <w:t>50</w:t>
      </w:r>
    </w:p>
    <w:p w14:paraId="16B39070" w14:textId="03F722CE" w:rsidR="007E6BFD" w:rsidRPr="00D37FCE" w:rsidRDefault="007E6BFD">
      <w:pPr>
        <w:spacing w:before="51"/>
        <w:ind w:left="117" w:right="-20"/>
        <w:rPr>
          <w:rFonts w:eastAsia="Tahoma" w:cs="Tahoma"/>
          <w:color w:val="414042"/>
          <w:sz w:val="33"/>
          <w:szCs w:val="33"/>
        </w:rPr>
      </w:pPr>
    </w:p>
    <w:p w14:paraId="29469B63" w14:textId="77777777" w:rsidR="00AA4DBB" w:rsidRPr="00D37FCE" w:rsidRDefault="00AA4DBB">
      <w:pPr>
        <w:spacing w:before="51"/>
        <w:ind w:left="117" w:right="-20"/>
        <w:rPr>
          <w:rFonts w:eastAsia="Tahoma" w:cs="Tahoma"/>
          <w:color w:val="414042"/>
          <w:sz w:val="33"/>
          <w:szCs w:val="33"/>
        </w:rPr>
      </w:pPr>
    </w:p>
    <w:p w14:paraId="14C3FFEF" w14:textId="2051ACCC" w:rsidR="00774339" w:rsidRPr="00D37FCE" w:rsidRDefault="00E56606" w:rsidP="00E9355F">
      <w:pPr>
        <w:spacing w:line="276" w:lineRule="auto"/>
        <w:ind w:right="708"/>
        <w:rPr>
          <w:rFonts w:ascii="Metropolis Black" w:eastAsia="Metropolis Black" w:hAnsi="Metropolis Black" w:cs="Metropolis Black"/>
          <w:sz w:val="66"/>
          <w:szCs w:val="66"/>
        </w:rPr>
      </w:pPr>
      <w:r w:rsidRPr="00E56606">
        <w:rPr>
          <w:rFonts w:ascii="Metropolis Black" w:eastAsia="Metropolis Black" w:hAnsi="Metropolis Black" w:cs="Metropolis Black"/>
          <w:b/>
          <w:color w:val="414042"/>
          <w:spacing w:val="-13"/>
          <w:sz w:val="66"/>
          <w:szCs w:val="66"/>
        </w:rPr>
        <w:t xml:space="preserve">Te Arotake Tuatoru i te Evidence Act 2006 </w:t>
      </w:r>
    </w:p>
    <w:p w14:paraId="3E3E2B92" w14:textId="77777777" w:rsidR="00774339" w:rsidRPr="00D37FCE" w:rsidRDefault="00774339" w:rsidP="00774339">
      <w:pPr>
        <w:spacing w:before="6" w:line="150" w:lineRule="exact"/>
        <w:rPr>
          <w:rFonts w:eastAsia="Tahoma"/>
          <w:sz w:val="15"/>
          <w:szCs w:val="15"/>
        </w:rPr>
      </w:pPr>
    </w:p>
    <w:p w14:paraId="721A5F45" w14:textId="77777777" w:rsidR="00774339" w:rsidRPr="00AA4DBB" w:rsidRDefault="00661A0D" w:rsidP="00D30FDC">
      <w:pPr>
        <w:pStyle w:val="BodyTextIndent2"/>
        <w:ind w:left="0"/>
        <w:rPr>
          <w:rFonts w:ascii="Metropolis Black" w:eastAsia="Metropolis Black" w:hAnsi="Metropolis Black" w:cs="Metropolis Black"/>
          <w:color w:val="7FB177"/>
          <w:spacing w:val="-32"/>
          <w:sz w:val="42"/>
          <w:szCs w:val="42"/>
        </w:rPr>
      </w:pPr>
      <w:r w:rsidRPr="00AA4DBB">
        <w:rPr>
          <w:noProof/>
          <w:lang w:eastAsia="en-NZ"/>
        </w:rPr>
        <mc:AlternateContent>
          <mc:Choice Requires="wpg">
            <w:drawing>
              <wp:anchor distT="0" distB="0" distL="114300" distR="114300" simplePos="0" relativeHeight="251658252" behindDoc="1" locked="0" layoutInCell="1" allowOverlap="1" wp14:anchorId="62442104" wp14:editId="21FC33F7">
                <wp:simplePos x="0" y="0"/>
                <wp:positionH relativeFrom="page">
                  <wp:posOffset>1140143</wp:posOffset>
                </wp:positionH>
                <wp:positionV relativeFrom="paragraph">
                  <wp:posOffset>8255</wp:posOffset>
                </wp:positionV>
                <wp:extent cx="1332230" cy="1270"/>
                <wp:effectExtent l="0" t="19050" r="20320" b="1778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1878"/>
                          <a:chExt cx="2098" cy="2"/>
                        </a:xfrm>
                      </wpg:grpSpPr>
                      <wps:wsp>
                        <wps:cNvPr id="458" name="Freeform 138"/>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1E502" id="Group 457" o:spid="_x0000_s1026" style="position:absolute;margin-left:89.8pt;margin-top:.65pt;width:104.9pt;height:.1pt;z-index:-251658228;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">
                <v:shape id="Freeform 138"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" path="m,l2098,e" filled="f" strokecolor="#414042" strokeweight="3pt">
                  <v:path arrowok="t" o:connecttype="custom" o:connectlocs="0,0;2098,0" o:connectangles="0,0"/>
                </v:shape>
                <w10:wrap anchorx="page"/>
              </v:group>
            </w:pict>
          </mc:Fallback>
        </mc:AlternateContent>
      </w:r>
    </w:p>
    <w:p w14:paraId="78C5D518" w14:textId="104C8CF2" w:rsidR="00774339" w:rsidRPr="00D37FCE" w:rsidRDefault="00AF5FC0" w:rsidP="00E9355F">
      <w:pPr>
        <w:spacing w:line="276" w:lineRule="auto"/>
        <w:ind w:right="850"/>
        <w:rPr>
          <w:rFonts w:ascii="Metropolis Black" w:eastAsia="Metropolis Black" w:hAnsi="Metropolis Black" w:cs="Metropolis Black"/>
          <w:b/>
          <w:color w:val="7FB177"/>
          <w:spacing w:val="-32"/>
          <w:sz w:val="66"/>
          <w:szCs w:val="66"/>
        </w:rPr>
      </w:pPr>
      <w:r w:rsidRPr="00AF5FC0">
        <w:rPr>
          <w:rFonts w:ascii="Metropolis Black" w:eastAsia="Metropolis Black" w:hAnsi="Metropolis Black" w:cs="Metropolis Black"/>
          <w:b/>
          <w:color w:val="7FB177"/>
          <w:spacing w:val="-32"/>
          <w:sz w:val="66"/>
          <w:szCs w:val="66"/>
        </w:rPr>
        <w:t>The Third Review of the Evidence Act</w:t>
      </w:r>
      <w:r w:rsidR="00D36307">
        <w:rPr>
          <w:rFonts w:ascii="Metropolis Black" w:eastAsia="Metropolis Black" w:hAnsi="Metropolis Black" w:cs="Metropolis Black"/>
          <w:b/>
          <w:color w:val="7FB177"/>
          <w:spacing w:val="-32"/>
          <w:sz w:val="66"/>
          <w:szCs w:val="66"/>
        </w:rPr>
        <w:t xml:space="preserve"> 2006</w:t>
      </w:r>
    </w:p>
    <w:p w14:paraId="588D03CF" w14:textId="77777777" w:rsidR="002C04D2" w:rsidRPr="00D37FCE" w:rsidRDefault="002C04D2">
      <w:pPr>
        <w:spacing w:before="3" w:line="120" w:lineRule="exact"/>
        <w:rPr>
          <w:sz w:val="12"/>
          <w:szCs w:val="12"/>
        </w:rPr>
      </w:pPr>
    </w:p>
    <w:p w14:paraId="34D81369" w14:textId="77777777" w:rsidR="00D87074" w:rsidRPr="00D37FCE" w:rsidRDefault="00D87074" w:rsidP="00247635">
      <w:pPr>
        <w:ind w:left="113" w:right="2931"/>
        <w:rPr>
          <w:color w:val="262626" w:themeColor="text1" w:themeTint="D9"/>
          <w:sz w:val="18"/>
        </w:rPr>
        <w:sectPr w:rsidR="00D87074" w:rsidRPr="00D37FCE" w:rsidSect="00FD6721">
          <w:headerReference w:type="even" r:id="rId15"/>
          <w:footerReference w:type="default" r:id="rId16"/>
          <w:footnotePr>
            <w:numRestart w:val="eachSect"/>
          </w:footnotePr>
          <w:type w:val="nextColumn"/>
          <w:pgSz w:w="11907" w:h="16840" w:code="9"/>
          <w:pgMar w:top="1134" w:right="1134" w:bottom="1134" w:left="1701" w:header="567" w:footer="681" w:gutter="0"/>
          <w:pgNumType w:fmt="lowerRoman" w:start="3"/>
          <w:cols w:space="720"/>
          <w:docGrid w:linePitch="272"/>
        </w:sectPr>
      </w:pPr>
    </w:p>
    <w:p w14:paraId="1415419E" w14:textId="37E6948E" w:rsidR="0025134E" w:rsidRPr="004A4D6D" w:rsidRDefault="0025134E" w:rsidP="00BF5437">
      <w:pPr>
        <w:spacing w:after="240" w:line="360" w:lineRule="auto"/>
        <w:ind w:right="580"/>
        <w:rPr>
          <w:sz w:val="18"/>
        </w:rPr>
      </w:pPr>
      <w:r w:rsidRPr="004A4D6D">
        <w:rPr>
          <w:sz w:val="18"/>
        </w:rPr>
        <w:lastRenderedPageBreak/>
        <w:t xml:space="preserve">Te Aka Matua o te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 </w:t>
      </w:r>
    </w:p>
    <w:p w14:paraId="0E830D9D" w14:textId="77777777" w:rsidR="0025134E" w:rsidRPr="00140754" w:rsidRDefault="0025134E" w:rsidP="00BF5437">
      <w:pPr>
        <w:spacing w:after="240" w:line="360" w:lineRule="auto"/>
        <w:ind w:right="580"/>
        <w:rPr>
          <w:sz w:val="18"/>
          <w:szCs w:val="18"/>
        </w:rPr>
      </w:pPr>
      <w:r w:rsidRPr="00140754">
        <w:rPr>
          <w:sz w:val="18"/>
          <w:szCs w:val="18"/>
        </w:rPr>
        <w:t>Te Aka Matua in the Commission’s Māori name refers to the parent vine that Tāwhaki used to climb up to the heavens. At the foot of the ascent, he and his brother Karihi find their grandmother Whaitiri, who guards the vines that form the pathway into the sky. Karihi tries to climb the vines first but makes the error of climbing up the aka taepa or hanging vine. He is blown violently around by the winds of heaven and falls to his death. Following Whaitiri’s advice, Tāwhaki climbs the aka matua or parent vine, reaches the heavens and receives the three baskets of knowledge.</w:t>
      </w:r>
    </w:p>
    <w:p w14:paraId="65B5A947" w14:textId="77777777" w:rsidR="005B588A" w:rsidRPr="0036581D" w:rsidRDefault="005B588A" w:rsidP="0036581D">
      <w:pPr>
        <w:ind w:left="113" w:right="721"/>
        <w:jc w:val="center"/>
        <w:rPr>
          <w:color w:val="7FB177"/>
          <w:sz w:val="2"/>
          <w:szCs w:val="2"/>
        </w:rPr>
      </w:pPr>
    </w:p>
    <w:p w14:paraId="052BFB83" w14:textId="70EC75CB" w:rsidR="005B588A" w:rsidRPr="0036581D" w:rsidRDefault="005B588A" w:rsidP="002769E9">
      <w:pPr>
        <w:ind w:left="142" w:hanging="142"/>
        <w:rPr>
          <w:rFonts w:ascii="Metropolis" w:hAnsi="Metropolis"/>
          <w:b/>
          <w:i/>
          <w:color w:val="7FB177"/>
          <w:szCs w:val="20"/>
        </w:rPr>
      </w:pPr>
      <w:r w:rsidRPr="0036581D">
        <w:rPr>
          <w:rFonts w:ascii="Metropolis" w:hAnsi="Metropolis"/>
          <w:b/>
          <w:i/>
          <w:color w:val="7FB177"/>
          <w:szCs w:val="20"/>
        </w:rPr>
        <w:t>Kia whanake ngā ture o Aotearoa mā te arotake motuhake</w:t>
      </w:r>
    </w:p>
    <w:p w14:paraId="035C8797" w14:textId="77777777" w:rsidR="005B588A" w:rsidRPr="0036581D" w:rsidRDefault="005B588A" w:rsidP="002769E9">
      <w:pPr>
        <w:ind w:left="142" w:hanging="142"/>
        <w:rPr>
          <w:rFonts w:ascii="Metropolis" w:hAnsi="Metropolis"/>
          <w:b/>
          <w:i/>
          <w:color w:val="7FB177"/>
          <w:sz w:val="18"/>
          <w:szCs w:val="18"/>
        </w:rPr>
      </w:pPr>
      <w:r w:rsidRPr="0036581D">
        <w:rPr>
          <w:rFonts w:ascii="Metropolis" w:hAnsi="Metropolis"/>
          <w:b/>
          <w:i/>
          <w:color w:val="7FB177"/>
          <w:szCs w:val="20"/>
        </w:rPr>
        <w:t>Better law for Aotearoa New Zealand through independent review</w:t>
      </w:r>
    </w:p>
    <w:p w14:paraId="1D762B48" w14:textId="77777777" w:rsidR="001A4D7A" w:rsidRDefault="001A4D7A" w:rsidP="00A54531">
      <w:pPr>
        <w:spacing w:before="360" w:after="80"/>
        <w:ind w:right="2931"/>
        <w:rPr>
          <w:b/>
          <w:sz w:val="18"/>
        </w:rPr>
      </w:pPr>
    </w:p>
    <w:p w14:paraId="723273CC" w14:textId="78D4F98A" w:rsidR="00A54531" w:rsidRPr="001A4D7A" w:rsidRDefault="00A54531" w:rsidP="001A4D7A">
      <w:pPr>
        <w:ind w:right="3243"/>
        <w:rPr>
          <w:rFonts w:eastAsia="Times"/>
          <w:b/>
          <w:bCs/>
          <w:sz w:val="18"/>
        </w:rPr>
      </w:pPr>
      <w:r w:rsidRPr="001A4D7A">
        <w:rPr>
          <w:rFonts w:eastAsia="Times"/>
          <w:b/>
          <w:bCs/>
          <w:sz w:val="18"/>
        </w:rPr>
        <w:t>The Commissioners are:</w:t>
      </w:r>
    </w:p>
    <w:p w14:paraId="14915F32" w14:textId="77777777" w:rsidR="00A54531" w:rsidRDefault="00A54531" w:rsidP="00A54531">
      <w:pPr>
        <w:ind w:right="3243"/>
        <w:rPr>
          <w:rFonts w:eastAsia="Times"/>
          <w:sz w:val="18"/>
        </w:rPr>
      </w:pPr>
      <w:r w:rsidRPr="00140754">
        <w:rPr>
          <w:rFonts w:eastAsia="Times"/>
          <w:sz w:val="18"/>
        </w:rPr>
        <w:t xml:space="preserve">Amokura Kawharu – Tumu Whakarae | President </w:t>
      </w:r>
    </w:p>
    <w:p w14:paraId="22330DCA" w14:textId="755EA1D8" w:rsidR="0081376A" w:rsidRPr="00140754" w:rsidRDefault="008B13E4" w:rsidP="00A54531">
      <w:pPr>
        <w:ind w:right="3243"/>
        <w:rPr>
          <w:rFonts w:eastAsia="Times"/>
          <w:sz w:val="18"/>
        </w:rPr>
      </w:pPr>
      <w:r>
        <w:rPr>
          <w:rFonts w:eastAsia="Times"/>
          <w:sz w:val="18"/>
        </w:rPr>
        <w:t xml:space="preserve">Geof Shirtcliffe – Tumu Whakarae </w:t>
      </w:r>
      <w:r w:rsidR="00704733">
        <w:rPr>
          <w:rFonts w:eastAsia="Times"/>
          <w:sz w:val="18"/>
        </w:rPr>
        <w:t>Tuarua</w:t>
      </w:r>
      <w:r>
        <w:rPr>
          <w:rFonts w:eastAsia="Times"/>
          <w:sz w:val="18"/>
        </w:rPr>
        <w:t xml:space="preserve"> | Deputy President</w:t>
      </w:r>
    </w:p>
    <w:p w14:paraId="27FDC99F" w14:textId="77777777" w:rsidR="00A54531" w:rsidRPr="00140754" w:rsidRDefault="00A54531" w:rsidP="00A54531">
      <w:pPr>
        <w:ind w:right="3243"/>
        <w:rPr>
          <w:rFonts w:eastAsia="Times"/>
          <w:sz w:val="18"/>
        </w:rPr>
      </w:pPr>
      <w:r w:rsidRPr="00140754">
        <w:rPr>
          <w:rFonts w:eastAsia="Times"/>
          <w:sz w:val="18"/>
        </w:rPr>
        <w:t>Claudia Geiringer – Kaikōmihana | Commissioner</w:t>
      </w:r>
    </w:p>
    <w:p w14:paraId="21C44707" w14:textId="77777777" w:rsidR="00A54531" w:rsidRPr="00140754" w:rsidRDefault="00A54531" w:rsidP="00A54531">
      <w:pPr>
        <w:ind w:right="2835"/>
        <w:rPr>
          <w:rFonts w:eastAsia="Times"/>
          <w:sz w:val="18"/>
          <w:szCs w:val="18"/>
        </w:rPr>
      </w:pPr>
      <w:r w:rsidRPr="00140754">
        <w:rPr>
          <w:rFonts w:eastAsia="Times" w:cs="ZWAdobeF"/>
          <w:sz w:val="18"/>
          <w:szCs w:val="18"/>
        </w:rPr>
        <w:t xml:space="preserve">The </w:t>
      </w:r>
      <w:r w:rsidRPr="00140754">
        <w:rPr>
          <w:rFonts w:eastAsia="Times"/>
          <w:sz w:val="18"/>
          <w:szCs w:val="18"/>
        </w:rPr>
        <w:t>Hon Justice Christian Whata – Kaikōmihana | Commissioner</w:t>
      </w:r>
    </w:p>
    <w:p w14:paraId="7D0E39CD" w14:textId="47791133" w:rsidR="00247635" w:rsidRDefault="00247635" w:rsidP="00A54531">
      <w:pPr>
        <w:ind w:right="3243"/>
        <w:rPr>
          <w:rFonts w:eastAsia="Times"/>
          <w:sz w:val="18"/>
        </w:rPr>
      </w:pPr>
    </w:p>
    <w:p w14:paraId="25CC6942" w14:textId="186AD5CA" w:rsidR="00247635" w:rsidRDefault="00247635" w:rsidP="00A54531">
      <w:pPr>
        <w:spacing w:before="240"/>
        <w:ind w:right="567"/>
        <w:rPr>
          <w:sz w:val="18"/>
        </w:rPr>
      </w:pPr>
    </w:p>
    <w:p w14:paraId="09E7D9F9" w14:textId="1EA1CA8D" w:rsidR="009C78F3" w:rsidRPr="005032ED" w:rsidRDefault="009C78F3" w:rsidP="00A54531">
      <w:pPr>
        <w:spacing w:before="240"/>
        <w:ind w:right="567"/>
        <w:rPr>
          <w:sz w:val="2"/>
          <w:szCs w:val="2"/>
        </w:rPr>
      </w:pPr>
    </w:p>
    <w:p w14:paraId="718FAC84" w14:textId="77777777" w:rsidR="005032ED" w:rsidRPr="005032ED" w:rsidRDefault="005032ED" w:rsidP="00A54531">
      <w:pPr>
        <w:spacing w:before="240"/>
        <w:ind w:right="567"/>
        <w:rPr>
          <w:sz w:val="2"/>
          <w:szCs w:val="2"/>
        </w:rPr>
      </w:pPr>
    </w:p>
    <w:p w14:paraId="116D91BE" w14:textId="77777777" w:rsidR="005032ED" w:rsidRPr="005032ED" w:rsidRDefault="005032ED" w:rsidP="00A54531">
      <w:pPr>
        <w:spacing w:before="240"/>
        <w:ind w:right="567"/>
        <w:rPr>
          <w:sz w:val="2"/>
          <w:szCs w:val="2"/>
        </w:rPr>
      </w:pPr>
    </w:p>
    <w:p w14:paraId="632507E6" w14:textId="77777777" w:rsidR="005032ED" w:rsidRPr="001422CC" w:rsidRDefault="005032ED" w:rsidP="00A54531">
      <w:pPr>
        <w:spacing w:before="240"/>
        <w:ind w:right="567"/>
        <w:rPr>
          <w:sz w:val="14"/>
          <w:szCs w:val="18"/>
        </w:rPr>
      </w:pPr>
    </w:p>
    <w:p w14:paraId="29057225" w14:textId="77777777" w:rsidR="005032ED" w:rsidRDefault="005032ED" w:rsidP="00A54531">
      <w:pPr>
        <w:spacing w:before="240"/>
        <w:ind w:right="567"/>
        <w:rPr>
          <w:sz w:val="18"/>
        </w:rPr>
      </w:pPr>
    </w:p>
    <w:p w14:paraId="7132717C" w14:textId="77777777" w:rsidR="005032ED" w:rsidRPr="005032ED" w:rsidRDefault="005032ED" w:rsidP="00A54531">
      <w:pPr>
        <w:spacing w:before="240"/>
        <w:ind w:right="567"/>
        <w:rPr>
          <w:sz w:val="2"/>
          <w:szCs w:val="2"/>
        </w:rPr>
      </w:pPr>
    </w:p>
    <w:p w14:paraId="2DEEBF27" w14:textId="2B2EE1E9" w:rsidR="002C04D2" w:rsidRPr="005032ED" w:rsidRDefault="002C04D2">
      <w:pPr>
        <w:spacing w:line="200" w:lineRule="exact"/>
        <w:rPr>
          <w:sz w:val="2"/>
          <w:szCs w:val="2"/>
        </w:rPr>
      </w:pPr>
    </w:p>
    <w:p w14:paraId="47DB58AC" w14:textId="409D7B0A" w:rsidR="00CD4381" w:rsidRDefault="00994EAC" w:rsidP="00B13E4E">
      <w:pPr>
        <w:spacing w:before="240" w:line="334" w:lineRule="auto"/>
        <w:ind w:right="862"/>
        <w:rPr>
          <w:rFonts w:eastAsia="Times"/>
          <w:sz w:val="18"/>
        </w:rPr>
      </w:pPr>
      <w:r w:rsidRPr="00D37FCE">
        <w:rPr>
          <w:noProof/>
          <w:lang w:eastAsia="en-NZ"/>
        </w:rPr>
        <mc:AlternateContent>
          <mc:Choice Requires="wpg">
            <w:drawing>
              <wp:anchor distT="0" distB="0" distL="114300" distR="114300" simplePos="0" relativeHeight="251658241" behindDoc="1" locked="0" layoutInCell="1" allowOverlap="1" wp14:anchorId="058809A4" wp14:editId="16DA54E4">
                <wp:simplePos x="0" y="0"/>
                <wp:positionH relativeFrom="page">
                  <wp:posOffset>1078865</wp:posOffset>
                </wp:positionH>
                <wp:positionV relativeFrom="paragraph">
                  <wp:posOffset>163052</wp:posOffset>
                </wp:positionV>
                <wp:extent cx="1332230" cy="1270"/>
                <wp:effectExtent l="0" t="19050" r="20320" b="1778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5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56BB7" id="Group 158" o:spid="_x0000_s1026" style="position:absolute;margin-left:84.95pt;margin-top:12.85pt;width:104.9pt;height:.1pt;z-index:-25165823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" path="m,l2097,e" filled="f" strokecolor="#72ab6a" strokeweight="3pt">
                  <v:path arrowok="t" o:connecttype="custom" o:connectlocs="0,0;2097,0" o:connectangles="0,0"/>
                </v:shape>
                <w10:wrap anchorx="page"/>
              </v:group>
            </w:pict>
          </mc:Fallback>
        </mc:AlternateContent>
      </w:r>
    </w:p>
    <w:p w14:paraId="72A051A5" w14:textId="77777777" w:rsidR="002D4A39" w:rsidRDefault="002D4A39" w:rsidP="00B13E4E">
      <w:pPr>
        <w:spacing w:before="240" w:line="334" w:lineRule="auto"/>
        <w:ind w:right="862"/>
        <w:rPr>
          <w:rFonts w:eastAsia="Times"/>
          <w:sz w:val="18"/>
        </w:rPr>
      </w:pPr>
    </w:p>
    <w:p w14:paraId="3B27FB28" w14:textId="7AB333E9" w:rsidR="002C04D2" w:rsidRPr="00D37FCE" w:rsidRDefault="006064EA" w:rsidP="00B13E4E">
      <w:pPr>
        <w:spacing w:before="240" w:line="334" w:lineRule="auto"/>
        <w:ind w:right="862"/>
        <w:rPr>
          <w:rFonts w:eastAsia="Times" w:cs="Times"/>
          <w:sz w:val="18"/>
          <w:szCs w:val="18"/>
        </w:rPr>
      </w:pPr>
      <w:r w:rsidRPr="00D37FCE">
        <w:rPr>
          <w:rFonts w:eastAsia="Times"/>
          <w:sz w:val="18"/>
        </w:rPr>
        <w:t>Kei te pātengi raraunga o Te Puna Mātauranga o</w:t>
      </w:r>
      <w:r w:rsidR="00762BF1">
        <w:rPr>
          <w:rFonts w:eastAsia="Times"/>
          <w:sz w:val="18"/>
        </w:rPr>
        <w:t xml:space="preserve"> A</w:t>
      </w:r>
      <w:r w:rsidRPr="00D37FCE">
        <w:rPr>
          <w:rFonts w:eastAsia="Times"/>
          <w:sz w:val="18"/>
        </w:rPr>
        <w:t>otea</w:t>
      </w:r>
      <w:r w:rsidRPr="00D37FCE">
        <w:rPr>
          <w:rFonts w:eastAsia="Times"/>
          <w:spacing w:val="-3"/>
          <w:sz w:val="18"/>
        </w:rPr>
        <w:t>r</w:t>
      </w:r>
      <w:r w:rsidRPr="00D37FCE">
        <w:rPr>
          <w:rFonts w:eastAsia="Times"/>
          <w:sz w:val="18"/>
        </w:rPr>
        <w:t>oa te whakarārangi o tēnei pukapuka.</w:t>
      </w:r>
      <w:r w:rsidR="00762BF1">
        <w:rPr>
          <w:rFonts w:eastAsia="Times"/>
          <w:sz w:val="18"/>
        </w:rPr>
        <w:br/>
        <w:t xml:space="preserve">A </w:t>
      </w:r>
      <w:r w:rsidR="00062703" w:rsidRPr="00D37FCE">
        <w:rPr>
          <w:rFonts w:eastAsia="Times"/>
          <w:sz w:val="18"/>
        </w:rPr>
        <w:t>catalogue re</w:t>
      </w:r>
      <w:r w:rsidR="00062703" w:rsidRPr="00D37FCE">
        <w:rPr>
          <w:rFonts w:eastAsia="Times"/>
          <w:spacing w:val="-2"/>
          <w:sz w:val="18"/>
        </w:rPr>
        <w:t>c</w:t>
      </w:r>
      <w:r w:rsidR="00062703" w:rsidRPr="00D37FCE">
        <w:rPr>
          <w:rFonts w:eastAsia="Times"/>
          <w:sz w:val="18"/>
        </w:rPr>
        <w:t>ord for this title is a</w:t>
      </w:r>
      <w:r w:rsidR="00062703" w:rsidRPr="00D37FCE">
        <w:rPr>
          <w:rFonts w:eastAsia="Times"/>
          <w:spacing w:val="-7"/>
          <w:sz w:val="18"/>
        </w:rPr>
        <w:t>v</w:t>
      </w:r>
      <w:r w:rsidR="00062703" w:rsidRPr="00D37FCE">
        <w:rPr>
          <w:rFonts w:eastAsia="Times"/>
          <w:sz w:val="18"/>
        </w:rPr>
        <w:t>ailable f</w:t>
      </w:r>
      <w:r w:rsidR="00062703" w:rsidRPr="00D37FCE">
        <w:rPr>
          <w:rFonts w:eastAsia="Times"/>
          <w:spacing w:val="-3"/>
          <w:sz w:val="18"/>
        </w:rPr>
        <w:t>r</w:t>
      </w:r>
      <w:r w:rsidR="00062703" w:rsidRPr="00D37FCE">
        <w:rPr>
          <w:rFonts w:eastAsia="Times"/>
          <w:sz w:val="18"/>
        </w:rPr>
        <w:t>om the National Library of N</w:t>
      </w:r>
      <w:r w:rsidR="00062703" w:rsidRPr="00D37FCE">
        <w:rPr>
          <w:rFonts w:eastAsia="Times"/>
          <w:spacing w:val="-4"/>
          <w:sz w:val="18"/>
        </w:rPr>
        <w:t>e</w:t>
      </w:r>
      <w:r w:rsidR="00062703" w:rsidRPr="00D37FCE">
        <w:rPr>
          <w:rFonts w:eastAsia="Times"/>
          <w:sz w:val="18"/>
        </w:rPr>
        <w:t xml:space="preserve">w Zealand. </w:t>
      </w:r>
    </w:p>
    <w:p w14:paraId="07DB0C05" w14:textId="63D47B92" w:rsidR="002C04D2" w:rsidRPr="00D37FCE" w:rsidRDefault="00062703" w:rsidP="00B13E4E">
      <w:pPr>
        <w:tabs>
          <w:tab w:val="left" w:pos="3119"/>
        </w:tabs>
        <w:spacing w:before="120" w:line="334" w:lineRule="auto"/>
        <w:ind w:right="5256"/>
        <w:rPr>
          <w:rFonts w:eastAsia="Times" w:cs="Times"/>
          <w:sz w:val="18"/>
          <w:szCs w:val="18"/>
        </w:rPr>
      </w:pPr>
      <w:r w:rsidRPr="00D37FCE">
        <w:rPr>
          <w:rFonts w:eastAsia="Times"/>
          <w:sz w:val="18"/>
        </w:rPr>
        <w:t xml:space="preserve">ISBN </w:t>
      </w:r>
      <w:r w:rsidR="00ED0365" w:rsidRPr="00ED0365">
        <w:rPr>
          <w:rFonts w:eastAsia="Times"/>
          <w:sz w:val="18"/>
        </w:rPr>
        <w:t>978-1-99-115992-2 (Online)</w:t>
      </w:r>
    </w:p>
    <w:p w14:paraId="7968D12A" w14:textId="77777777" w:rsidR="002C04D2" w:rsidRPr="00D37FCE" w:rsidRDefault="00062703" w:rsidP="00B13E4E">
      <w:pPr>
        <w:spacing w:line="333" w:lineRule="auto"/>
        <w:ind w:right="5824"/>
        <w:rPr>
          <w:rFonts w:eastAsia="Times" w:cs="Times"/>
          <w:sz w:val="18"/>
          <w:szCs w:val="18"/>
        </w:rPr>
      </w:pPr>
      <w:r w:rsidRPr="00D37FCE">
        <w:rPr>
          <w:rFonts w:eastAsia="Times"/>
          <w:sz w:val="18"/>
        </w:rPr>
        <w:t xml:space="preserve">ISSN </w:t>
      </w:r>
      <w:r w:rsidRPr="00CF614F">
        <w:rPr>
          <w:rFonts w:eastAsia="Times"/>
          <w:sz w:val="18"/>
        </w:rPr>
        <w:t>1177-</w:t>
      </w:r>
      <w:r w:rsidR="003F7044" w:rsidRPr="00CF614F">
        <w:rPr>
          <w:rFonts w:eastAsia="Times"/>
          <w:sz w:val="18"/>
        </w:rPr>
        <w:t>7877</w:t>
      </w:r>
      <w:r w:rsidR="00247635" w:rsidRPr="00CF614F">
        <w:rPr>
          <w:rFonts w:eastAsia="Times"/>
          <w:sz w:val="18"/>
        </w:rPr>
        <w:t xml:space="preserve"> </w:t>
      </w:r>
      <w:r w:rsidR="00CF0ABB" w:rsidRPr="00CF614F">
        <w:rPr>
          <w:rFonts w:eastAsia="Times"/>
          <w:sz w:val="18"/>
        </w:rPr>
        <w:t>(</w:t>
      </w:r>
      <w:r w:rsidRPr="00CF614F">
        <w:rPr>
          <w:rFonts w:eastAsia="Times"/>
          <w:sz w:val="18"/>
        </w:rPr>
        <w:t>Online)</w:t>
      </w:r>
    </w:p>
    <w:p w14:paraId="452D1EAF" w14:textId="3A1C5250" w:rsidR="002C04D2" w:rsidRPr="00D37FCE" w:rsidRDefault="00062703" w:rsidP="00B13E4E">
      <w:pPr>
        <w:spacing w:line="333" w:lineRule="auto"/>
        <w:ind w:right="1997"/>
        <w:rPr>
          <w:rFonts w:eastAsia="Times" w:cs="Times"/>
          <w:sz w:val="18"/>
          <w:szCs w:val="18"/>
        </w:rPr>
      </w:pPr>
      <w:r w:rsidRPr="00D37FCE">
        <w:rPr>
          <w:rFonts w:eastAsia="Times"/>
          <w:sz w:val="18"/>
        </w:rPr>
        <w:t xml:space="preserve">This title may be cited as </w:t>
      </w:r>
      <w:r w:rsidRPr="00127BB5">
        <w:rPr>
          <w:rFonts w:eastAsia="Times"/>
          <w:sz w:val="18"/>
        </w:rPr>
        <w:t xml:space="preserve">NZLC </w:t>
      </w:r>
      <w:r w:rsidR="00181D48" w:rsidRPr="00127BB5">
        <w:rPr>
          <w:rFonts w:eastAsia="Times"/>
          <w:sz w:val="18"/>
        </w:rPr>
        <w:t>IP</w:t>
      </w:r>
      <w:r w:rsidR="00E56606" w:rsidRPr="00127BB5">
        <w:rPr>
          <w:rFonts w:eastAsia="Times"/>
          <w:sz w:val="18"/>
        </w:rPr>
        <w:t>50</w:t>
      </w:r>
      <w:r w:rsidR="00D26BBC" w:rsidRPr="00D37FCE">
        <w:rPr>
          <w:rFonts w:eastAsia="Times"/>
          <w:sz w:val="18"/>
        </w:rPr>
        <w:t xml:space="preserve">. </w:t>
      </w:r>
      <w:r w:rsidR="00D26BBC" w:rsidRPr="00D37FCE">
        <w:rPr>
          <w:sz w:val="18"/>
          <w:szCs w:val="18"/>
        </w:rPr>
        <w:t xml:space="preserve">This title is available on the internet at the website of Te Aka Matua o te Ture | Law Commission: </w:t>
      </w:r>
      <w:hyperlink r:id="rId17" w:history="1">
        <w:r w:rsidR="00D26BBC" w:rsidRPr="00D37FCE">
          <w:rPr>
            <w:rStyle w:val="Hyperlink"/>
            <w:sz w:val="18"/>
            <w:szCs w:val="18"/>
          </w:rPr>
          <w:t>www.lawcom.govt.nz</w:t>
        </w:r>
      </w:hyperlink>
    </w:p>
    <w:p w14:paraId="58149C03" w14:textId="1F2E2E69" w:rsidR="00B13E4E" w:rsidRDefault="00B13E4E" w:rsidP="00B13E4E">
      <w:pPr>
        <w:spacing w:before="240" w:line="334" w:lineRule="auto"/>
        <w:ind w:right="1996"/>
        <w:rPr>
          <w:rFonts w:eastAsia="Arial Unicode MS"/>
          <w:sz w:val="18"/>
          <w:szCs w:val="18"/>
        </w:rPr>
      </w:pPr>
    </w:p>
    <w:p w14:paraId="6EFF0519" w14:textId="6DB108EC" w:rsidR="005B588A" w:rsidRPr="00D37FCE" w:rsidRDefault="008D1FBF" w:rsidP="00B13E4E">
      <w:pPr>
        <w:spacing w:line="334" w:lineRule="auto"/>
        <w:ind w:right="1996"/>
        <w:rPr>
          <w:sz w:val="18"/>
          <w:szCs w:val="18"/>
        </w:rPr>
      </w:pPr>
      <w:r w:rsidRPr="00D37FCE">
        <w:rPr>
          <w:noProof/>
          <w:color w:val="262626" w:themeColor="text1" w:themeTint="D9"/>
          <w:sz w:val="14"/>
          <w:szCs w:val="16"/>
          <w:lang w:eastAsia="en-NZ"/>
        </w:rPr>
        <mc:AlternateContent>
          <mc:Choice Requires="wpg">
            <w:drawing>
              <wp:anchor distT="0" distB="0" distL="114300" distR="114300" simplePos="0" relativeHeight="251658242" behindDoc="1" locked="0" layoutInCell="1" allowOverlap="1" wp14:anchorId="7C0B189A" wp14:editId="72727136">
                <wp:simplePos x="0" y="0"/>
                <wp:positionH relativeFrom="page">
                  <wp:posOffset>1092835</wp:posOffset>
                </wp:positionH>
                <wp:positionV relativeFrom="page">
                  <wp:posOffset>9320530</wp:posOffset>
                </wp:positionV>
                <wp:extent cx="1007110" cy="344170"/>
                <wp:effectExtent l="0" t="0" r="2540" b="0"/>
                <wp:wrapSquare wrapText="bothSides"/>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44170"/>
                          <a:chOff x="1440" y="109"/>
                          <a:chExt cx="1320" cy="497"/>
                        </a:xfrm>
                      </wpg:grpSpPr>
                      <wpg:grpSp>
                        <wpg:cNvPr id="262" name="Group 227"/>
                        <wpg:cNvGrpSpPr>
                          <a:grpSpLocks/>
                        </wpg:cNvGrpSpPr>
                        <wpg:grpSpPr bwMode="auto">
                          <a:xfrm>
                            <a:off x="1440" y="109"/>
                            <a:ext cx="1320" cy="497"/>
                            <a:chOff x="1440" y="109"/>
                            <a:chExt cx="1320" cy="497"/>
                          </a:xfrm>
                        </wpg:grpSpPr>
                        <wps:wsp>
                          <wps:cNvPr id="263" name="Freeform 228"/>
                          <wps:cNvSpPr>
                            <a:spLocks/>
                          </wps:cNvSpPr>
                          <wps:spPr bwMode="auto">
                            <a:xfrm>
                              <a:off x="1440" y="126"/>
                              <a:ext cx="1320" cy="480"/>
                            </a:xfrm>
                            <a:custGeom>
                              <a:avLst/>
                              <a:gdLst>
                                <a:gd name="T0" fmla="+- 0 1440 1440"/>
                                <a:gd name="T1" fmla="*/ T0 w 1320"/>
                                <a:gd name="T2" fmla="+- 0 606 126"/>
                                <a:gd name="T3" fmla="*/ 606 h 480"/>
                                <a:gd name="T4" fmla="+- 0 2760 1440"/>
                                <a:gd name="T5" fmla="*/ T4 w 1320"/>
                                <a:gd name="T6" fmla="+- 0 606 126"/>
                                <a:gd name="T7" fmla="*/ 606 h 480"/>
                                <a:gd name="T8" fmla="+- 0 2760 1440"/>
                                <a:gd name="T9" fmla="*/ T8 w 1320"/>
                                <a:gd name="T10" fmla="+- 0 126 126"/>
                                <a:gd name="T11" fmla="*/ 126 h 480"/>
                                <a:gd name="T12" fmla="+- 0 1440 1440"/>
                                <a:gd name="T13" fmla="*/ T12 w 1320"/>
                                <a:gd name="T14" fmla="+- 0 126 126"/>
                                <a:gd name="T15" fmla="*/ 126 h 480"/>
                                <a:gd name="T16" fmla="+- 0 1440 1440"/>
                                <a:gd name="T17" fmla="*/ T16 w 1320"/>
                                <a:gd name="T18" fmla="+- 0 606 126"/>
                                <a:gd name="T19" fmla="*/ 606 h 480"/>
                              </a:gdLst>
                              <a:ahLst/>
                              <a:cxnLst>
                                <a:cxn ang="0">
                                  <a:pos x="T1" y="T3"/>
                                </a:cxn>
                                <a:cxn ang="0">
                                  <a:pos x="T5" y="T7"/>
                                </a:cxn>
                                <a:cxn ang="0">
                                  <a:pos x="T9" y="T11"/>
                                </a:cxn>
                                <a:cxn ang="0">
                                  <a:pos x="T13" y="T15"/>
                                </a:cxn>
                                <a:cxn ang="0">
                                  <a:pos x="T17" y="T19"/>
                                </a:cxn>
                              </a:cxnLst>
                              <a:rect l="0" t="0" r="r" b="b"/>
                              <a:pathLst>
                                <a:path w="1320" h="480">
                                  <a:moveTo>
                                    <a:pt x="0" y="480"/>
                                  </a:moveTo>
                                  <a:lnTo>
                                    <a:pt x="1320" y="480"/>
                                  </a:lnTo>
                                  <a:lnTo>
                                    <a:pt x="1320" y="0"/>
                                  </a:lnTo>
                                  <a:lnTo>
                                    <a:pt x="0" y="0"/>
                                  </a:lnTo>
                                  <a:lnTo>
                                    <a:pt x="0" y="480"/>
                                  </a:lnTo>
                                </a:path>
                              </a:pathLst>
                            </a:custGeom>
                            <a:solidFill>
                              <a:srgbClr val="002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109"/>
                              <a:ext cx="1320" cy="4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3BBFC9B" id="Group 261" o:spid="_x0000_s1026" style="position:absolute;margin-left:86.05pt;margin-top:733.9pt;width:79.3pt;height:27.1pt;z-index:-251658238;mso-position-horizontal-relative:page;mso-position-vertical-relative:page" coordorigin="1440,109" coordsize="13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">
                <v:group id="Group 227" o:spid="_x0000_s1027" style="position:absolute;left:1440;top:109;width:1320;height:497" coordorigin="1440,109" coordsize="1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28" o:spid="_x0000_s1028" style="position:absolute;left:1440;top:126;width:1320;height:480;visibility:visible;mso-wrap-style:square;v-text-anchor:top" coordsize="1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" path="m,480r1320,l1320,,,,,480e" fillcolor="#002c30" stroked="f">
                    <v:path arrowok="t" o:connecttype="custom" o:connectlocs="0,606;1320,606;1320,126;0,126;0,606" o:connectangles="0,0,0,0,0"/>
                  </v:shape>
                  <v:shape id="Picture 229" o:spid="_x0000_s1029" type="#_x0000_t75" style="position:absolute;left:1440;top:109;width:132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">
                    <v:imagedata r:id="rId19" o:title=""/>
                  </v:shape>
                </v:group>
                <w10:wrap type="square" anchorx="page" anchory="page"/>
              </v:group>
            </w:pict>
          </mc:Fallback>
        </mc:AlternateContent>
      </w:r>
      <w:r w:rsidR="00D26BBC" w:rsidRPr="00D37FCE">
        <w:rPr>
          <w:rFonts w:eastAsia="Arial Unicode MS"/>
          <w:sz w:val="18"/>
          <w:szCs w:val="18"/>
        </w:rPr>
        <w:t xml:space="preserve">Copyright </w:t>
      </w:r>
      <w:r w:rsidR="00D26BBC" w:rsidRPr="00D37FCE">
        <w:rPr>
          <w:rFonts w:ascii="Calibri" w:eastAsia="Arial Unicode MS" w:hAnsi="Calibri" w:cs="Calibri"/>
          <w:sz w:val="18"/>
          <w:szCs w:val="18"/>
        </w:rPr>
        <w:t>©</w:t>
      </w:r>
      <w:r w:rsidR="00D26BBC" w:rsidRPr="00D37FCE">
        <w:rPr>
          <w:rFonts w:eastAsia="Arial Unicode MS"/>
          <w:sz w:val="18"/>
          <w:szCs w:val="18"/>
        </w:rPr>
        <w:t xml:space="preserve"> 202</w:t>
      </w:r>
      <w:r w:rsidR="00E56606">
        <w:rPr>
          <w:rFonts w:eastAsia="Arial Unicode MS"/>
          <w:sz w:val="18"/>
          <w:szCs w:val="18"/>
        </w:rPr>
        <w:t>3</w:t>
      </w:r>
      <w:r w:rsidR="00D26BBC" w:rsidRPr="00D37FCE">
        <w:rPr>
          <w:rFonts w:eastAsia="Arial Unicode MS"/>
          <w:sz w:val="18"/>
          <w:szCs w:val="18"/>
        </w:rPr>
        <w:t xml:space="preserve"> </w:t>
      </w:r>
      <w:r w:rsidR="00D26BBC" w:rsidRPr="00D37FCE">
        <w:rPr>
          <w:sz w:val="18"/>
          <w:szCs w:val="18"/>
        </w:rPr>
        <w:t>Te Aka Matua o te Ture |</w:t>
      </w:r>
      <w:r w:rsidR="00D26BBC" w:rsidRPr="00D37FCE">
        <w:rPr>
          <w:rFonts w:eastAsia="Arial Unicode MS"/>
          <w:sz w:val="18"/>
          <w:szCs w:val="18"/>
        </w:rPr>
        <w:t xml:space="preserve"> Law Commission.</w:t>
      </w:r>
    </w:p>
    <w:p w14:paraId="1536BF95" w14:textId="430B8112" w:rsidR="007D550A" w:rsidRDefault="00247635" w:rsidP="00E76292">
      <w:pPr>
        <w:spacing w:before="3" w:line="180" w:lineRule="exact"/>
        <w:rPr>
          <w:color w:val="262626" w:themeColor="text1" w:themeTint="D9"/>
          <w:sz w:val="12"/>
          <w:szCs w:val="20"/>
        </w:rPr>
      </w:pPr>
      <w:r w:rsidRPr="00D37FCE">
        <w:rPr>
          <w:color w:val="262626" w:themeColor="text1" w:themeTint="D9"/>
          <w:sz w:val="14"/>
        </w:rPr>
        <w:t>T</w:t>
      </w:r>
      <w:r w:rsidRPr="00D37FCE">
        <w:rPr>
          <w:color w:val="262626" w:themeColor="text1" w:themeTint="D9"/>
          <w:sz w:val="12"/>
          <w:szCs w:val="20"/>
        </w:rPr>
        <w:t xml:space="preserve">his work is licensed under the Creative Commons Attribution 4.0 International licence. In essence, you are free to copy, distribute and adapt the work, as long as you attribute the work to </w:t>
      </w:r>
      <w:r w:rsidR="00D26BBC" w:rsidRPr="00D37FCE">
        <w:rPr>
          <w:color w:val="262626" w:themeColor="text1" w:themeTint="D9"/>
          <w:sz w:val="12"/>
          <w:szCs w:val="20"/>
        </w:rPr>
        <w:t>Te Aka Matua o te Ture |</w:t>
      </w:r>
      <w:r w:rsidRPr="00D37FCE">
        <w:rPr>
          <w:color w:val="262626" w:themeColor="text1" w:themeTint="D9"/>
          <w:sz w:val="12"/>
          <w:szCs w:val="20"/>
        </w:rPr>
        <w:t xml:space="preserve"> Law Commission and abide by other licence terms. To view a copy of this licence, visit </w:t>
      </w:r>
      <w:hyperlink r:id="rId20" w:history="1">
        <w:r w:rsidR="007D550A" w:rsidRPr="00547066">
          <w:rPr>
            <w:rStyle w:val="Hyperlink"/>
            <w:sz w:val="12"/>
            <w:szCs w:val="20"/>
          </w:rPr>
          <w:t>https://creativecommons.org/licenses/by/4</w:t>
        </w:r>
      </w:hyperlink>
      <w:r w:rsidR="003450A1">
        <w:rPr>
          <w:rStyle w:val="Hyperlink"/>
          <w:sz w:val="12"/>
          <w:szCs w:val="20"/>
        </w:rPr>
        <w:t>.0</w:t>
      </w:r>
      <w:r w:rsidR="00CB5874" w:rsidRPr="00D37FCE">
        <w:rPr>
          <w:color w:val="262626" w:themeColor="text1" w:themeTint="D9"/>
          <w:sz w:val="12"/>
          <w:szCs w:val="20"/>
        </w:rPr>
        <w:t>.</w:t>
      </w:r>
    </w:p>
    <w:p w14:paraId="300CB292" w14:textId="77777777" w:rsidR="003450A1" w:rsidRDefault="003450A1" w:rsidP="00E76292">
      <w:pPr>
        <w:spacing w:before="3" w:line="180" w:lineRule="exact"/>
        <w:rPr>
          <w:color w:val="262626" w:themeColor="text1" w:themeTint="D9"/>
          <w:sz w:val="12"/>
          <w:szCs w:val="20"/>
        </w:rPr>
      </w:pPr>
    </w:p>
    <w:p w14:paraId="376F0AF9" w14:textId="722B5870" w:rsidR="00A30587" w:rsidRDefault="00A30587" w:rsidP="00E76292">
      <w:pPr>
        <w:spacing w:before="3" w:line="180" w:lineRule="exact"/>
        <w:rPr>
          <w:color w:val="262626" w:themeColor="text1" w:themeTint="D9"/>
          <w:sz w:val="12"/>
          <w:szCs w:val="20"/>
        </w:rPr>
        <w:sectPr w:rsidR="00A30587" w:rsidSect="00FD6721">
          <w:headerReference w:type="default" r:id="rId21"/>
          <w:footerReference w:type="even" r:id="rId22"/>
          <w:footerReference w:type="default" r:id="rId23"/>
          <w:footnotePr>
            <w:numRestart w:val="eachSect"/>
          </w:footnotePr>
          <w:type w:val="nextColumn"/>
          <w:pgSz w:w="11907" w:h="16840" w:code="9"/>
          <w:pgMar w:top="1134" w:right="1134" w:bottom="1134" w:left="1701" w:header="567" w:footer="691" w:gutter="0"/>
          <w:pgNumType w:fmt="lowerRoman" w:start="3"/>
          <w:cols w:space="720"/>
          <w:docGrid w:linePitch="272"/>
        </w:sectPr>
      </w:pPr>
    </w:p>
    <w:p w14:paraId="31FBE6DF" w14:textId="74F71442" w:rsidR="000342BA" w:rsidRPr="00D37FCE" w:rsidRDefault="000342BA" w:rsidP="000342BA">
      <w:pPr>
        <w:spacing w:before="3" w:line="180" w:lineRule="exact"/>
        <w:rPr>
          <w:color w:val="262626" w:themeColor="text1" w:themeTint="D9"/>
          <w:sz w:val="14"/>
        </w:rPr>
      </w:pPr>
    </w:p>
    <w:p w14:paraId="2BD05C30" w14:textId="12588160" w:rsidR="000342BA" w:rsidRPr="00D37FCE" w:rsidRDefault="000342BA" w:rsidP="0062125E">
      <w:pPr>
        <w:pStyle w:val="Heading1nonum"/>
        <w:spacing w:before="240"/>
        <w:ind w:left="0"/>
        <w:contextualSpacing/>
        <w:rPr>
          <w:rFonts w:eastAsia="Times New Roman Mäori"/>
        </w:rPr>
      </w:pPr>
      <w:bookmarkStart w:id="0" w:name="_Toc57815047"/>
      <w:bookmarkStart w:id="1" w:name="_Toc66105737"/>
      <w:bookmarkStart w:id="2" w:name="_Toc66116296"/>
      <w:bookmarkStart w:id="3" w:name="_Toc67055484"/>
      <w:bookmarkStart w:id="4" w:name="_Toc68863163"/>
      <w:bookmarkStart w:id="5" w:name="_Toc132962531"/>
      <w:r w:rsidRPr="00D37FCE">
        <w:rPr>
          <w:rFonts w:eastAsia="Times New Roman Mäori"/>
        </w:rPr>
        <w:t>Have your say</w:t>
      </w:r>
      <w:bookmarkEnd w:id="0"/>
      <w:bookmarkEnd w:id="1"/>
      <w:bookmarkEnd w:id="2"/>
      <w:bookmarkEnd w:id="3"/>
      <w:bookmarkEnd w:id="4"/>
      <w:bookmarkEnd w:id="5"/>
    </w:p>
    <w:p w14:paraId="49323C83" w14:textId="77777777" w:rsidR="00FA7EC5" w:rsidRDefault="00FA7EC5" w:rsidP="00FA7EC5">
      <w:pPr>
        <w:pStyle w:val="BodyTextIndent"/>
        <w:spacing w:after="120"/>
      </w:pPr>
    </w:p>
    <w:p w14:paraId="4D3DFCB0" w14:textId="4B3B9E3C" w:rsidR="00FA7EC5" w:rsidRDefault="00FA7EC5" w:rsidP="00FA7EC5">
      <w:pPr>
        <w:pStyle w:val="BodyTextIndent"/>
        <w:spacing w:after="120"/>
        <w:ind w:left="0"/>
      </w:pPr>
      <w:r>
        <w:t>The Issues Paper sets out the potential issues we have identified with how the Evidence Act 2006 is working in practice.</w:t>
      </w:r>
    </w:p>
    <w:p w14:paraId="389149B7" w14:textId="77777777" w:rsidR="00FA7EC5" w:rsidRDefault="00FA7EC5" w:rsidP="00FA7EC5">
      <w:pPr>
        <w:pStyle w:val="BodyTextIndent"/>
        <w:spacing w:after="120"/>
        <w:ind w:left="0"/>
      </w:pPr>
      <w:r>
        <w:t>We want to know what you think about the issues and options we have identified.</w:t>
      </w:r>
    </w:p>
    <w:p w14:paraId="1507D221" w14:textId="77777777" w:rsidR="00FA7EC5" w:rsidRDefault="00FA7EC5" w:rsidP="00FA7EC5">
      <w:pPr>
        <w:pStyle w:val="BodyTextIndent"/>
        <w:spacing w:after="120"/>
        <w:ind w:left="0"/>
      </w:pPr>
      <w:r>
        <w:t>This paper covers a wide range of topics and asks many questions. You are welcome to focus only on those topics that concern you or about which you have views. There is no need to answer all the questions. When answering questions, we ask that you provide details to explain your views.</w:t>
      </w:r>
    </w:p>
    <w:p w14:paraId="09EAEF19" w14:textId="77777777" w:rsidR="00FA7EC5" w:rsidRDefault="00FA7EC5" w:rsidP="00FA7EC5">
      <w:pPr>
        <w:pStyle w:val="BodyTextIndent"/>
        <w:spacing w:after="120"/>
        <w:ind w:left="0"/>
      </w:pPr>
      <w:r>
        <w:t>The feedback we receive will help inform our recommendations to the Government in our final report.</w:t>
      </w:r>
    </w:p>
    <w:p w14:paraId="2F220C98" w14:textId="77777777" w:rsidR="00D25AB8" w:rsidRDefault="00D25AB8" w:rsidP="00D25AB8">
      <w:pPr>
        <w:pStyle w:val="BodyTextIndent"/>
        <w:spacing w:after="120"/>
        <w:ind w:left="0"/>
      </w:pPr>
      <w:r w:rsidRPr="000A6270">
        <w:rPr>
          <w:rStyle w:val="normaltextrun"/>
        </w:rPr>
        <w:t>Submissions</w:t>
      </w:r>
      <w:r w:rsidRPr="000A6270">
        <w:t xml:space="preserve"> must be received by </w:t>
      </w:r>
      <w:r w:rsidRPr="000A6270">
        <w:rPr>
          <w:b/>
          <w:bCs/>
        </w:rPr>
        <w:t>30 June 2023</w:t>
      </w:r>
      <w:r w:rsidRPr="000A6270">
        <w:t>.</w:t>
      </w:r>
    </w:p>
    <w:p w14:paraId="17130C53" w14:textId="77777777" w:rsidR="00FA7EC5" w:rsidRPr="000A6270" w:rsidRDefault="00FA7EC5" w:rsidP="00D25AB8">
      <w:pPr>
        <w:pStyle w:val="BodyTextIndent"/>
        <w:spacing w:after="120"/>
        <w:ind w:left="0"/>
      </w:pPr>
    </w:p>
    <w:p w14:paraId="64562B3E" w14:textId="77777777" w:rsidR="00D25AB8" w:rsidRDefault="00D25AB8" w:rsidP="00D25AB8">
      <w:pPr>
        <w:pStyle w:val="Heading2"/>
      </w:pPr>
      <w:bookmarkStart w:id="6" w:name="_Toc131002017"/>
      <w:bookmarkStart w:id="7" w:name="_Toc131003033"/>
      <w:bookmarkStart w:id="8" w:name="_Toc132292428"/>
      <w:bookmarkStart w:id="9" w:name="_Toc132962532"/>
      <w:r>
        <w:t>Ways to make a submission</w:t>
      </w:r>
      <w:bookmarkEnd w:id="6"/>
      <w:bookmarkEnd w:id="7"/>
      <w:bookmarkEnd w:id="8"/>
      <w:bookmarkEnd w:id="9"/>
    </w:p>
    <w:p w14:paraId="58C5CEC0" w14:textId="77777777" w:rsidR="00D25AB8" w:rsidRDefault="00D25AB8" w:rsidP="00D25AB8">
      <w:pPr>
        <w:pStyle w:val="BodyTextIndent"/>
        <w:spacing w:after="120"/>
        <w:ind w:left="0"/>
      </w:pPr>
      <w:r>
        <w:t>There are different ways you can make a submission on this paper:</w:t>
      </w:r>
    </w:p>
    <w:p w14:paraId="379984CD" w14:textId="77777777" w:rsidR="00D25AB8" w:rsidRPr="00AD5691" w:rsidRDefault="00D25AB8" w:rsidP="00866891">
      <w:pPr>
        <w:pStyle w:val="BodyTextIndent"/>
        <w:numPr>
          <w:ilvl w:val="0"/>
          <w:numId w:val="17"/>
        </w:numPr>
        <w:spacing w:after="120"/>
      </w:pPr>
      <w:r w:rsidRPr="00AD5691">
        <w:t>Complete a submission form from our website and send this to us by email or post at the addresses below.</w:t>
      </w:r>
    </w:p>
    <w:p w14:paraId="17887947" w14:textId="77777777" w:rsidR="00D25AB8" w:rsidRDefault="00D25AB8" w:rsidP="00866891">
      <w:pPr>
        <w:pStyle w:val="BodyTextIndent"/>
        <w:numPr>
          <w:ilvl w:val="0"/>
          <w:numId w:val="17"/>
        </w:numPr>
        <w:spacing w:after="120"/>
      </w:pPr>
      <w:r>
        <w:t>Email us at evidence@lawcom.govt.nz.</w:t>
      </w:r>
    </w:p>
    <w:p w14:paraId="69A1533C" w14:textId="77777777" w:rsidR="00D25AB8" w:rsidRPr="009D6B36" w:rsidRDefault="00D25AB8" w:rsidP="00866891">
      <w:pPr>
        <w:pStyle w:val="BodyTextIndent"/>
        <w:numPr>
          <w:ilvl w:val="0"/>
          <w:numId w:val="17"/>
        </w:numPr>
        <w:spacing w:after="120"/>
      </w:pPr>
      <w:r>
        <w:t>Write to us at</w:t>
      </w:r>
      <w:r w:rsidRPr="009D6B36">
        <w:t>:</w:t>
      </w:r>
    </w:p>
    <w:p w14:paraId="6D0318B5" w14:textId="77777777" w:rsidR="00D25AB8" w:rsidRPr="009D6B36" w:rsidRDefault="00D25AB8" w:rsidP="00D25AB8">
      <w:pPr>
        <w:pStyle w:val="BodyTextIndent"/>
        <w:ind w:left="1134"/>
        <w:rPr>
          <w:b/>
          <w:bCs/>
        </w:rPr>
      </w:pPr>
      <w:r w:rsidRPr="009D6B36">
        <w:rPr>
          <w:b/>
          <w:bCs/>
        </w:rPr>
        <w:t xml:space="preserve">The Third Review of the Evidence Act </w:t>
      </w:r>
    </w:p>
    <w:p w14:paraId="2AD7D7E2" w14:textId="77777777" w:rsidR="00D25AB8" w:rsidRPr="009D6B36" w:rsidRDefault="00D25AB8" w:rsidP="00D25AB8">
      <w:pPr>
        <w:pStyle w:val="BodyTextIndent"/>
        <w:ind w:left="1134"/>
        <w:rPr>
          <w:b/>
          <w:bCs/>
        </w:rPr>
      </w:pPr>
      <w:r w:rsidRPr="009D6B36">
        <w:rPr>
          <w:b/>
          <w:bCs/>
        </w:rPr>
        <w:t>Law Commission</w:t>
      </w:r>
    </w:p>
    <w:p w14:paraId="3581C3F5" w14:textId="77777777" w:rsidR="00D25AB8" w:rsidRPr="009D6B36" w:rsidRDefault="00D25AB8" w:rsidP="00D25AB8">
      <w:pPr>
        <w:pStyle w:val="BodyTextIndent"/>
        <w:ind w:left="1134"/>
        <w:rPr>
          <w:b/>
          <w:bCs/>
        </w:rPr>
      </w:pPr>
      <w:r w:rsidRPr="009D6B36">
        <w:rPr>
          <w:b/>
          <w:bCs/>
        </w:rPr>
        <w:t>PO Box 2590</w:t>
      </w:r>
    </w:p>
    <w:p w14:paraId="4E475316" w14:textId="77777777" w:rsidR="00D25AB8" w:rsidRPr="009D6B36" w:rsidRDefault="00D25AB8" w:rsidP="00D25AB8">
      <w:pPr>
        <w:pStyle w:val="BodyTextIndent"/>
        <w:ind w:left="1134"/>
        <w:rPr>
          <w:b/>
          <w:bCs/>
        </w:rPr>
      </w:pPr>
      <w:r w:rsidRPr="009D6B36">
        <w:rPr>
          <w:b/>
          <w:bCs/>
        </w:rPr>
        <w:t>Wellington 6140</w:t>
      </w:r>
    </w:p>
    <w:p w14:paraId="71703C30" w14:textId="77777777" w:rsidR="00FA7EC5" w:rsidRDefault="00FA7EC5">
      <w:pPr>
        <w:widowControl w:val="0"/>
        <w:spacing w:after="200" w:line="276" w:lineRule="auto"/>
        <w:rPr>
          <w:rFonts w:ascii="Metropolis" w:eastAsia="Times New Roman Mäori" w:hAnsi="Metropolis" w:cs="Times New Roman"/>
          <w:b/>
          <w:caps/>
          <w:color w:val="73AB6E"/>
          <w:szCs w:val="24"/>
          <w:lang w:eastAsia="en-AU"/>
        </w:rPr>
      </w:pPr>
      <w:bookmarkStart w:id="10" w:name="_Toc526421580"/>
      <w:bookmarkStart w:id="11" w:name="_Toc528833388"/>
      <w:bookmarkStart w:id="12" w:name="_Toc528833629"/>
      <w:bookmarkStart w:id="13" w:name="_Toc531954811"/>
      <w:bookmarkStart w:id="14" w:name="_Toc57815048"/>
      <w:bookmarkStart w:id="15" w:name="_Toc66105738"/>
      <w:bookmarkStart w:id="16" w:name="_Toc66116297"/>
      <w:bookmarkStart w:id="17" w:name="_Toc67055485"/>
      <w:bookmarkStart w:id="18" w:name="_Toc68863164"/>
      <w:bookmarkStart w:id="19" w:name="_Toc131002018"/>
      <w:bookmarkStart w:id="20" w:name="_Toc131003034"/>
      <w:bookmarkStart w:id="21" w:name="_Toc132292429"/>
      <w:bookmarkStart w:id="22" w:name="_Toc132962533"/>
      <w:r>
        <w:rPr>
          <w:rFonts w:eastAsia="Times New Roman Mäori"/>
        </w:rPr>
        <w:br w:type="page"/>
      </w:r>
    </w:p>
    <w:p w14:paraId="46719444" w14:textId="51F9A65E" w:rsidR="000342BA" w:rsidRPr="00D37FCE" w:rsidRDefault="000342BA" w:rsidP="000342BA">
      <w:pPr>
        <w:pStyle w:val="Heading2"/>
        <w:rPr>
          <w:rFonts w:eastAsia="Times New Roman Mäori"/>
        </w:rPr>
      </w:pPr>
      <w:r w:rsidRPr="00D37FCE">
        <w:rPr>
          <w:rFonts w:eastAsia="Times New Roman Mäori"/>
        </w:rPr>
        <w:lastRenderedPageBreak/>
        <w:t>What happens to your submission?</w:t>
      </w:r>
      <w:bookmarkEnd w:id="10"/>
      <w:bookmarkEnd w:id="11"/>
      <w:bookmarkEnd w:id="12"/>
      <w:bookmarkEnd w:id="13"/>
      <w:bookmarkEnd w:id="14"/>
      <w:bookmarkEnd w:id="15"/>
      <w:bookmarkEnd w:id="16"/>
      <w:bookmarkEnd w:id="17"/>
      <w:bookmarkEnd w:id="18"/>
      <w:bookmarkEnd w:id="19"/>
      <w:bookmarkEnd w:id="20"/>
      <w:bookmarkEnd w:id="21"/>
      <w:bookmarkEnd w:id="22"/>
    </w:p>
    <w:p w14:paraId="0E51D85C" w14:textId="2F903B58" w:rsidR="000342BA" w:rsidRPr="006024EF" w:rsidRDefault="000342BA" w:rsidP="00FF593A">
      <w:pPr>
        <w:pStyle w:val="BodyTextnonum"/>
        <w:ind w:left="0"/>
        <w:rPr>
          <w:rFonts w:eastAsia="Angsana New"/>
          <w:sz w:val="19"/>
          <w:szCs w:val="19"/>
        </w:rPr>
      </w:pPr>
      <w:r>
        <w:t xml:space="preserve">Te Aka Matua o te Ture | Law Commission will use your submission to inform our review, and we may refer to your submission in our publications. We will also keep all submissions as part of our official records. Information </w:t>
      </w:r>
      <w:r w:rsidR="004E286F">
        <w:t xml:space="preserve">given to </w:t>
      </w:r>
      <w:r>
        <w:t>the Commission is subject to the Official Information Act 1982</w:t>
      </w:r>
      <w:r w:rsidR="004E286F">
        <w:t xml:space="preserve"> and the </w:t>
      </w:r>
      <w:r w:rsidR="007E58AC">
        <w:t xml:space="preserve">Privacy Act 2020. </w:t>
      </w:r>
    </w:p>
    <w:p w14:paraId="74E60B39" w14:textId="1D34BD0F" w:rsidR="000342BA" w:rsidRPr="001D6BA7" w:rsidRDefault="000342BA" w:rsidP="00FF593A">
      <w:pPr>
        <w:pStyle w:val="BodyTextnonum"/>
        <w:ind w:left="0"/>
        <w:rPr>
          <w:rFonts w:eastAsia="Angsana New"/>
          <w:sz w:val="19"/>
          <w:szCs w:val="19"/>
        </w:rPr>
      </w:pPr>
      <w:r>
        <w:t>We will publish the submissions we receive on our website once we have published our final report. Your submission will be publicly available, but if you are submitting as an individual</w:t>
      </w:r>
      <w:r w:rsidR="00A35CDA">
        <w:t>,</w:t>
      </w:r>
      <w:r>
        <w:t xml:space="preserve"> we will not publish your name </w:t>
      </w:r>
      <w:r w:rsidR="00C20EF6">
        <w:t xml:space="preserve">without </w:t>
      </w:r>
      <w:r w:rsidR="003B70C3">
        <w:t>your agreement</w:t>
      </w:r>
      <w:r>
        <w:t xml:space="preserve">. </w:t>
      </w:r>
    </w:p>
    <w:p w14:paraId="384986B0" w14:textId="2D203FF0" w:rsidR="000342BA" w:rsidRPr="00DA6EA4" w:rsidRDefault="000342BA" w:rsidP="00FF593A">
      <w:pPr>
        <w:pStyle w:val="BodyTextnonum"/>
        <w:ind w:left="0"/>
      </w:pPr>
      <w:r w:rsidRPr="00DA6EA4">
        <w:t xml:space="preserve">If you do not want us to </w:t>
      </w:r>
      <w:r w:rsidR="004B2C36">
        <w:t xml:space="preserve">publish or refer </w:t>
      </w:r>
      <w:r w:rsidR="00E64237">
        <w:t xml:space="preserve">in our publications </w:t>
      </w:r>
      <w:r w:rsidR="004B2C36">
        <w:t xml:space="preserve">to </w:t>
      </w:r>
      <w:r w:rsidR="00E64237">
        <w:t xml:space="preserve">all or parts of </w:t>
      </w:r>
      <w:r w:rsidR="004B2C36">
        <w:t>your submission</w:t>
      </w:r>
      <w:r w:rsidRPr="00DA6EA4">
        <w:t xml:space="preserve">, please </w:t>
      </w:r>
      <w:r w:rsidR="00F80C31">
        <w:t xml:space="preserve">tell us </w:t>
      </w:r>
      <w:r w:rsidRPr="00DA6EA4">
        <w:t xml:space="preserve">which parts should be withheld and the reasons. We will take your views into account in deciding: </w:t>
      </w:r>
    </w:p>
    <w:p w14:paraId="77C0E6E0" w14:textId="77777777" w:rsidR="000342BA" w:rsidRPr="00DA6EA4" w:rsidRDefault="000342BA" w:rsidP="000342BA">
      <w:pPr>
        <w:pStyle w:val="ListBullet"/>
      </w:pPr>
      <w:r w:rsidRPr="00DA6EA4">
        <w:t>whether to withhold or release any information requested under the Official Information Act</w:t>
      </w:r>
      <w:r>
        <w:t>;</w:t>
      </w:r>
      <w:r w:rsidRPr="00DA6EA4">
        <w:t xml:space="preserve"> </w:t>
      </w:r>
    </w:p>
    <w:p w14:paraId="3E661084" w14:textId="6DC00814" w:rsidR="000342BA" w:rsidRPr="00DA6EA4" w:rsidRDefault="00C45B2E" w:rsidP="000342BA">
      <w:pPr>
        <w:pStyle w:val="ListBullet"/>
      </w:pPr>
      <w:r>
        <w:t>whether</w:t>
      </w:r>
      <w:r w:rsidR="000342BA" w:rsidRPr="00DA6EA4">
        <w:t xml:space="preserve"> and how to make your submission publicly available on our website; and </w:t>
      </w:r>
    </w:p>
    <w:p w14:paraId="6C947C94" w14:textId="33275570" w:rsidR="000342BA" w:rsidRDefault="002D052B" w:rsidP="000342BA">
      <w:pPr>
        <w:pStyle w:val="ListBullet"/>
      </w:pPr>
      <w:r>
        <w:t>whether</w:t>
      </w:r>
      <w:r w:rsidR="000342BA" w:rsidRPr="00DA6EA4">
        <w:t xml:space="preserve"> and how to refer to your submission in our publications. </w:t>
      </w:r>
    </w:p>
    <w:p w14:paraId="12221E76" w14:textId="77777777" w:rsidR="00645159" w:rsidRDefault="00645159" w:rsidP="0042293D">
      <w:pPr>
        <w:pStyle w:val="ListBullet"/>
        <w:numPr>
          <w:ilvl w:val="0"/>
          <w:numId w:val="0"/>
        </w:numPr>
        <w:ind w:left="425"/>
      </w:pPr>
    </w:p>
    <w:p w14:paraId="0BE21D8D" w14:textId="77777777" w:rsidR="00FA7EC5" w:rsidRDefault="00FA7EC5" w:rsidP="00FA7EC5">
      <w:pPr>
        <w:pStyle w:val="ListBullet"/>
        <w:numPr>
          <w:ilvl w:val="0"/>
          <w:numId w:val="0"/>
        </w:numPr>
        <w:ind w:left="425" w:hanging="425"/>
      </w:pPr>
    </w:p>
    <w:p w14:paraId="65A16DC1" w14:textId="77777777" w:rsidR="00FA7EC5" w:rsidRDefault="00FA7EC5" w:rsidP="00FA7EC5">
      <w:pPr>
        <w:pStyle w:val="ListBullet"/>
        <w:numPr>
          <w:ilvl w:val="0"/>
          <w:numId w:val="0"/>
        </w:numPr>
        <w:ind w:left="425" w:hanging="425"/>
      </w:pPr>
    </w:p>
    <w:p w14:paraId="7894546C" w14:textId="7CFC707B" w:rsidR="00FA7EC5" w:rsidRDefault="00FA7EC5" w:rsidP="00FA7EC5">
      <w:pPr>
        <w:pStyle w:val="ListBullet"/>
        <w:numPr>
          <w:ilvl w:val="0"/>
          <w:numId w:val="0"/>
        </w:numPr>
        <w:ind w:left="425" w:hanging="425"/>
        <w:sectPr w:rsidR="00FA7EC5" w:rsidSect="00601E4F">
          <w:headerReference w:type="even" r:id="rId24"/>
          <w:headerReference w:type="default" r:id="rId25"/>
          <w:footnotePr>
            <w:numRestart w:val="eachSect"/>
          </w:footnotePr>
          <w:type w:val="continuous"/>
          <w:pgSz w:w="11907" w:h="16840" w:code="9"/>
          <w:pgMar w:top="1134" w:right="1134" w:bottom="1134" w:left="1701" w:header="720" w:footer="720" w:gutter="0"/>
          <w:pgNumType w:fmt="lowerRoman" w:start="3"/>
          <w:cols w:space="720"/>
          <w:docGrid w:linePitch="272"/>
        </w:sectPr>
      </w:pPr>
      <w:r w:rsidRPr="00D37FCE">
        <w:rPr>
          <w:noProof/>
          <w:lang w:eastAsia="en-NZ"/>
        </w:rPr>
        <mc:AlternateContent>
          <mc:Choice Requires="wpg">
            <w:drawing>
              <wp:anchor distT="0" distB="0" distL="114300" distR="114300" simplePos="0" relativeHeight="251658372" behindDoc="1" locked="0" layoutInCell="1" allowOverlap="1" wp14:anchorId="7B742A0C" wp14:editId="327E08DE">
                <wp:simplePos x="0" y="0"/>
                <wp:positionH relativeFrom="page">
                  <wp:posOffset>1080135</wp:posOffset>
                </wp:positionH>
                <wp:positionV relativeFrom="paragraph">
                  <wp:posOffset>-222885</wp:posOffset>
                </wp:positionV>
                <wp:extent cx="1332230" cy="1270"/>
                <wp:effectExtent l="0" t="19050" r="20320" b="17780"/>
                <wp:wrapNone/>
                <wp:docPr id="1995572169" name="Group 199557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5871156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78749" id="Group 1995572169" o:spid="_x0000_s1026" style="position:absolute;margin-left:85.05pt;margin-top:-17.55pt;width:104.9pt;height:.1pt;z-index:-25165810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080FC6FC" w14:textId="77777777" w:rsidR="0042293D" w:rsidRDefault="0042293D" w:rsidP="0042293D">
      <w:pPr>
        <w:pStyle w:val="ListBullet"/>
        <w:numPr>
          <w:ilvl w:val="0"/>
          <w:numId w:val="0"/>
        </w:numPr>
        <w:ind w:left="425"/>
      </w:pPr>
    </w:p>
    <w:p w14:paraId="38A66D04" w14:textId="77777777" w:rsidR="002F3C77" w:rsidRDefault="002F3C77" w:rsidP="0042293D">
      <w:pPr>
        <w:pStyle w:val="ListBullet"/>
        <w:numPr>
          <w:ilvl w:val="0"/>
          <w:numId w:val="0"/>
        </w:numPr>
        <w:ind w:left="425"/>
        <w:sectPr w:rsidR="002F3C77" w:rsidSect="00D61AE4">
          <w:headerReference w:type="default" r:id="rId26"/>
          <w:footnotePr>
            <w:numRestart w:val="eachSect"/>
          </w:footnotePr>
          <w:pgSz w:w="11907" w:h="16840" w:code="9"/>
          <w:pgMar w:top="1134" w:right="1134" w:bottom="1134" w:left="1701" w:header="720" w:footer="720" w:gutter="0"/>
          <w:pgNumType w:fmt="lowerRoman"/>
          <w:cols w:space="720"/>
          <w:docGrid w:linePitch="272"/>
        </w:sectPr>
      </w:pPr>
    </w:p>
    <w:p w14:paraId="3D33DB58" w14:textId="77777777" w:rsidR="000342BA" w:rsidRDefault="000342BA" w:rsidP="00853032">
      <w:pPr>
        <w:pStyle w:val="Heading1nonum"/>
        <w:spacing w:before="240"/>
        <w:ind w:left="0"/>
        <w:contextualSpacing/>
        <w:rPr>
          <w:rFonts w:eastAsia="Times New Roman Mäori"/>
        </w:rPr>
      </w:pPr>
      <w:bookmarkStart w:id="23" w:name="_Toc68863165"/>
      <w:bookmarkStart w:id="24" w:name="_Toc77858377"/>
      <w:bookmarkStart w:id="25" w:name="_Toc132962534"/>
      <w:r>
        <w:rPr>
          <w:rFonts w:eastAsia="Times New Roman Mäori"/>
        </w:rPr>
        <w:t>Acknowledgements</w:t>
      </w:r>
      <w:bookmarkEnd w:id="23"/>
      <w:bookmarkEnd w:id="24"/>
      <w:bookmarkEnd w:id="25"/>
    </w:p>
    <w:p w14:paraId="4119C12A" w14:textId="50E37BD9" w:rsidR="000F315B" w:rsidRDefault="000342BA" w:rsidP="00AD66F8">
      <w:pPr>
        <w:pStyle w:val="BodyTextnonum"/>
        <w:tabs>
          <w:tab w:val="clear" w:pos="709"/>
        </w:tabs>
        <w:ind w:left="0"/>
        <w:rPr>
          <w:rFonts w:eastAsia="Angsana New"/>
        </w:rPr>
      </w:pPr>
      <w:r w:rsidRPr="00E17A94">
        <w:rPr>
          <w:rFonts w:eastAsia="Angsana New"/>
        </w:rPr>
        <w:t>Te Aka Matua o te Ture | Law Commission gratefully acknowledges the</w:t>
      </w:r>
      <w:r w:rsidR="00AE4191">
        <w:rPr>
          <w:rFonts w:eastAsia="Angsana New"/>
        </w:rPr>
        <w:t xml:space="preserve"> contributions of the </w:t>
      </w:r>
      <w:r w:rsidR="00AB41BC">
        <w:rPr>
          <w:rFonts w:eastAsia="Angsana New"/>
        </w:rPr>
        <w:t xml:space="preserve">individuals </w:t>
      </w:r>
      <w:r w:rsidRPr="00E17A94">
        <w:rPr>
          <w:rFonts w:eastAsia="Angsana New"/>
        </w:rPr>
        <w:t xml:space="preserve">and organisations </w:t>
      </w:r>
      <w:r w:rsidR="008E339A" w:rsidRPr="00E17A94">
        <w:rPr>
          <w:rFonts w:eastAsia="Angsana New"/>
        </w:rPr>
        <w:t xml:space="preserve">who have </w:t>
      </w:r>
      <w:r w:rsidR="00AE4191">
        <w:rPr>
          <w:rFonts w:eastAsia="Angsana New"/>
        </w:rPr>
        <w:t xml:space="preserve">helped shape </w:t>
      </w:r>
      <w:r w:rsidR="005065CA">
        <w:rPr>
          <w:rFonts w:eastAsia="Angsana New"/>
        </w:rPr>
        <w:t>this paper</w:t>
      </w:r>
      <w:r w:rsidR="000F315B">
        <w:rPr>
          <w:rFonts w:eastAsia="Angsana New"/>
        </w:rPr>
        <w:t>,</w:t>
      </w:r>
      <w:r w:rsidR="00AE4191">
        <w:rPr>
          <w:rFonts w:eastAsia="Angsana New"/>
        </w:rPr>
        <w:t xml:space="preserve"> </w:t>
      </w:r>
      <w:r w:rsidR="000F315B">
        <w:rPr>
          <w:rFonts w:eastAsia="Angsana New"/>
        </w:rPr>
        <w:t xml:space="preserve">especially those who kindly shared their </w:t>
      </w:r>
      <w:r w:rsidR="007A5843">
        <w:rPr>
          <w:rFonts w:eastAsia="Angsana New"/>
        </w:rPr>
        <w:t>expertise</w:t>
      </w:r>
      <w:r w:rsidR="000F315B">
        <w:rPr>
          <w:rFonts w:eastAsia="Angsana New"/>
        </w:rPr>
        <w:t xml:space="preserve"> and views with us in the preliminary engagement stage of this review. </w:t>
      </w:r>
    </w:p>
    <w:p w14:paraId="7BAC446D" w14:textId="2277247C" w:rsidR="002E0FC1" w:rsidRPr="00E17A94" w:rsidRDefault="002E0FC1" w:rsidP="00AD66F8">
      <w:pPr>
        <w:pStyle w:val="BodyTextnonum"/>
        <w:tabs>
          <w:tab w:val="clear" w:pos="709"/>
        </w:tabs>
        <w:ind w:left="0"/>
        <w:rPr>
          <w:rFonts w:eastAsia="Angsana New"/>
        </w:rPr>
      </w:pPr>
      <w:r w:rsidRPr="00E17A94">
        <w:rPr>
          <w:rFonts w:eastAsia="Angsana New"/>
        </w:rPr>
        <w:t xml:space="preserve">We acknowledge </w:t>
      </w:r>
      <w:r w:rsidR="00B714B3">
        <w:rPr>
          <w:rFonts w:eastAsia="Angsana New"/>
        </w:rPr>
        <w:t xml:space="preserve">the </w:t>
      </w:r>
      <w:r w:rsidRPr="00E17A94">
        <w:rPr>
          <w:rFonts w:eastAsia="Angsana New"/>
        </w:rPr>
        <w:t>contribution</w:t>
      </w:r>
      <w:r w:rsidR="008544D5">
        <w:rPr>
          <w:rFonts w:eastAsia="Angsana New"/>
        </w:rPr>
        <w:t xml:space="preserve"> of members of our </w:t>
      </w:r>
      <w:r w:rsidR="007A5843">
        <w:rPr>
          <w:rFonts w:eastAsia="Angsana New"/>
        </w:rPr>
        <w:t>E</w:t>
      </w:r>
      <w:r w:rsidRPr="00E17A94">
        <w:rPr>
          <w:rFonts w:eastAsia="Angsana New"/>
        </w:rPr>
        <w:t xml:space="preserve">xpert </w:t>
      </w:r>
      <w:r w:rsidR="007A5843">
        <w:rPr>
          <w:rFonts w:eastAsia="Angsana New"/>
        </w:rPr>
        <w:t>A</w:t>
      </w:r>
      <w:r w:rsidRPr="00E17A94">
        <w:rPr>
          <w:rFonts w:eastAsia="Angsana New"/>
        </w:rPr>
        <w:t xml:space="preserve">dvisory </w:t>
      </w:r>
      <w:r w:rsidR="007A5843">
        <w:rPr>
          <w:rFonts w:eastAsia="Angsana New"/>
        </w:rPr>
        <w:t>G</w:t>
      </w:r>
      <w:r w:rsidRPr="00E17A94">
        <w:rPr>
          <w:rFonts w:eastAsia="Angsana New"/>
        </w:rPr>
        <w:t xml:space="preserve">roup and </w:t>
      </w:r>
      <w:r w:rsidR="007A5843">
        <w:rPr>
          <w:rFonts w:eastAsia="Angsana New"/>
        </w:rPr>
        <w:t>J</w:t>
      </w:r>
      <w:r w:rsidRPr="00E17A94">
        <w:rPr>
          <w:rFonts w:eastAsia="Angsana New"/>
        </w:rPr>
        <w:t xml:space="preserve">udicial </w:t>
      </w:r>
      <w:r w:rsidR="007A5843">
        <w:rPr>
          <w:rFonts w:eastAsia="Angsana New"/>
        </w:rPr>
        <w:t>A</w:t>
      </w:r>
      <w:r w:rsidRPr="00E17A94">
        <w:rPr>
          <w:rFonts w:eastAsia="Angsana New"/>
        </w:rPr>
        <w:t xml:space="preserve">dvisory </w:t>
      </w:r>
      <w:r w:rsidR="007A5843">
        <w:rPr>
          <w:rFonts w:eastAsia="Angsana New"/>
        </w:rPr>
        <w:t>C</w:t>
      </w:r>
      <w:r w:rsidRPr="00E17A94">
        <w:rPr>
          <w:rFonts w:eastAsia="Angsana New"/>
        </w:rPr>
        <w:t>ommittee</w:t>
      </w:r>
      <w:r w:rsidR="005065CA">
        <w:rPr>
          <w:rFonts w:eastAsia="Angsana New"/>
        </w:rPr>
        <w:t xml:space="preserve"> who have generously given, and continue to give, their time and expertise to assist with this review</w:t>
      </w:r>
      <w:r w:rsidRPr="00E17A94">
        <w:rPr>
          <w:rFonts w:eastAsia="Angsana New"/>
        </w:rPr>
        <w:t xml:space="preserve">. </w:t>
      </w:r>
    </w:p>
    <w:p w14:paraId="0E2BDA0E" w14:textId="7C0FFA78" w:rsidR="000342BA" w:rsidRPr="00664432" w:rsidRDefault="002E0FC1" w:rsidP="00993B5F">
      <w:pPr>
        <w:pStyle w:val="BodyTextnonum"/>
        <w:tabs>
          <w:tab w:val="clear" w:pos="709"/>
        </w:tabs>
        <w:ind w:left="0"/>
        <w:rPr>
          <w:rFonts w:eastAsia="Angsana New"/>
        </w:rPr>
      </w:pPr>
      <w:r w:rsidRPr="00664432">
        <w:rPr>
          <w:rFonts w:eastAsia="Angsana New"/>
        </w:rPr>
        <w:t xml:space="preserve">The members of the </w:t>
      </w:r>
      <w:r w:rsidR="00B714B3">
        <w:rPr>
          <w:rFonts w:eastAsia="Angsana New"/>
        </w:rPr>
        <w:t>E</w:t>
      </w:r>
      <w:r w:rsidRPr="00664432">
        <w:rPr>
          <w:rFonts w:eastAsia="Angsana New"/>
        </w:rPr>
        <w:t xml:space="preserve">xpert </w:t>
      </w:r>
      <w:r w:rsidR="00B714B3">
        <w:rPr>
          <w:rFonts w:eastAsia="Angsana New"/>
        </w:rPr>
        <w:t>A</w:t>
      </w:r>
      <w:r w:rsidRPr="00664432">
        <w:rPr>
          <w:rFonts w:eastAsia="Angsana New"/>
        </w:rPr>
        <w:t xml:space="preserve">dvisory </w:t>
      </w:r>
      <w:r w:rsidR="00B714B3">
        <w:rPr>
          <w:rFonts w:eastAsia="Angsana New"/>
        </w:rPr>
        <w:t>G</w:t>
      </w:r>
      <w:r w:rsidRPr="00664432">
        <w:rPr>
          <w:rFonts w:eastAsia="Angsana New"/>
        </w:rPr>
        <w:t>roup are:</w:t>
      </w:r>
    </w:p>
    <w:p w14:paraId="4358F2CC" w14:textId="6841AFBE" w:rsidR="000342BA" w:rsidRPr="00AA1126" w:rsidRDefault="000370A7" w:rsidP="000342BA">
      <w:pPr>
        <w:pStyle w:val="ListBullet"/>
        <w:rPr>
          <w:rFonts w:eastAsia="Angsana New"/>
        </w:rPr>
      </w:pPr>
      <w:r w:rsidRPr="00AA1126">
        <w:rPr>
          <w:rFonts w:eastAsia="Angsana New"/>
        </w:rPr>
        <w:t xml:space="preserve">Associate Professor </w:t>
      </w:r>
      <w:r w:rsidR="005909BC" w:rsidRPr="00AA1126">
        <w:rPr>
          <w:rFonts w:eastAsia="Angsana New"/>
        </w:rPr>
        <w:t>Anna High</w:t>
      </w:r>
      <w:r w:rsidR="007951F0" w:rsidRPr="00AA1126">
        <w:rPr>
          <w:rFonts w:eastAsia="Angsana New"/>
        </w:rPr>
        <w:t xml:space="preserve">, </w:t>
      </w:r>
      <w:r w:rsidRPr="00AA1126">
        <w:rPr>
          <w:rFonts w:eastAsia="Angsana New"/>
        </w:rPr>
        <w:t>University of Otago</w:t>
      </w:r>
    </w:p>
    <w:p w14:paraId="7EEAA0D9" w14:textId="4F2C0CF1" w:rsidR="007951F0" w:rsidRPr="00AA1126" w:rsidRDefault="007951F0" w:rsidP="000342BA">
      <w:pPr>
        <w:pStyle w:val="ListBullet"/>
        <w:rPr>
          <w:rFonts w:eastAsia="Angsana New"/>
        </w:rPr>
      </w:pPr>
      <w:r w:rsidRPr="00AA1126">
        <w:rPr>
          <w:rFonts w:eastAsia="Angsana New"/>
        </w:rPr>
        <w:t>Echo Haronga, barrister</w:t>
      </w:r>
    </w:p>
    <w:p w14:paraId="1FC22140" w14:textId="6389A823" w:rsidR="005909BC" w:rsidRPr="00633ACE" w:rsidRDefault="000370A7" w:rsidP="000342BA">
      <w:pPr>
        <w:pStyle w:val="ListBullet"/>
        <w:rPr>
          <w:rFonts w:eastAsia="Angsana New"/>
        </w:rPr>
      </w:pPr>
      <w:r w:rsidRPr="00633ACE">
        <w:rPr>
          <w:rFonts w:eastAsia="Angsana New"/>
        </w:rPr>
        <w:t xml:space="preserve">Adjunct Professor </w:t>
      </w:r>
      <w:r w:rsidR="005909BC" w:rsidRPr="00633ACE">
        <w:rPr>
          <w:rFonts w:eastAsia="Angsana New"/>
        </w:rPr>
        <w:t>Elisabeth McDonald</w:t>
      </w:r>
      <w:r w:rsidR="00B0708A" w:rsidRPr="00633ACE">
        <w:rPr>
          <w:rFonts w:eastAsia="Angsana New"/>
        </w:rPr>
        <w:t xml:space="preserve"> MNZM, University of Canterbury</w:t>
      </w:r>
    </w:p>
    <w:p w14:paraId="7F806570" w14:textId="29CBF5F4" w:rsidR="007951F0" w:rsidRPr="00633ACE" w:rsidRDefault="007951F0" w:rsidP="000342BA">
      <w:pPr>
        <w:pStyle w:val="ListBullet"/>
        <w:rPr>
          <w:rFonts w:eastAsia="Angsana New"/>
        </w:rPr>
      </w:pPr>
      <w:r w:rsidRPr="00633ACE">
        <w:rPr>
          <w:rFonts w:eastAsia="Angsana New"/>
        </w:rPr>
        <w:t>Jack Oliver-Hood, barrister</w:t>
      </w:r>
    </w:p>
    <w:p w14:paraId="34E35327" w14:textId="433AA196" w:rsidR="00664432" w:rsidRDefault="00664432" w:rsidP="007951F0">
      <w:pPr>
        <w:pStyle w:val="ListBullet"/>
        <w:rPr>
          <w:rFonts w:eastAsia="Angsana New"/>
        </w:rPr>
      </w:pPr>
      <w:r>
        <w:rPr>
          <w:rFonts w:eastAsia="Angsana New"/>
        </w:rPr>
        <w:t>Mark Lillico, Crown Law Office</w:t>
      </w:r>
    </w:p>
    <w:p w14:paraId="04743B57" w14:textId="03D24665" w:rsidR="007951F0" w:rsidRPr="00633ACE" w:rsidRDefault="007951F0" w:rsidP="007951F0">
      <w:pPr>
        <w:pStyle w:val="ListBullet"/>
        <w:rPr>
          <w:rFonts w:eastAsia="Angsana New"/>
        </w:rPr>
      </w:pPr>
      <w:r w:rsidRPr="00633ACE">
        <w:rPr>
          <w:rFonts w:eastAsia="Angsana New"/>
        </w:rPr>
        <w:t>Associate Professor Scott Optican</w:t>
      </w:r>
      <w:r w:rsidR="00633ACE">
        <w:rPr>
          <w:rFonts w:eastAsia="Angsana New"/>
        </w:rPr>
        <w:t>, University of Auckland</w:t>
      </w:r>
    </w:p>
    <w:p w14:paraId="1E629C8F" w14:textId="478E5FEA" w:rsidR="007951F0" w:rsidRPr="00633ACE" w:rsidRDefault="007951F0" w:rsidP="000342BA">
      <w:pPr>
        <w:pStyle w:val="ListBullet"/>
        <w:rPr>
          <w:rFonts w:eastAsia="Angsana New"/>
        </w:rPr>
      </w:pPr>
      <w:r w:rsidRPr="00633ACE">
        <w:rPr>
          <w:rFonts w:eastAsia="Angsana New"/>
        </w:rPr>
        <w:t>Tania Singh, Public Defence Service</w:t>
      </w:r>
    </w:p>
    <w:p w14:paraId="324979F5" w14:textId="63FAFF96" w:rsidR="002E0FC1" w:rsidRPr="002E0FC1" w:rsidRDefault="002E0FC1" w:rsidP="00993B5F">
      <w:pPr>
        <w:pStyle w:val="BodyTextnonum"/>
        <w:tabs>
          <w:tab w:val="clear" w:pos="709"/>
        </w:tabs>
        <w:ind w:left="0"/>
      </w:pPr>
      <w:r>
        <w:rPr>
          <w:rFonts w:eastAsia="Angsana New"/>
        </w:rPr>
        <w:t xml:space="preserve">The members of the </w:t>
      </w:r>
      <w:r w:rsidR="00B714B3">
        <w:rPr>
          <w:rFonts w:eastAsia="Angsana New"/>
        </w:rPr>
        <w:t>J</w:t>
      </w:r>
      <w:r>
        <w:rPr>
          <w:rFonts w:eastAsia="Angsana New"/>
        </w:rPr>
        <w:t xml:space="preserve">udicial </w:t>
      </w:r>
      <w:r w:rsidR="00B714B3">
        <w:rPr>
          <w:rFonts w:eastAsia="Angsana New"/>
        </w:rPr>
        <w:t>A</w:t>
      </w:r>
      <w:r>
        <w:rPr>
          <w:rFonts w:eastAsia="Angsana New"/>
        </w:rPr>
        <w:t xml:space="preserve">dvisory </w:t>
      </w:r>
      <w:r w:rsidR="00B714B3">
        <w:rPr>
          <w:rFonts w:eastAsia="Angsana New"/>
        </w:rPr>
        <w:t>C</w:t>
      </w:r>
      <w:r>
        <w:rPr>
          <w:rFonts w:eastAsia="Angsana New"/>
        </w:rPr>
        <w:t>ommittee are:</w:t>
      </w:r>
    </w:p>
    <w:p w14:paraId="5585A451" w14:textId="1CDAA81D" w:rsidR="002E0FC1" w:rsidRPr="005909BC" w:rsidRDefault="002E0FC1" w:rsidP="002E0FC1">
      <w:pPr>
        <w:pStyle w:val="ListBullet"/>
        <w:rPr>
          <w:rFonts w:eastAsia="Angsana New"/>
        </w:rPr>
      </w:pPr>
      <w:r w:rsidRPr="005909BC">
        <w:rPr>
          <w:rFonts w:eastAsia="Angsana New"/>
        </w:rPr>
        <w:t>The Hon Justice Christine French</w:t>
      </w:r>
    </w:p>
    <w:p w14:paraId="69AA9B7F" w14:textId="39EF0ECF" w:rsidR="002E0FC1" w:rsidRPr="005909BC" w:rsidRDefault="002E0FC1" w:rsidP="002E0FC1">
      <w:pPr>
        <w:pStyle w:val="ListBullet"/>
        <w:rPr>
          <w:rFonts w:eastAsia="Angsana New"/>
        </w:rPr>
      </w:pPr>
      <w:r w:rsidRPr="005909BC">
        <w:rPr>
          <w:rFonts w:eastAsia="Angsana New"/>
        </w:rPr>
        <w:t>The Hon Justice Matthew Downs</w:t>
      </w:r>
    </w:p>
    <w:p w14:paraId="65B399BF" w14:textId="75F42C61" w:rsidR="002E0FC1" w:rsidRPr="005909BC" w:rsidRDefault="002E0FC1" w:rsidP="002E0FC1">
      <w:pPr>
        <w:pStyle w:val="ListBullet"/>
        <w:rPr>
          <w:rFonts w:eastAsia="Angsana New"/>
        </w:rPr>
      </w:pPr>
      <w:r w:rsidRPr="005909BC">
        <w:rPr>
          <w:rFonts w:eastAsia="Angsana New"/>
        </w:rPr>
        <w:t>Judge Stephen Harrop</w:t>
      </w:r>
    </w:p>
    <w:p w14:paraId="73C3FD53" w14:textId="45866324" w:rsidR="000342BA" w:rsidRPr="00824A41" w:rsidRDefault="000342BA" w:rsidP="00993B5F">
      <w:pPr>
        <w:pStyle w:val="BodyTextnonum"/>
        <w:tabs>
          <w:tab w:val="clear" w:pos="709"/>
        </w:tabs>
        <w:ind w:left="0"/>
      </w:pPr>
      <w:r w:rsidRPr="00824A41">
        <w:rPr>
          <w:rFonts w:eastAsia="Angsana New"/>
        </w:rPr>
        <w:t xml:space="preserve">We are also </w:t>
      </w:r>
      <w:r w:rsidRPr="00824A41">
        <w:t>grateful for the support and guidance of the Māori Liaison Committee to Te Aka Matua o te Ture | Law Commission.</w:t>
      </w:r>
    </w:p>
    <w:p w14:paraId="136F0C23" w14:textId="314B170A" w:rsidR="000342BA" w:rsidRDefault="000342BA" w:rsidP="00993B5F">
      <w:pPr>
        <w:pStyle w:val="BodyTextnonum"/>
        <w:tabs>
          <w:tab w:val="clear" w:pos="709"/>
        </w:tabs>
        <w:ind w:left="0"/>
      </w:pPr>
      <w:r w:rsidRPr="000B37D8">
        <w:t xml:space="preserve">We emphasise nevertheless that the views expressed in this </w:t>
      </w:r>
      <w:r w:rsidR="00356881">
        <w:t>Issues P</w:t>
      </w:r>
      <w:r w:rsidR="00AE573A">
        <w:t xml:space="preserve">aper </w:t>
      </w:r>
      <w:r w:rsidRPr="000B37D8">
        <w:t>are those of the Commission and not necessarily those of the people who have helped us.</w:t>
      </w:r>
    </w:p>
    <w:p w14:paraId="2631522A" w14:textId="73AE0A7E" w:rsidR="000342BA" w:rsidRPr="000B37D8" w:rsidRDefault="000342BA" w:rsidP="00993B5F">
      <w:pPr>
        <w:pStyle w:val="BodyTextnonum"/>
        <w:tabs>
          <w:tab w:val="clear" w:pos="709"/>
        </w:tabs>
        <w:ind w:left="0"/>
      </w:pPr>
      <w:r w:rsidRPr="000B37D8">
        <w:t>Nō reira, ko tēnei mātou e mihi nei ki a koutou, kua whai wā ki te āwhina i a mātou. Tēnā koutou, tēnā koutou, tēnā koutou katoa.</w:t>
      </w:r>
    </w:p>
    <w:p w14:paraId="4D29D89E" w14:textId="2927BFAD" w:rsidR="000342BA" w:rsidRPr="00AE12B6" w:rsidRDefault="000342BA" w:rsidP="00993B5F">
      <w:pPr>
        <w:pStyle w:val="BodyTextnonum"/>
        <w:tabs>
          <w:tab w:val="clear" w:pos="709"/>
        </w:tabs>
        <w:ind w:left="0"/>
        <w:rPr>
          <w:rFonts w:eastAsia="Angsana New"/>
        </w:rPr>
      </w:pPr>
      <w:r w:rsidRPr="00AE12B6">
        <w:t xml:space="preserve">The Commissioner responsible for this project is </w:t>
      </w:r>
      <w:r w:rsidR="000B37D8" w:rsidRPr="00AE12B6">
        <w:t>Amokura Kawharu</w:t>
      </w:r>
      <w:r w:rsidRPr="00AE12B6">
        <w:t xml:space="preserve">. </w:t>
      </w:r>
      <w:r w:rsidR="00AA5314">
        <w:t xml:space="preserve">The preparation of this Issues Paper has been led by Principal Legal and Policy Adviser Nichola Lambie. </w:t>
      </w:r>
      <w:r w:rsidRPr="00AE12B6">
        <w:t xml:space="preserve">The legal and policy advisers who have worked on this </w:t>
      </w:r>
      <w:r w:rsidR="00875BC2">
        <w:t>Issues P</w:t>
      </w:r>
      <w:r w:rsidR="008B0DA5">
        <w:t>aper</w:t>
      </w:r>
      <w:r w:rsidRPr="00AE12B6">
        <w:t xml:space="preserve"> are </w:t>
      </w:r>
      <w:r w:rsidR="00D27C48" w:rsidRPr="00AE12B6">
        <w:t xml:space="preserve">Dena Valente, Jesse Watts and </w:t>
      </w:r>
      <w:r w:rsidR="00AE12B6" w:rsidRPr="00AE12B6">
        <w:t>Ruth Campbell</w:t>
      </w:r>
      <w:r w:rsidRPr="00AE12B6">
        <w:t xml:space="preserve">. The law clerks who have worked on this Issues Paper are </w:t>
      </w:r>
      <w:r w:rsidR="00D27C48" w:rsidRPr="00AE12B6">
        <w:t>Kaea Hudson and Sophie Colson</w:t>
      </w:r>
      <w:r w:rsidRPr="00AE12B6">
        <w:t>.</w:t>
      </w:r>
    </w:p>
    <w:p w14:paraId="4FE3799B" w14:textId="77777777" w:rsidR="00FA7EC5" w:rsidRPr="00192B14" w:rsidRDefault="00FA7EC5">
      <w:pPr>
        <w:widowControl w:val="0"/>
        <w:spacing w:after="200" w:line="276" w:lineRule="auto"/>
        <w:rPr>
          <w:sz w:val="36"/>
          <w:szCs w:val="38"/>
        </w:rPr>
      </w:pPr>
    </w:p>
    <w:p w14:paraId="43A3D4D9" w14:textId="64BD2252" w:rsidR="000F3727" w:rsidRDefault="00FA7EC5">
      <w:pPr>
        <w:widowControl w:val="0"/>
        <w:spacing w:after="200" w:line="276" w:lineRule="auto"/>
        <w:rPr>
          <w:rFonts w:eastAsia="Times New Roman" w:cs="Times New Roman"/>
          <w:color w:val="000000" w:themeColor="text1"/>
          <w:szCs w:val="24"/>
          <w:lang w:eastAsia="en-AU"/>
        </w:rPr>
      </w:pPr>
      <w:r w:rsidRPr="00D37FCE">
        <w:rPr>
          <w:noProof/>
          <w:lang w:eastAsia="en-NZ"/>
        </w:rPr>
        <mc:AlternateContent>
          <mc:Choice Requires="wpg">
            <w:drawing>
              <wp:anchor distT="0" distB="0" distL="114300" distR="114300" simplePos="0" relativeHeight="251658371" behindDoc="1" locked="0" layoutInCell="1" allowOverlap="1" wp14:anchorId="46DA9D06" wp14:editId="4BC6C4F9">
                <wp:simplePos x="0" y="0"/>
                <wp:positionH relativeFrom="page">
                  <wp:posOffset>1080135</wp:posOffset>
                </wp:positionH>
                <wp:positionV relativeFrom="paragraph">
                  <wp:posOffset>18415</wp:posOffset>
                </wp:positionV>
                <wp:extent cx="1332230" cy="1270"/>
                <wp:effectExtent l="0" t="19050" r="20320" b="17780"/>
                <wp:wrapNone/>
                <wp:docPr id="501122544" name="Group 50112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44592562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59B2E" id="Group 501122544" o:spid="_x0000_s1026" style="position:absolute;margin-left:85.05pt;margin-top:1.45pt;width:104.9pt;height:.1pt;z-index:-25165810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r w:rsidR="000F3727">
        <w:br w:type="page"/>
      </w:r>
    </w:p>
    <w:p w14:paraId="5F3DFFFE" w14:textId="77777777" w:rsidR="00A1418A" w:rsidRPr="00A1418A" w:rsidRDefault="00A1418A" w:rsidP="00A1418A">
      <w:pPr>
        <w:pStyle w:val="BodyTextnonum"/>
        <w:tabs>
          <w:tab w:val="clear" w:pos="709"/>
        </w:tabs>
        <w:ind w:left="0"/>
      </w:pPr>
    </w:p>
    <w:p w14:paraId="5C55BF83" w14:textId="77777777" w:rsidR="00A1418A" w:rsidRPr="00A1418A" w:rsidRDefault="00A1418A" w:rsidP="00A1418A">
      <w:pPr>
        <w:pStyle w:val="BodyTextnonum"/>
        <w:tabs>
          <w:tab w:val="clear" w:pos="709"/>
        </w:tabs>
        <w:ind w:left="0"/>
      </w:pPr>
    </w:p>
    <w:p w14:paraId="18761D22" w14:textId="77777777" w:rsidR="00A1418A" w:rsidRPr="00A1418A" w:rsidRDefault="00A1418A" w:rsidP="00A1418A">
      <w:pPr>
        <w:pStyle w:val="BodyTextnonum"/>
        <w:tabs>
          <w:tab w:val="clear" w:pos="709"/>
        </w:tabs>
        <w:ind w:left="0"/>
      </w:pPr>
    </w:p>
    <w:p w14:paraId="21A00708" w14:textId="77777777" w:rsidR="00A1418A" w:rsidRPr="00A1418A" w:rsidRDefault="00A1418A" w:rsidP="00A1418A">
      <w:pPr>
        <w:pStyle w:val="BodyTextnonum"/>
        <w:tabs>
          <w:tab w:val="clear" w:pos="709"/>
        </w:tabs>
        <w:ind w:left="0"/>
      </w:pPr>
    </w:p>
    <w:p w14:paraId="47E82290" w14:textId="77777777" w:rsidR="00A1418A" w:rsidRPr="00A1418A" w:rsidRDefault="00A1418A" w:rsidP="00A1418A">
      <w:pPr>
        <w:pStyle w:val="BodyTextnonum"/>
        <w:tabs>
          <w:tab w:val="clear" w:pos="709"/>
        </w:tabs>
        <w:ind w:left="0"/>
      </w:pPr>
    </w:p>
    <w:p w14:paraId="2A0F6D56" w14:textId="77777777" w:rsidR="00D207CA" w:rsidRPr="00725576" w:rsidRDefault="00D207CA" w:rsidP="00725576">
      <w:pPr>
        <w:pStyle w:val="BodyTextnonum"/>
        <w:tabs>
          <w:tab w:val="clear" w:pos="709"/>
        </w:tabs>
        <w:ind w:left="0"/>
      </w:pPr>
    </w:p>
    <w:p w14:paraId="4D9E64EA" w14:textId="77777777" w:rsidR="00725576" w:rsidRPr="00725576" w:rsidRDefault="00725576" w:rsidP="00725576">
      <w:pPr>
        <w:pStyle w:val="BodyTextnonum"/>
        <w:tabs>
          <w:tab w:val="clear" w:pos="709"/>
        </w:tabs>
        <w:ind w:left="0"/>
      </w:pPr>
    </w:p>
    <w:p w14:paraId="59D523F5" w14:textId="77777777" w:rsidR="00725576" w:rsidRPr="00725576" w:rsidRDefault="00725576" w:rsidP="00725576">
      <w:pPr>
        <w:pStyle w:val="BodyTextnonum"/>
        <w:tabs>
          <w:tab w:val="clear" w:pos="709"/>
        </w:tabs>
        <w:ind w:left="0"/>
      </w:pPr>
    </w:p>
    <w:p w14:paraId="23AEEF43" w14:textId="77777777" w:rsidR="00725576" w:rsidRPr="00725576" w:rsidRDefault="00725576" w:rsidP="00725576">
      <w:pPr>
        <w:pStyle w:val="BodyTextnonum"/>
        <w:tabs>
          <w:tab w:val="clear" w:pos="709"/>
        </w:tabs>
        <w:ind w:left="0"/>
      </w:pPr>
    </w:p>
    <w:p w14:paraId="7F023858" w14:textId="77777777" w:rsidR="00D207CA" w:rsidRPr="00725576" w:rsidRDefault="00D207CA" w:rsidP="00725576">
      <w:pPr>
        <w:pStyle w:val="BodyTextnonum"/>
        <w:tabs>
          <w:tab w:val="clear" w:pos="709"/>
        </w:tabs>
        <w:ind w:left="0"/>
      </w:pPr>
    </w:p>
    <w:p w14:paraId="7B5F6B35" w14:textId="77777777" w:rsidR="00D207CA" w:rsidRPr="00725576" w:rsidRDefault="00D207CA" w:rsidP="00725576">
      <w:pPr>
        <w:pStyle w:val="BodyTextnonum"/>
        <w:tabs>
          <w:tab w:val="clear" w:pos="709"/>
        </w:tabs>
        <w:ind w:left="0"/>
      </w:pPr>
    </w:p>
    <w:p w14:paraId="31AF12BC" w14:textId="77777777" w:rsidR="00D207CA" w:rsidRPr="00725576" w:rsidRDefault="00D207CA" w:rsidP="00725576">
      <w:pPr>
        <w:pStyle w:val="BodyTextnonum"/>
        <w:tabs>
          <w:tab w:val="clear" w:pos="709"/>
        </w:tabs>
        <w:ind w:left="0"/>
      </w:pPr>
    </w:p>
    <w:p w14:paraId="5769A178" w14:textId="16A0CB97" w:rsidR="000F3727" w:rsidRDefault="000F3727" w:rsidP="00A1418A">
      <w:pPr>
        <w:pStyle w:val="Heading2"/>
        <w:rPr>
          <w:rFonts w:eastAsia="Angsana New"/>
        </w:rPr>
      </w:pPr>
      <w:bookmarkStart w:id="26" w:name="_Toc132292431"/>
      <w:bookmarkStart w:id="27" w:name="_Toc132962535"/>
      <w:r>
        <w:rPr>
          <w:rFonts w:eastAsia="Angsana New"/>
        </w:rPr>
        <w:t>He aituā</w:t>
      </w:r>
      <w:bookmarkEnd w:id="26"/>
      <w:bookmarkEnd w:id="27"/>
    </w:p>
    <w:bookmarkStart w:id="28" w:name="_Toc76377127"/>
    <w:bookmarkStart w:id="29" w:name="_Toc76453455"/>
    <w:bookmarkStart w:id="30" w:name="_Toc77346355"/>
    <w:bookmarkStart w:id="31" w:name="_Toc77696561"/>
    <w:bookmarkStart w:id="32" w:name="_Toc77852837"/>
    <w:bookmarkStart w:id="33" w:name="_Toc77857366"/>
    <w:bookmarkStart w:id="34" w:name="_Toc77858378"/>
    <w:p w14:paraId="1D3FE190" w14:textId="454F4617" w:rsidR="00D207CA" w:rsidRPr="00E95BAF" w:rsidRDefault="004315E3" w:rsidP="00D207CA">
      <w:pPr>
        <w:pStyle w:val="BodyTextnonum"/>
        <w:tabs>
          <w:tab w:val="clear" w:pos="709"/>
        </w:tabs>
        <w:ind w:left="0"/>
      </w:pPr>
      <w:r w:rsidRPr="00D37FCE">
        <w:rPr>
          <w:noProof/>
          <w:lang w:eastAsia="en-NZ"/>
        </w:rPr>
        <mc:AlternateContent>
          <mc:Choice Requires="wpg">
            <w:drawing>
              <wp:anchor distT="0" distB="0" distL="114300" distR="114300" simplePos="0" relativeHeight="251658267" behindDoc="1" locked="0" layoutInCell="1" allowOverlap="1" wp14:anchorId="1CEC434B" wp14:editId="1B145C6B">
                <wp:simplePos x="0" y="0"/>
                <wp:positionH relativeFrom="page">
                  <wp:posOffset>1070610</wp:posOffset>
                </wp:positionH>
                <wp:positionV relativeFrom="paragraph">
                  <wp:posOffset>1209675</wp:posOffset>
                </wp:positionV>
                <wp:extent cx="1332230" cy="1270"/>
                <wp:effectExtent l="0" t="19050" r="20320" b="1778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C6320" id="Group 4" o:spid="_x0000_s1026" style="position:absolute;margin-left:84.3pt;margin-top:95.25pt;width:104.9pt;height:.1pt;z-index:-25165821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r w:rsidR="00D207CA">
        <w:t>The Commission</w:t>
      </w:r>
      <w:r w:rsidR="00D207CA" w:rsidRPr="00E95BAF">
        <w:t xml:space="preserve"> acknowledge</w:t>
      </w:r>
      <w:r w:rsidR="00D207CA">
        <w:t>s</w:t>
      </w:r>
      <w:r w:rsidR="00D207CA" w:rsidRPr="00E95BAF">
        <w:t xml:space="preserve"> the passing of </w:t>
      </w:r>
      <w:r w:rsidR="00D207CA">
        <w:t xml:space="preserve">Justice Simon France in </w:t>
      </w:r>
      <w:r>
        <w:t xml:space="preserve">April </w:t>
      </w:r>
      <w:r w:rsidR="00D207CA">
        <w:t xml:space="preserve">2023. Justice France made significant contributions to the law of evidence in Aotearoa New Zealand. We also acknowledge the passing of </w:t>
      </w:r>
      <w:r w:rsidR="00D207CA" w:rsidRPr="00E95BAF">
        <w:t xml:space="preserve">Andrew Beck in 2022 and his contribution to this review as well as his wider contributions to the law of Aotearoa New Zealand. </w:t>
      </w:r>
    </w:p>
    <w:p w14:paraId="3F937A20" w14:textId="0A4D1B96" w:rsidR="002D788B" w:rsidRDefault="002D788B" w:rsidP="0062125E">
      <w:pPr>
        <w:rPr>
          <w:rFonts w:eastAsia="Times New Roman Mäori"/>
          <w:color w:val="72AB6A"/>
          <w:spacing w:val="-19"/>
          <w:szCs w:val="66"/>
        </w:rPr>
        <w:sectPr w:rsidR="002D788B" w:rsidSect="002511E2">
          <w:headerReference w:type="even" r:id="rId27"/>
          <w:headerReference w:type="default" r:id="rId28"/>
          <w:footnotePr>
            <w:numRestart w:val="eachSect"/>
          </w:footnotePr>
          <w:type w:val="continuous"/>
          <w:pgSz w:w="11907" w:h="16840" w:code="9"/>
          <w:pgMar w:top="1134" w:right="1134" w:bottom="1134" w:left="1701" w:header="720" w:footer="720" w:gutter="0"/>
          <w:pgNumType w:fmt="lowerRoman"/>
          <w:cols w:space="720"/>
          <w:docGrid w:linePitch="272"/>
        </w:sectPr>
      </w:pPr>
      <w:bookmarkStart w:id="35" w:name="_Toc57815046"/>
      <w:bookmarkStart w:id="36" w:name="_Toc66105736"/>
      <w:bookmarkStart w:id="37" w:name="_Toc66116295"/>
      <w:bookmarkEnd w:id="28"/>
      <w:bookmarkEnd w:id="29"/>
      <w:bookmarkEnd w:id="30"/>
      <w:bookmarkEnd w:id="31"/>
      <w:bookmarkEnd w:id="32"/>
      <w:bookmarkEnd w:id="33"/>
      <w:bookmarkEnd w:id="34"/>
    </w:p>
    <w:bookmarkStart w:id="38" w:name="_Toc531954812"/>
    <w:bookmarkStart w:id="39" w:name="_Toc57815049"/>
    <w:bookmarkStart w:id="40" w:name="_Toc66116298"/>
    <w:bookmarkStart w:id="41" w:name="_Toc67055486"/>
    <w:bookmarkStart w:id="42" w:name="_Toc68863166"/>
    <w:bookmarkStart w:id="43" w:name="_Toc69283942"/>
    <w:bookmarkStart w:id="44" w:name="_Toc113621557"/>
    <w:bookmarkStart w:id="45" w:name="_Toc127978617"/>
    <w:bookmarkStart w:id="46" w:name="_Toc131002020"/>
    <w:bookmarkStart w:id="47" w:name="_Toc131003036"/>
    <w:bookmarkStart w:id="48" w:name="_Toc132292432"/>
    <w:bookmarkStart w:id="49" w:name="_Toc132962536"/>
    <w:bookmarkEnd w:id="35"/>
    <w:bookmarkEnd w:id="36"/>
    <w:bookmarkEnd w:id="37"/>
    <w:p w14:paraId="119B243F" w14:textId="77777777" w:rsidR="00870E17" w:rsidRPr="00D37FCE" w:rsidRDefault="00241B1A" w:rsidP="00241B1A">
      <w:pPr>
        <w:pStyle w:val="Heading1nonum"/>
        <w:spacing w:before="600" w:after="240"/>
        <w:ind w:left="0"/>
        <w:rPr>
          <w:rFonts w:eastAsia="Consolas"/>
        </w:rPr>
      </w:pPr>
      <w:r w:rsidRPr="00D37FCE">
        <w:rPr>
          <w:rFonts w:asciiTheme="minorHAnsi" w:hAnsiTheme="minorHAnsi"/>
          <w:noProof/>
          <w:lang w:eastAsia="en-NZ"/>
        </w:rPr>
        <w:lastRenderedPageBreak/>
        <mc:AlternateContent>
          <mc:Choice Requires="wpg">
            <w:drawing>
              <wp:anchor distT="0" distB="0" distL="114300" distR="114300" simplePos="0" relativeHeight="251658253" behindDoc="1" locked="0" layoutInCell="1" allowOverlap="1" wp14:anchorId="4E7FABF7" wp14:editId="24C2F715">
                <wp:simplePos x="0" y="0"/>
                <wp:positionH relativeFrom="page">
                  <wp:posOffset>1108710</wp:posOffset>
                </wp:positionH>
                <wp:positionV relativeFrom="paragraph">
                  <wp:posOffset>951865</wp:posOffset>
                </wp:positionV>
                <wp:extent cx="1332230" cy="1270"/>
                <wp:effectExtent l="0" t="19050" r="20320" b="177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C2458" id="Group 27" o:spid="_x0000_s1026" style="position:absolute;margin-left:87.3pt;margin-top:74.95pt;width:104.9pt;height:.1pt;z-index:-25165822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r w:rsidR="00870E17" w:rsidRPr="00D37FCE">
        <w:rPr>
          <w:rFonts w:eastAsia="Consolas"/>
        </w:rPr>
        <w:t>Contents</w:t>
      </w:r>
      <w:bookmarkEnd w:id="38"/>
      <w:bookmarkEnd w:id="39"/>
      <w:bookmarkEnd w:id="40"/>
      <w:bookmarkEnd w:id="41"/>
      <w:bookmarkEnd w:id="42"/>
      <w:bookmarkEnd w:id="43"/>
      <w:bookmarkEnd w:id="44"/>
      <w:bookmarkEnd w:id="45"/>
      <w:bookmarkEnd w:id="46"/>
      <w:bookmarkEnd w:id="47"/>
      <w:bookmarkEnd w:id="48"/>
      <w:bookmarkEnd w:id="49"/>
    </w:p>
    <w:p w14:paraId="07CA4D7F" w14:textId="77777777" w:rsidR="00241B1A" w:rsidRPr="00D37FCE" w:rsidRDefault="00241B1A">
      <w:pPr>
        <w:pStyle w:val="TOC1"/>
        <w:rPr>
          <w:b w:val="0"/>
          <w:color w:val="auto"/>
          <w:sz w:val="24"/>
          <w:lang w:eastAsia="en-NZ"/>
        </w:rPr>
      </w:pPr>
    </w:p>
    <w:p w14:paraId="024FFE2F" w14:textId="178A6A4F" w:rsidR="00DD53AD" w:rsidRDefault="00B06235">
      <w:pPr>
        <w:pStyle w:val="TOC1"/>
        <w:rPr>
          <w:rFonts w:eastAsiaTheme="minorEastAsia"/>
          <w:b w:val="0"/>
          <w:noProof/>
          <w:color w:val="auto"/>
          <w:lang w:eastAsia="en-NZ"/>
        </w:rPr>
      </w:pPr>
      <w:r>
        <w:rPr>
          <w:b w:val="0"/>
          <w:color w:val="auto"/>
          <w:sz w:val="24"/>
          <w:lang w:eastAsia="en-NZ"/>
        </w:rPr>
        <w:fldChar w:fldCharType="begin"/>
      </w:r>
      <w:r>
        <w:rPr>
          <w:b w:val="0"/>
          <w:color w:val="auto"/>
          <w:sz w:val="24"/>
          <w:lang w:eastAsia="en-NZ"/>
        </w:rPr>
        <w:instrText xml:space="preserve"> TOC \o "1-2" \h \z \u </w:instrText>
      </w:r>
      <w:r>
        <w:rPr>
          <w:b w:val="0"/>
          <w:color w:val="auto"/>
          <w:sz w:val="24"/>
          <w:lang w:eastAsia="en-NZ"/>
        </w:rPr>
        <w:fldChar w:fldCharType="separate"/>
      </w:r>
      <w:hyperlink w:anchor="_Toc132962531" w:history="1">
        <w:r w:rsidR="00EB41ED">
          <w:rPr>
            <w:rStyle w:val="Hyperlink"/>
            <w:rFonts w:eastAsia="Times New Roman Mäori"/>
            <w:noProof/>
          </w:rPr>
          <w:t>H</w:t>
        </w:r>
        <w:r w:rsidR="00EB41ED" w:rsidRPr="007A0CA6">
          <w:rPr>
            <w:rStyle w:val="Hyperlink"/>
            <w:rFonts w:eastAsia="Times New Roman Mäori"/>
            <w:noProof/>
          </w:rPr>
          <w:t>ave your say</w:t>
        </w:r>
        <w:r w:rsidR="00A66991">
          <w:rPr>
            <w:noProof/>
            <w:webHidden/>
          </w:rPr>
          <w:tab/>
        </w:r>
        <w:r w:rsidR="00DD53AD">
          <w:rPr>
            <w:noProof/>
            <w:webHidden/>
          </w:rPr>
          <w:fldChar w:fldCharType="begin"/>
        </w:r>
        <w:r w:rsidR="00DD53AD">
          <w:rPr>
            <w:noProof/>
            <w:webHidden/>
          </w:rPr>
          <w:instrText xml:space="preserve"> PAGEREF _Toc132962531 \h </w:instrText>
        </w:r>
        <w:r w:rsidR="00DD53AD">
          <w:rPr>
            <w:noProof/>
            <w:webHidden/>
          </w:rPr>
        </w:r>
        <w:r w:rsidR="00DD53AD">
          <w:rPr>
            <w:noProof/>
            <w:webHidden/>
          </w:rPr>
          <w:fldChar w:fldCharType="separate"/>
        </w:r>
        <w:r w:rsidR="007F6D96">
          <w:rPr>
            <w:noProof/>
            <w:webHidden/>
          </w:rPr>
          <w:t>iii</w:t>
        </w:r>
        <w:r w:rsidR="00DD53AD">
          <w:rPr>
            <w:noProof/>
            <w:webHidden/>
          </w:rPr>
          <w:fldChar w:fldCharType="end"/>
        </w:r>
      </w:hyperlink>
    </w:p>
    <w:p w14:paraId="1FC898E9" w14:textId="217B4760" w:rsidR="00DD53AD" w:rsidRDefault="00117DA1">
      <w:pPr>
        <w:pStyle w:val="TOC1"/>
        <w:rPr>
          <w:rFonts w:eastAsiaTheme="minorEastAsia"/>
          <w:b w:val="0"/>
          <w:noProof/>
          <w:color w:val="auto"/>
          <w:lang w:eastAsia="en-NZ"/>
        </w:rPr>
      </w:pPr>
      <w:hyperlink w:anchor="_Toc132962534" w:history="1">
        <w:r w:rsidR="00A66991" w:rsidRPr="007A0CA6">
          <w:rPr>
            <w:rStyle w:val="Hyperlink"/>
            <w:rFonts w:eastAsia="Times New Roman Mäori"/>
            <w:noProof/>
          </w:rPr>
          <w:t>A</w:t>
        </w:r>
        <w:r w:rsidR="00EB41ED" w:rsidRPr="007A0CA6">
          <w:rPr>
            <w:rStyle w:val="Hyperlink"/>
            <w:rFonts w:eastAsia="Times New Roman Mäori"/>
            <w:noProof/>
          </w:rPr>
          <w:t>cknowledgements</w:t>
        </w:r>
        <w:r w:rsidR="00A66991">
          <w:rPr>
            <w:noProof/>
            <w:webHidden/>
          </w:rPr>
          <w:tab/>
        </w:r>
        <w:r w:rsidR="00DD53AD">
          <w:rPr>
            <w:noProof/>
            <w:webHidden/>
          </w:rPr>
          <w:fldChar w:fldCharType="begin"/>
        </w:r>
        <w:r w:rsidR="00DD53AD">
          <w:rPr>
            <w:noProof/>
            <w:webHidden/>
          </w:rPr>
          <w:instrText xml:space="preserve"> PAGEREF _Toc132962534 \h </w:instrText>
        </w:r>
        <w:r w:rsidR="00DD53AD">
          <w:rPr>
            <w:noProof/>
            <w:webHidden/>
          </w:rPr>
        </w:r>
        <w:r w:rsidR="00DD53AD">
          <w:rPr>
            <w:noProof/>
            <w:webHidden/>
          </w:rPr>
          <w:fldChar w:fldCharType="separate"/>
        </w:r>
        <w:r w:rsidR="007F6D96">
          <w:rPr>
            <w:noProof/>
            <w:webHidden/>
          </w:rPr>
          <w:t>v</w:t>
        </w:r>
        <w:r w:rsidR="00DD53AD">
          <w:rPr>
            <w:noProof/>
            <w:webHidden/>
          </w:rPr>
          <w:fldChar w:fldCharType="end"/>
        </w:r>
      </w:hyperlink>
    </w:p>
    <w:p w14:paraId="6F596321" w14:textId="5AA9077B" w:rsidR="00DD53AD" w:rsidRDefault="00117DA1">
      <w:pPr>
        <w:pStyle w:val="TOC1"/>
        <w:rPr>
          <w:rFonts w:eastAsiaTheme="minorEastAsia"/>
          <w:b w:val="0"/>
          <w:noProof/>
          <w:color w:val="auto"/>
          <w:lang w:eastAsia="en-NZ"/>
        </w:rPr>
      </w:pPr>
      <w:hyperlink w:anchor="_Toc132962537" w:history="1">
        <w:r w:rsidR="00A66991">
          <w:rPr>
            <w:rStyle w:val="Hyperlink"/>
            <w:rFonts w:eastAsia="Metropolis Black"/>
            <w:noProof/>
          </w:rPr>
          <w:t>C</w:t>
        </w:r>
        <w:r w:rsidR="00EB41ED">
          <w:rPr>
            <w:rStyle w:val="Hyperlink"/>
            <w:rFonts w:eastAsia="Metropolis Black"/>
            <w:noProof/>
          </w:rPr>
          <w:t>hapter</w:t>
        </w:r>
        <w:r w:rsidR="00EE5891">
          <w:rPr>
            <w:rStyle w:val="Hyperlink"/>
            <w:rFonts w:eastAsia="Metropolis Black"/>
            <w:noProof/>
          </w:rPr>
          <w:t xml:space="preserve"> </w:t>
        </w:r>
        <w:r w:rsidR="00DD53AD" w:rsidRPr="007A0CA6">
          <w:rPr>
            <w:rStyle w:val="Hyperlink"/>
            <w:rFonts w:eastAsia="Metropolis Black"/>
            <w:noProof/>
          </w:rPr>
          <w:t>1</w:t>
        </w:r>
        <w:r w:rsidR="00EE5891">
          <w:rPr>
            <w:rStyle w:val="Hyperlink"/>
            <w:rFonts w:eastAsia="Metropolis Black"/>
            <w:noProof/>
          </w:rPr>
          <w:t>:</w:t>
        </w:r>
        <w:r w:rsidR="00DD53AD" w:rsidRPr="007A0CA6">
          <w:rPr>
            <w:rStyle w:val="Hyperlink"/>
            <w:rFonts w:eastAsia="Metropolis Black"/>
            <w:noProof/>
          </w:rPr>
          <w:t xml:space="preserve"> </w:t>
        </w:r>
        <w:r w:rsidR="00EB41ED">
          <w:rPr>
            <w:rStyle w:val="Hyperlink"/>
            <w:rFonts w:eastAsia="Metropolis Black"/>
            <w:noProof/>
          </w:rPr>
          <w:t>I</w:t>
        </w:r>
        <w:r w:rsidR="00EB41ED" w:rsidRPr="007A0CA6">
          <w:rPr>
            <w:rStyle w:val="Hyperlink"/>
            <w:rFonts w:eastAsia="Metropolis Black"/>
            <w:noProof/>
          </w:rPr>
          <w:t>ntroduction</w:t>
        </w:r>
        <w:r w:rsidR="00DD53AD">
          <w:rPr>
            <w:noProof/>
            <w:webHidden/>
          </w:rPr>
          <w:tab/>
        </w:r>
        <w:r w:rsidR="00DD53AD">
          <w:rPr>
            <w:noProof/>
            <w:webHidden/>
          </w:rPr>
          <w:fldChar w:fldCharType="begin"/>
        </w:r>
        <w:r w:rsidR="00DD53AD">
          <w:rPr>
            <w:noProof/>
            <w:webHidden/>
          </w:rPr>
          <w:instrText xml:space="preserve"> PAGEREF _Toc132962537 \h </w:instrText>
        </w:r>
        <w:r w:rsidR="00DD53AD">
          <w:rPr>
            <w:noProof/>
            <w:webHidden/>
          </w:rPr>
        </w:r>
        <w:r w:rsidR="00DD53AD">
          <w:rPr>
            <w:noProof/>
            <w:webHidden/>
          </w:rPr>
          <w:fldChar w:fldCharType="separate"/>
        </w:r>
        <w:r w:rsidR="007F6D96">
          <w:rPr>
            <w:noProof/>
            <w:webHidden/>
          </w:rPr>
          <w:t>3</w:t>
        </w:r>
        <w:r w:rsidR="00DD53AD">
          <w:rPr>
            <w:noProof/>
            <w:webHidden/>
          </w:rPr>
          <w:fldChar w:fldCharType="end"/>
        </w:r>
      </w:hyperlink>
    </w:p>
    <w:p w14:paraId="533CE5D1" w14:textId="198969A5" w:rsidR="00DD53AD" w:rsidRDefault="00117DA1" w:rsidP="00A66991">
      <w:pPr>
        <w:pStyle w:val="TOC2"/>
        <w:spacing w:after="80"/>
        <w:rPr>
          <w:rFonts w:eastAsiaTheme="minorEastAsia"/>
          <w:noProof/>
          <w:lang w:eastAsia="en-NZ"/>
        </w:rPr>
      </w:pPr>
      <w:hyperlink w:anchor="_Toc132962538" w:history="1">
        <w:r w:rsidR="00DD53AD" w:rsidRPr="007A0CA6">
          <w:rPr>
            <w:rStyle w:val="Hyperlink"/>
            <w:noProof/>
          </w:rPr>
          <w:t>Background</w:t>
        </w:r>
        <w:r w:rsidR="00DD53AD">
          <w:rPr>
            <w:noProof/>
            <w:webHidden/>
          </w:rPr>
          <w:tab/>
        </w:r>
        <w:r w:rsidR="00DD53AD">
          <w:rPr>
            <w:noProof/>
            <w:webHidden/>
          </w:rPr>
          <w:fldChar w:fldCharType="begin"/>
        </w:r>
        <w:r w:rsidR="00DD53AD">
          <w:rPr>
            <w:noProof/>
            <w:webHidden/>
          </w:rPr>
          <w:instrText xml:space="preserve"> PAGEREF _Toc132962538 \h </w:instrText>
        </w:r>
        <w:r w:rsidR="00DD53AD">
          <w:rPr>
            <w:noProof/>
            <w:webHidden/>
          </w:rPr>
        </w:r>
        <w:r w:rsidR="00DD53AD">
          <w:rPr>
            <w:noProof/>
            <w:webHidden/>
          </w:rPr>
          <w:fldChar w:fldCharType="separate"/>
        </w:r>
        <w:r w:rsidR="007F6D96">
          <w:rPr>
            <w:noProof/>
            <w:webHidden/>
          </w:rPr>
          <w:t>3</w:t>
        </w:r>
        <w:r w:rsidR="00DD53AD">
          <w:rPr>
            <w:noProof/>
            <w:webHidden/>
          </w:rPr>
          <w:fldChar w:fldCharType="end"/>
        </w:r>
      </w:hyperlink>
    </w:p>
    <w:p w14:paraId="62497471" w14:textId="65572C7B" w:rsidR="00DD53AD" w:rsidRDefault="00117DA1" w:rsidP="00A66991">
      <w:pPr>
        <w:pStyle w:val="TOC2"/>
        <w:spacing w:after="80"/>
        <w:rPr>
          <w:rFonts w:eastAsiaTheme="minorEastAsia"/>
          <w:noProof/>
          <w:lang w:eastAsia="en-NZ"/>
        </w:rPr>
      </w:pPr>
      <w:hyperlink w:anchor="_Toc132962539" w:history="1">
        <w:r w:rsidR="00DD53AD" w:rsidRPr="007A0CA6">
          <w:rPr>
            <w:rStyle w:val="Hyperlink"/>
            <w:noProof/>
          </w:rPr>
          <w:t>Scope and timing of this review</w:t>
        </w:r>
        <w:r w:rsidR="00DD53AD">
          <w:rPr>
            <w:noProof/>
            <w:webHidden/>
          </w:rPr>
          <w:tab/>
        </w:r>
        <w:r w:rsidR="00DD53AD">
          <w:rPr>
            <w:noProof/>
            <w:webHidden/>
          </w:rPr>
          <w:fldChar w:fldCharType="begin"/>
        </w:r>
        <w:r w:rsidR="00DD53AD">
          <w:rPr>
            <w:noProof/>
            <w:webHidden/>
          </w:rPr>
          <w:instrText xml:space="preserve"> PAGEREF _Toc132962539 \h </w:instrText>
        </w:r>
        <w:r w:rsidR="00DD53AD">
          <w:rPr>
            <w:noProof/>
            <w:webHidden/>
          </w:rPr>
        </w:r>
        <w:r w:rsidR="00DD53AD">
          <w:rPr>
            <w:noProof/>
            <w:webHidden/>
          </w:rPr>
          <w:fldChar w:fldCharType="separate"/>
        </w:r>
        <w:r w:rsidR="007F6D96">
          <w:rPr>
            <w:noProof/>
            <w:webHidden/>
          </w:rPr>
          <w:t>4</w:t>
        </w:r>
        <w:r w:rsidR="00DD53AD">
          <w:rPr>
            <w:noProof/>
            <w:webHidden/>
          </w:rPr>
          <w:fldChar w:fldCharType="end"/>
        </w:r>
      </w:hyperlink>
    </w:p>
    <w:p w14:paraId="3704F402" w14:textId="1CFB2044" w:rsidR="00DD53AD" w:rsidRDefault="00117DA1" w:rsidP="00A66991">
      <w:pPr>
        <w:pStyle w:val="TOC2"/>
        <w:spacing w:after="80"/>
        <w:rPr>
          <w:rFonts w:eastAsiaTheme="minorEastAsia"/>
          <w:noProof/>
          <w:lang w:eastAsia="en-NZ"/>
        </w:rPr>
      </w:pPr>
      <w:hyperlink w:anchor="_Toc132962540" w:history="1">
        <w:r w:rsidR="00DD53AD" w:rsidRPr="007A0CA6">
          <w:rPr>
            <w:rStyle w:val="Hyperlink"/>
            <w:noProof/>
          </w:rPr>
          <w:t>Our process so far</w:t>
        </w:r>
        <w:r w:rsidR="00DD53AD">
          <w:rPr>
            <w:noProof/>
            <w:webHidden/>
          </w:rPr>
          <w:tab/>
        </w:r>
        <w:r w:rsidR="00DD53AD">
          <w:rPr>
            <w:noProof/>
            <w:webHidden/>
          </w:rPr>
          <w:fldChar w:fldCharType="begin"/>
        </w:r>
        <w:r w:rsidR="00DD53AD">
          <w:rPr>
            <w:noProof/>
            <w:webHidden/>
          </w:rPr>
          <w:instrText xml:space="preserve"> PAGEREF _Toc132962540 \h </w:instrText>
        </w:r>
        <w:r w:rsidR="00DD53AD">
          <w:rPr>
            <w:noProof/>
            <w:webHidden/>
          </w:rPr>
        </w:r>
        <w:r w:rsidR="00DD53AD">
          <w:rPr>
            <w:noProof/>
            <w:webHidden/>
          </w:rPr>
          <w:fldChar w:fldCharType="separate"/>
        </w:r>
        <w:r w:rsidR="007F6D96">
          <w:rPr>
            <w:noProof/>
            <w:webHidden/>
          </w:rPr>
          <w:t>5</w:t>
        </w:r>
        <w:r w:rsidR="00DD53AD">
          <w:rPr>
            <w:noProof/>
            <w:webHidden/>
          </w:rPr>
          <w:fldChar w:fldCharType="end"/>
        </w:r>
      </w:hyperlink>
    </w:p>
    <w:p w14:paraId="5411CC37" w14:textId="4191D8DE" w:rsidR="00DD53AD" w:rsidRDefault="00117DA1" w:rsidP="00A66991">
      <w:pPr>
        <w:pStyle w:val="TOC2"/>
        <w:spacing w:after="80"/>
        <w:rPr>
          <w:rFonts w:eastAsiaTheme="minorEastAsia"/>
          <w:noProof/>
          <w:lang w:eastAsia="en-NZ"/>
        </w:rPr>
      </w:pPr>
      <w:hyperlink w:anchor="_Toc132962541" w:history="1">
        <w:r w:rsidR="00DD53AD" w:rsidRPr="007A0CA6">
          <w:rPr>
            <w:rStyle w:val="Hyperlink"/>
            <w:noProof/>
          </w:rPr>
          <w:t>Proposed approach to assessing potential amendments</w:t>
        </w:r>
        <w:r w:rsidR="00DD53AD">
          <w:rPr>
            <w:noProof/>
            <w:webHidden/>
          </w:rPr>
          <w:tab/>
        </w:r>
        <w:r w:rsidR="00DD53AD">
          <w:rPr>
            <w:noProof/>
            <w:webHidden/>
          </w:rPr>
          <w:fldChar w:fldCharType="begin"/>
        </w:r>
        <w:r w:rsidR="00DD53AD">
          <w:rPr>
            <w:noProof/>
            <w:webHidden/>
          </w:rPr>
          <w:instrText xml:space="preserve"> PAGEREF _Toc132962541 \h </w:instrText>
        </w:r>
        <w:r w:rsidR="00DD53AD">
          <w:rPr>
            <w:noProof/>
            <w:webHidden/>
          </w:rPr>
        </w:r>
        <w:r w:rsidR="00DD53AD">
          <w:rPr>
            <w:noProof/>
            <w:webHidden/>
          </w:rPr>
          <w:fldChar w:fldCharType="separate"/>
        </w:r>
        <w:r w:rsidR="007F6D96">
          <w:rPr>
            <w:noProof/>
            <w:webHidden/>
          </w:rPr>
          <w:t>6</w:t>
        </w:r>
        <w:r w:rsidR="00DD53AD">
          <w:rPr>
            <w:noProof/>
            <w:webHidden/>
          </w:rPr>
          <w:fldChar w:fldCharType="end"/>
        </w:r>
      </w:hyperlink>
    </w:p>
    <w:p w14:paraId="49D42B81" w14:textId="582FFFCD" w:rsidR="00DD53AD" w:rsidRDefault="00117DA1" w:rsidP="00A66991">
      <w:pPr>
        <w:pStyle w:val="TOC2"/>
        <w:spacing w:after="80"/>
        <w:rPr>
          <w:rFonts w:eastAsiaTheme="minorEastAsia"/>
          <w:noProof/>
          <w:lang w:eastAsia="en-NZ"/>
        </w:rPr>
      </w:pPr>
      <w:hyperlink w:anchor="_Toc132962542" w:history="1">
        <w:r w:rsidR="00DD53AD" w:rsidRPr="007A0CA6">
          <w:rPr>
            <w:rStyle w:val="Hyperlink"/>
            <w:noProof/>
          </w:rPr>
          <w:t>Structure of this paper</w:t>
        </w:r>
        <w:r w:rsidR="00DD53AD">
          <w:rPr>
            <w:noProof/>
            <w:webHidden/>
          </w:rPr>
          <w:tab/>
        </w:r>
        <w:r w:rsidR="00DD53AD">
          <w:rPr>
            <w:noProof/>
            <w:webHidden/>
          </w:rPr>
          <w:fldChar w:fldCharType="begin"/>
        </w:r>
        <w:r w:rsidR="00DD53AD">
          <w:rPr>
            <w:noProof/>
            <w:webHidden/>
          </w:rPr>
          <w:instrText xml:space="preserve"> PAGEREF _Toc132962542 \h </w:instrText>
        </w:r>
        <w:r w:rsidR="00DD53AD">
          <w:rPr>
            <w:noProof/>
            <w:webHidden/>
          </w:rPr>
        </w:r>
        <w:r w:rsidR="00DD53AD">
          <w:rPr>
            <w:noProof/>
            <w:webHidden/>
          </w:rPr>
          <w:fldChar w:fldCharType="separate"/>
        </w:r>
        <w:r w:rsidR="007F6D96">
          <w:rPr>
            <w:noProof/>
            <w:webHidden/>
          </w:rPr>
          <w:t>7</w:t>
        </w:r>
        <w:r w:rsidR="00DD53AD">
          <w:rPr>
            <w:noProof/>
            <w:webHidden/>
          </w:rPr>
          <w:fldChar w:fldCharType="end"/>
        </w:r>
      </w:hyperlink>
    </w:p>
    <w:p w14:paraId="6B95BF50" w14:textId="78274632" w:rsidR="00DD53AD" w:rsidRDefault="00A66991">
      <w:pPr>
        <w:pStyle w:val="TOC1"/>
        <w:rPr>
          <w:rFonts w:eastAsiaTheme="minorEastAsia"/>
          <w:b w:val="0"/>
          <w:noProof/>
          <w:color w:val="auto"/>
          <w:lang w:eastAsia="en-NZ"/>
        </w:rPr>
      </w:pPr>
      <w:r w:rsidRPr="007A42CF">
        <w:rPr>
          <w:rStyle w:val="Hyperlink"/>
          <w:noProof/>
          <w:u w:val="none"/>
        </w:rPr>
        <w:t>C</w:t>
      </w:r>
      <w:r w:rsidR="00EB41ED" w:rsidRPr="007A42CF">
        <w:rPr>
          <w:rStyle w:val="Hyperlink"/>
          <w:noProof/>
          <w:u w:val="none"/>
        </w:rPr>
        <w:t xml:space="preserve">hapter </w:t>
      </w:r>
      <w:hyperlink w:anchor="_Toc132962543" w:history="1">
        <w:r w:rsidR="00DD53AD" w:rsidRPr="007A0CA6">
          <w:rPr>
            <w:rStyle w:val="Hyperlink"/>
            <w:noProof/>
          </w:rPr>
          <w:t>2</w:t>
        </w:r>
        <w:r w:rsidR="007A42CF">
          <w:rPr>
            <w:rStyle w:val="Hyperlink"/>
            <w:noProof/>
          </w:rPr>
          <w:t>:</w:t>
        </w:r>
        <w:r w:rsidR="00DD53AD" w:rsidRPr="007A0CA6">
          <w:rPr>
            <w:rStyle w:val="Hyperlink"/>
            <w:noProof/>
          </w:rPr>
          <w:t xml:space="preserve"> </w:t>
        </w:r>
        <w:r w:rsidR="00EB41ED">
          <w:rPr>
            <w:rStyle w:val="Hyperlink"/>
            <w:rFonts w:eastAsia="Metropolis Black"/>
            <w:noProof/>
          </w:rPr>
          <w:t>T</w:t>
        </w:r>
        <w:r w:rsidR="00EB41ED" w:rsidRPr="007A0CA6">
          <w:rPr>
            <w:rStyle w:val="Hyperlink"/>
            <w:rFonts w:eastAsia="Metropolis Black"/>
            <w:noProof/>
          </w:rPr>
          <w:t xml:space="preserve">e ao </w:t>
        </w:r>
        <w:r w:rsidR="00EB41ED">
          <w:rPr>
            <w:rStyle w:val="Hyperlink"/>
            <w:rFonts w:eastAsia="Metropolis Black"/>
            <w:noProof/>
          </w:rPr>
          <w:t>M</w:t>
        </w:r>
        <w:r w:rsidR="00EB41ED" w:rsidRPr="007A0CA6">
          <w:rPr>
            <w:rStyle w:val="Hyperlink"/>
            <w:rFonts w:eastAsia="Metropolis Black"/>
            <w:noProof/>
          </w:rPr>
          <w:t xml:space="preserve">āori and the </w:t>
        </w:r>
        <w:r w:rsidR="00EB41ED">
          <w:rPr>
            <w:rStyle w:val="Hyperlink"/>
            <w:rFonts w:eastAsia="Metropolis Black"/>
            <w:noProof/>
          </w:rPr>
          <w:t>E</w:t>
        </w:r>
        <w:r w:rsidR="00EB41ED" w:rsidRPr="007A0CA6">
          <w:rPr>
            <w:rStyle w:val="Hyperlink"/>
            <w:rFonts w:eastAsia="Metropolis Black"/>
            <w:noProof/>
          </w:rPr>
          <w:t xml:space="preserve">vidence </w:t>
        </w:r>
        <w:r w:rsidR="00EB41ED">
          <w:rPr>
            <w:rStyle w:val="Hyperlink"/>
            <w:rFonts w:eastAsia="Metropolis Black"/>
            <w:noProof/>
          </w:rPr>
          <w:t>A</w:t>
        </w:r>
        <w:r w:rsidR="00EB41ED" w:rsidRPr="007A0CA6">
          <w:rPr>
            <w:rStyle w:val="Hyperlink"/>
            <w:rFonts w:eastAsia="Metropolis Black"/>
            <w:noProof/>
          </w:rPr>
          <w:t>ct</w:t>
        </w:r>
        <w:r w:rsidR="00DD53AD">
          <w:rPr>
            <w:noProof/>
            <w:webHidden/>
          </w:rPr>
          <w:tab/>
        </w:r>
        <w:r w:rsidR="00DD53AD">
          <w:rPr>
            <w:noProof/>
            <w:webHidden/>
          </w:rPr>
          <w:fldChar w:fldCharType="begin"/>
        </w:r>
        <w:r w:rsidR="00DD53AD">
          <w:rPr>
            <w:noProof/>
            <w:webHidden/>
          </w:rPr>
          <w:instrText xml:space="preserve"> PAGEREF _Toc132962543 \h </w:instrText>
        </w:r>
        <w:r w:rsidR="00DD53AD">
          <w:rPr>
            <w:noProof/>
            <w:webHidden/>
          </w:rPr>
        </w:r>
        <w:r w:rsidR="00DD53AD">
          <w:rPr>
            <w:noProof/>
            <w:webHidden/>
          </w:rPr>
          <w:fldChar w:fldCharType="separate"/>
        </w:r>
        <w:r w:rsidR="007F6D96">
          <w:rPr>
            <w:noProof/>
            <w:webHidden/>
          </w:rPr>
          <w:t>8</w:t>
        </w:r>
        <w:r w:rsidR="00DD53AD">
          <w:rPr>
            <w:noProof/>
            <w:webHidden/>
          </w:rPr>
          <w:fldChar w:fldCharType="end"/>
        </w:r>
      </w:hyperlink>
    </w:p>
    <w:p w14:paraId="6AD95CE4" w14:textId="5CF460B5" w:rsidR="00DD53AD" w:rsidRPr="00A66991" w:rsidRDefault="00117DA1" w:rsidP="00A66991">
      <w:pPr>
        <w:pStyle w:val="TOC2"/>
        <w:spacing w:after="80"/>
        <w:rPr>
          <w:rStyle w:val="Hyperlink"/>
          <w:noProof/>
        </w:rPr>
      </w:pPr>
      <w:hyperlink w:anchor="_Toc132962544" w:history="1">
        <w:r w:rsidR="00DD53AD" w:rsidRPr="007A0CA6">
          <w:rPr>
            <w:rStyle w:val="Hyperlink"/>
            <w:noProof/>
          </w:rPr>
          <w:t>Background</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_Toc132962544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8</w:t>
        </w:r>
        <w:r w:rsidR="00DD53AD" w:rsidRPr="00A66991">
          <w:rPr>
            <w:rStyle w:val="Hyperlink"/>
            <w:noProof/>
            <w:webHidden/>
          </w:rPr>
          <w:fldChar w:fldCharType="end"/>
        </w:r>
      </w:hyperlink>
    </w:p>
    <w:p w14:paraId="2FCD8859" w14:textId="04CC387A" w:rsidR="00DD53AD" w:rsidRPr="00A66991" w:rsidRDefault="00117DA1" w:rsidP="00A66991">
      <w:pPr>
        <w:pStyle w:val="TOC2"/>
        <w:spacing w:after="80"/>
        <w:rPr>
          <w:rStyle w:val="Hyperlink"/>
          <w:noProof/>
        </w:rPr>
      </w:pPr>
      <w:hyperlink w:anchor="_Toc132962545" w:history="1">
        <w:r w:rsidR="00DD53AD" w:rsidRPr="007A0CA6">
          <w:rPr>
            <w:rStyle w:val="Hyperlink"/>
            <w:noProof/>
          </w:rPr>
          <w:t>Admissibility of mātauranga Māori and tikanga Māori</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_Toc132962545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9</w:t>
        </w:r>
        <w:r w:rsidR="00DD53AD" w:rsidRPr="00A66991">
          <w:rPr>
            <w:rStyle w:val="Hyperlink"/>
            <w:noProof/>
            <w:webHidden/>
          </w:rPr>
          <w:fldChar w:fldCharType="end"/>
        </w:r>
      </w:hyperlink>
    </w:p>
    <w:p w14:paraId="7AF478FF" w14:textId="1539BB61" w:rsidR="00DD53AD" w:rsidRPr="00A66991" w:rsidRDefault="00117DA1" w:rsidP="00A66991">
      <w:pPr>
        <w:pStyle w:val="TOC2"/>
        <w:spacing w:after="80"/>
        <w:rPr>
          <w:rStyle w:val="Hyperlink"/>
          <w:noProof/>
        </w:rPr>
      </w:pPr>
      <w:hyperlink w:anchor="_Toc132962546" w:history="1">
        <w:r w:rsidR="00DD53AD" w:rsidRPr="007A0CA6">
          <w:rPr>
            <w:rStyle w:val="Hyperlink"/>
            <w:noProof/>
          </w:rPr>
          <w:t>Other potential issues with how the Act recognises and provides for te ao Māori</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_Toc132962546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20</w:t>
        </w:r>
        <w:r w:rsidR="00DD53AD" w:rsidRPr="00A66991">
          <w:rPr>
            <w:rStyle w:val="Hyperlink"/>
            <w:noProof/>
            <w:webHidden/>
          </w:rPr>
          <w:fldChar w:fldCharType="end"/>
        </w:r>
      </w:hyperlink>
    </w:p>
    <w:p w14:paraId="0FD2D776" w14:textId="238FEC39" w:rsidR="00DD53AD" w:rsidRDefault="00EB41ED">
      <w:pPr>
        <w:pStyle w:val="TOC1"/>
        <w:rPr>
          <w:rFonts w:eastAsiaTheme="minorEastAsia"/>
          <w:b w:val="0"/>
          <w:noProof/>
          <w:color w:val="auto"/>
          <w:lang w:eastAsia="en-NZ"/>
        </w:rPr>
      </w:pPr>
      <w:r>
        <w:rPr>
          <w:rStyle w:val="Hyperlink"/>
          <w:noProof/>
          <w:u w:val="none"/>
        </w:rPr>
        <w:t>C</w:t>
      </w:r>
      <w:r w:rsidRPr="007A42CF">
        <w:rPr>
          <w:rStyle w:val="Hyperlink"/>
          <w:noProof/>
          <w:u w:val="none"/>
        </w:rPr>
        <w:t xml:space="preserve">hapter </w:t>
      </w:r>
      <w:hyperlink w:anchor="_Toc132962547" w:history="1">
        <w:r w:rsidR="00DD53AD" w:rsidRPr="007A0CA6">
          <w:rPr>
            <w:rStyle w:val="Hyperlink"/>
            <w:noProof/>
          </w:rPr>
          <w:t>3</w:t>
        </w:r>
        <w:r w:rsidR="007A42CF">
          <w:rPr>
            <w:rStyle w:val="Hyperlink"/>
            <w:noProof/>
          </w:rPr>
          <w:t>:</w:t>
        </w:r>
        <w:r w:rsidR="00DD53AD" w:rsidRPr="007A0CA6">
          <w:rPr>
            <w:rStyle w:val="Hyperlink"/>
            <w:noProof/>
          </w:rPr>
          <w:t xml:space="preserve"> </w:t>
        </w:r>
        <w:r>
          <w:rPr>
            <w:rStyle w:val="Hyperlink"/>
            <w:rFonts w:eastAsia="Metropolis Black"/>
            <w:noProof/>
          </w:rPr>
          <w:t>H</w:t>
        </w:r>
        <w:r w:rsidRPr="007A0CA6">
          <w:rPr>
            <w:rStyle w:val="Hyperlink"/>
            <w:rFonts w:eastAsia="Metropolis Black"/>
            <w:noProof/>
          </w:rPr>
          <w:t>earsay</w:t>
        </w:r>
        <w:r w:rsidR="00DD53AD">
          <w:rPr>
            <w:noProof/>
            <w:webHidden/>
          </w:rPr>
          <w:tab/>
        </w:r>
        <w:r w:rsidR="00DD53AD">
          <w:rPr>
            <w:noProof/>
            <w:webHidden/>
          </w:rPr>
          <w:fldChar w:fldCharType="begin"/>
        </w:r>
        <w:r w:rsidR="00DD53AD">
          <w:rPr>
            <w:noProof/>
            <w:webHidden/>
          </w:rPr>
          <w:instrText xml:space="preserve"> PAGEREF _Toc132962547 \h </w:instrText>
        </w:r>
        <w:r w:rsidR="00DD53AD">
          <w:rPr>
            <w:noProof/>
            <w:webHidden/>
          </w:rPr>
        </w:r>
        <w:r w:rsidR="00DD53AD">
          <w:rPr>
            <w:noProof/>
            <w:webHidden/>
          </w:rPr>
          <w:fldChar w:fldCharType="separate"/>
        </w:r>
        <w:r w:rsidR="007F6D96">
          <w:rPr>
            <w:noProof/>
            <w:webHidden/>
          </w:rPr>
          <w:t>24</w:t>
        </w:r>
        <w:r w:rsidR="00DD53AD">
          <w:rPr>
            <w:noProof/>
            <w:webHidden/>
          </w:rPr>
          <w:fldChar w:fldCharType="end"/>
        </w:r>
      </w:hyperlink>
    </w:p>
    <w:p w14:paraId="26A0710E" w14:textId="703BEEE2" w:rsidR="00DD53AD" w:rsidRPr="00A66991" w:rsidRDefault="00117DA1" w:rsidP="00A66991">
      <w:pPr>
        <w:pStyle w:val="TOC2"/>
        <w:spacing w:after="80"/>
        <w:rPr>
          <w:rStyle w:val="Hyperlink"/>
          <w:noProof/>
        </w:rPr>
      </w:pPr>
      <w:hyperlink w:anchor="_Toc132962548" w:history="1">
        <w:r w:rsidR="00DD53AD" w:rsidRPr="007A0CA6">
          <w:rPr>
            <w:rStyle w:val="Hyperlink"/>
            <w:noProof/>
          </w:rPr>
          <w:t>Background</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_Toc132962548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24</w:t>
        </w:r>
        <w:r w:rsidR="00DD53AD" w:rsidRPr="00A66991">
          <w:rPr>
            <w:rStyle w:val="Hyperlink"/>
            <w:noProof/>
            <w:webHidden/>
          </w:rPr>
          <w:fldChar w:fldCharType="end"/>
        </w:r>
      </w:hyperlink>
    </w:p>
    <w:p w14:paraId="741DFFD9" w14:textId="0FE7072F" w:rsidR="00DD53AD" w:rsidRPr="00A66991" w:rsidRDefault="00117DA1" w:rsidP="00A66991">
      <w:pPr>
        <w:pStyle w:val="TOC2"/>
        <w:spacing w:after="80"/>
        <w:rPr>
          <w:rStyle w:val="Hyperlink"/>
          <w:noProof/>
        </w:rPr>
      </w:pPr>
      <w:hyperlink w:anchor="_Toc132962549" w:history="1">
        <w:r w:rsidR="00DD53AD" w:rsidRPr="007A0CA6">
          <w:rPr>
            <w:rStyle w:val="Hyperlink"/>
            <w:noProof/>
          </w:rPr>
          <w:t>When a person is “unavailable as a witness”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_Toc132962549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25</w:t>
        </w:r>
        <w:r w:rsidR="00DD53AD" w:rsidRPr="00A66991">
          <w:rPr>
            <w:rStyle w:val="Hyperlink"/>
            <w:noProof/>
            <w:webHidden/>
          </w:rPr>
          <w:fldChar w:fldCharType="end"/>
        </w:r>
      </w:hyperlink>
    </w:p>
    <w:p w14:paraId="3DED18E6" w14:textId="27A47159" w:rsidR="00DD53AD" w:rsidRPr="00A66991" w:rsidRDefault="00117DA1" w:rsidP="00A66991">
      <w:pPr>
        <w:pStyle w:val="TOC2"/>
        <w:spacing w:after="80"/>
        <w:rPr>
          <w:rStyle w:val="Hyperlink"/>
          <w:noProof/>
        </w:rPr>
      </w:pPr>
      <w:hyperlink w:anchor="_Toc132962550" w:history="1">
        <w:r w:rsidR="00DD53AD" w:rsidRPr="007A0CA6">
          <w:rPr>
            <w:rStyle w:val="Hyperlink"/>
            <w:noProof/>
          </w:rPr>
          <w:t>When a person “cannot with reasonable diligence” be found</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_Toc132962550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35</w:t>
        </w:r>
        <w:r w:rsidR="00DD53AD" w:rsidRPr="00A66991">
          <w:rPr>
            <w:rStyle w:val="Hyperlink"/>
            <w:noProof/>
            <w:webHidden/>
          </w:rPr>
          <w:fldChar w:fldCharType="end"/>
        </w:r>
      </w:hyperlink>
    </w:p>
    <w:p w14:paraId="4BE10D24" w14:textId="1E4954AB" w:rsidR="00DD53AD" w:rsidRPr="00A66991" w:rsidRDefault="00117DA1" w:rsidP="00A66991">
      <w:pPr>
        <w:pStyle w:val="TOC2"/>
        <w:spacing w:after="80"/>
        <w:rPr>
          <w:rStyle w:val="Hyperlink"/>
          <w:noProof/>
        </w:rPr>
      </w:pPr>
      <w:hyperlink w:anchor="_Toc132962551" w:history="1">
        <w:r w:rsidR="00DD53AD" w:rsidRPr="007A0CA6">
          <w:rPr>
            <w:rStyle w:val="Hyperlink"/>
            <w:noProof/>
          </w:rPr>
          <w:t>Hearsay in civil proceedings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_Toc132962551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40</w:t>
        </w:r>
        <w:r w:rsidR="00DD53AD" w:rsidRPr="00A66991">
          <w:rPr>
            <w:rStyle w:val="Hyperlink"/>
            <w:noProof/>
            <w:webHidden/>
          </w:rPr>
          <w:fldChar w:fldCharType="end"/>
        </w:r>
      </w:hyperlink>
    </w:p>
    <w:p w14:paraId="13C1F2E6" w14:textId="010796D4" w:rsidR="00DD53AD" w:rsidRDefault="000A7D5D">
      <w:pPr>
        <w:pStyle w:val="TOC1"/>
        <w:rPr>
          <w:rFonts w:eastAsiaTheme="minorEastAsia"/>
          <w:b w:val="0"/>
          <w:noProof/>
          <w:color w:val="auto"/>
          <w:lang w:eastAsia="en-NZ"/>
        </w:rPr>
      </w:pPr>
      <w:r w:rsidRPr="007A42CF">
        <w:rPr>
          <w:rStyle w:val="Hyperlink"/>
          <w:noProof/>
          <w:u w:val="none"/>
        </w:rPr>
        <w:t>C</w:t>
      </w:r>
      <w:r w:rsidR="00A97E7E" w:rsidRPr="00A97E7E">
        <w:rPr>
          <w:rStyle w:val="Hyperlink"/>
          <w:noProof/>
          <w:u w:val="none"/>
        </w:rPr>
        <w:t xml:space="preserve">hapter </w:t>
      </w:r>
      <w:hyperlink w:anchor="_Toc132962552" w:history="1">
        <w:r w:rsidR="00DD53AD" w:rsidRPr="007A0CA6">
          <w:rPr>
            <w:rStyle w:val="Hyperlink"/>
            <w:rFonts w:eastAsia="Consolas"/>
            <w:noProof/>
          </w:rPr>
          <w:t>4</w:t>
        </w:r>
        <w:r w:rsidR="007A42CF">
          <w:rPr>
            <w:rStyle w:val="Hyperlink"/>
            <w:rFonts w:eastAsia="Consolas"/>
            <w:noProof/>
          </w:rPr>
          <w:t>:</w:t>
        </w:r>
        <w:r w:rsidR="00DD53AD" w:rsidRPr="007A0CA6">
          <w:rPr>
            <w:rStyle w:val="Hyperlink"/>
            <w:rFonts w:eastAsia="Consolas"/>
            <w:noProof/>
          </w:rPr>
          <w:t xml:space="preserve"> </w:t>
        </w:r>
        <w:r w:rsidR="00A97E7E">
          <w:rPr>
            <w:rStyle w:val="Hyperlink"/>
            <w:rFonts w:eastAsia="Consolas"/>
            <w:noProof/>
          </w:rPr>
          <w:t>D</w:t>
        </w:r>
        <w:r w:rsidR="00A97E7E" w:rsidRPr="00A97E7E">
          <w:rPr>
            <w:rStyle w:val="Hyperlink"/>
            <w:rFonts w:eastAsia="Consolas"/>
            <w:noProof/>
          </w:rPr>
          <w:t xml:space="preserve">efendants’ and </w:t>
        </w:r>
        <w:r w:rsidR="00A97E7E">
          <w:rPr>
            <w:rStyle w:val="Hyperlink"/>
            <w:rFonts w:eastAsia="Consolas"/>
            <w:noProof/>
          </w:rPr>
          <w:t>c</w:t>
        </w:r>
        <w:r w:rsidR="00A97E7E" w:rsidRPr="00A97E7E">
          <w:rPr>
            <w:rStyle w:val="Hyperlink"/>
            <w:rFonts w:eastAsia="Consolas"/>
            <w:noProof/>
          </w:rPr>
          <w:t>o-defendants’ statements</w:t>
        </w:r>
        <w:r w:rsidR="00DD53AD">
          <w:rPr>
            <w:noProof/>
            <w:webHidden/>
          </w:rPr>
          <w:tab/>
        </w:r>
        <w:r w:rsidR="00DD53AD">
          <w:rPr>
            <w:noProof/>
            <w:webHidden/>
          </w:rPr>
          <w:fldChar w:fldCharType="begin"/>
        </w:r>
        <w:r w:rsidR="00DD53AD">
          <w:rPr>
            <w:noProof/>
            <w:webHidden/>
          </w:rPr>
          <w:instrText xml:space="preserve"> PAGEREF _Toc132962552 \h </w:instrText>
        </w:r>
        <w:r w:rsidR="00DD53AD">
          <w:rPr>
            <w:noProof/>
            <w:webHidden/>
          </w:rPr>
        </w:r>
        <w:r w:rsidR="00DD53AD">
          <w:rPr>
            <w:noProof/>
            <w:webHidden/>
          </w:rPr>
          <w:fldChar w:fldCharType="separate"/>
        </w:r>
        <w:r w:rsidR="007F6D96">
          <w:rPr>
            <w:noProof/>
            <w:webHidden/>
          </w:rPr>
          <w:t>48</w:t>
        </w:r>
        <w:r w:rsidR="00DD53AD">
          <w:rPr>
            <w:noProof/>
            <w:webHidden/>
          </w:rPr>
          <w:fldChar w:fldCharType="end"/>
        </w:r>
      </w:hyperlink>
    </w:p>
    <w:p w14:paraId="12902CB6" w14:textId="16AFE277" w:rsidR="00DD53AD" w:rsidRPr="00A66991" w:rsidRDefault="00117DA1" w:rsidP="00A66991">
      <w:pPr>
        <w:pStyle w:val="TOC2"/>
        <w:spacing w:after="80"/>
        <w:rPr>
          <w:rStyle w:val="Hyperlink"/>
          <w:noProof/>
        </w:rPr>
      </w:pPr>
      <w:hyperlink w:anchor="_Toc132962553" w:history="1">
        <w:r w:rsidR="00DD53AD" w:rsidRPr="007A0CA6">
          <w:rPr>
            <w:rStyle w:val="Hyperlink"/>
            <w:noProof/>
          </w:rPr>
          <w:t>Defendants’ exculpatory statements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_Toc132962553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48</w:t>
        </w:r>
        <w:r w:rsidR="00DD53AD" w:rsidRPr="00A66991">
          <w:rPr>
            <w:rStyle w:val="Hyperlink"/>
            <w:noProof/>
            <w:webHidden/>
          </w:rPr>
          <w:fldChar w:fldCharType="end"/>
        </w:r>
      </w:hyperlink>
    </w:p>
    <w:p w14:paraId="400FFCB6" w14:textId="7EEC396D" w:rsidR="00DD53AD" w:rsidRPr="00A66991" w:rsidRDefault="00117DA1" w:rsidP="00A66991">
      <w:pPr>
        <w:pStyle w:val="TOC2"/>
        <w:spacing w:after="80"/>
        <w:rPr>
          <w:rStyle w:val="Hyperlink"/>
          <w:noProof/>
        </w:rPr>
      </w:pPr>
      <w:hyperlink w:anchor="_Toc132962554" w:history="1">
        <w:r w:rsidR="00DD53AD" w:rsidRPr="007A0CA6">
          <w:rPr>
            <w:rStyle w:val="Hyperlink"/>
            <w:noProof/>
          </w:rPr>
          <w:t>Defendants’ statements contained in hearsay</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_Toc132962554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55</w:t>
        </w:r>
        <w:r w:rsidR="00DD53AD" w:rsidRPr="00A66991">
          <w:rPr>
            <w:rStyle w:val="Hyperlink"/>
            <w:noProof/>
            <w:webHidden/>
          </w:rPr>
          <w:fldChar w:fldCharType="end"/>
        </w:r>
      </w:hyperlink>
    </w:p>
    <w:p w14:paraId="405EAD9B" w14:textId="3E5909FC" w:rsidR="00DD53AD" w:rsidRPr="00A66991" w:rsidRDefault="00117DA1" w:rsidP="00A66991">
      <w:pPr>
        <w:pStyle w:val="TOC2"/>
        <w:spacing w:after="80"/>
        <w:rPr>
          <w:rStyle w:val="Hyperlink"/>
          <w:noProof/>
        </w:rPr>
      </w:pPr>
      <w:hyperlink w:anchor="_Toc132962555" w:history="1">
        <w:r w:rsidR="00DD53AD" w:rsidRPr="007A0CA6">
          <w:rPr>
            <w:rStyle w:val="Hyperlink"/>
            <w:noProof/>
          </w:rPr>
          <w:t>Admissibility of co-defendants’ non-hearsay statements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_Toc132962555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58</w:t>
        </w:r>
        <w:r w:rsidR="00DD53AD" w:rsidRPr="00A66991">
          <w:rPr>
            <w:rStyle w:val="Hyperlink"/>
            <w:noProof/>
            <w:webHidden/>
          </w:rPr>
          <w:fldChar w:fldCharType="end"/>
        </w:r>
      </w:hyperlink>
    </w:p>
    <w:p w14:paraId="0B36E4D6" w14:textId="2D0790CA" w:rsidR="00DD53AD" w:rsidRDefault="000A7D5D">
      <w:pPr>
        <w:pStyle w:val="TOC1"/>
        <w:rPr>
          <w:rFonts w:eastAsiaTheme="minorEastAsia"/>
          <w:b w:val="0"/>
          <w:noProof/>
          <w:color w:val="auto"/>
          <w:lang w:eastAsia="en-NZ"/>
        </w:rPr>
      </w:pPr>
      <w:r w:rsidRPr="00A66991">
        <w:rPr>
          <w:rStyle w:val="Hyperlink"/>
          <w:noProof/>
          <w:u w:val="none"/>
        </w:rPr>
        <w:t>C</w:t>
      </w:r>
      <w:r w:rsidR="00A97E7E" w:rsidRPr="00A66991">
        <w:rPr>
          <w:rStyle w:val="Hyperlink"/>
          <w:noProof/>
          <w:u w:val="none"/>
        </w:rPr>
        <w:t xml:space="preserve">hapter </w:t>
      </w:r>
      <w:hyperlink w:anchor="_Toc132962556" w:history="1">
        <w:r w:rsidR="00DD53AD" w:rsidRPr="007A0CA6">
          <w:rPr>
            <w:rStyle w:val="Hyperlink"/>
            <w:rFonts w:eastAsia="Consolas"/>
            <w:noProof/>
          </w:rPr>
          <w:t>5</w:t>
        </w:r>
        <w:r w:rsidR="00A66991">
          <w:rPr>
            <w:rStyle w:val="Hyperlink"/>
            <w:rFonts w:eastAsia="Consolas"/>
            <w:noProof/>
          </w:rPr>
          <w:t>:</w:t>
        </w:r>
        <w:r w:rsidR="00DD53AD" w:rsidRPr="007A0CA6">
          <w:rPr>
            <w:rStyle w:val="Hyperlink"/>
            <w:rFonts w:eastAsia="Consolas"/>
            <w:noProof/>
          </w:rPr>
          <w:t xml:space="preserve"> </w:t>
        </w:r>
        <w:r w:rsidR="00A97E7E">
          <w:rPr>
            <w:rStyle w:val="Hyperlink"/>
            <w:rFonts w:eastAsia="Consolas"/>
            <w:noProof/>
          </w:rPr>
          <w:t>U</w:t>
        </w:r>
        <w:r w:rsidR="00A97E7E" w:rsidRPr="007A0CA6">
          <w:rPr>
            <w:rStyle w:val="Hyperlink"/>
            <w:rFonts w:eastAsia="Consolas"/>
            <w:noProof/>
          </w:rPr>
          <w:t>nreliable statements</w:t>
        </w:r>
        <w:r w:rsidR="00DD53AD">
          <w:rPr>
            <w:noProof/>
            <w:webHidden/>
          </w:rPr>
          <w:tab/>
        </w:r>
        <w:r w:rsidR="00DD53AD">
          <w:rPr>
            <w:noProof/>
            <w:webHidden/>
          </w:rPr>
          <w:fldChar w:fldCharType="begin"/>
        </w:r>
        <w:r w:rsidR="00DD53AD">
          <w:rPr>
            <w:noProof/>
            <w:webHidden/>
          </w:rPr>
          <w:instrText xml:space="preserve"> PAGEREF _Toc132962556 \h </w:instrText>
        </w:r>
        <w:r w:rsidR="00DD53AD">
          <w:rPr>
            <w:noProof/>
            <w:webHidden/>
          </w:rPr>
        </w:r>
        <w:r w:rsidR="00DD53AD">
          <w:rPr>
            <w:noProof/>
            <w:webHidden/>
          </w:rPr>
          <w:fldChar w:fldCharType="separate"/>
        </w:r>
        <w:r w:rsidR="007F6D96">
          <w:rPr>
            <w:noProof/>
            <w:webHidden/>
          </w:rPr>
          <w:t>63</w:t>
        </w:r>
        <w:r w:rsidR="00DD53AD">
          <w:rPr>
            <w:noProof/>
            <w:webHidden/>
          </w:rPr>
          <w:fldChar w:fldCharType="end"/>
        </w:r>
      </w:hyperlink>
    </w:p>
    <w:p w14:paraId="53F58AD5" w14:textId="38E6900C" w:rsidR="00DD53AD" w:rsidRPr="00A66991" w:rsidRDefault="00117DA1" w:rsidP="00A66991">
      <w:pPr>
        <w:pStyle w:val="TOC2"/>
        <w:spacing w:after="80"/>
        <w:rPr>
          <w:rStyle w:val="Hyperlink"/>
          <w:noProof/>
        </w:rPr>
      </w:pPr>
      <w:hyperlink w:anchor="_Toc132962557" w:history="1">
        <w:r w:rsidR="00DD53AD" w:rsidRPr="007A0CA6">
          <w:rPr>
            <w:rStyle w:val="Hyperlink"/>
            <w:noProof/>
          </w:rPr>
          <w:t>Background</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_Toc132962557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63</w:t>
        </w:r>
        <w:r w:rsidR="00DD53AD" w:rsidRPr="00A66991">
          <w:rPr>
            <w:rStyle w:val="Hyperlink"/>
            <w:noProof/>
            <w:webHidden/>
          </w:rPr>
          <w:fldChar w:fldCharType="end"/>
        </w:r>
      </w:hyperlink>
    </w:p>
    <w:p w14:paraId="0DDBE3D9" w14:textId="52A3D8B0" w:rsidR="00DD53AD" w:rsidRPr="00A66991" w:rsidRDefault="00117DA1" w:rsidP="00A66991">
      <w:pPr>
        <w:pStyle w:val="TOC2"/>
        <w:spacing w:after="80"/>
        <w:rPr>
          <w:rStyle w:val="Hyperlink"/>
          <w:noProof/>
        </w:rPr>
      </w:pPr>
      <w:hyperlink w:anchor="_Toc132962558" w:history="1">
        <w:r w:rsidR="00DD53AD" w:rsidRPr="007A0CA6">
          <w:rPr>
            <w:rStyle w:val="Hyperlink"/>
            <w:noProof/>
          </w:rPr>
          <w:t>The purpose and effect of section 28</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_Toc132962558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64</w:t>
        </w:r>
        <w:r w:rsidR="00DD53AD" w:rsidRPr="00A66991">
          <w:rPr>
            <w:rStyle w:val="Hyperlink"/>
            <w:noProof/>
            <w:webHidden/>
          </w:rPr>
          <w:fldChar w:fldCharType="end"/>
        </w:r>
      </w:hyperlink>
    </w:p>
    <w:p w14:paraId="47C0C6D6" w14:textId="3AAD920E" w:rsidR="00DD53AD" w:rsidRPr="00A66991" w:rsidRDefault="00117DA1" w:rsidP="00A66991">
      <w:pPr>
        <w:pStyle w:val="TOC2"/>
        <w:spacing w:after="80"/>
        <w:rPr>
          <w:rStyle w:val="Hyperlink"/>
          <w:noProof/>
        </w:rPr>
      </w:pPr>
      <w:hyperlink w:anchor="_Toc132962559" w:history="1">
        <w:r w:rsidR="00DD53AD" w:rsidRPr="007A0CA6">
          <w:rPr>
            <w:rStyle w:val="Hyperlink"/>
            <w:noProof/>
          </w:rPr>
          <w:t>The standard of proof for admissibility</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_Toc132962559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71</w:t>
        </w:r>
        <w:r w:rsidR="00DD53AD" w:rsidRPr="00A66991">
          <w:rPr>
            <w:rStyle w:val="Hyperlink"/>
            <w:noProof/>
            <w:webHidden/>
          </w:rPr>
          <w:fldChar w:fldCharType="end"/>
        </w:r>
      </w:hyperlink>
    </w:p>
    <w:p w14:paraId="4998D2C3" w14:textId="68BAB568" w:rsidR="00DD53AD" w:rsidRDefault="000A7D5D">
      <w:pPr>
        <w:pStyle w:val="TOC1"/>
        <w:rPr>
          <w:rFonts w:eastAsiaTheme="minorEastAsia"/>
          <w:b w:val="0"/>
          <w:noProof/>
          <w:color w:val="auto"/>
          <w:lang w:eastAsia="en-NZ"/>
        </w:rPr>
      </w:pPr>
      <w:r w:rsidRPr="00A66991">
        <w:rPr>
          <w:rStyle w:val="Hyperlink"/>
          <w:noProof/>
          <w:u w:val="none"/>
        </w:rPr>
        <w:t>C</w:t>
      </w:r>
      <w:r w:rsidR="00A97E7E" w:rsidRPr="00A66991">
        <w:rPr>
          <w:rStyle w:val="Hyperlink"/>
          <w:noProof/>
          <w:u w:val="none"/>
        </w:rPr>
        <w:t xml:space="preserve">hapter </w:t>
      </w:r>
      <w:hyperlink w:anchor="_Toc132962560" w:history="1">
        <w:r w:rsidR="00DD53AD" w:rsidRPr="007A0CA6">
          <w:rPr>
            <w:rStyle w:val="Hyperlink"/>
            <w:rFonts w:eastAsia="Consolas"/>
            <w:noProof/>
          </w:rPr>
          <w:t>6</w:t>
        </w:r>
        <w:r w:rsidR="00A66991">
          <w:rPr>
            <w:rStyle w:val="Hyperlink"/>
            <w:rFonts w:eastAsia="Consolas"/>
            <w:noProof/>
          </w:rPr>
          <w:t>:</w:t>
        </w:r>
        <w:r w:rsidR="00DD53AD" w:rsidRPr="007A0CA6">
          <w:rPr>
            <w:rStyle w:val="Hyperlink"/>
            <w:rFonts w:eastAsia="Consolas"/>
            <w:noProof/>
          </w:rPr>
          <w:t xml:space="preserve"> </w:t>
        </w:r>
        <w:r w:rsidR="00A97E7E">
          <w:rPr>
            <w:rStyle w:val="Hyperlink"/>
            <w:rFonts w:eastAsia="Consolas"/>
            <w:noProof/>
          </w:rPr>
          <w:t>I</w:t>
        </w:r>
        <w:r w:rsidR="00A97E7E" w:rsidRPr="007A0CA6">
          <w:rPr>
            <w:rStyle w:val="Hyperlink"/>
            <w:rFonts w:eastAsia="Consolas"/>
            <w:noProof/>
          </w:rPr>
          <w:t xml:space="preserve">nvestigatory </w:t>
        </w:r>
        <w:r w:rsidR="00A97E7E" w:rsidRPr="007A0CA6">
          <w:rPr>
            <w:rStyle w:val="Hyperlink"/>
            <w:noProof/>
            <w:lang w:val="en-GB"/>
          </w:rPr>
          <w:t xml:space="preserve">techniques </w:t>
        </w:r>
        <w:r w:rsidR="00A97E7E" w:rsidRPr="007A0CA6">
          <w:rPr>
            <w:rStyle w:val="Hyperlink"/>
            <w:rFonts w:eastAsia="Consolas"/>
            <w:noProof/>
          </w:rPr>
          <w:t>and risks of unreliability</w:t>
        </w:r>
        <w:r w:rsidR="00DD53AD">
          <w:rPr>
            <w:noProof/>
            <w:webHidden/>
          </w:rPr>
          <w:tab/>
        </w:r>
        <w:r w:rsidR="00DD53AD">
          <w:rPr>
            <w:noProof/>
            <w:webHidden/>
          </w:rPr>
          <w:fldChar w:fldCharType="begin"/>
        </w:r>
        <w:r w:rsidR="00DD53AD">
          <w:rPr>
            <w:noProof/>
            <w:webHidden/>
          </w:rPr>
          <w:instrText xml:space="preserve"> PAGEREF _Toc132962560 \h </w:instrText>
        </w:r>
        <w:r w:rsidR="00DD53AD">
          <w:rPr>
            <w:noProof/>
            <w:webHidden/>
          </w:rPr>
        </w:r>
        <w:r w:rsidR="00DD53AD">
          <w:rPr>
            <w:noProof/>
            <w:webHidden/>
          </w:rPr>
          <w:fldChar w:fldCharType="separate"/>
        </w:r>
        <w:r w:rsidR="007F6D96">
          <w:rPr>
            <w:noProof/>
            <w:webHidden/>
          </w:rPr>
          <w:t>76</w:t>
        </w:r>
        <w:r w:rsidR="00DD53AD">
          <w:rPr>
            <w:noProof/>
            <w:webHidden/>
          </w:rPr>
          <w:fldChar w:fldCharType="end"/>
        </w:r>
      </w:hyperlink>
    </w:p>
    <w:p w14:paraId="06DA6693" w14:textId="25AB638A" w:rsidR="00DD53AD" w:rsidRDefault="00117DA1" w:rsidP="00A66991">
      <w:pPr>
        <w:pStyle w:val="TOC2"/>
        <w:spacing w:after="80"/>
        <w:rPr>
          <w:rFonts w:eastAsiaTheme="minorEastAsia"/>
          <w:noProof/>
          <w:lang w:eastAsia="en-NZ"/>
        </w:rPr>
      </w:pPr>
      <w:hyperlink w:anchor="_Toc132962561" w:history="1">
        <w:r w:rsidR="00DD53AD" w:rsidRPr="007A0CA6">
          <w:rPr>
            <w:rStyle w:val="Hyperlink"/>
            <w:noProof/>
          </w:rPr>
          <w:t>Background</w:t>
        </w:r>
        <w:r w:rsidR="00DD53AD">
          <w:rPr>
            <w:noProof/>
            <w:webHidden/>
          </w:rPr>
          <w:tab/>
        </w:r>
        <w:r w:rsidR="00DD53AD">
          <w:rPr>
            <w:noProof/>
            <w:webHidden/>
          </w:rPr>
          <w:fldChar w:fldCharType="begin"/>
        </w:r>
        <w:r w:rsidR="00DD53AD">
          <w:rPr>
            <w:noProof/>
            <w:webHidden/>
          </w:rPr>
          <w:instrText xml:space="preserve"> PAGEREF _Toc132962561 \h </w:instrText>
        </w:r>
        <w:r w:rsidR="00DD53AD">
          <w:rPr>
            <w:noProof/>
            <w:webHidden/>
          </w:rPr>
        </w:r>
        <w:r w:rsidR="00DD53AD">
          <w:rPr>
            <w:noProof/>
            <w:webHidden/>
          </w:rPr>
          <w:fldChar w:fldCharType="separate"/>
        </w:r>
        <w:r w:rsidR="007F6D96">
          <w:rPr>
            <w:noProof/>
            <w:webHidden/>
          </w:rPr>
          <w:t>76</w:t>
        </w:r>
        <w:r w:rsidR="00DD53AD">
          <w:rPr>
            <w:noProof/>
            <w:webHidden/>
          </w:rPr>
          <w:fldChar w:fldCharType="end"/>
        </w:r>
      </w:hyperlink>
    </w:p>
    <w:p w14:paraId="039DBFD1" w14:textId="69B9E061" w:rsidR="00DD53AD" w:rsidRDefault="00117DA1" w:rsidP="00A66991">
      <w:pPr>
        <w:pStyle w:val="TOC2"/>
        <w:spacing w:after="80"/>
        <w:rPr>
          <w:rFonts w:eastAsiaTheme="minorEastAsia"/>
          <w:noProof/>
          <w:lang w:eastAsia="en-NZ"/>
        </w:rPr>
      </w:pPr>
      <w:hyperlink w:anchor="_Toc132962562" w:history="1">
        <w:r w:rsidR="00DD53AD" w:rsidRPr="007A0CA6">
          <w:rPr>
            <w:rStyle w:val="Hyperlink"/>
            <w:noProof/>
            <w:lang w:val="en-GB"/>
          </w:rPr>
          <w:t xml:space="preserve">Is </w:t>
        </w:r>
        <w:r w:rsidR="00DD53AD" w:rsidRPr="007A0CA6">
          <w:rPr>
            <w:rStyle w:val="Hyperlink"/>
            <w:i/>
            <w:iCs/>
            <w:noProof/>
            <w:lang w:val="en-GB"/>
          </w:rPr>
          <w:t xml:space="preserve">Wichman </w:t>
        </w:r>
        <w:r w:rsidR="00DD53AD" w:rsidRPr="007A0CA6">
          <w:rPr>
            <w:rStyle w:val="Hyperlink"/>
            <w:noProof/>
            <w:lang w:val="en-GB"/>
          </w:rPr>
          <w:t xml:space="preserve">likely to cause </w:t>
        </w:r>
        <w:r w:rsidR="00DD53AD" w:rsidRPr="00A66991">
          <w:rPr>
            <w:rStyle w:val="Hyperlink"/>
            <w:noProof/>
          </w:rPr>
          <w:t>problems</w:t>
        </w:r>
        <w:r w:rsidR="00DD53AD" w:rsidRPr="007A0CA6">
          <w:rPr>
            <w:rStyle w:val="Hyperlink"/>
            <w:noProof/>
            <w:lang w:val="en-GB"/>
          </w:rPr>
          <w:t xml:space="preserve"> in practice?</w:t>
        </w:r>
        <w:r w:rsidR="00DD53AD">
          <w:rPr>
            <w:noProof/>
            <w:webHidden/>
          </w:rPr>
          <w:tab/>
        </w:r>
        <w:r w:rsidR="00DD53AD">
          <w:rPr>
            <w:noProof/>
            <w:webHidden/>
          </w:rPr>
          <w:fldChar w:fldCharType="begin"/>
        </w:r>
        <w:r w:rsidR="00DD53AD">
          <w:rPr>
            <w:noProof/>
            <w:webHidden/>
          </w:rPr>
          <w:instrText xml:space="preserve"> PAGEREF _Toc132962562 \h </w:instrText>
        </w:r>
        <w:r w:rsidR="00DD53AD">
          <w:rPr>
            <w:noProof/>
            <w:webHidden/>
          </w:rPr>
        </w:r>
        <w:r w:rsidR="00DD53AD">
          <w:rPr>
            <w:noProof/>
            <w:webHidden/>
          </w:rPr>
          <w:fldChar w:fldCharType="separate"/>
        </w:r>
        <w:r w:rsidR="007F6D96">
          <w:rPr>
            <w:noProof/>
            <w:webHidden/>
          </w:rPr>
          <w:t>81</w:t>
        </w:r>
        <w:r w:rsidR="00DD53AD">
          <w:rPr>
            <w:noProof/>
            <w:webHidden/>
          </w:rPr>
          <w:fldChar w:fldCharType="end"/>
        </w:r>
      </w:hyperlink>
    </w:p>
    <w:p w14:paraId="55D4610F" w14:textId="750E0282" w:rsidR="00DD53AD" w:rsidRDefault="00117DA1" w:rsidP="00A66991">
      <w:pPr>
        <w:pStyle w:val="TOC2"/>
        <w:spacing w:after="80"/>
        <w:rPr>
          <w:rFonts w:eastAsiaTheme="minorEastAsia"/>
          <w:noProof/>
          <w:lang w:eastAsia="en-NZ"/>
        </w:rPr>
      </w:pPr>
      <w:hyperlink w:anchor="_Toc132962563" w:history="1">
        <w:r w:rsidR="00DD53AD" w:rsidRPr="007A0CA6">
          <w:rPr>
            <w:rStyle w:val="Hyperlink"/>
            <w:noProof/>
            <w:lang w:val="en-GB"/>
          </w:rPr>
          <w:t xml:space="preserve">Is legislative reform </w:t>
        </w:r>
        <w:r w:rsidR="00DD53AD" w:rsidRPr="00A66991">
          <w:rPr>
            <w:rStyle w:val="Hyperlink"/>
            <w:noProof/>
          </w:rPr>
          <w:t>necessary</w:t>
        </w:r>
        <w:r w:rsidR="00DD53AD" w:rsidRPr="007A0CA6">
          <w:rPr>
            <w:rStyle w:val="Hyperlink"/>
            <w:noProof/>
            <w:lang w:val="en-GB"/>
          </w:rPr>
          <w:t xml:space="preserve"> or desirable?</w:t>
        </w:r>
        <w:r w:rsidR="00DD53AD">
          <w:rPr>
            <w:noProof/>
            <w:webHidden/>
          </w:rPr>
          <w:tab/>
        </w:r>
        <w:r w:rsidR="00DD53AD">
          <w:rPr>
            <w:noProof/>
            <w:webHidden/>
          </w:rPr>
          <w:fldChar w:fldCharType="begin"/>
        </w:r>
        <w:r w:rsidR="00DD53AD">
          <w:rPr>
            <w:noProof/>
            <w:webHidden/>
          </w:rPr>
          <w:instrText xml:space="preserve"> PAGEREF _Toc132962563 \h </w:instrText>
        </w:r>
        <w:r w:rsidR="00DD53AD">
          <w:rPr>
            <w:noProof/>
            <w:webHidden/>
          </w:rPr>
        </w:r>
        <w:r w:rsidR="00DD53AD">
          <w:rPr>
            <w:noProof/>
            <w:webHidden/>
          </w:rPr>
          <w:fldChar w:fldCharType="separate"/>
        </w:r>
        <w:r w:rsidR="007F6D96">
          <w:rPr>
            <w:noProof/>
            <w:webHidden/>
          </w:rPr>
          <w:t>83</w:t>
        </w:r>
        <w:r w:rsidR="00DD53AD">
          <w:rPr>
            <w:noProof/>
            <w:webHidden/>
          </w:rPr>
          <w:fldChar w:fldCharType="end"/>
        </w:r>
      </w:hyperlink>
    </w:p>
    <w:p w14:paraId="4F9C55C3" w14:textId="69091F04" w:rsidR="00DD53AD" w:rsidRDefault="00117DA1" w:rsidP="00A66991">
      <w:pPr>
        <w:pStyle w:val="TOC2"/>
        <w:spacing w:after="80"/>
        <w:rPr>
          <w:rFonts w:eastAsiaTheme="minorEastAsia"/>
          <w:noProof/>
          <w:lang w:eastAsia="en-NZ"/>
        </w:rPr>
      </w:pPr>
      <w:hyperlink w:anchor="_Toc132962564" w:history="1">
        <w:r w:rsidR="00DD53AD" w:rsidRPr="007A0CA6">
          <w:rPr>
            <w:rStyle w:val="Hyperlink"/>
            <w:noProof/>
          </w:rPr>
          <w:t>Options for reform</w:t>
        </w:r>
        <w:r w:rsidR="00DD53AD">
          <w:rPr>
            <w:noProof/>
            <w:webHidden/>
          </w:rPr>
          <w:tab/>
        </w:r>
        <w:r w:rsidR="00DD53AD">
          <w:rPr>
            <w:noProof/>
            <w:webHidden/>
          </w:rPr>
          <w:fldChar w:fldCharType="begin"/>
        </w:r>
        <w:r w:rsidR="00DD53AD">
          <w:rPr>
            <w:noProof/>
            <w:webHidden/>
          </w:rPr>
          <w:instrText xml:space="preserve"> PAGEREF _Toc132962564 \h </w:instrText>
        </w:r>
        <w:r w:rsidR="00DD53AD">
          <w:rPr>
            <w:noProof/>
            <w:webHidden/>
          </w:rPr>
        </w:r>
        <w:r w:rsidR="00DD53AD">
          <w:rPr>
            <w:noProof/>
            <w:webHidden/>
          </w:rPr>
          <w:fldChar w:fldCharType="separate"/>
        </w:r>
        <w:r w:rsidR="007F6D96">
          <w:rPr>
            <w:noProof/>
            <w:webHidden/>
          </w:rPr>
          <w:t>84</w:t>
        </w:r>
        <w:r w:rsidR="00DD53AD">
          <w:rPr>
            <w:noProof/>
            <w:webHidden/>
          </w:rPr>
          <w:fldChar w:fldCharType="end"/>
        </w:r>
      </w:hyperlink>
    </w:p>
    <w:p w14:paraId="3B930776" w14:textId="32C7DA33" w:rsidR="00DD53AD" w:rsidRDefault="00A97E7E">
      <w:pPr>
        <w:pStyle w:val="TOC1"/>
        <w:rPr>
          <w:rFonts w:eastAsiaTheme="minorEastAsia"/>
          <w:b w:val="0"/>
          <w:noProof/>
          <w:color w:val="auto"/>
          <w:lang w:eastAsia="en-NZ"/>
        </w:rPr>
      </w:pPr>
      <w:r>
        <w:rPr>
          <w:rStyle w:val="Hyperlink"/>
          <w:noProof/>
          <w:u w:val="none"/>
        </w:rPr>
        <w:t>C</w:t>
      </w:r>
      <w:r w:rsidRPr="00A66991">
        <w:rPr>
          <w:rStyle w:val="Hyperlink"/>
          <w:noProof/>
          <w:u w:val="none"/>
        </w:rPr>
        <w:t xml:space="preserve">hapter </w:t>
      </w:r>
      <w:hyperlink w:anchor="_Toc132962565" w:history="1">
        <w:r w:rsidR="00DD53AD" w:rsidRPr="007A0CA6">
          <w:rPr>
            <w:rStyle w:val="Hyperlink"/>
            <w:rFonts w:eastAsia="Consolas"/>
            <w:noProof/>
          </w:rPr>
          <w:t>7</w:t>
        </w:r>
        <w:r w:rsidR="00A66991">
          <w:rPr>
            <w:rStyle w:val="Hyperlink"/>
            <w:rFonts w:eastAsia="Consolas"/>
            <w:noProof/>
          </w:rPr>
          <w:t>:</w:t>
        </w:r>
        <w:r w:rsidR="00DD53AD" w:rsidRPr="007A0CA6">
          <w:rPr>
            <w:rStyle w:val="Hyperlink"/>
            <w:rFonts w:eastAsia="Consolas"/>
            <w:noProof/>
          </w:rPr>
          <w:t xml:space="preserve"> </w:t>
        </w:r>
        <w:r>
          <w:rPr>
            <w:rStyle w:val="Hyperlink"/>
            <w:rFonts w:eastAsia="Consolas"/>
            <w:noProof/>
          </w:rPr>
          <w:t>I</w:t>
        </w:r>
        <w:r w:rsidRPr="007A0CA6">
          <w:rPr>
            <w:rStyle w:val="Hyperlink"/>
            <w:rFonts w:eastAsia="Consolas"/>
            <w:noProof/>
          </w:rPr>
          <w:t>mproperly obtained evidence</w:t>
        </w:r>
        <w:r w:rsidR="00DD53AD">
          <w:rPr>
            <w:noProof/>
            <w:webHidden/>
          </w:rPr>
          <w:tab/>
        </w:r>
        <w:r w:rsidR="00DD53AD">
          <w:rPr>
            <w:noProof/>
            <w:webHidden/>
          </w:rPr>
          <w:fldChar w:fldCharType="begin"/>
        </w:r>
        <w:r w:rsidR="00DD53AD">
          <w:rPr>
            <w:noProof/>
            <w:webHidden/>
          </w:rPr>
          <w:instrText xml:space="preserve"> PAGEREF _Toc132962565 \h </w:instrText>
        </w:r>
        <w:r w:rsidR="00DD53AD">
          <w:rPr>
            <w:noProof/>
            <w:webHidden/>
          </w:rPr>
        </w:r>
        <w:r w:rsidR="00DD53AD">
          <w:rPr>
            <w:noProof/>
            <w:webHidden/>
          </w:rPr>
          <w:fldChar w:fldCharType="separate"/>
        </w:r>
        <w:r w:rsidR="007F6D96">
          <w:rPr>
            <w:noProof/>
            <w:webHidden/>
          </w:rPr>
          <w:t>88</w:t>
        </w:r>
        <w:r w:rsidR="00DD53AD">
          <w:rPr>
            <w:noProof/>
            <w:webHidden/>
          </w:rPr>
          <w:fldChar w:fldCharType="end"/>
        </w:r>
      </w:hyperlink>
    </w:p>
    <w:p w14:paraId="129209BE" w14:textId="7FD4A4B7" w:rsidR="00DD53AD" w:rsidRPr="00A66991" w:rsidRDefault="00117DA1" w:rsidP="00A66991">
      <w:pPr>
        <w:pStyle w:val="TOC2"/>
        <w:spacing w:after="80"/>
        <w:rPr>
          <w:rStyle w:val="Hyperlink"/>
          <w:noProof/>
        </w:rPr>
      </w:pPr>
      <w:hyperlink w:anchor="_Toc132962566" w:history="1">
        <w:r w:rsidR="00DD53AD" w:rsidRPr="007A0CA6">
          <w:rPr>
            <w:rStyle w:val="Hyperlink"/>
            <w:noProof/>
          </w:rPr>
          <w:t>Background</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_Toc132962566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88</w:t>
        </w:r>
        <w:r w:rsidR="00DD53AD" w:rsidRPr="00A66991">
          <w:rPr>
            <w:rStyle w:val="Hyperlink"/>
            <w:noProof/>
            <w:webHidden/>
          </w:rPr>
          <w:fldChar w:fldCharType="end"/>
        </w:r>
      </w:hyperlink>
    </w:p>
    <w:p w14:paraId="078C89A1" w14:textId="609B9B6C" w:rsidR="00DD53AD" w:rsidRPr="00A66991" w:rsidRDefault="00117DA1" w:rsidP="00A66991">
      <w:pPr>
        <w:pStyle w:val="TOC2"/>
        <w:spacing w:after="80"/>
        <w:rPr>
          <w:rStyle w:val="Hyperlink"/>
          <w:noProof/>
        </w:rPr>
      </w:pPr>
      <w:hyperlink w:anchor="_Toc132962567" w:history="1">
        <w:r w:rsidR="00DD53AD" w:rsidRPr="007A0CA6">
          <w:rPr>
            <w:rStyle w:val="Hyperlink"/>
            <w:noProof/>
          </w:rPr>
          <w:t>How is section 30 operating in practice?</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_Toc132962567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94</w:t>
        </w:r>
        <w:r w:rsidR="00DD53AD" w:rsidRPr="00A66991">
          <w:rPr>
            <w:rStyle w:val="Hyperlink"/>
            <w:noProof/>
            <w:webHidden/>
          </w:rPr>
          <w:fldChar w:fldCharType="end"/>
        </w:r>
      </w:hyperlink>
    </w:p>
    <w:p w14:paraId="3588A388" w14:textId="353C024C" w:rsidR="00DD53AD" w:rsidRPr="00A66991" w:rsidRDefault="00117DA1" w:rsidP="00A66991">
      <w:pPr>
        <w:pStyle w:val="TOC2"/>
        <w:spacing w:after="80"/>
        <w:rPr>
          <w:rStyle w:val="Hyperlink"/>
          <w:noProof/>
        </w:rPr>
      </w:pPr>
      <w:hyperlink w:anchor="_Toc132962568" w:history="1">
        <w:r w:rsidR="00DD53AD" w:rsidRPr="007A0CA6">
          <w:rPr>
            <w:rStyle w:val="Hyperlink"/>
            <w:rFonts w:eastAsia="Consolas"/>
            <w:noProof/>
          </w:rPr>
          <w:t>Issues for consideration</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_Toc132962568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96</w:t>
        </w:r>
        <w:r w:rsidR="00DD53AD" w:rsidRPr="00A66991">
          <w:rPr>
            <w:rStyle w:val="Hyperlink"/>
            <w:noProof/>
            <w:webHidden/>
          </w:rPr>
          <w:fldChar w:fldCharType="end"/>
        </w:r>
      </w:hyperlink>
    </w:p>
    <w:p w14:paraId="55F65B2B" w14:textId="77D5EE6E" w:rsidR="00DD53AD" w:rsidRPr="00A66991" w:rsidRDefault="00117DA1" w:rsidP="00A66991">
      <w:pPr>
        <w:pStyle w:val="TOC2"/>
        <w:spacing w:after="80"/>
        <w:rPr>
          <w:rStyle w:val="Hyperlink"/>
          <w:noProof/>
        </w:rPr>
      </w:pPr>
      <w:hyperlink w:anchor="_Toc132962569" w:history="1">
        <w:r w:rsidR="00DD53AD" w:rsidRPr="007A0CA6">
          <w:rPr>
            <w:rStyle w:val="Hyperlink"/>
            <w:rFonts w:eastAsia="Consolas"/>
            <w:noProof/>
          </w:rPr>
          <w:t>Operation of the balancing test</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_Toc132962569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96</w:t>
        </w:r>
        <w:r w:rsidR="00DD53AD" w:rsidRPr="00A66991">
          <w:rPr>
            <w:rStyle w:val="Hyperlink"/>
            <w:noProof/>
            <w:webHidden/>
          </w:rPr>
          <w:fldChar w:fldCharType="end"/>
        </w:r>
      </w:hyperlink>
    </w:p>
    <w:p w14:paraId="67145464" w14:textId="65581035" w:rsidR="00DD53AD" w:rsidRPr="00A66991" w:rsidRDefault="00117DA1" w:rsidP="00A66991">
      <w:pPr>
        <w:pStyle w:val="TOC2"/>
        <w:spacing w:after="80"/>
        <w:rPr>
          <w:rStyle w:val="Hyperlink"/>
          <w:noProof/>
        </w:rPr>
      </w:pPr>
      <w:hyperlink w:anchor="_Toc132962570" w:history="1">
        <w:r w:rsidR="00DD53AD" w:rsidRPr="007A0CA6">
          <w:rPr>
            <w:rStyle w:val="Hyperlink"/>
            <w:rFonts w:eastAsia="Consolas"/>
            <w:noProof/>
          </w:rPr>
          <w:t>Wording of the balancing test</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_Toc132962570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101</w:t>
        </w:r>
        <w:r w:rsidR="00DD53AD" w:rsidRPr="00A66991">
          <w:rPr>
            <w:rStyle w:val="Hyperlink"/>
            <w:noProof/>
            <w:webHidden/>
          </w:rPr>
          <w:fldChar w:fldCharType="end"/>
        </w:r>
      </w:hyperlink>
    </w:p>
    <w:p w14:paraId="11F65D04" w14:textId="670C2B24" w:rsidR="00DD53AD" w:rsidRPr="00A66991" w:rsidRDefault="00117DA1" w:rsidP="00A66991">
      <w:pPr>
        <w:pStyle w:val="TOC2"/>
        <w:spacing w:after="80"/>
        <w:rPr>
          <w:rStyle w:val="Hyperlink"/>
          <w:noProof/>
        </w:rPr>
      </w:pPr>
      <w:hyperlink w:anchor="_Toc132962571" w:history="1">
        <w:r w:rsidR="00DD53AD" w:rsidRPr="007A0CA6">
          <w:rPr>
            <w:rStyle w:val="Hyperlink"/>
            <w:noProof/>
          </w:rPr>
          <w:t>Application of the section 30(3) factors in the balancing test</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_Toc132962571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104</w:t>
        </w:r>
        <w:r w:rsidR="00DD53AD" w:rsidRPr="00A66991">
          <w:rPr>
            <w:rStyle w:val="Hyperlink"/>
            <w:noProof/>
            <w:webHidden/>
          </w:rPr>
          <w:fldChar w:fldCharType="end"/>
        </w:r>
      </w:hyperlink>
    </w:p>
    <w:p w14:paraId="335B3061" w14:textId="4F3C66D5" w:rsidR="00DD53AD" w:rsidRPr="00A66991" w:rsidRDefault="00117DA1" w:rsidP="00A66991">
      <w:pPr>
        <w:pStyle w:val="TOC2"/>
        <w:spacing w:after="80"/>
        <w:rPr>
          <w:rStyle w:val="Hyperlink"/>
          <w:noProof/>
        </w:rPr>
      </w:pPr>
      <w:hyperlink w:anchor="_Toc132962572" w:history="1">
        <w:r w:rsidR="00DD53AD" w:rsidRPr="007A0CA6">
          <w:rPr>
            <w:rStyle w:val="Hyperlink"/>
            <w:noProof/>
          </w:rPr>
          <w:t>The role of causation under section 30(5)</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_Toc132962572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123</w:t>
        </w:r>
        <w:r w:rsidR="00DD53AD" w:rsidRPr="00A66991">
          <w:rPr>
            <w:rStyle w:val="Hyperlink"/>
            <w:noProof/>
            <w:webHidden/>
          </w:rPr>
          <w:fldChar w:fldCharType="end"/>
        </w:r>
      </w:hyperlink>
    </w:p>
    <w:p w14:paraId="4C5BCF7B" w14:textId="5CFB8894" w:rsidR="00DD53AD" w:rsidRPr="00A66991" w:rsidRDefault="00117DA1" w:rsidP="00A66991">
      <w:pPr>
        <w:pStyle w:val="TOC2"/>
        <w:spacing w:after="80"/>
        <w:rPr>
          <w:rStyle w:val="Hyperlink"/>
          <w:noProof/>
        </w:rPr>
      </w:pPr>
      <w:hyperlink w:anchor="_Toc132962573" w:history="1">
        <w:r w:rsidR="00DD53AD" w:rsidRPr="007A0CA6">
          <w:rPr>
            <w:rStyle w:val="Hyperlink"/>
            <w:noProof/>
          </w:rPr>
          <w:t>Appendix – a model provision</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_Toc132962573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126</w:t>
        </w:r>
        <w:r w:rsidR="00DD53AD" w:rsidRPr="00A66991">
          <w:rPr>
            <w:rStyle w:val="Hyperlink"/>
            <w:noProof/>
            <w:webHidden/>
          </w:rPr>
          <w:fldChar w:fldCharType="end"/>
        </w:r>
      </w:hyperlink>
    </w:p>
    <w:p w14:paraId="79337E24" w14:textId="40A55F9A" w:rsidR="00DD53AD" w:rsidRDefault="000A7D5D">
      <w:pPr>
        <w:pStyle w:val="TOC1"/>
        <w:rPr>
          <w:rFonts w:eastAsiaTheme="minorEastAsia"/>
          <w:b w:val="0"/>
          <w:noProof/>
          <w:color w:val="auto"/>
          <w:lang w:eastAsia="en-NZ"/>
        </w:rPr>
      </w:pPr>
      <w:r w:rsidRPr="00A66991">
        <w:rPr>
          <w:rStyle w:val="Hyperlink"/>
          <w:noProof/>
          <w:u w:val="none"/>
        </w:rPr>
        <w:t>C</w:t>
      </w:r>
      <w:r w:rsidR="00A97E7E" w:rsidRPr="00A66991">
        <w:rPr>
          <w:rStyle w:val="Hyperlink"/>
          <w:noProof/>
          <w:u w:val="none"/>
        </w:rPr>
        <w:t xml:space="preserve">hapter </w:t>
      </w:r>
      <w:hyperlink w:anchor="_Toc132962574" w:history="1">
        <w:r w:rsidR="00DD53AD" w:rsidRPr="007A0CA6">
          <w:rPr>
            <w:rStyle w:val="Hyperlink"/>
            <w:noProof/>
          </w:rPr>
          <w:t>8</w:t>
        </w:r>
        <w:r w:rsidR="00A66991">
          <w:rPr>
            <w:rStyle w:val="Hyperlink"/>
            <w:noProof/>
          </w:rPr>
          <w:t>:</w:t>
        </w:r>
        <w:r w:rsidR="00DD53AD" w:rsidRPr="007A0CA6">
          <w:rPr>
            <w:rStyle w:val="Hyperlink"/>
            <w:noProof/>
          </w:rPr>
          <w:t xml:space="preserve"> </w:t>
        </w:r>
        <w:r w:rsidR="00A97E7E">
          <w:rPr>
            <w:rStyle w:val="Hyperlink"/>
            <w:rFonts w:eastAsia="Metropolis Black"/>
            <w:noProof/>
          </w:rPr>
          <w:t>P</w:t>
        </w:r>
        <w:r w:rsidR="00A97E7E" w:rsidRPr="007A0CA6">
          <w:rPr>
            <w:rStyle w:val="Hyperlink"/>
            <w:rFonts w:eastAsia="Metropolis Black"/>
            <w:noProof/>
          </w:rPr>
          <w:t>rison informants and incentivised witnesses</w:t>
        </w:r>
        <w:r w:rsidR="00DD53AD">
          <w:rPr>
            <w:noProof/>
            <w:webHidden/>
          </w:rPr>
          <w:tab/>
        </w:r>
        <w:r w:rsidR="00DD53AD">
          <w:rPr>
            <w:noProof/>
            <w:webHidden/>
          </w:rPr>
          <w:fldChar w:fldCharType="begin"/>
        </w:r>
        <w:r w:rsidR="00DD53AD">
          <w:rPr>
            <w:noProof/>
            <w:webHidden/>
          </w:rPr>
          <w:instrText xml:space="preserve"> PAGEREF _Toc132962574 \h </w:instrText>
        </w:r>
        <w:r w:rsidR="00DD53AD">
          <w:rPr>
            <w:noProof/>
            <w:webHidden/>
          </w:rPr>
        </w:r>
        <w:r w:rsidR="00DD53AD">
          <w:rPr>
            <w:noProof/>
            <w:webHidden/>
          </w:rPr>
          <w:fldChar w:fldCharType="separate"/>
        </w:r>
        <w:r w:rsidR="007F6D96">
          <w:rPr>
            <w:noProof/>
            <w:webHidden/>
          </w:rPr>
          <w:t>128</w:t>
        </w:r>
        <w:r w:rsidR="00DD53AD">
          <w:rPr>
            <w:noProof/>
            <w:webHidden/>
          </w:rPr>
          <w:fldChar w:fldCharType="end"/>
        </w:r>
      </w:hyperlink>
    </w:p>
    <w:p w14:paraId="477B30D3" w14:textId="11FC68E5" w:rsidR="00DD53AD" w:rsidRPr="00A66991" w:rsidRDefault="00117DA1" w:rsidP="00A66991">
      <w:pPr>
        <w:pStyle w:val="TOC2"/>
        <w:spacing w:after="80"/>
        <w:rPr>
          <w:rStyle w:val="Hyperlink"/>
          <w:noProof/>
        </w:rPr>
      </w:pPr>
      <w:hyperlink w:anchor="_Toc132962575" w:history="1">
        <w:r w:rsidR="00DD53AD" w:rsidRPr="007A0CA6">
          <w:rPr>
            <w:rStyle w:val="Hyperlink"/>
            <w:noProof/>
          </w:rPr>
          <w:t>Background</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_Toc132962575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128</w:t>
        </w:r>
        <w:r w:rsidR="00DD53AD" w:rsidRPr="00A66991">
          <w:rPr>
            <w:rStyle w:val="Hyperlink"/>
            <w:noProof/>
            <w:webHidden/>
          </w:rPr>
          <w:fldChar w:fldCharType="end"/>
        </w:r>
      </w:hyperlink>
    </w:p>
    <w:p w14:paraId="5C0CF155" w14:textId="06D71896" w:rsidR="00DD53AD" w:rsidRPr="00A66991" w:rsidRDefault="00117DA1" w:rsidP="00A66991">
      <w:pPr>
        <w:pStyle w:val="TOC2"/>
        <w:spacing w:after="80"/>
        <w:rPr>
          <w:rStyle w:val="Hyperlink"/>
          <w:noProof/>
        </w:rPr>
      </w:pPr>
      <w:hyperlink w:anchor="_Toc132962576" w:history="1">
        <w:r w:rsidR="00DD53AD" w:rsidRPr="007A0CA6">
          <w:rPr>
            <w:rStyle w:val="Hyperlink"/>
            <w:noProof/>
          </w:rPr>
          <w:t>Issues for consideration</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_Toc132962576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132</w:t>
        </w:r>
        <w:r w:rsidR="00DD53AD" w:rsidRPr="00A66991">
          <w:rPr>
            <w:rStyle w:val="Hyperlink"/>
            <w:noProof/>
            <w:webHidden/>
          </w:rPr>
          <w:fldChar w:fldCharType="end"/>
        </w:r>
      </w:hyperlink>
    </w:p>
    <w:p w14:paraId="77932C2F" w14:textId="27DC8CD6" w:rsidR="00DD53AD" w:rsidRPr="00A66991" w:rsidRDefault="00117DA1" w:rsidP="00A66991">
      <w:pPr>
        <w:pStyle w:val="TOC2"/>
        <w:spacing w:after="80"/>
        <w:rPr>
          <w:rStyle w:val="Hyperlink"/>
          <w:noProof/>
        </w:rPr>
      </w:pPr>
      <w:hyperlink w:anchor="_Toc132962577" w:history="1">
        <w:r w:rsidR="00DD53AD" w:rsidRPr="007A0CA6">
          <w:rPr>
            <w:rStyle w:val="Hyperlink"/>
            <w:noProof/>
          </w:rPr>
          <w:t>Admissibility of prison informant evidence</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_Toc132962577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133</w:t>
        </w:r>
        <w:r w:rsidR="00DD53AD" w:rsidRPr="00A66991">
          <w:rPr>
            <w:rStyle w:val="Hyperlink"/>
            <w:noProof/>
            <w:webHidden/>
          </w:rPr>
          <w:fldChar w:fldCharType="end"/>
        </w:r>
      </w:hyperlink>
    </w:p>
    <w:p w14:paraId="6412ECE6" w14:textId="430FF7AB" w:rsidR="00DD53AD" w:rsidRPr="00A66991" w:rsidRDefault="00117DA1" w:rsidP="00A66991">
      <w:pPr>
        <w:pStyle w:val="TOC2"/>
        <w:spacing w:after="80"/>
        <w:rPr>
          <w:rStyle w:val="Hyperlink"/>
          <w:noProof/>
        </w:rPr>
      </w:pPr>
      <w:hyperlink w:anchor="_Toc132962578" w:history="1">
        <w:r w:rsidR="00DD53AD" w:rsidRPr="007A0CA6">
          <w:rPr>
            <w:rStyle w:val="Hyperlink"/>
            <w:noProof/>
          </w:rPr>
          <w:t>Use of judicial directions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_Toc132962578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139</w:t>
        </w:r>
        <w:r w:rsidR="00DD53AD" w:rsidRPr="00A66991">
          <w:rPr>
            <w:rStyle w:val="Hyperlink"/>
            <w:noProof/>
            <w:webHidden/>
          </w:rPr>
          <w:fldChar w:fldCharType="end"/>
        </w:r>
      </w:hyperlink>
    </w:p>
    <w:p w14:paraId="45172E10" w14:textId="1F431666" w:rsidR="00DD53AD" w:rsidRPr="00A66991" w:rsidRDefault="00117DA1" w:rsidP="00A66991">
      <w:pPr>
        <w:pStyle w:val="TOC2"/>
        <w:spacing w:after="80"/>
        <w:rPr>
          <w:rStyle w:val="Hyperlink"/>
          <w:noProof/>
        </w:rPr>
      </w:pPr>
      <w:hyperlink w:anchor="_Toc132962579" w:history="1">
        <w:r w:rsidR="00DD53AD" w:rsidRPr="007A0CA6">
          <w:rPr>
            <w:rStyle w:val="Hyperlink"/>
            <w:noProof/>
          </w:rPr>
          <w:t>Additional safeguards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_Toc132962579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142</w:t>
        </w:r>
        <w:r w:rsidR="00DD53AD" w:rsidRPr="00A66991">
          <w:rPr>
            <w:rStyle w:val="Hyperlink"/>
            <w:noProof/>
            <w:webHidden/>
          </w:rPr>
          <w:fldChar w:fldCharType="end"/>
        </w:r>
      </w:hyperlink>
    </w:p>
    <w:p w14:paraId="254EF4FB" w14:textId="742336B4" w:rsidR="00DD53AD" w:rsidRPr="00A66991" w:rsidRDefault="00117DA1" w:rsidP="00A66991">
      <w:pPr>
        <w:pStyle w:val="TOC2"/>
        <w:spacing w:after="80"/>
        <w:rPr>
          <w:rStyle w:val="Hyperlink"/>
          <w:noProof/>
        </w:rPr>
      </w:pPr>
      <w:hyperlink w:anchor="_Toc132962580" w:history="1">
        <w:r w:rsidR="00DD53AD" w:rsidRPr="007A0CA6">
          <w:rPr>
            <w:rStyle w:val="Hyperlink"/>
            <w:noProof/>
          </w:rPr>
          <w:t>Other incentivised witnesses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_Toc132962580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144</w:t>
        </w:r>
        <w:r w:rsidR="00DD53AD" w:rsidRPr="00A66991">
          <w:rPr>
            <w:rStyle w:val="Hyperlink"/>
            <w:noProof/>
            <w:webHidden/>
          </w:rPr>
          <w:fldChar w:fldCharType="end"/>
        </w:r>
      </w:hyperlink>
    </w:p>
    <w:p w14:paraId="6118FA81" w14:textId="01D949A8" w:rsidR="00DD53AD" w:rsidRDefault="000A7D5D">
      <w:pPr>
        <w:pStyle w:val="TOC1"/>
        <w:rPr>
          <w:rFonts w:eastAsiaTheme="minorEastAsia"/>
          <w:b w:val="0"/>
          <w:noProof/>
          <w:color w:val="auto"/>
          <w:lang w:eastAsia="en-NZ"/>
        </w:rPr>
      </w:pPr>
      <w:r w:rsidRPr="00A66991">
        <w:rPr>
          <w:rStyle w:val="Hyperlink"/>
          <w:noProof/>
          <w:u w:val="none"/>
        </w:rPr>
        <w:t>C</w:t>
      </w:r>
      <w:r w:rsidR="00A97E7E" w:rsidRPr="00A66991">
        <w:rPr>
          <w:rStyle w:val="Hyperlink"/>
          <w:noProof/>
          <w:u w:val="none"/>
        </w:rPr>
        <w:t xml:space="preserve">hapter </w:t>
      </w:r>
      <w:hyperlink w:anchor="_Toc132962581" w:history="1">
        <w:r w:rsidR="00DD53AD" w:rsidRPr="007A0CA6">
          <w:rPr>
            <w:rStyle w:val="Hyperlink"/>
            <w:noProof/>
          </w:rPr>
          <w:t>9</w:t>
        </w:r>
        <w:r w:rsidR="00A66991">
          <w:rPr>
            <w:rStyle w:val="Hyperlink"/>
            <w:noProof/>
          </w:rPr>
          <w:t>:</w:t>
        </w:r>
        <w:r w:rsidR="00DD53AD" w:rsidRPr="007A0CA6">
          <w:rPr>
            <w:rStyle w:val="Hyperlink"/>
            <w:noProof/>
          </w:rPr>
          <w:t xml:space="preserve"> </w:t>
        </w:r>
        <w:r w:rsidR="00A97E7E">
          <w:rPr>
            <w:rStyle w:val="Hyperlink"/>
            <w:rFonts w:eastAsia="Metropolis Black"/>
            <w:noProof/>
          </w:rPr>
          <w:t>V</w:t>
        </w:r>
        <w:r w:rsidR="00A97E7E" w:rsidRPr="007A0CA6">
          <w:rPr>
            <w:rStyle w:val="Hyperlink"/>
            <w:rFonts w:eastAsia="Metropolis Black"/>
            <w:noProof/>
          </w:rPr>
          <w:t>eracity evidence</w:t>
        </w:r>
        <w:r w:rsidR="00DD53AD">
          <w:rPr>
            <w:noProof/>
            <w:webHidden/>
          </w:rPr>
          <w:tab/>
        </w:r>
        <w:r w:rsidR="00DD53AD">
          <w:rPr>
            <w:noProof/>
            <w:webHidden/>
          </w:rPr>
          <w:fldChar w:fldCharType="begin"/>
        </w:r>
        <w:r w:rsidR="00DD53AD">
          <w:rPr>
            <w:noProof/>
            <w:webHidden/>
          </w:rPr>
          <w:instrText xml:space="preserve"> PAGEREF _Toc132962581 \h </w:instrText>
        </w:r>
        <w:r w:rsidR="00DD53AD">
          <w:rPr>
            <w:noProof/>
            <w:webHidden/>
          </w:rPr>
        </w:r>
        <w:r w:rsidR="00DD53AD">
          <w:rPr>
            <w:noProof/>
            <w:webHidden/>
          </w:rPr>
          <w:fldChar w:fldCharType="separate"/>
        </w:r>
        <w:r w:rsidR="007F6D96">
          <w:rPr>
            <w:noProof/>
            <w:webHidden/>
          </w:rPr>
          <w:t>147</w:t>
        </w:r>
        <w:r w:rsidR="00DD53AD">
          <w:rPr>
            <w:noProof/>
            <w:webHidden/>
          </w:rPr>
          <w:fldChar w:fldCharType="end"/>
        </w:r>
      </w:hyperlink>
    </w:p>
    <w:p w14:paraId="164EFEFB" w14:textId="18C2AA02" w:rsidR="00DD53AD" w:rsidRPr="00A66991" w:rsidRDefault="00117DA1" w:rsidP="00A66991">
      <w:pPr>
        <w:pStyle w:val="TOC2"/>
        <w:spacing w:after="80"/>
        <w:rPr>
          <w:rStyle w:val="Hyperlink"/>
          <w:noProof/>
        </w:rPr>
      </w:pPr>
      <w:hyperlink w:anchor="_Toc132962582" w:history="1">
        <w:r w:rsidR="00DD53AD" w:rsidRPr="007A0CA6">
          <w:rPr>
            <w:rStyle w:val="Hyperlink"/>
            <w:noProof/>
          </w:rPr>
          <w:t>Scope of the veracity provisions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_Toc132962582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147</w:t>
        </w:r>
        <w:r w:rsidR="00DD53AD" w:rsidRPr="00A66991">
          <w:rPr>
            <w:rStyle w:val="Hyperlink"/>
            <w:noProof/>
            <w:webHidden/>
          </w:rPr>
          <w:fldChar w:fldCharType="end"/>
        </w:r>
      </w:hyperlink>
    </w:p>
    <w:p w14:paraId="6F98AE09" w14:textId="546AA3FF" w:rsidR="00DD53AD" w:rsidRPr="00A66991" w:rsidRDefault="00117DA1" w:rsidP="00A66991">
      <w:pPr>
        <w:pStyle w:val="TOC2"/>
        <w:spacing w:after="80"/>
        <w:rPr>
          <w:rStyle w:val="Hyperlink"/>
          <w:noProof/>
        </w:rPr>
      </w:pPr>
      <w:hyperlink w:anchor="_Toc132962583" w:history="1">
        <w:r w:rsidR="00DD53AD" w:rsidRPr="007A0CA6">
          <w:rPr>
            <w:rStyle w:val="Hyperlink"/>
            <w:noProof/>
          </w:rPr>
          <w:t>Application of section 38(2) when the defendant puts veracity in issue</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_Toc132962583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154</w:t>
        </w:r>
        <w:r w:rsidR="00DD53AD" w:rsidRPr="00A66991">
          <w:rPr>
            <w:rStyle w:val="Hyperlink"/>
            <w:noProof/>
            <w:webHidden/>
          </w:rPr>
          <w:fldChar w:fldCharType="end"/>
        </w:r>
      </w:hyperlink>
    </w:p>
    <w:p w14:paraId="4F597AB7" w14:textId="28F0A684" w:rsidR="00DD53AD" w:rsidRPr="00A66991" w:rsidRDefault="00117DA1" w:rsidP="00A66991">
      <w:pPr>
        <w:pStyle w:val="TOC2"/>
        <w:spacing w:after="80"/>
        <w:rPr>
          <w:rStyle w:val="Hyperlink"/>
          <w:noProof/>
        </w:rPr>
      </w:pPr>
      <w:hyperlink w:anchor="_Toc132962584" w:history="1">
        <w:r w:rsidR="00DD53AD" w:rsidRPr="007A0CA6">
          <w:rPr>
            <w:rStyle w:val="Hyperlink"/>
            <w:noProof/>
          </w:rPr>
          <w:t>The use of the term “veracity” in other parts of the Act</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_Toc132962584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159</w:t>
        </w:r>
        <w:r w:rsidR="00DD53AD" w:rsidRPr="00A66991">
          <w:rPr>
            <w:rStyle w:val="Hyperlink"/>
            <w:noProof/>
            <w:webHidden/>
          </w:rPr>
          <w:fldChar w:fldCharType="end"/>
        </w:r>
      </w:hyperlink>
    </w:p>
    <w:p w14:paraId="36C5AA9A" w14:textId="41F90430" w:rsidR="00DD53AD" w:rsidRDefault="000A7D5D">
      <w:pPr>
        <w:pStyle w:val="TOC1"/>
        <w:rPr>
          <w:rFonts w:eastAsiaTheme="minorEastAsia"/>
          <w:b w:val="0"/>
          <w:noProof/>
          <w:color w:val="auto"/>
          <w:lang w:eastAsia="en-NZ"/>
        </w:rPr>
      </w:pPr>
      <w:r w:rsidRPr="00A66991">
        <w:rPr>
          <w:rStyle w:val="Hyperlink"/>
          <w:noProof/>
          <w:u w:val="none"/>
        </w:rPr>
        <w:t>C</w:t>
      </w:r>
      <w:r w:rsidR="00A97E7E" w:rsidRPr="00A66991">
        <w:rPr>
          <w:rStyle w:val="Hyperlink"/>
          <w:noProof/>
          <w:u w:val="none"/>
        </w:rPr>
        <w:t xml:space="preserve">hapter </w:t>
      </w:r>
      <w:hyperlink w:anchor="_Toc132962585" w:history="1">
        <w:r w:rsidR="00DD53AD" w:rsidRPr="007A0CA6">
          <w:rPr>
            <w:rStyle w:val="Hyperlink"/>
            <w:noProof/>
          </w:rPr>
          <w:t>10</w:t>
        </w:r>
        <w:r w:rsidR="00A66991">
          <w:rPr>
            <w:rStyle w:val="Hyperlink"/>
            <w:noProof/>
          </w:rPr>
          <w:t>:</w:t>
        </w:r>
        <w:r w:rsidR="00DD53AD" w:rsidRPr="007A0CA6">
          <w:rPr>
            <w:rStyle w:val="Hyperlink"/>
            <w:noProof/>
          </w:rPr>
          <w:t xml:space="preserve"> </w:t>
        </w:r>
        <w:r w:rsidR="00A97E7E">
          <w:rPr>
            <w:rStyle w:val="Hyperlink"/>
            <w:rFonts w:eastAsia="Metropolis Black"/>
            <w:noProof/>
          </w:rPr>
          <w:t>P</w:t>
        </w:r>
        <w:r w:rsidR="00A97E7E" w:rsidRPr="007A0CA6">
          <w:rPr>
            <w:rStyle w:val="Hyperlink"/>
            <w:rFonts w:eastAsia="Metropolis Black"/>
            <w:noProof/>
          </w:rPr>
          <w:t>ropensity evidence</w:t>
        </w:r>
        <w:r w:rsidR="00DD53AD">
          <w:rPr>
            <w:noProof/>
            <w:webHidden/>
          </w:rPr>
          <w:tab/>
        </w:r>
        <w:r w:rsidR="00DD53AD">
          <w:rPr>
            <w:noProof/>
            <w:webHidden/>
          </w:rPr>
          <w:fldChar w:fldCharType="begin"/>
        </w:r>
        <w:r w:rsidR="00DD53AD">
          <w:rPr>
            <w:noProof/>
            <w:webHidden/>
          </w:rPr>
          <w:instrText xml:space="preserve"> PAGEREF _Toc132962585 \h </w:instrText>
        </w:r>
        <w:r w:rsidR="00DD53AD">
          <w:rPr>
            <w:noProof/>
            <w:webHidden/>
          </w:rPr>
        </w:r>
        <w:r w:rsidR="00DD53AD">
          <w:rPr>
            <w:noProof/>
            <w:webHidden/>
          </w:rPr>
          <w:fldChar w:fldCharType="separate"/>
        </w:r>
        <w:r w:rsidR="007F6D96">
          <w:rPr>
            <w:noProof/>
            <w:webHidden/>
          </w:rPr>
          <w:t>162</w:t>
        </w:r>
        <w:r w:rsidR="00DD53AD">
          <w:rPr>
            <w:noProof/>
            <w:webHidden/>
          </w:rPr>
          <w:fldChar w:fldCharType="end"/>
        </w:r>
      </w:hyperlink>
    </w:p>
    <w:p w14:paraId="582EB3E7" w14:textId="4738491C" w:rsidR="00DD53AD" w:rsidRPr="00A66991" w:rsidRDefault="00117DA1" w:rsidP="00A66991">
      <w:pPr>
        <w:pStyle w:val="TOC2"/>
        <w:spacing w:after="80"/>
        <w:rPr>
          <w:rStyle w:val="Hyperlink"/>
          <w:noProof/>
        </w:rPr>
      </w:pPr>
      <w:hyperlink w:anchor="_Toc132962586" w:history="1">
        <w:r w:rsidR="00DD53AD" w:rsidRPr="007A0CA6">
          <w:rPr>
            <w:rStyle w:val="Hyperlink"/>
            <w:noProof/>
          </w:rPr>
          <w:t>Background</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_Toc132962586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162</w:t>
        </w:r>
        <w:r w:rsidR="00DD53AD" w:rsidRPr="00A66991">
          <w:rPr>
            <w:rStyle w:val="Hyperlink"/>
            <w:noProof/>
            <w:webHidden/>
          </w:rPr>
          <w:fldChar w:fldCharType="end"/>
        </w:r>
      </w:hyperlink>
    </w:p>
    <w:p w14:paraId="12B89C95" w14:textId="734CECEB" w:rsidR="00DD53AD" w:rsidRPr="00A66991" w:rsidRDefault="00117DA1" w:rsidP="00A66991">
      <w:pPr>
        <w:pStyle w:val="TOC2"/>
        <w:spacing w:after="80"/>
        <w:rPr>
          <w:rStyle w:val="Hyperlink"/>
          <w:noProof/>
        </w:rPr>
      </w:pPr>
      <w:hyperlink w:anchor="_Toc132962587" w:history="1">
        <w:r w:rsidR="00DD53AD" w:rsidRPr="007A0CA6">
          <w:rPr>
            <w:rStyle w:val="Hyperlink"/>
            <w:noProof/>
          </w:rPr>
          <w:t>The general operation of section 43(1)</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_Toc132962587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163</w:t>
        </w:r>
        <w:r w:rsidR="00DD53AD" w:rsidRPr="00A66991">
          <w:rPr>
            <w:rStyle w:val="Hyperlink"/>
            <w:noProof/>
            <w:webHidden/>
          </w:rPr>
          <w:fldChar w:fldCharType="end"/>
        </w:r>
      </w:hyperlink>
    </w:p>
    <w:p w14:paraId="4F5BB6AD" w14:textId="541A01B8" w:rsidR="00DD53AD" w:rsidRPr="00A66991" w:rsidRDefault="00117DA1" w:rsidP="00A66991">
      <w:pPr>
        <w:pStyle w:val="TOC2"/>
        <w:spacing w:after="80"/>
        <w:rPr>
          <w:rStyle w:val="Hyperlink"/>
          <w:noProof/>
        </w:rPr>
      </w:pPr>
      <w:hyperlink w:anchor="_Toc132962588" w:history="1">
        <w:r w:rsidR="00DD53AD" w:rsidRPr="007A0CA6">
          <w:rPr>
            <w:rStyle w:val="Hyperlink"/>
            <w:noProof/>
          </w:rPr>
          <w:t>Prior acquittal evidence</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_Toc132962588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170</w:t>
        </w:r>
        <w:r w:rsidR="00DD53AD" w:rsidRPr="00A66991">
          <w:rPr>
            <w:rStyle w:val="Hyperlink"/>
            <w:noProof/>
            <w:webHidden/>
          </w:rPr>
          <w:fldChar w:fldCharType="end"/>
        </w:r>
      </w:hyperlink>
    </w:p>
    <w:p w14:paraId="0C7BEDAE" w14:textId="1982ED26" w:rsidR="00DD53AD" w:rsidRPr="00A66991" w:rsidRDefault="00117DA1" w:rsidP="00A66991">
      <w:pPr>
        <w:pStyle w:val="TOC2"/>
        <w:spacing w:after="80"/>
        <w:rPr>
          <w:rStyle w:val="Hyperlink"/>
          <w:noProof/>
        </w:rPr>
      </w:pPr>
      <w:hyperlink w:anchor="_Toc132962589" w:history="1">
        <w:r w:rsidR="00DD53AD" w:rsidRPr="007A0CA6">
          <w:rPr>
            <w:rStyle w:val="Hyperlink"/>
            <w:noProof/>
          </w:rPr>
          <w:t>The unusualness factor in section 43(3)</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_Toc132962589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174</w:t>
        </w:r>
        <w:r w:rsidR="00DD53AD" w:rsidRPr="00A66991">
          <w:rPr>
            <w:rStyle w:val="Hyperlink"/>
            <w:noProof/>
            <w:webHidden/>
          </w:rPr>
          <w:fldChar w:fldCharType="end"/>
        </w:r>
      </w:hyperlink>
    </w:p>
    <w:p w14:paraId="0959F618" w14:textId="0BF437E5" w:rsidR="00DD53AD" w:rsidRPr="00A66991" w:rsidRDefault="00117DA1" w:rsidP="00A66991">
      <w:pPr>
        <w:pStyle w:val="TOC2"/>
        <w:spacing w:after="80"/>
        <w:rPr>
          <w:rStyle w:val="Hyperlink"/>
          <w:noProof/>
        </w:rPr>
      </w:pPr>
      <w:hyperlink w:anchor="_Toc132962590" w:history="1">
        <w:r w:rsidR="00DD53AD" w:rsidRPr="007A0CA6">
          <w:rPr>
            <w:rStyle w:val="Hyperlink"/>
            <w:noProof/>
          </w:rPr>
          <w:t>Relevance of reliability</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_Toc132962590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176</w:t>
        </w:r>
        <w:r w:rsidR="00DD53AD" w:rsidRPr="00A66991">
          <w:rPr>
            <w:rStyle w:val="Hyperlink"/>
            <w:noProof/>
            <w:webHidden/>
          </w:rPr>
          <w:fldChar w:fldCharType="end"/>
        </w:r>
      </w:hyperlink>
    </w:p>
    <w:p w14:paraId="5B42ADF1" w14:textId="07515465" w:rsidR="00DD53AD" w:rsidRDefault="000A7D5D">
      <w:pPr>
        <w:pStyle w:val="TOC1"/>
        <w:rPr>
          <w:rFonts w:eastAsiaTheme="minorEastAsia"/>
          <w:b w:val="0"/>
          <w:noProof/>
          <w:color w:val="auto"/>
          <w:lang w:eastAsia="en-NZ"/>
        </w:rPr>
      </w:pPr>
      <w:r w:rsidRPr="00A66991">
        <w:rPr>
          <w:rStyle w:val="Hyperlink"/>
          <w:noProof/>
          <w:u w:val="none"/>
        </w:rPr>
        <w:t>C</w:t>
      </w:r>
      <w:r w:rsidR="00A97E7E" w:rsidRPr="00A66991">
        <w:rPr>
          <w:rStyle w:val="Hyperlink"/>
          <w:noProof/>
          <w:u w:val="none"/>
        </w:rPr>
        <w:t xml:space="preserve">hapter </w:t>
      </w:r>
      <w:hyperlink w:anchor="_Toc132962591" w:history="1">
        <w:r w:rsidR="00DD53AD" w:rsidRPr="007A0CA6">
          <w:rPr>
            <w:rStyle w:val="Hyperlink"/>
            <w:noProof/>
          </w:rPr>
          <w:t>11</w:t>
        </w:r>
        <w:r w:rsidR="00A66991">
          <w:rPr>
            <w:rStyle w:val="Hyperlink"/>
            <w:noProof/>
          </w:rPr>
          <w:t>:</w:t>
        </w:r>
        <w:r w:rsidR="00DD53AD" w:rsidRPr="007A0CA6">
          <w:rPr>
            <w:rStyle w:val="Hyperlink"/>
            <w:noProof/>
          </w:rPr>
          <w:t xml:space="preserve"> </w:t>
        </w:r>
        <w:r w:rsidR="00A97E7E">
          <w:rPr>
            <w:rStyle w:val="Hyperlink"/>
            <w:rFonts w:eastAsia="Metropolis Black"/>
            <w:noProof/>
          </w:rPr>
          <w:t>I</w:t>
        </w:r>
        <w:r w:rsidR="00A97E7E" w:rsidRPr="007A0CA6">
          <w:rPr>
            <w:rStyle w:val="Hyperlink"/>
            <w:rFonts w:eastAsia="Metropolis Black"/>
            <w:noProof/>
          </w:rPr>
          <w:t>dentification evidence</w:t>
        </w:r>
        <w:r w:rsidR="00DD53AD">
          <w:rPr>
            <w:noProof/>
            <w:webHidden/>
          </w:rPr>
          <w:tab/>
        </w:r>
        <w:r w:rsidR="00DD53AD">
          <w:rPr>
            <w:noProof/>
            <w:webHidden/>
          </w:rPr>
          <w:fldChar w:fldCharType="begin"/>
        </w:r>
        <w:r w:rsidR="00DD53AD">
          <w:rPr>
            <w:noProof/>
            <w:webHidden/>
          </w:rPr>
          <w:instrText xml:space="preserve"> PAGEREF _Toc132962591 \h </w:instrText>
        </w:r>
        <w:r w:rsidR="00DD53AD">
          <w:rPr>
            <w:noProof/>
            <w:webHidden/>
          </w:rPr>
        </w:r>
        <w:r w:rsidR="00DD53AD">
          <w:rPr>
            <w:noProof/>
            <w:webHidden/>
          </w:rPr>
          <w:fldChar w:fldCharType="separate"/>
        </w:r>
        <w:r w:rsidR="007F6D96">
          <w:rPr>
            <w:noProof/>
            <w:webHidden/>
          </w:rPr>
          <w:t>180</w:t>
        </w:r>
        <w:r w:rsidR="00DD53AD">
          <w:rPr>
            <w:noProof/>
            <w:webHidden/>
          </w:rPr>
          <w:fldChar w:fldCharType="end"/>
        </w:r>
      </w:hyperlink>
    </w:p>
    <w:p w14:paraId="2817CB5F" w14:textId="304D6370" w:rsidR="00DD53AD" w:rsidRPr="00A66991" w:rsidRDefault="00117DA1" w:rsidP="00A66991">
      <w:pPr>
        <w:pStyle w:val="TOC2"/>
        <w:spacing w:after="80"/>
        <w:rPr>
          <w:rStyle w:val="Hyperlink"/>
          <w:noProof/>
        </w:rPr>
      </w:pPr>
      <w:hyperlink w:anchor="_Toc132962592" w:history="1">
        <w:r w:rsidR="00DD53AD" w:rsidRPr="007A0CA6">
          <w:rPr>
            <w:rStyle w:val="Hyperlink"/>
            <w:noProof/>
          </w:rPr>
          <w:t>Definition of visual identification evidence</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_Toc132962592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180</w:t>
        </w:r>
        <w:r w:rsidR="00DD53AD" w:rsidRPr="00A66991">
          <w:rPr>
            <w:rStyle w:val="Hyperlink"/>
            <w:noProof/>
            <w:webHidden/>
          </w:rPr>
          <w:fldChar w:fldCharType="end"/>
        </w:r>
      </w:hyperlink>
    </w:p>
    <w:p w14:paraId="33E1C6AA" w14:textId="7D976FEF" w:rsidR="00DD53AD" w:rsidRPr="00A66991" w:rsidRDefault="00117DA1" w:rsidP="00A66991">
      <w:pPr>
        <w:pStyle w:val="TOC2"/>
        <w:spacing w:after="80"/>
        <w:rPr>
          <w:rStyle w:val="Hyperlink"/>
          <w:noProof/>
        </w:rPr>
      </w:pPr>
      <w:hyperlink w:anchor="_Toc132962593" w:history="1">
        <w:r w:rsidR="00DD53AD" w:rsidRPr="007A0CA6">
          <w:rPr>
            <w:rStyle w:val="Hyperlink"/>
            <w:noProof/>
          </w:rPr>
          <w:t>Requirements for formal visual identification procedures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_Toc132962593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185</w:t>
        </w:r>
        <w:r w:rsidR="00DD53AD" w:rsidRPr="00A66991">
          <w:rPr>
            <w:rStyle w:val="Hyperlink"/>
            <w:noProof/>
            <w:webHidden/>
          </w:rPr>
          <w:fldChar w:fldCharType="end"/>
        </w:r>
      </w:hyperlink>
    </w:p>
    <w:p w14:paraId="778F48B6" w14:textId="754E432D" w:rsidR="00DD53AD" w:rsidRDefault="000A7D5D">
      <w:pPr>
        <w:pStyle w:val="TOC1"/>
        <w:rPr>
          <w:rFonts w:eastAsiaTheme="minorEastAsia"/>
          <w:b w:val="0"/>
          <w:noProof/>
          <w:color w:val="auto"/>
          <w:lang w:eastAsia="en-NZ"/>
        </w:rPr>
      </w:pPr>
      <w:r w:rsidRPr="00A66991">
        <w:rPr>
          <w:rStyle w:val="Hyperlink"/>
          <w:noProof/>
          <w:u w:val="none"/>
        </w:rPr>
        <w:t>C</w:t>
      </w:r>
      <w:r w:rsidR="00A97E7E" w:rsidRPr="00A66991">
        <w:rPr>
          <w:rStyle w:val="Hyperlink"/>
          <w:noProof/>
          <w:u w:val="none"/>
        </w:rPr>
        <w:t xml:space="preserve">hapter </w:t>
      </w:r>
      <w:hyperlink w:anchor="_Toc132962594" w:history="1">
        <w:r w:rsidR="00DD53AD" w:rsidRPr="007A0CA6">
          <w:rPr>
            <w:rStyle w:val="Hyperlink"/>
            <w:noProof/>
          </w:rPr>
          <w:t>12</w:t>
        </w:r>
        <w:r w:rsidR="00A66991">
          <w:rPr>
            <w:rStyle w:val="Hyperlink"/>
            <w:noProof/>
          </w:rPr>
          <w:t>:</w:t>
        </w:r>
        <w:r w:rsidR="00DD53AD" w:rsidRPr="007A0CA6">
          <w:rPr>
            <w:rStyle w:val="Hyperlink"/>
            <w:noProof/>
          </w:rPr>
          <w:t xml:space="preserve"> </w:t>
        </w:r>
        <w:r w:rsidR="00A97E7E">
          <w:rPr>
            <w:rStyle w:val="Hyperlink"/>
            <w:rFonts w:eastAsia="Metropolis Black"/>
            <w:noProof/>
          </w:rPr>
          <w:t>M</w:t>
        </w:r>
        <w:r w:rsidR="00A97E7E" w:rsidRPr="007A0CA6">
          <w:rPr>
            <w:rStyle w:val="Hyperlink"/>
            <w:rFonts w:eastAsia="Metropolis Black"/>
            <w:noProof/>
          </w:rPr>
          <w:t>edical privilege</w:t>
        </w:r>
        <w:r w:rsidR="00DD53AD">
          <w:rPr>
            <w:noProof/>
            <w:webHidden/>
          </w:rPr>
          <w:tab/>
        </w:r>
        <w:r w:rsidR="00DD53AD">
          <w:rPr>
            <w:noProof/>
            <w:webHidden/>
          </w:rPr>
          <w:fldChar w:fldCharType="begin"/>
        </w:r>
        <w:r w:rsidR="00DD53AD">
          <w:rPr>
            <w:noProof/>
            <w:webHidden/>
          </w:rPr>
          <w:instrText xml:space="preserve"> PAGEREF _Toc132962594 \h </w:instrText>
        </w:r>
        <w:r w:rsidR="00DD53AD">
          <w:rPr>
            <w:noProof/>
            <w:webHidden/>
          </w:rPr>
        </w:r>
        <w:r w:rsidR="00DD53AD">
          <w:rPr>
            <w:noProof/>
            <w:webHidden/>
          </w:rPr>
          <w:fldChar w:fldCharType="separate"/>
        </w:r>
        <w:r w:rsidR="007F6D96">
          <w:rPr>
            <w:noProof/>
            <w:webHidden/>
          </w:rPr>
          <w:t>186</w:t>
        </w:r>
        <w:r w:rsidR="00DD53AD">
          <w:rPr>
            <w:noProof/>
            <w:webHidden/>
          </w:rPr>
          <w:fldChar w:fldCharType="end"/>
        </w:r>
      </w:hyperlink>
    </w:p>
    <w:p w14:paraId="4EE56FF8" w14:textId="6951EB30" w:rsidR="00DD53AD" w:rsidRPr="00A66991" w:rsidRDefault="00117DA1" w:rsidP="00A66991">
      <w:pPr>
        <w:pStyle w:val="TOC2"/>
        <w:spacing w:after="80"/>
        <w:rPr>
          <w:rStyle w:val="Hyperlink"/>
          <w:noProof/>
        </w:rPr>
      </w:pPr>
      <w:hyperlink w:anchor="_Toc132962595" w:history="1">
        <w:r w:rsidR="00DD53AD" w:rsidRPr="007A0CA6">
          <w:rPr>
            <w:rStyle w:val="Hyperlink"/>
            <w:noProof/>
          </w:rPr>
          <w:t>Background</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_Toc132962595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186</w:t>
        </w:r>
        <w:r w:rsidR="00DD53AD" w:rsidRPr="00A66991">
          <w:rPr>
            <w:rStyle w:val="Hyperlink"/>
            <w:noProof/>
            <w:webHidden/>
          </w:rPr>
          <w:fldChar w:fldCharType="end"/>
        </w:r>
      </w:hyperlink>
    </w:p>
    <w:p w14:paraId="53054EB1" w14:textId="52B5E394" w:rsidR="00DD53AD" w:rsidRPr="00A66991" w:rsidRDefault="00117DA1" w:rsidP="00A66991">
      <w:pPr>
        <w:pStyle w:val="TOC2"/>
        <w:spacing w:after="80"/>
        <w:rPr>
          <w:rStyle w:val="Hyperlink"/>
          <w:noProof/>
        </w:rPr>
      </w:pPr>
      <w:hyperlink w:anchor="_Toc132962596" w:history="1">
        <w:r w:rsidR="00DD53AD" w:rsidRPr="007A0CA6">
          <w:rPr>
            <w:rStyle w:val="Hyperlink"/>
            <w:noProof/>
          </w:rPr>
          <w:t>Scope of the section 59(1)(b) exception</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_Toc132962596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188</w:t>
        </w:r>
        <w:r w:rsidR="00DD53AD" w:rsidRPr="00A66991">
          <w:rPr>
            <w:rStyle w:val="Hyperlink"/>
            <w:noProof/>
            <w:webHidden/>
          </w:rPr>
          <w:fldChar w:fldCharType="end"/>
        </w:r>
      </w:hyperlink>
    </w:p>
    <w:p w14:paraId="0DA8AEBA" w14:textId="69B424FA" w:rsidR="00DD53AD" w:rsidRPr="00A66991" w:rsidRDefault="00117DA1" w:rsidP="00A66991">
      <w:pPr>
        <w:pStyle w:val="TOC2"/>
        <w:spacing w:after="80"/>
        <w:rPr>
          <w:rStyle w:val="Hyperlink"/>
          <w:noProof/>
        </w:rPr>
      </w:pPr>
      <w:hyperlink w:anchor="_Toc132962597" w:history="1">
        <w:r w:rsidR="00DD53AD" w:rsidRPr="007A0CA6">
          <w:rPr>
            <w:rStyle w:val="Hyperlink"/>
            <w:noProof/>
          </w:rPr>
          <w:t>Acting “on behalf of” a medical practitioner or clinical psychologist</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_Toc132962597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193</w:t>
        </w:r>
        <w:r w:rsidR="00DD53AD" w:rsidRPr="00A66991">
          <w:rPr>
            <w:rStyle w:val="Hyperlink"/>
            <w:noProof/>
            <w:webHidden/>
          </w:rPr>
          <w:fldChar w:fldCharType="end"/>
        </w:r>
      </w:hyperlink>
    </w:p>
    <w:p w14:paraId="1B43C18E" w14:textId="43C3D0D1" w:rsidR="00DD53AD" w:rsidRDefault="000A7D5D">
      <w:pPr>
        <w:pStyle w:val="TOC1"/>
        <w:rPr>
          <w:rFonts w:eastAsiaTheme="minorEastAsia"/>
          <w:b w:val="0"/>
          <w:noProof/>
          <w:color w:val="auto"/>
          <w:lang w:eastAsia="en-NZ"/>
        </w:rPr>
      </w:pPr>
      <w:r w:rsidRPr="00A66991">
        <w:rPr>
          <w:rStyle w:val="Hyperlink"/>
          <w:noProof/>
          <w:u w:val="none"/>
        </w:rPr>
        <w:t>C</w:t>
      </w:r>
      <w:r w:rsidR="00A97E7E" w:rsidRPr="00A66991">
        <w:rPr>
          <w:rStyle w:val="Hyperlink"/>
          <w:noProof/>
          <w:u w:val="none"/>
        </w:rPr>
        <w:t xml:space="preserve">hapter </w:t>
      </w:r>
      <w:hyperlink w:anchor="_Toc132962598" w:history="1">
        <w:r w:rsidR="00DD53AD" w:rsidRPr="007A0CA6">
          <w:rPr>
            <w:rStyle w:val="Hyperlink"/>
            <w:noProof/>
          </w:rPr>
          <w:t>13</w:t>
        </w:r>
        <w:r w:rsidR="00A66991">
          <w:rPr>
            <w:rStyle w:val="Hyperlink"/>
            <w:noProof/>
          </w:rPr>
          <w:t>:</w:t>
        </w:r>
        <w:r w:rsidR="00DD53AD" w:rsidRPr="007A0CA6">
          <w:rPr>
            <w:rStyle w:val="Hyperlink"/>
            <w:noProof/>
          </w:rPr>
          <w:t xml:space="preserve"> </w:t>
        </w:r>
        <w:r w:rsidR="00A97E7E">
          <w:rPr>
            <w:rStyle w:val="Hyperlink"/>
            <w:rFonts w:eastAsia="Metropolis Black"/>
            <w:noProof/>
          </w:rPr>
          <w:t>O</w:t>
        </w:r>
        <w:r w:rsidR="00A97E7E" w:rsidRPr="007A0CA6">
          <w:rPr>
            <w:rStyle w:val="Hyperlink"/>
            <w:rFonts w:eastAsia="Metropolis Black"/>
            <w:noProof/>
          </w:rPr>
          <w:t>ther privilege issues</w:t>
        </w:r>
        <w:r w:rsidR="00DD53AD">
          <w:rPr>
            <w:noProof/>
            <w:webHidden/>
          </w:rPr>
          <w:tab/>
        </w:r>
        <w:r w:rsidR="00DD53AD">
          <w:rPr>
            <w:noProof/>
            <w:webHidden/>
          </w:rPr>
          <w:fldChar w:fldCharType="begin"/>
        </w:r>
        <w:r w:rsidR="00DD53AD">
          <w:rPr>
            <w:noProof/>
            <w:webHidden/>
          </w:rPr>
          <w:instrText xml:space="preserve"> PAGEREF _Toc132962598 \h </w:instrText>
        </w:r>
        <w:r w:rsidR="00DD53AD">
          <w:rPr>
            <w:noProof/>
            <w:webHidden/>
          </w:rPr>
        </w:r>
        <w:r w:rsidR="00DD53AD">
          <w:rPr>
            <w:noProof/>
            <w:webHidden/>
          </w:rPr>
          <w:fldChar w:fldCharType="separate"/>
        </w:r>
        <w:r w:rsidR="007F6D96">
          <w:rPr>
            <w:noProof/>
            <w:webHidden/>
          </w:rPr>
          <w:t>200</w:t>
        </w:r>
        <w:r w:rsidR="00DD53AD">
          <w:rPr>
            <w:noProof/>
            <w:webHidden/>
          </w:rPr>
          <w:fldChar w:fldCharType="end"/>
        </w:r>
      </w:hyperlink>
    </w:p>
    <w:p w14:paraId="11652FF8" w14:textId="5292E6E4" w:rsidR="00DD53AD" w:rsidRPr="00A66991" w:rsidRDefault="00117DA1" w:rsidP="00A66991">
      <w:pPr>
        <w:pStyle w:val="TOC2"/>
        <w:spacing w:after="80"/>
        <w:rPr>
          <w:rStyle w:val="Hyperlink"/>
          <w:noProof/>
        </w:rPr>
      </w:pPr>
      <w:hyperlink w:anchor="_Toc132962599" w:history="1">
        <w:r w:rsidR="00DD53AD" w:rsidRPr="00A66991">
          <w:rPr>
            <w:rStyle w:val="Hyperlink"/>
            <w:noProof/>
          </w:rPr>
          <w:t>Legal advice privilege and documents prepared but not communicated between clients and legal advisers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_Toc132962599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200</w:t>
        </w:r>
        <w:r w:rsidR="00DD53AD" w:rsidRPr="00A66991">
          <w:rPr>
            <w:rStyle w:val="Hyperlink"/>
            <w:noProof/>
            <w:webHidden/>
          </w:rPr>
          <w:fldChar w:fldCharType="end"/>
        </w:r>
      </w:hyperlink>
    </w:p>
    <w:p w14:paraId="71EDE63A" w14:textId="348E1089" w:rsidR="00DD53AD" w:rsidRPr="00A66991" w:rsidRDefault="00117DA1" w:rsidP="00A66991">
      <w:pPr>
        <w:pStyle w:val="TOC2"/>
        <w:spacing w:after="80"/>
        <w:rPr>
          <w:rStyle w:val="Hyperlink"/>
          <w:noProof/>
        </w:rPr>
      </w:pPr>
      <w:hyperlink w:anchor="_Toc132962600" w:history="1">
        <w:r w:rsidR="00DD53AD" w:rsidRPr="007A0CA6">
          <w:rPr>
            <w:rStyle w:val="Hyperlink"/>
            <w:noProof/>
          </w:rPr>
          <w:t>Termination of litigation privilege</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_Toc132962600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202</w:t>
        </w:r>
        <w:r w:rsidR="00DD53AD" w:rsidRPr="00A66991">
          <w:rPr>
            <w:rStyle w:val="Hyperlink"/>
            <w:noProof/>
            <w:webHidden/>
          </w:rPr>
          <w:fldChar w:fldCharType="end"/>
        </w:r>
      </w:hyperlink>
    </w:p>
    <w:p w14:paraId="4EA6348F" w14:textId="100FA0AA" w:rsidR="00DD53AD" w:rsidRPr="00A66991" w:rsidRDefault="00117DA1" w:rsidP="00A66991">
      <w:pPr>
        <w:pStyle w:val="TOC2"/>
        <w:spacing w:after="80"/>
        <w:rPr>
          <w:rStyle w:val="Hyperlink"/>
          <w:noProof/>
        </w:rPr>
      </w:pPr>
      <w:hyperlink w:anchor="_Toc132962601" w:history="1">
        <w:r w:rsidR="00DD53AD" w:rsidRPr="007A0CA6">
          <w:rPr>
            <w:rStyle w:val="Hyperlink"/>
            <w:noProof/>
          </w:rPr>
          <w:t>Litigation privilege and confidentiality</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_Toc132962601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206</w:t>
        </w:r>
        <w:r w:rsidR="00DD53AD" w:rsidRPr="00A66991">
          <w:rPr>
            <w:rStyle w:val="Hyperlink"/>
            <w:noProof/>
            <w:webHidden/>
          </w:rPr>
          <w:fldChar w:fldCharType="end"/>
        </w:r>
      </w:hyperlink>
    </w:p>
    <w:p w14:paraId="593B2498" w14:textId="1C83BBCD" w:rsidR="00DD53AD" w:rsidRPr="00A66991" w:rsidRDefault="00117DA1" w:rsidP="00A66991">
      <w:pPr>
        <w:pStyle w:val="TOC2"/>
        <w:spacing w:after="80"/>
        <w:rPr>
          <w:rStyle w:val="Hyperlink"/>
          <w:noProof/>
        </w:rPr>
      </w:pPr>
      <w:hyperlink w:anchor="_Toc132962602" w:history="1">
        <w:r w:rsidR="00DD53AD" w:rsidRPr="007A0CA6">
          <w:rPr>
            <w:rStyle w:val="Hyperlink"/>
            <w:noProof/>
          </w:rPr>
          <w:t>Settlement privilege and the interests of justice exception</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_Toc132962602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207</w:t>
        </w:r>
        <w:r w:rsidR="00DD53AD" w:rsidRPr="00A66991">
          <w:rPr>
            <w:rStyle w:val="Hyperlink"/>
            <w:noProof/>
            <w:webHidden/>
          </w:rPr>
          <w:fldChar w:fldCharType="end"/>
        </w:r>
      </w:hyperlink>
    </w:p>
    <w:p w14:paraId="4CF7C278" w14:textId="110DAD14" w:rsidR="00DD53AD" w:rsidRPr="00A66991" w:rsidRDefault="00117DA1" w:rsidP="00A66991">
      <w:pPr>
        <w:pStyle w:val="TOC2"/>
        <w:spacing w:after="80"/>
        <w:rPr>
          <w:rStyle w:val="Hyperlink"/>
          <w:noProof/>
        </w:rPr>
      </w:pPr>
      <w:hyperlink w:anchor="_Toc132962603" w:history="1">
        <w:r w:rsidR="00DD53AD" w:rsidRPr="007A0CA6">
          <w:rPr>
            <w:rStyle w:val="Hyperlink"/>
            <w:noProof/>
          </w:rPr>
          <w:t>Successive interests in privileged material</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_Toc132962603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210</w:t>
        </w:r>
        <w:r w:rsidR="00DD53AD" w:rsidRPr="00A66991">
          <w:rPr>
            <w:rStyle w:val="Hyperlink"/>
            <w:noProof/>
            <w:webHidden/>
          </w:rPr>
          <w:fldChar w:fldCharType="end"/>
        </w:r>
      </w:hyperlink>
    </w:p>
    <w:p w14:paraId="57EC5AF8" w14:textId="17EC38F8" w:rsidR="00DD53AD" w:rsidRDefault="00B95BD7">
      <w:pPr>
        <w:pStyle w:val="TOC1"/>
        <w:rPr>
          <w:rFonts w:eastAsiaTheme="minorEastAsia"/>
          <w:b w:val="0"/>
          <w:noProof/>
          <w:color w:val="auto"/>
          <w:lang w:eastAsia="en-NZ"/>
        </w:rPr>
      </w:pPr>
      <w:r w:rsidRPr="00A66991">
        <w:rPr>
          <w:rStyle w:val="Hyperlink"/>
          <w:noProof/>
          <w:u w:val="none"/>
        </w:rPr>
        <w:t>C</w:t>
      </w:r>
      <w:r w:rsidR="00A97E7E" w:rsidRPr="00A66991">
        <w:rPr>
          <w:rStyle w:val="Hyperlink"/>
          <w:noProof/>
          <w:u w:val="none"/>
        </w:rPr>
        <w:t xml:space="preserve">hapter </w:t>
      </w:r>
      <w:hyperlink w:anchor="_Toc132962604" w:history="1">
        <w:r w:rsidR="00DD53AD" w:rsidRPr="007A0CA6">
          <w:rPr>
            <w:rStyle w:val="Hyperlink"/>
            <w:noProof/>
          </w:rPr>
          <w:t>14</w:t>
        </w:r>
        <w:r w:rsidR="00A66991">
          <w:rPr>
            <w:rStyle w:val="Hyperlink"/>
            <w:noProof/>
          </w:rPr>
          <w:t>:</w:t>
        </w:r>
        <w:r w:rsidR="00DD53AD" w:rsidRPr="007A0CA6">
          <w:rPr>
            <w:rStyle w:val="Hyperlink"/>
            <w:noProof/>
          </w:rPr>
          <w:t xml:space="preserve"> </w:t>
        </w:r>
        <w:r w:rsidR="00A97E7E">
          <w:rPr>
            <w:rStyle w:val="Hyperlink"/>
            <w:rFonts w:eastAsia="Metropolis Black"/>
            <w:noProof/>
          </w:rPr>
          <w:t>T</w:t>
        </w:r>
        <w:r w:rsidR="00A97E7E" w:rsidRPr="007A0CA6">
          <w:rPr>
            <w:rStyle w:val="Hyperlink"/>
            <w:rFonts w:eastAsia="Metropolis Black"/>
            <w:noProof/>
          </w:rPr>
          <w:t>rial process</w:t>
        </w:r>
        <w:r w:rsidR="00DD53AD">
          <w:rPr>
            <w:noProof/>
            <w:webHidden/>
          </w:rPr>
          <w:tab/>
        </w:r>
        <w:r w:rsidR="00DD53AD">
          <w:rPr>
            <w:noProof/>
            <w:webHidden/>
          </w:rPr>
          <w:fldChar w:fldCharType="begin"/>
        </w:r>
        <w:r w:rsidR="00DD53AD">
          <w:rPr>
            <w:noProof/>
            <w:webHidden/>
          </w:rPr>
          <w:instrText xml:space="preserve"> PAGEREF _Toc132962604 \h </w:instrText>
        </w:r>
        <w:r w:rsidR="00DD53AD">
          <w:rPr>
            <w:noProof/>
            <w:webHidden/>
          </w:rPr>
        </w:r>
        <w:r w:rsidR="00DD53AD">
          <w:rPr>
            <w:noProof/>
            <w:webHidden/>
          </w:rPr>
          <w:fldChar w:fldCharType="separate"/>
        </w:r>
        <w:r w:rsidR="007F6D96">
          <w:rPr>
            <w:noProof/>
            <w:webHidden/>
          </w:rPr>
          <w:t>214</w:t>
        </w:r>
        <w:r w:rsidR="00DD53AD">
          <w:rPr>
            <w:noProof/>
            <w:webHidden/>
          </w:rPr>
          <w:fldChar w:fldCharType="end"/>
        </w:r>
      </w:hyperlink>
    </w:p>
    <w:p w14:paraId="216AD315" w14:textId="19966AEC" w:rsidR="00DD53AD" w:rsidRPr="00A66991" w:rsidRDefault="00117DA1" w:rsidP="00A66991">
      <w:pPr>
        <w:pStyle w:val="TOC2"/>
        <w:spacing w:after="80"/>
        <w:rPr>
          <w:rStyle w:val="Hyperlink"/>
          <w:noProof/>
        </w:rPr>
      </w:pPr>
      <w:hyperlink w:anchor="_Toc132962605" w:history="1">
        <w:r w:rsidR="00DD53AD" w:rsidRPr="007A0CA6">
          <w:rPr>
            <w:rStyle w:val="Hyperlink"/>
            <w:noProof/>
          </w:rPr>
          <w:t>Restriction on disclosure of complainant’s occupation in sexual cases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_Toc132962605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214</w:t>
        </w:r>
        <w:r w:rsidR="00DD53AD" w:rsidRPr="00A66991">
          <w:rPr>
            <w:rStyle w:val="Hyperlink"/>
            <w:noProof/>
            <w:webHidden/>
          </w:rPr>
          <w:fldChar w:fldCharType="end"/>
        </w:r>
      </w:hyperlink>
    </w:p>
    <w:p w14:paraId="1A309131" w14:textId="1C177901" w:rsidR="00DD53AD" w:rsidRPr="00A66991" w:rsidRDefault="00117DA1" w:rsidP="00A66991">
      <w:pPr>
        <w:pStyle w:val="TOC2"/>
        <w:spacing w:after="80"/>
        <w:rPr>
          <w:rStyle w:val="Hyperlink"/>
          <w:noProof/>
        </w:rPr>
      </w:pPr>
      <w:hyperlink w:anchor="_Toc132962606" w:history="1">
        <w:r w:rsidR="00DD53AD" w:rsidRPr="007A0CA6">
          <w:rPr>
            <w:rStyle w:val="Hyperlink"/>
            <w:noProof/>
          </w:rPr>
          <w:t>Cross-examination duties</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_Toc132962606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217</w:t>
        </w:r>
        <w:r w:rsidR="00DD53AD" w:rsidRPr="00A66991">
          <w:rPr>
            <w:rStyle w:val="Hyperlink"/>
            <w:noProof/>
            <w:webHidden/>
          </w:rPr>
          <w:fldChar w:fldCharType="end"/>
        </w:r>
      </w:hyperlink>
    </w:p>
    <w:p w14:paraId="543EBFFE" w14:textId="0C97C5EA" w:rsidR="00DD53AD" w:rsidRPr="00A66991" w:rsidRDefault="00117DA1" w:rsidP="00A66991">
      <w:pPr>
        <w:pStyle w:val="TOC2"/>
        <w:spacing w:after="80"/>
        <w:rPr>
          <w:rStyle w:val="Hyperlink"/>
          <w:noProof/>
        </w:rPr>
      </w:pPr>
      <w:hyperlink w:anchor="_Toc132962607" w:history="1">
        <w:r w:rsidR="00DD53AD" w:rsidRPr="007A0CA6">
          <w:rPr>
            <w:rStyle w:val="Hyperlink"/>
            <w:noProof/>
          </w:rPr>
          <w:t>Cross-examination on behalf of another</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_Toc132962607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222</w:t>
        </w:r>
        <w:r w:rsidR="00DD53AD" w:rsidRPr="00A66991">
          <w:rPr>
            <w:rStyle w:val="Hyperlink"/>
            <w:noProof/>
            <w:webHidden/>
          </w:rPr>
          <w:fldChar w:fldCharType="end"/>
        </w:r>
      </w:hyperlink>
    </w:p>
    <w:p w14:paraId="06586026" w14:textId="62462A4E" w:rsidR="00DD53AD" w:rsidRDefault="00B95BD7">
      <w:pPr>
        <w:pStyle w:val="TOC1"/>
        <w:rPr>
          <w:rFonts w:eastAsiaTheme="minorEastAsia"/>
          <w:b w:val="0"/>
          <w:noProof/>
          <w:color w:val="auto"/>
          <w:lang w:eastAsia="en-NZ"/>
        </w:rPr>
      </w:pPr>
      <w:r w:rsidRPr="00A66991">
        <w:rPr>
          <w:rStyle w:val="Hyperlink"/>
          <w:noProof/>
          <w:u w:val="none"/>
        </w:rPr>
        <w:t>C</w:t>
      </w:r>
      <w:r w:rsidR="00A97E7E" w:rsidRPr="00A66991">
        <w:rPr>
          <w:rStyle w:val="Hyperlink"/>
          <w:noProof/>
          <w:u w:val="none"/>
        </w:rPr>
        <w:t xml:space="preserve">hapter </w:t>
      </w:r>
      <w:hyperlink w:anchor="_Toc132962608" w:history="1">
        <w:r w:rsidR="00DD53AD" w:rsidRPr="007A0CA6">
          <w:rPr>
            <w:rStyle w:val="Hyperlink"/>
            <w:noProof/>
          </w:rPr>
          <w:t>15</w:t>
        </w:r>
        <w:r w:rsidR="00A66991">
          <w:rPr>
            <w:rStyle w:val="Hyperlink"/>
            <w:noProof/>
          </w:rPr>
          <w:t>:</w:t>
        </w:r>
        <w:r w:rsidR="00DD53AD" w:rsidRPr="007A0CA6">
          <w:rPr>
            <w:rStyle w:val="Hyperlink"/>
            <w:noProof/>
          </w:rPr>
          <w:t xml:space="preserve"> </w:t>
        </w:r>
        <w:r w:rsidR="00D90328">
          <w:rPr>
            <w:rStyle w:val="Hyperlink"/>
            <w:rFonts w:eastAsia="Metropolis Black"/>
            <w:noProof/>
          </w:rPr>
          <w:t>O</w:t>
        </w:r>
        <w:r w:rsidR="00A97E7E" w:rsidRPr="007A0CA6">
          <w:rPr>
            <w:rStyle w:val="Hyperlink"/>
            <w:rFonts w:eastAsia="Metropolis Black"/>
            <w:noProof/>
          </w:rPr>
          <w:t>ther issues</w:t>
        </w:r>
        <w:r w:rsidR="00DD53AD">
          <w:rPr>
            <w:noProof/>
            <w:webHidden/>
          </w:rPr>
          <w:tab/>
        </w:r>
        <w:r w:rsidR="00DD53AD">
          <w:rPr>
            <w:noProof/>
            <w:webHidden/>
          </w:rPr>
          <w:fldChar w:fldCharType="begin"/>
        </w:r>
        <w:r w:rsidR="00DD53AD">
          <w:rPr>
            <w:noProof/>
            <w:webHidden/>
          </w:rPr>
          <w:instrText xml:space="preserve"> PAGEREF _Toc132962608 \h </w:instrText>
        </w:r>
        <w:r w:rsidR="00DD53AD">
          <w:rPr>
            <w:noProof/>
            <w:webHidden/>
          </w:rPr>
        </w:r>
        <w:r w:rsidR="00DD53AD">
          <w:rPr>
            <w:noProof/>
            <w:webHidden/>
          </w:rPr>
          <w:fldChar w:fldCharType="separate"/>
        </w:r>
        <w:r w:rsidR="007F6D96">
          <w:rPr>
            <w:noProof/>
            <w:webHidden/>
          </w:rPr>
          <w:t>225</w:t>
        </w:r>
        <w:r w:rsidR="00DD53AD">
          <w:rPr>
            <w:noProof/>
            <w:webHidden/>
          </w:rPr>
          <w:fldChar w:fldCharType="end"/>
        </w:r>
      </w:hyperlink>
    </w:p>
    <w:p w14:paraId="076D425D" w14:textId="30E3AF19" w:rsidR="00DD53AD" w:rsidRPr="00A66991" w:rsidRDefault="00117DA1" w:rsidP="00A66991">
      <w:pPr>
        <w:pStyle w:val="TOC2"/>
        <w:spacing w:after="80"/>
        <w:rPr>
          <w:rStyle w:val="Hyperlink"/>
          <w:noProof/>
        </w:rPr>
      </w:pPr>
      <w:hyperlink w:anchor="_Toc132962609" w:history="1">
        <w:r w:rsidR="00DD53AD" w:rsidRPr="007A0CA6">
          <w:rPr>
            <w:rStyle w:val="Hyperlink"/>
            <w:noProof/>
          </w:rPr>
          <w:t>Section 9 and the role of the Judge</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_Toc132962609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225</w:t>
        </w:r>
        <w:r w:rsidR="00DD53AD" w:rsidRPr="00A66991">
          <w:rPr>
            <w:rStyle w:val="Hyperlink"/>
            <w:noProof/>
            <w:webHidden/>
          </w:rPr>
          <w:fldChar w:fldCharType="end"/>
        </w:r>
      </w:hyperlink>
    </w:p>
    <w:p w14:paraId="059791E0" w14:textId="52E6CF7C" w:rsidR="00DD53AD" w:rsidRPr="00A66991" w:rsidRDefault="00117DA1" w:rsidP="00A66991">
      <w:pPr>
        <w:pStyle w:val="TOC2"/>
        <w:spacing w:after="80"/>
        <w:rPr>
          <w:rStyle w:val="Hyperlink"/>
          <w:noProof/>
        </w:rPr>
      </w:pPr>
      <w:hyperlink w:anchor="_Toc132962610" w:history="1">
        <w:r w:rsidR="00DD53AD" w:rsidRPr="007A0CA6">
          <w:rPr>
            <w:rStyle w:val="Hyperlink"/>
            <w:noProof/>
          </w:rPr>
          <w:t>Novel scientific evidence</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_Toc132962610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229</w:t>
        </w:r>
        <w:r w:rsidR="00DD53AD" w:rsidRPr="00A66991">
          <w:rPr>
            <w:rStyle w:val="Hyperlink"/>
            <w:noProof/>
            <w:webHidden/>
          </w:rPr>
          <w:fldChar w:fldCharType="end"/>
        </w:r>
      </w:hyperlink>
    </w:p>
    <w:p w14:paraId="22C3F8AC" w14:textId="572F73A2" w:rsidR="00DD53AD" w:rsidRPr="00A66991" w:rsidRDefault="00117DA1" w:rsidP="00A66991">
      <w:pPr>
        <w:pStyle w:val="TOC2"/>
        <w:spacing w:after="80"/>
        <w:rPr>
          <w:rStyle w:val="Hyperlink"/>
          <w:noProof/>
        </w:rPr>
      </w:pPr>
      <w:hyperlink w:anchor="_Toc132962611" w:history="1">
        <w:r w:rsidR="00DD53AD" w:rsidRPr="007A0CA6">
          <w:rPr>
            <w:rStyle w:val="Hyperlink"/>
            <w:noProof/>
          </w:rPr>
          <w:t>Undercover police officer evidence</w:t>
        </w:r>
        <w:r w:rsidR="00DD53AD" w:rsidRPr="00A66991">
          <w:rPr>
            <w:rStyle w:val="Hyperlink"/>
            <w:noProof/>
            <w:webHidden/>
          </w:rPr>
          <w:tab/>
        </w:r>
        <w:r w:rsidR="00DD53AD" w:rsidRPr="00A66991">
          <w:rPr>
            <w:rStyle w:val="Hyperlink"/>
            <w:noProof/>
            <w:webHidden/>
          </w:rPr>
          <w:fldChar w:fldCharType="begin"/>
        </w:r>
        <w:r w:rsidR="00DD53AD" w:rsidRPr="00A66991">
          <w:rPr>
            <w:rStyle w:val="Hyperlink"/>
            <w:noProof/>
            <w:webHidden/>
          </w:rPr>
          <w:instrText xml:space="preserve"> PAGEREF _Toc132962611 \h </w:instrText>
        </w:r>
        <w:r w:rsidR="00DD53AD" w:rsidRPr="00A66991">
          <w:rPr>
            <w:rStyle w:val="Hyperlink"/>
            <w:noProof/>
            <w:webHidden/>
          </w:rPr>
        </w:r>
        <w:r w:rsidR="00DD53AD" w:rsidRPr="00A66991">
          <w:rPr>
            <w:rStyle w:val="Hyperlink"/>
            <w:noProof/>
            <w:webHidden/>
          </w:rPr>
          <w:fldChar w:fldCharType="separate"/>
        </w:r>
        <w:r w:rsidR="007F6D96">
          <w:rPr>
            <w:rStyle w:val="Hyperlink"/>
            <w:noProof/>
            <w:webHidden/>
          </w:rPr>
          <w:t>231</w:t>
        </w:r>
        <w:r w:rsidR="00DD53AD" w:rsidRPr="00A66991">
          <w:rPr>
            <w:rStyle w:val="Hyperlink"/>
            <w:noProof/>
            <w:webHidden/>
          </w:rPr>
          <w:fldChar w:fldCharType="end"/>
        </w:r>
      </w:hyperlink>
    </w:p>
    <w:p w14:paraId="4D0908CF" w14:textId="1BB86DA7" w:rsidR="004A3CB5" w:rsidRPr="00A141F9" w:rsidRDefault="00087516" w:rsidP="00A141F9">
      <w:pPr>
        <w:pStyle w:val="TOC2"/>
        <w:rPr>
          <w:lang w:eastAsia="en-NZ"/>
        </w:rPr>
      </w:pPr>
      <w:r w:rsidRPr="00D37FCE">
        <w:rPr>
          <w:noProof/>
          <w:lang w:eastAsia="en-NZ"/>
        </w:rPr>
        <mc:AlternateContent>
          <mc:Choice Requires="wpg">
            <w:drawing>
              <wp:anchor distT="0" distB="0" distL="114300" distR="114300" simplePos="0" relativeHeight="251658374" behindDoc="1" locked="0" layoutInCell="1" allowOverlap="1" wp14:anchorId="398BD195" wp14:editId="18CCE5FC">
                <wp:simplePos x="0" y="0"/>
                <wp:positionH relativeFrom="margin">
                  <wp:align>left</wp:align>
                </wp:positionH>
                <wp:positionV relativeFrom="paragraph">
                  <wp:posOffset>443923</wp:posOffset>
                </wp:positionV>
                <wp:extent cx="1332230" cy="1270"/>
                <wp:effectExtent l="0" t="19050" r="20320" b="17780"/>
                <wp:wrapNone/>
                <wp:docPr id="1887496617" name="Group 1887496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4484201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5E988" id="Group 1887496617" o:spid="_x0000_s1026" style="position:absolute;margin-left:0;margin-top:34.95pt;width:104.9pt;height:.1pt;z-index:-251658106;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mH/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" path="m,l2098,e" filled="f" strokecolor="#73ab6e" strokeweight="3pt">
                  <v:path arrowok="t" o:connecttype="custom" o:connectlocs="0,0;2098,0" o:connectangles="0,0"/>
                </v:shape>
                <w10:wrap anchorx="margin"/>
              </v:group>
            </w:pict>
          </mc:Fallback>
        </mc:AlternateContent>
      </w:r>
      <w:r w:rsidR="00B06235">
        <w:rPr>
          <w:b/>
          <w:sz w:val="24"/>
          <w:lang w:eastAsia="en-NZ"/>
        </w:rPr>
        <w:fldChar w:fldCharType="end"/>
      </w:r>
    </w:p>
    <w:p w14:paraId="54823FA4" w14:textId="4A6EB3CA" w:rsidR="004A3CB5" w:rsidRDefault="004A3CB5" w:rsidP="00A25B46">
      <w:pPr>
        <w:pStyle w:val="Heading1nonum"/>
        <w:spacing w:before="600" w:after="240"/>
        <w:rPr>
          <w:rFonts w:ascii="Metropolis Light" w:hAnsi="Metropolis Light"/>
          <w:b w:val="0"/>
          <w:color w:val="auto"/>
          <w:sz w:val="24"/>
          <w:lang w:eastAsia="en-NZ"/>
        </w:rPr>
        <w:sectPr w:rsidR="004A3CB5" w:rsidSect="001705A0">
          <w:headerReference w:type="even" r:id="rId29"/>
          <w:headerReference w:type="default" r:id="rId30"/>
          <w:footerReference w:type="even" r:id="rId31"/>
          <w:footnotePr>
            <w:numRestart w:val="eachSect"/>
          </w:footnotePr>
          <w:type w:val="nextColumn"/>
          <w:pgSz w:w="11907" w:h="16840" w:code="9"/>
          <w:pgMar w:top="1134" w:right="1134" w:bottom="1134" w:left="1701" w:header="499" w:footer="0" w:gutter="0"/>
          <w:pgNumType w:start="1"/>
          <w:cols w:space="720"/>
        </w:sectPr>
      </w:pPr>
    </w:p>
    <w:p w14:paraId="3266F82D" w14:textId="77777777" w:rsidR="00522791" w:rsidRPr="00D37FCE" w:rsidRDefault="00522791" w:rsidP="005B0F89">
      <w:pPr>
        <w:pStyle w:val="HEADING2topchapter-notinTOC"/>
      </w:pPr>
      <w:r w:rsidRPr="00D37FCE">
        <w:lastRenderedPageBreak/>
        <w:t>CHAPTER 1</w:t>
      </w:r>
    </w:p>
    <w:p w14:paraId="334BB223" w14:textId="77777777" w:rsidR="00522791" w:rsidRPr="00D37FCE" w:rsidRDefault="00522791" w:rsidP="00522791">
      <w:pPr>
        <w:spacing w:line="200" w:lineRule="exact"/>
        <w:rPr>
          <w:szCs w:val="20"/>
        </w:rPr>
      </w:pPr>
      <w:r w:rsidRPr="00D37FCE">
        <w:rPr>
          <w:noProof/>
          <w:lang w:eastAsia="en-NZ"/>
        </w:rPr>
        <mc:AlternateContent>
          <mc:Choice Requires="wpg">
            <w:drawing>
              <wp:anchor distT="0" distB="0" distL="114300" distR="114300" simplePos="0" relativeHeight="251658249" behindDoc="1" locked="0" layoutInCell="1" allowOverlap="1" wp14:anchorId="488CA164" wp14:editId="58FC9B0B">
                <wp:simplePos x="0" y="0"/>
                <wp:positionH relativeFrom="page">
                  <wp:posOffset>1076325</wp:posOffset>
                </wp:positionH>
                <wp:positionV relativeFrom="paragraph">
                  <wp:posOffset>6350</wp:posOffset>
                </wp:positionV>
                <wp:extent cx="1332230" cy="1270"/>
                <wp:effectExtent l="0" t="19050" r="1270" b="1778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6E50D" id="Group 33" o:spid="_x0000_s1026" style="position:absolute;margin-left:84.75pt;margin-top:.5pt;width:104.9pt;height:.1pt;z-index:-25165823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R1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9FDAFBE" w14:textId="6DDC06A1" w:rsidR="00045FD3" w:rsidRPr="00D37FCE" w:rsidRDefault="005513F7" w:rsidP="00497010">
      <w:pPr>
        <w:pStyle w:val="Heading1"/>
        <w:rPr>
          <w:rFonts w:eastAsia="Metropolis Black"/>
        </w:rPr>
      </w:pPr>
      <w:bookmarkStart w:id="50" w:name="_Toc132962537"/>
      <w:bookmarkStart w:id="51" w:name="_Ref55484087"/>
      <w:r w:rsidRPr="00D37FCE">
        <w:rPr>
          <w:rFonts w:eastAsia="Metropolis Black"/>
          <w:color w:val="FFFFFF" w:themeColor="background1"/>
          <w:sz w:val="2"/>
          <w:szCs w:val="2"/>
        </w:rPr>
        <w:t xml:space="preserve">1 </w:t>
      </w:r>
      <w:r w:rsidR="008F2649">
        <w:rPr>
          <w:rFonts w:eastAsia="Metropolis Black"/>
        </w:rPr>
        <w:t>Introduction</w:t>
      </w:r>
      <w:bookmarkEnd w:id="50"/>
      <w:r w:rsidR="00045FD3" w:rsidRPr="00D37FCE">
        <w:rPr>
          <w:rFonts w:eastAsia="Metropolis Black"/>
        </w:rPr>
        <w:t xml:space="preserve"> </w:t>
      </w:r>
    </w:p>
    <w:p w14:paraId="144C13B9" w14:textId="77777777" w:rsidR="00045FD3" w:rsidRPr="00D37FCE" w:rsidRDefault="00045FD3" w:rsidP="00045FD3">
      <w:pPr>
        <w:spacing w:line="200" w:lineRule="exact"/>
        <w:rPr>
          <w:szCs w:val="20"/>
        </w:rPr>
      </w:pPr>
      <w:r w:rsidRPr="00D37FCE">
        <w:rPr>
          <w:noProof/>
          <w:lang w:eastAsia="en-NZ"/>
        </w:rPr>
        <mc:AlternateContent>
          <mc:Choice Requires="wpg">
            <w:drawing>
              <wp:anchor distT="0" distB="0" distL="114300" distR="114300" simplePos="0" relativeHeight="251658256" behindDoc="1" locked="0" layoutInCell="1" allowOverlap="1" wp14:anchorId="7F243FD0" wp14:editId="6DD4E157">
                <wp:simplePos x="0" y="0"/>
                <wp:positionH relativeFrom="page">
                  <wp:posOffset>1087427</wp:posOffset>
                </wp:positionH>
                <wp:positionV relativeFrom="paragraph">
                  <wp:posOffset>71755</wp:posOffset>
                </wp:positionV>
                <wp:extent cx="1332230" cy="1270"/>
                <wp:effectExtent l="0" t="19050" r="1270" b="17780"/>
                <wp:wrapNone/>
                <wp:docPr id="764518044" name="Group 764518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04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F0627" id="Group 764518044" o:spid="_x0000_s1026" style="position:absolute;margin-left:85.6pt;margin-top:5.65pt;width:104.9pt;height:.1pt;z-index:-25165822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e/Q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B+Nwxe/QIAAN8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bookmarkStart w:id="52" w:name="_Toc364765328"/>
      <w:bookmarkStart w:id="53" w:name="_Toc273189522"/>
    </w:p>
    <w:p w14:paraId="459D51E2" w14:textId="622E7280" w:rsidR="009044CC" w:rsidRPr="00D37FCE" w:rsidRDefault="009044CC" w:rsidP="00045FD3">
      <w:pPr>
        <w:pStyle w:val="BodyTextalphalist"/>
      </w:pPr>
      <w:bookmarkStart w:id="54" w:name="_Hlk67049949"/>
      <w:bookmarkEnd w:id="52"/>
      <w:bookmarkEnd w:id="53"/>
    </w:p>
    <w:bookmarkEnd w:id="51"/>
    <w:bookmarkEnd w:id="54"/>
    <w:p w14:paraId="0B0DB746" w14:textId="77777777" w:rsidR="005F67FC" w:rsidRDefault="005F67FC" w:rsidP="00C76262">
      <w:pPr>
        <w:pStyle w:val="BodyTextalphalist"/>
        <w:ind w:left="0" w:firstLine="0"/>
      </w:pPr>
    </w:p>
    <w:p w14:paraId="2070CC14" w14:textId="77777777" w:rsidR="005F67FC" w:rsidRDefault="005F67FC" w:rsidP="00866891">
      <w:pPr>
        <w:pStyle w:val="BodyText"/>
        <w:numPr>
          <w:ilvl w:val="1"/>
          <w:numId w:val="43"/>
        </w:numPr>
        <w:ind w:hanging="709"/>
      </w:pPr>
      <w:r>
        <w:t xml:space="preserve">Te Aka Matua o te Ture | Law Commission is conducting its third and final statutory review of the operation of the provisions of the Evidence Act 2006 (the Act). </w:t>
      </w:r>
    </w:p>
    <w:p w14:paraId="2251CC32" w14:textId="77777777" w:rsidR="005F67FC" w:rsidRDefault="005F67FC" w:rsidP="00866891">
      <w:pPr>
        <w:pStyle w:val="BodyText"/>
        <w:numPr>
          <w:ilvl w:val="1"/>
          <w:numId w:val="25"/>
        </w:numPr>
        <w:tabs>
          <w:tab w:val="left" w:pos="709"/>
        </w:tabs>
        <w:ind w:hanging="709"/>
      </w:pPr>
      <w:r>
        <w:t>The Act brings together most of the rules of evidence in a single statute. It governs what evidence can be admitted in criminal and civil court proceedings and how evidence can be given.</w:t>
      </w:r>
      <w:r>
        <w:rPr>
          <w:rStyle w:val="FootnoteReference"/>
        </w:rPr>
        <w:footnoteReference w:id="2"/>
      </w:r>
      <w:r>
        <w:t xml:space="preserve"> Evidence is used to establish the facts on which proceedings are determined, so the rules of evidence are of vital importance to securing just processes and outcomes.</w:t>
      </w:r>
    </w:p>
    <w:p w14:paraId="37136518" w14:textId="77777777" w:rsidR="005F67FC" w:rsidRDefault="005F67FC" w:rsidP="00866891">
      <w:pPr>
        <w:pStyle w:val="BodyText"/>
        <w:numPr>
          <w:ilvl w:val="1"/>
          <w:numId w:val="25"/>
        </w:numPr>
        <w:tabs>
          <w:tab w:val="left" w:pos="709"/>
        </w:tabs>
        <w:ind w:hanging="709"/>
      </w:pPr>
      <w:r>
        <w:t xml:space="preserve">The purpose of this Issues Paper is to seek feedback on how the Act is operating in practice. We have identified a range of potential issues with the Act, from relatively narrow operational issues through to significant and potentially contentious issues that question the underlying policy of some important rules of evidence. The feedback we receive on this Issues Paper will be critical in helping us to decide what recommendations to make in our final report to the Government. </w:t>
      </w:r>
    </w:p>
    <w:p w14:paraId="7E1A15C4" w14:textId="77777777" w:rsidR="005F67FC" w:rsidRDefault="005F67FC" w:rsidP="005F67FC">
      <w:pPr>
        <w:pStyle w:val="Heading2"/>
      </w:pPr>
      <w:bookmarkStart w:id="55" w:name="_Toc132962538"/>
      <w:r>
        <w:t>Background</w:t>
      </w:r>
      <w:bookmarkEnd w:id="55"/>
      <w:r>
        <w:t xml:space="preserve"> </w:t>
      </w:r>
    </w:p>
    <w:p w14:paraId="49C20E6B" w14:textId="44C1747A" w:rsidR="005F67FC" w:rsidRDefault="005F67FC" w:rsidP="00866891">
      <w:pPr>
        <w:pStyle w:val="BodyText"/>
        <w:numPr>
          <w:ilvl w:val="1"/>
          <w:numId w:val="25"/>
        </w:numPr>
        <w:ind w:hanging="709"/>
      </w:pPr>
      <w:r>
        <w:t xml:space="preserve">The Act is based on the Commission’s 1999 Report on the law of evidence and its proposed Evidence Code (the </w:t>
      </w:r>
      <w:r w:rsidR="000D77F3">
        <w:t xml:space="preserve">Evidence </w:t>
      </w:r>
      <w:r>
        <w:t>Code),</w:t>
      </w:r>
      <w:r>
        <w:rPr>
          <w:rStyle w:val="FootnoteReference"/>
        </w:rPr>
        <w:footnoteReference w:id="3"/>
      </w:r>
      <w:r>
        <w:t xml:space="preserve"> which was the product of a decade-long review of evidence law in Aotearoa New Zealand. At that time, the law of evidence was largely found in judicial decisions (case law), which were supplemented by some statutory provisions.</w:t>
      </w:r>
      <w:r>
        <w:rPr>
          <w:rStyle w:val="FootnoteReference"/>
        </w:rPr>
        <w:footnoteReference w:id="4"/>
      </w:r>
      <w:r>
        <w:t xml:space="preserve"> The purpose of the Commission’s review was “[t]o make the law of evidence as clear, simple and accessible as is practicable, and to facilitate the fair, just and speedy resolution of disputes”.</w:t>
      </w:r>
      <w:r>
        <w:rPr>
          <w:rStyle w:val="FootnoteReference"/>
        </w:rPr>
        <w:footnoteReference w:id="5"/>
      </w:r>
      <w:r>
        <w:t xml:space="preserve"> With that purpose in mind, the Commission was asked to examine the law of evidence and make recommendations for its reform with a view to codification.</w:t>
      </w:r>
      <w:r>
        <w:rPr>
          <w:rStyle w:val="FootnoteReference"/>
        </w:rPr>
        <w:footnoteReference w:id="6"/>
      </w:r>
      <w:r>
        <w:t xml:space="preserve"> </w:t>
      </w:r>
    </w:p>
    <w:p w14:paraId="34AFEF6C" w14:textId="20B76B48" w:rsidR="005F67FC" w:rsidRDefault="005F67FC" w:rsidP="00866891">
      <w:pPr>
        <w:pStyle w:val="BodyText"/>
        <w:numPr>
          <w:ilvl w:val="1"/>
          <w:numId w:val="25"/>
        </w:numPr>
        <w:ind w:hanging="709"/>
      </w:pPr>
      <w:r>
        <w:t xml:space="preserve">The Evidence Code was intended to replace most of the common law and statutory provisions on the admissibility and use of evidence in court proceedings with one </w:t>
      </w:r>
      <w:r>
        <w:lastRenderedPageBreak/>
        <w:t>comprehensive scheme.</w:t>
      </w:r>
      <w:r>
        <w:rPr>
          <w:rStyle w:val="FootnoteReference"/>
        </w:rPr>
        <w:footnoteReference w:id="7"/>
      </w:r>
      <w:r>
        <w:t xml:space="preserve"> The Evidence Bill introduced by the Government in 2005 largely reflected the Commission’s recommendations. The Bill was considered by the Justice and Electoral Committee</w:t>
      </w:r>
      <w:r w:rsidR="00C424A6">
        <w:t>,</w:t>
      </w:r>
      <w:r>
        <w:t xml:space="preserve"> which made a number of changes to the Bill. The underlying legislative purpose, however, remained the same: the simplification and drawing together of the laws of evidence in one place.</w:t>
      </w:r>
      <w:r>
        <w:rPr>
          <w:rStyle w:val="FootnoteReference"/>
        </w:rPr>
        <w:footnoteReference w:id="8"/>
      </w:r>
    </w:p>
    <w:p w14:paraId="5C80BFD3" w14:textId="77777777" w:rsidR="005F67FC" w:rsidRDefault="005F67FC" w:rsidP="00866891">
      <w:pPr>
        <w:pStyle w:val="BodyText"/>
        <w:numPr>
          <w:ilvl w:val="1"/>
          <w:numId w:val="25"/>
        </w:numPr>
        <w:ind w:hanging="709"/>
      </w:pPr>
      <w:r>
        <w:t>An important change made to the Bill at select committee stage was to insert a requirement that the Commission review the operation of the Act every five years to make sure it is working well in practice. This requirement for a five-yearly operational review was included in section 202 of the Act. The Commission completed its first review in 2013 (the 2013 Review).</w:t>
      </w:r>
      <w:r>
        <w:rPr>
          <w:rStyle w:val="FootnoteReference"/>
        </w:rPr>
        <w:footnoteReference w:id="9"/>
      </w:r>
      <w:r>
        <w:t xml:space="preserve"> It reported that the Act was generally working well and there was widespread acceptance of the value of codification of the law in this area. It made a range of recommendations for reform, some of which were adopted in the Evidence Amendment Act 2016.</w:t>
      </w:r>
    </w:p>
    <w:p w14:paraId="524BE754" w14:textId="32C7468E" w:rsidR="005F67FC" w:rsidRDefault="005F67FC" w:rsidP="00866891">
      <w:pPr>
        <w:pStyle w:val="BodyText"/>
        <w:numPr>
          <w:ilvl w:val="1"/>
          <w:numId w:val="25"/>
        </w:numPr>
        <w:ind w:hanging="709"/>
      </w:pPr>
      <w:r>
        <w:t xml:space="preserve">The Commission completed its </w:t>
      </w:r>
      <w:r w:rsidR="00C51702">
        <w:t>S</w:t>
      </w:r>
      <w:r>
        <w:t xml:space="preserve">econd </w:t>
      </w:r>
      <w:r w:rsidR="00C51702">
        <w:t>R</w:t>
      </w:r>
      <w:r>
        <w:t>eview of the Act in 2019 (the Second Review).</w:t>
      </w:r>
      <w:r>
        <w:rPr>
          <w:rStyle w:val="FootnoteReference"/>
        </w:rPr>
        <w:footnoteReference w:id="10"/>
      </w:r>
      <w:r>
        <w:t xml:space="preserve"> As in the 2013 Review, it found the Act was generally working well but that several important further amendments were warranted. Some of these recommendations have since been implemented by the Sexual Violence Legislation Act 2021. The Government intended to progress or further consider some other recommendations as part of the development of an evidence amendment bill. At the time of writing, no such bill has been introduced to Parliament.</w:t>
      </w:r>
    </w:p>
    <w:p w14:paraId="44F66E03" w14:textId="097F717F" w:rsidR="005F67FC" w:rsidRDefault="005F67FC" w:rsidP="00866891">
      <w:pPr>
        <w:pStyle w:val="BodyText"/>
        <w:numPr>
          <w:ilvl w:val="1"/>
          <w:numId w:val="25"/>
        </w:numPr>
      </w:pPr>
      <w:r>
        <w:t>In the Second Review the Commission also recommended the repeal of section 202 of the Act, noting that no other area of the law is subject to regular statutory review by the Commission in this way. The Government accepted this recommendation</w:t>
      </w:r>
      <w:r w:rsidR="00613630">
        <w:t>,</w:t>
      </w:r>
      <w:r>
        <w:t xml:space="preserve"> and the Statutes Amendment Act 2022 repealed section 202. This will not, however, prevent future reviews of evidence law (or discrete aspects of it). </w:t>
      </w:r>
    </w:p>
    <w:p w14:paraId="3CE74387" w14:textId="77777777" w:rsidR="005F67FC" w:rsidRDefault="005F67FC" w:rsidP="005F67FC">
      <w:pPr>
        <w:pStyle w:val="Heading2"/>
      </w:pPr>
      <w:bookmarkStart w:id="56" w:name="_Toc132962539"/>
      <w:r>
        <w:t>Scope and timing of this review</w:t>
      </w:r>
      <w:bookmarkEnd w:id="56"/>
    </w:p>
    <w:p w14:paraId="0F16751A" w14:textId="77777777" w:rsidR="005F67FC" w:rsidRPr="007C60DA" w:rsidRDefault="005F67FC" w:rsidP="00866891">
      <w:pPr>
        <w:pStyle w:val="BodyText"/>
        <w:numPr>
          <w:ilvl w:val="1"/>
          <w:numId w:val="25"/>
        </w:numPr>
        <w:tabs>
          <w:tab w:val="left" w:pos="709"/>
        </w:tabs>
        <w:ind w:hanging="709"/>
      </w:pPr>
      <w:r>
        <w:t xml:space="preserve">The scope and timing of this review is governed </w:t>
      </w:r>
      <w:r w:rsidRPr="00F60FAD">
        <w:rPr>
          <w:rFonts w:eastAsia="Consolas"/>
        </w:rPr>
        <w:t xml:space="preserve">by section 202 of the Act (now repealed) and </w:t>
      </w:r>
      <w:r>
        <w:rPr>
          <w:rFonts w:eastAsia="Consolas"/>
        </w:rPr>
        <w:t xml:space="preserve">by </w:t>
      </w:r>
      <w:r w:rsidRPr="00F60FAD">
        <w:rPr>
          <w:rFonts w:eastAsia="Consolas"/>
        </w:rPr>
        <w:t>t</w:t>
      </w:r>
      <w:r>
        <w:t>he Minister of Justice’s letter referring this review to the Commission dated 23 February 2022.</w:t>
      </w:r>
      <w:r>
        <w:rPr>
          <w:rStyle w:val="FootnoteReference"/>
        </w:rPr>
        <w:footnoteReference w:id="11"/>
      </w:r>
      <w:r>
        <w:t xml:space="preserve"> </w:t>
      </w:r>
      <w:r w:rsidRPr="00F60FAD">
        <w:rPr>
          <w:rFonts w:eastAsia="Consolas"/>
        </w:rPr>
        <w:t>Th</w:t>
      </w:r>
      <w:r>
        <w:rPr>
          <w:rFonts w:eastAsia="Consolas"/>
        </w:rPr>
        <w:t>ese</w:t>
      </w:r>
      <w:r w:rsidRPr="00F60FAD">
        <w:rPr>
          <w:rFonts w:eastAsia="Consolas"/>
        </w:rPr>
        <w:t xml:space="preserve"> require the Commission to consider:</w:t>
      </w:r>
    </w:p>
    <w:p w14:paraId="6B971EDD" w14:textId="77777777" w:rsidR="005F67FC" w:rsidRPr="007C60DA" w:rsidRDefault="005F67FC" w:rsidP="00866891">
      <w:pPr>
        <w:pStyle w:val="BodyTextnonum"/>
        <w:numPr>
          <w:ilvl w:val="3"/>
          <w:numId w:val="25"/>
        </w:numPr>
      </w:pPr>
      <w:r>
        <w:t xml:space="preserve">the operation of the provisions of the Act since the Commission’s last operational review (the Second Review, which was completed in 2019); </w:t>
      </w:r>
      <w:r w:rsidRPr="0046725C">
        <w:rPr>
          <w:rFonts w:eastAsia="Consolas"/>
        </w:rPr>
        <w:t>and</w:t>
      </w:r>
    </w:p>
    <w:p w14:paraId="1F87FBDF" w14:textId="77777777" w:rsidR="005F67FC" w:rsidRPr="008254AB" w:rsidRDefault="005F67FC" w:rsidP="00866891">
      <w:pPr>
        <w:pStyle w:val="BodyTextnonum"/>
        <w:numPr>
          <w:ilvl w:val="3"/>
          <w:numId w:val="25"/>
        </w:numPr>
      </w:pPr>
      <w:r w:rsidRPr="0046725C">
        <w:rPr>
          <w:rFonts w:eastAsia="Consolas"/>
        </w:rPr>
        <w:t xml:space="preserve">whether repeal or amendment of any provisions of the Act </w:t>
      </w:r>
      <w:r>
        <w:rPr>
          <w:rFonts w:eastAsia="Consolas"/>
        </w:rPr>
        <w:t>is</w:t>
      </w:r>
      <w:r w:rsidRPr="0046725C">
        <w:rPr>
          <w:rFonts w:eastAsia="Consolas"/>
        </w:rPr>
        <w:t xml:space="preserve"> </w:t>
      </w:r>
      <w:r>
        <w:rPr>
          <w:rFonts w:eastAsia="Consolas"/>
        </w:rPr>
        <w:t>“</w:t>
      </w:r>
      <w:r w:rsidRPr="0046725C">
        <w:rPr>
          <w:rFonts w:eastAsia="Consolas"/>
        </w:rPr>
        <w:t>necessary or desirable</w:t>
      </w:r>
      <w:r>
        <w:rPr>
          <w:rFonts w:eastAsia="Consolas"/>
        </w:rPr>
        <w:t>”</w:t>
      </w:r>
      <w:r w:rsidRPr="0046725C">
        <w:rPr>
          <w:rFonts w:eastAsia="Consolas"/>
        </w:rPr>
        <w:t>.</w:t>
      </w:r>
    </w:p>
    <w:p w14:paraId="3ED66FF4" w14:textId="77777777" w:rsidR="005F67FC" w:rsidRDefault="005F67FC" w:rsidP="00866891">
      <w:pPr>
        <w:pStyle w:val="BodyText"/>
        <w:numPr>
          <w:ilvl w:val="1"/>
          <w:numId w:val="25"/>
        </w:numPr>
        <w:tabs>
          <w:tab w:val="left" w:pos="709"/>
        </w:tabs>
        <w:ind w:hanging="709"/>
      </w:pPr>
      <w:r>
        <w:lastRenderedPageBreak/>
        <w:t>The Commission must report to the Minister on the above matters by 23 February 2024.</w:t>
      </w:r>
      <w:r>
        <w:rPr>
          <w:rStyle w:val="FootnoteReference"/>
        </w:rPr>
        <w:footnoteReference w:id="12"/>
      </w:r>
    </w:p>
    <w:p w14:paraId="4391CA98" w14:textId="77777777" w:rsidR="005F67FC" w:rsidRDefault="005F67FC" w:rsidP="00866891">
      <w:pPr>
        <w:pStyle w:val="BodyText"/>
        <w:numPr>
          <w:ilvl w:val="1"/>
          <w:numId w:val="25"/>
        </w:numPr>
        <w:tabs>
          <w:tab w:val="left" w:pos="709"/>
        </w:tabs>
        <w:ind w:hanging="709"/>
      </w:pPr>
      <w:r>
        <w:t>We published terms of reference for this review on 28 September 2022. The terms of reference confirmed the scope of this review pursuant to section 202 of the Act and highlighted some of the key areas this Issues Paper would address.</w:t>
      </w:r>
      <w:r>
        <w:rPr>
          <w:rStyle w:val="FootnoteReference"/>
        </w:rPr>
        <w:footnoteReference w:id="13"/>
      </w:r>
      <w:r>
        <w:t xml:space="preserve"> </w:t>
      </w:r>
    </w:p>
    <w:p w14:paraId="4B15F2B9" w14:textId="77777777" w:rsidR="005F67FC" w:rsidRDefault="005F67FC" w:rsidP="00866891">
      <w:pPr>
        <w:pStyle w:val="BodyText"/>
        <w:numPr>
          <w:ilvl w:val="1"/>
          <w:numId w:val="25"/>
        </w:numPr>
        <w:tabs>
          <w:tab w:val="left" w:pos="709"/>
        </w:tabs>
        <w:ind w:hanging="709"/>
      </w:pPr>
      <w:r>
        <w:t>As confirmed by the terms of reference, this review will not consider amendments to the Act made by the Sexual Violence Legislation Act 2021 given the recency of those amendments.</w:t>
      </w:r>
    </w:p>
    <w:p w14:paraId="240D8451" w14:textId="77777777" w:rsidR="005F67FC" w:rsidRDefault="005F67FC" w:rsidP="005F67FC">
      <w:pPr>
        <w:pStyle w:val="Heading2"/>
      </w:pPr>
      <w:bookmarkStart w:id="57" w:name="_Toc132962540"/>
      <w:r>
        <w:t>Our process so far</w:t>
      </w:r>
      <w:bookmarkEnd w:id="57"/>
    </w:p>
    <w:p w14:paraId="3599DA7D" w14:textId="1E9EE894" w:rsidR="005F67FC" w:rsidRDefault="005F67FC" w:rsidP="00866891">
      <w:pPr>
        <w:pStyle w:val="BodyText"/>
        <w:numPr>
          <w:ilvl w:val="1"/>
          <w:numId w:val="25"/>
        </w:numPr>
        <w:tabs>
          <w:tab w:val="left" w:pos="709"/>
        </w:tabs>
        <w:ind w:hanging="709"/>
      </w:pPr>
      <w:r>
        <w:t xml:space="preserve">Given this is an operational review of the Act and not a “first principles” review of the rules of evidence, our process so far has focused on identifying potential issues with the Act’s operation, deciding which of those issues warrant consideration in this review and exploring some possible options for reform. Examples of such issues include possible problems with the wording or interpretation of a particular provision or combination of provisions </w:t>
      </w:r>
      <w:r w:rsidR="00E30979">
        <w:t>that</w:t>
      </w:r>
      <w:r>
        <w:t xml:space="preserve"> may be resulting in uncertainty or inconsistency in practice. We have also identified some issues where there is concern that the underlying policy of a provision is not reflected in the wording of that provision or is not being achieved in practice. In some circumstances, an issue requires us to re-examine the underlying policy of a provision.</w:t>
      </w:r>
    </w:p>
    <w:p w14:paraId="6A5FB6B0" w14:textId="28A479EA" w:rsidR="005F67FC" w:rsidRDefault="005F67FC" w:rsidP="00866891">
      <w:pPr>
        <w:pStyle w:val="BodyText"/>
        <w:numPr>
          <w:ilvl w:val="1"/>
          <w:numId w:val="25"/>
        </w:numPr>
        <w:tabs>
          <w:tab w:val="left" w:pos="709"/>
        </w:tabs>
        <w:ind w:hanging="709"/>
      </w:pPr>
      <w:r>
        <w:t xml:space="preserve">We identified potential issues with the operation of the Act through research and </w:t>
      </w:r>
      <w:r w:rsidR="0014076A">
        <w:t>preliminary feedback from stakeholders.</w:t>
      </w:r>
      <w:r>
        <w:t xml:space="preserve"> We examined appellate case law, commentary and research published since 2018.</w:t>
      </w:r>
      <w:bookmarkStart w:id="58" w:name="_Ref131068188"/>
      <w:r>
        <w:rPr>
          <w:rStyle w:val="FootnoteReference"/>
        </w:rPr>
        <w:footnoteReference w:id="14"/>
      </w:r>
      <w:bookmarkEnd w:id="58"/>
      <w:r>
        <w:t xml:space="preserve"> Operational issues are not always evident from case law and commentary. We also therefore invited preliminary feedback on potential issues for inclusion in this review from the judiciary, interested organisations and individuals within the legal profession and academic community. The Minister of Justice’s letter of referral also suggested the following issues for our consideration:</w:t>
      </w:r>
      <w:r>
        <w:rPr>
          <w:rStyle w:val="FootnoteReference"/>
        </w:rPr>
        <w:footnoteReference w:id="15"/>
      </w:r>
    </w:p>
    <w:p w14:paraId="74F07080" w14:textId="77777777" w:rsidR="005F67FC" w:rsidRDefault="005F67FC" w:rsidP="00866891">
      <w:pPr>
        <w:pStyle w:val="BodyTextnonum"/>
        <w:numPr>
          <w:ilvl w:val="3"/>
          <w:numId w:val="25"/>
        </w:numPr>
      </w:pPr>
      <w:r>
        <w:t xml:space="preserve">whether the process for determining whether improperly obtained evidence is admissible in criminal proceedings (section 30) gives sufficient weight to the impropriety; </w:t>
      </w:r>
    </w:p>
    <w:p w14:paraId="4718D44A" w14:textId="77777777" w:rsidR="005F67FC" w:rsidRDefault="005F67FC" w:rsidP="00866891">
      <w:pPr>
        <w:pStyle w:val="BodyTextnonum"/>
        <w:numPr>
          <w:ilvl w:val="3"/>
          <w:numId w:val="25"/>
        </w:numPr>
      </w:pPr>
      <w:r>
        <w:t>whether there should be additional controls on the admissibility of statements made by defendants to fellow prisoners;</w:t>
      </w:r>
    </w:p>
    <w:p w14:paraId="1E94E30B" w14:textId="77777777" w:rsidR="005F67FC" w:rsidRDefault="005F67FC" w:rsidP="00866891">
      <w:pPr>
        <w:pStyle w:val="BodyTextnonum"/>
        <w:numPr>
          <w:ilvl w:val="3"/>
          <w:numId w:val="25"/>
        </w:numPr>
      </w:pPr>
      <w:r>
        <w:t xml:space="preserve">whether the provisions controlling anonymous evidence given by undercover police officers require amendment; and </w:t>
      </w:r>
    </w:p>
    <w:p w14:paraId="50D6CD66" w14:textId="77777777" w:rsidR="005F67FC" w:rsidRDefault="005F67FC" w:rsidP="00866891">
      <w:pPr>
        <w:pStyle w:val="BodyTextnonum"/>
        <w:numPr>
          <w:ilvl w:val="3"/>
          <w:numId w:val="25"/>
        </w:numPr>
      </w:pPr>
      <w:r>
        <w:t>whether any clarifications are needed regarding privilege in criminal proceedings for information obtained by medical practitioners and clinical psychologists.</w:t>
      </w:r>
    </w:p>
    <w:p w14:paraId="5B92A8EE" w14:textId="04A3E1B3" w:rsidR="005F67FC" w:rsidRDefault="005F67FC" w:rsidP="00866891">
      <w:pPr>
        <w:pStyle w:val="BodyText"/>
        <w:numPr>
          <w:ilvl w:val="1"/>
          <w:numId w:val="25"/>
        </w:numPr>
        <w:ind w:hanging="709"/>
      </w:pPr>
      <w:r>
        <w:t xml:space="preserve">We developed a set of criteria to determine what issues to include in this Issues Paper. We have generally only included an issue if it meets all the following criteria, or if we think </w:t>
      </w:r>
      <w:r>
        <w:lastRenderedPageBreak/>
        <w:t xml:space="preserve">that it cannot be properly assessed against </w:t>
      </w:r>
      <w:r w:rsidR="00C9432D">
        <w:t>these criteria</w:t>
      </w:r>
      <w:r>
        <w:t xml:space="preserve"> without first seeking submissions on the issue from interested parties:</w:t>
      </w:r>
      <w:r>
        <w:rPr>
          <w:rStyle w:val="FootnoteReference"/>
        </w:rPr>
        <w:footnoteReference w:id="16"/>
      </w:r>
    </w:p>
    <w:p w14:paraId="24679B5D" w14:textId="77777777" w:rsidR="005F67FC" w:rsidRDefault="005F67FC" w:rsidP="00866891">
      <w:pPr>
        <w:pStyle w:val="BodyTextnonum"/>
        <w:numPr>
          <w:ilvl w:val="3"/>
          <w:numId w:val="25"/>
        </w:numPr>
        <w:tabs>
          <w:tab w:val="num" w:pos="709"/>
        </w:tabs>
      </w:pPr>
      <w:r>
        <w:t>First, the issue is more than minor or technical in nature (that is, the issue has the potential to cause a real problem in practice).</w:t>
      </w:r>
    </w:p>
    <w:p w14:paraId="35BFFDA7" w14:textId="77777777" w:rsidR="005F67FC" w:rsidRDefault="005F67FC" w:rsidP="00866891">
      <w:pPr>
        <w:pStyle w:val="BodyTextnonum"/>
        <w:numPr>
          <w:ilvl w:val="3"/>
          <w:numId w:val="25"/>
        </w:numPr>
        <w:tabs>
          <w:tab w:val="num" w:pos="709"/>
        </w:tabs>
      </w:pPr>
      <w:r>
        <w:t>Second, the issue relates to the operation of the Act since the last review, or the issue pre-dates the last review but is of such significance that we think it should be included in this review, given the repeal of section 202.</w:t>
      </w:r>
    </w:p>
    <w:p w14:paraId="2172B25B" w14:textId="77777777" w:rsidR="005F67FC" w:rsidRDefault="005F67FC" w:rsidP="00866891">
      <w:pPr>
        <w:pStyle w:val="BodyTextnonum"/>
        <w:numPr>
          <w:ilvl w:val="3"/>
          <w:numId w:val="25"/>
        </w:numPr>
        <w:tabs>
          <w:tab w:val="num" w:pos="709"/>
        </w:tabs>
      </w:pPr>
      <w:r>
        <w:t>Third, the issue was not comprehensively considered in the Commission’s earlier reviews of the Act, or new material (such as subsequent case law or commentary) suggests there is a need to revisit the conclusions reached by the Commission in its earlier review(s).</w:t>
      </w:r>
    </w:p>
    <w:p w14:paraId="483119DC" w14:textId="77777777" w:rsidR="005F67FC" w:rsidRDefault="005F67FC" w:rsidP="00866891">
      <w:pPr>
        <w:pStyle w:val="BodyText"/>
        <w:numPr>
          <w:ilvl w:val="1"/>
          <w:numId w:val="25"/>
        </w:numPr>
        <w:tabs>
          <w:tab w:val="left" w:pos="709"/>
        </w:tabs>
        <w:ind w:hanging="709"/>
      </w:pPr>
      <w:r>
        <w:t>We have also considered how the Act recognises and provides for te ao Māori. In Chapter</w:t>
      </w:r>
      <w:r>
        <w:rPr>
          <w:rFonts w:ascii="Calibri" w:hAnsi="Calibri" w:cs="Calibri"/>
        </w:rPr>
        <w:t> </w:t>
      </w:r>
      <w:r>
        <w:t>2, we examine whether the Act adequately provides for the admission of evidence of mātauranga Māori, including tikanga Māori, and seek feedback on other potential issues with how the Act recognises and provides for te ao Māori.</w:t>
      </w:r>
      <w:r>
        <w:rPr>
          <w:rStyle w:val="FootnoteReference"/>
        </w:rPr>
        <w:footnoteReference w:id="17"/>
      </w:r>
    </w:p>
    <w:p w14:paraId="1EB9EDBB" w14:textId="77777777" w:rsidR="005F67FC" w:rsidRDefault="005F67FC" w:rsidP="00866891">
      <w:pPr>
        <w:pStyle w:val="BodyText"/>
        <w:numPr>
          <w:ilvl w:val="1"/>
          <w:numId w:val="25"/>
        </w:numPr>
        <w:ind w:hanging="709"/>
      </w:pPr>
      <w:r>
        <w:t>In preparing this Issues Paper we met with our Expert Advisory Group and the Judicial Advisory Committee established by the Chief Justice for this review. We have been guided on our approach to ao Māori issues by the Commission’s Māori Liaison Committee.</w:t>
      </w:r>
    </w:p>
    <w:p w14:paraId="5DE1EC7C" w14:textId="77777777" w:rsidR="005F67FC" w:rsidRDefault="005F67FC" w:rsidP="005F67FC">
      <w:pPr>
        <w:pStyle w:val="Heading2"/>
      </w:pPr>
      <w:bookmarkStart w:id="59" w:name="_Toc132962541"/>
      <w:r>
        <w:t>Proposed approach to assessing potential amendments</w:t>
      </w:r>
      <w:bookmarkEnd w:id="59"/>
      <w:r>
        <w:t xml:space="preserve"> </w:t>
      </w:r>
    </w:p>
    <w:p w14:paraId="3F3A2AD0" w14:textId="77777777" w:rsidR="005F67FC" w:rsidRDefault="005F67FC" w:rsidP="00866891">
      <w:pPr>
        <w:pStyle w:val="BodyText"/>
        <w:numPr>
          <w:ilvl w:val="1"/>
          <w:numId w:val="25"/>
        </w:numPr>
        <w:tabs>
          <w:tab w:val="left" w:pos="709"/>
        </w:tabs>
        <w:ind w:hanging="709"/>
      </w:pPr>
      <w:r>
        <w:t>When considering whether to recommend any amendments to the Act, we must consider whether such action is “necessary or desirable”.</w:t>
      </w:r>
      <w:r>
        <w:rPr>
          <w:rStyle w:val="FootnoteReference"/>
        </w:rPr>
        <w:footnoteReference w:id="18"/>
      </w:r>
      <w:r>
        <w:t xml:space="preserve"> Not every issue with the Act will meet this threshold, and we have not reached a preliminary view on many of the issues discussed in this Issues Paper. We therefore encourage submitters to provide feedback on both the nature and extent of potential issues in practice as well as preferred reform options. The feedback we receive will be important in our analysis of the case for reform. </w:t>
      </w:r>
    </w:p>
    <w:p w14:paraId="35893844" w14:textId="77777777" w:rsidR="005F67FC" w:rsidRDefault="005F67FC" w:rsidP="00866891">
      <w:pPr>
        <w:pStyle w:val="BodyText"/>
        <w:numPr>
          <w:ilvl w:val="1"/>
          <w:numId w:val="25"/>
        </w:numPr>
        <w:ind w:hanging="709"/>
      </w:pPr>
      <w:r>
        <w:t>Consistent with the Commission’s approach in the Second Review, we intend to assess the case for reform in relation to each issue by reference to the purpose statement in section 6 of the Act. This will require considering the extent to which any potential amendment would better achieve the Act’s purpose, which is:</w:t>
      </w:r>
      <w:r>
        <w:rPr>
          <w:rStyle w:val="FootnoteReference"/>
        </w:rPr>
        <w:footnoteReference w:id="19"/>
      </w:r>
    </w:p>
    <w:p w14:paraId="6C406636" w14:textId="4F41A2A7" w:rsidR="005F67FC" w:rsidRDefault="005F67FC" w:rsidP="005F67FC">
      <w:pPr>
        <w:pStyle w:val="Quote"/>
      </w:pPr>
      <w:r>
        <w:t>… to help secure the just determination of proceedings by</w:t>
      </w:r>
      <w:r w:rsidR="005E05E5" w:rsidRPr="005E05E5">
        <w:t>—</w:t>
      </w:r>
    </w:p>
    <w:p w14:paraId="7D9E19D4" w14:textId="77777777" w:rsidR="005F67FC" w:rsidRDefault="005F67FC" w:rsidP="005F67FC">
      <w:pPr>
        <w:pStyle w:val="Quote"/>
      </w:pPr>
      <w:r>
        <w:t>(a)</w:t>
      </w:r>
      <w:r>
        <w:tab/>
        <w:t>providing for facts to be established by the application of logical rules; and</w:t>
      </w:r>
    </w:p>
    <w:p w14:paraId="3551CFBB" w14:textId="77777777" w:rsidR="005F67FC" w:rsidRDefault="005F67FC" w:rsidP="005F67FC">
      <w:pPr>
        <w:pStyle w:val="Quote"/>
      </w:pPr>
      <w:r>
        <w:t>(b)</w:t>
      </w:r>
      <w:r>
        <w:tab/>
        <w:t>providing rules of evidence that recognise the importance of the rights affirmed by the New Zealand Bill of Rights Act 1990; and</w:t>
      </w:r>
    </w:p>
    <w:p w14:paraId="1E9AFA33" w14:textId="77777777" w:rsidR="005F67FC" w:rsidRDefault="005F67FC" w:rsidP="005F67FC">
      <w:pPr>
        <w:pStyle w:val="Quote"/>
      </w:pPr>
      <w:r>
        <w:lastRenderedPageBreak/>
        <w:t>(c)</w:t>
      </w:r>
      <w:r>
        <w:tab/>
        <w:t>promoting fairness to parties and witnesses; and</w:t>
      </w:r>
    </w:p>
    <w:p w14:paraId="3A7D3205" w14:textId="77777777" w:rsidR="005F67FC" w:rsidRDefault="005F67FC" w:rsidP="005F67FC">
      <w:pPr>
        <w:pStyle w:val="Quote"/>
      </w:pPr>
      <w:r>
        <w:t>(d)</w:t>
      </w:r>
      <w:r>
        <w:tab/>
        <w:t>protecting rights of confidentiality and other important public interests; and</w:t>
      </w:r>
    </w:p>
    <w:p w14:paraId="6FF4CC32" w14:textId="77777777" w:rsidR="005F67FC" w:rsidRDefault="005F67FC" w:rsidP="005F67FC">
      <w:pPr>
        <w:pStyle w:val="Quote"/>
      </w:pPr>
      <w:r>
        <w:t>(e)</w:t>
      </w:r>
      <w:r>
        <w:tab/>
        <w:t>avoiding unjustifiable expense and delay; and</w:t>
      </w:r>
    </w:p>
    <w:p w14:paraId="1D4A86F6" w14:textId="77777777" w:rsidR="005F67FC" w:rsidRDefault="005F67FC" w:rsidP="005F67FC">
      <w:pPr>
        <w:pStyle w:val="Quote"/>
      </w:pPr>
      <w:r>
        <w:t>(f)</w:t>
      </w:r>
      <w:r>
        <w:tab/>
        <w:t>enhancing access to the law of evidence.</w:t>
      </w:r>
    </w:p>
    <w:p w14:paraId="4F285B51" w14:textId="77777777" w:rsidR="005F67FC" w:rsidRDefault="005F67FC" w:rsidP="00866891">
      <w:pPr>
        <w:pStyle w:val="BodyText"/>
        <w:numPr>
          <w:ilvl w:val="1"/>
          <w:numId w:val="25"/>
        </w:numPr>
        <w:tabs>
          <w:tab w:val="left" w:pos="709"/>
        </w:tabs>
        <w:ind w:hanging="709"/>
      </w:pPr>
      <w:r>
        <w:t xml:space="preserve">It is important to recognise that legislative amendment is not the only way to address an issue with the operation of the Act. In assessing whether reform is necessary or desirable we will, therefore, also consider whether the issue is best left to be resolved by the courts on a case-by-case basis, or whether non-legislative measures, such as practice rules or guidance, are more appropriate alternatives to law reform. Such options can be more flexible and responsive to changing circumstances or emerging best practice than legislative amendment. </w:t>
      </w:r>
    </w:p>
    <w:p w14:paraId="5A4404FF" w14:textId="77777777" w:rsidR="005F67FC" w:rsidRDefault="005F67FC" w:rsidP="00866891">
      <w:pPr>
        <w:pStyle w:val="BodyText"/>
        <w:numPr>
          <w:ilvl w:val="1"/>
          <w:numId w:val="25"/>
        </w:numPr>
        <w:tabs>
          <w:tab w:val="left" w:pos="709"/>
        </w:tabs>
        <w:ind w:hanging="709"/>
      </w:pPr>
      <w:r>
        <w:t>Finally, we recognise it is always important when making recommendations for legislative amendment to ensure, as far as practicable, that they do not have unintended consequences. The risk of unintended consequences may, in some cases, weigh against reform, particularly where there is limited evidence of an issue causing significant problems in practice.</w:t>
      </w:r>
    </w:p>
    <w:p w14:paraId="7E808AEB" w14:textId="77777777" w:rsidR="005F67FC" w:rsidRDefault="005F67FC" w:rsidP="005F67FC">
      <w:pPr>
        <w:pStyle w:val="Heading2"/>
      </w:pPr>
      <w:bookmarkStart w:id="60" w:name="_Toc132962542"/>
      <w:r>
        <w:t>Structure of this paper</w:t>
      </w:r>
      <w:bookmarkEnd w:id="60"/>
    </w:p>
    <w:p w14:paraId="245E42DF" w14:textId="7A610146" w:rsidR="005F67FC" w:rsidRDefault="005F67FC" w:rsidP="00866891">
      <w:pPr>
        <w:pStyle w:val="BodyText"/>
        <w:numPr>
          <w:ilvl w:val="1"/>
          <w:numId w:val="25"/>
        </w:numPr>
        <w:ind w:hanging="709"/>
      </w:pPr>
      <w:r>
        <w:t>The remainder of this Issues Paper is organised into chapters</w:t>
      </w:r>
      <w:r w:rsidR="008434D5">
        <w:t xml:space="preserve"> that</w:t>
      </w:r>
      <w:r>
        <w:t xml:space="preserve">, apart from </w:t>
      </w:r>
      <w:r w:rsidR="008434D5">
        <w:t>C</w:t>
      </w:r>
      <w:r>
        <w:t>hapters 2 and 15, follow the structure of the Act:</w:t>
      </w:r>
    </w:p>
    <w:p w14:paraId="4F383542" w14:textId="20A5C4FC" w:rsidR="005F67FC" w:rsidRPr="000677B7" w:rsidRDefault="005F67FC" w:rsidP="00866891">
      <w:pPr>
        <w:pStyle w:val="BodyTextnonum"/>
        <w:numPr>
          <w:ilvl w:val="3"/>
          <w:numId w:val="25"/>
        </w:numPr>
        <w:tabs>
          <w:tab w:val="num" w:pos="709"/>
        </w:tabs>
      </w:pPr>
      <w:r w:rsidRPr="000677B7">
        <w:t xml:space="preserve">Chapter </w:t>
      </w:r>
      <w:r>
        <w:t>2</w:t>
      </w:r>
      <w:r w:rsidRPr="000677B7">
        <w:t xml:space="preserve"> considers </w:t>
      </w:r>
      <w:r w:rsidR="005667B4">
        <w:t>t</w:t>
      </w:r>
      <w:r w:rsidR="00F21646">
        <w:t>e</w:t>
      </w:r>
      <w:r w:rsidR="005667B4">
        <w:t xml:space="preserve"> </w:t>
      </w:r>
      <w:r w:rsidR="00F21646">
        <w:t>ao</w:t>
      </w:r>
      <w:r w:rsidRPr="000677B7">
        <w:t xml:space="preserve"> Māori</w:t>
      </w:r>
      <w:r>
        <w:t xml:space="preserve"> and the Act</w:t>
      </w:r>
      <w:r w:rsidRPr="000677B7">
        <w:t>.</w:t>
      </w:r>
    </w:p>
    <w:p w14:paraId="3A60136C" w14:textId="77777777" w:rsidR="005F67FC" w:rsidRPr="000677B7" w:rsidRDefault="005F67FC" w:rsidP="00866891">
      <w:pPr>
        <w:pStyle w:val="BodyTextnonum"/>
        <w:numPr>
          <w:ilvl w:val="3"/>
          <w:numId w:val="25"/>
        </w:numPr>
        <w:tabs>
          <w:tab w:val="num" w:pos="709"/>
        </w:tabs>
      </w:pPr>
      <w:r w:rsidRPr="000677B7">
        <w:t xml:space="preserve">Chapters </w:t>
      </w:r>
      <w:r>
        <w:t>3</w:t>
      </w:r>
      <w:r w:rsidRPr="000677B7">
        <w:t xml:space="preserve"> to </w:t>
      </w:r>
      <w:r>
        <w:t>13</w:t>
      </w:r>
      <w:r w:rsidRPr="000677B7">
        <w:t xml:space="preserve"> consider issues concerning the rules of admissibility in Part 2 of the Act.</w:t>
      </w:r>
    </w:p>
    <w:p w14:paraId="12D5E609" w14:textId="77777777" w:rsidR="005F67FC" w:rsidRPr="000677B7" w:rsidRDefault="005F67FC" w:rsidP="00866891">
      <w:pPr>
        <w:pStyle w:val="BodyTextnonum"/>
        <w:numPr>
          <w:ilvl w:val="3"/>
          <w:numId w:val="25"/>
        </w:numPr>
        <w:tabs>
          <w:tab w:val="num" w:pos="709"/>
        </w:tabs>
      </w:pPr>
      <w:r w:rsidRPr="000677B7">
        <w:t>Chapter 14 considers issues concerning</w:t>
      </w:r>
      <w:r>
        <w:t xml:space="preserve"> the</w:t>
      </w:r>
      <w:r w:rsidRPr="000677B7">
        <w:t xml:space="preserve"> trial process rules in Part 3 of the Act. </w:t>
      </w:r>
    </w:p>
    <w:p w14:paraId="32E6ABE8" w14:textId="77777777" w:rsidR="005F67FC" w:rsidRPr="000677B7" w:rsidRDefault="005F67FC" w:rsidP="00866891">
      <w:pPr>
        <w:pStyle w:val="BodyTextnonum"/>
        <w:numPr>
          <w:ilvl w:val="3"/>
          <w:numId w:val="25"/>
        </w:numPr>
        <w:tabs>
          <w:tab w:val="num" w:pos="709"/>
        </w:tabs>
      </w:pPr>
      <w:r w:rsidRPr="000677B7">
        <w:t>Chapter 15 considers several other issues that relate to specific stand-alone topics.</w:t>
      </w:r>
    </w:p>
    <w:p w14:paraId="565DA571" w14:textId="14A3A73A" w:rsidR="005F67FC" w:rsidRDefault="005F67FC" w:rsidP="00866891">
      <w:pPr>
        <w:pStyle w:val="BodyText"/>
        <w:numPr>
          <w:ilvl w:val="1"/>
          <w:numId w:val="25"/>
        </w:numPr>
        <w:ind w:hanging="709"/>
      </w:pPr>
      <w:r>
        <w:t xml:space="preserve">While most of the issues discussed in this </w:t>
      </w:r>
      <w:r w:rsidR="00356881">
        <w:t>Issues P</w:t>
      </w:r>
      <w:r>
        <w:t>aper primarily concern rules of evidence in criminal proceedings, a number of issues will be of particular significance in civil proceedings. These include issues relating to:</w:t>
      </w:r>
    </w:p>
    <w:p w14:paraId="61A0C8CC" w14:textId="77777777" w:rsidR="005F67FC" w:rsidRDefault="005F67FC" w:rsidP="00866891">
      <w:pPr>
        <w:pStyle w:val="BodyTextnonum"/>
        <w:numPr>
          <w:ilvl w:val="3"/>
          <w:numId w:val="25"/>
        </w:numPr>
        <w:tabs>
          <w:tab w:val="clear" w:pos="709"/>
        </w:tabs>
      </w:pPr>
      <w:r>
        <w:t>the admissibility of hearsay evidence in civil proceedings (Chapter 3);</w:t>
      </w:r>
    </w:p>
    <w:p w14:paraId="704437C3" w14:textId="77777777" w:rsidR="005F67FC" w:rsidRDefault="005F67FC" w:rsidP="00866891">
      <w:pPr>
        <w:pStyle w:val="BodyTextnonum"/>
        <w:numPr>
          <w:ilvl w:val="3"/>
          <w:numId w:val="25"/>
        </w:numPr>
        <w:tabs>
          <w:tab w:val="clear" w:pos="709"/>
        </w:tabs>
      </w:pPr>
      <w:r>
        <w:t>legal advice privilege, litigation privilege and settlement privilege (Chapter 13); and</w:t>
      </w:r>
    </w:p>
    <w:p w14:paraId="041C2523" w14:textId="77777777" w:rsidR="005F67FC" w:rsidRDefault="005F67FC" w:rsidP="00866891">
      <w:pPr>
        <w:pStyle w:val="BodyTextnonum"/>
        <w:numPr>
          <w:ilvl w:val="3"/>
          <w:numId w:val="25"/>
        </w:numPr>
        <w:tabs>
          <w:tab w:val="clear" w:pos="709"/>
        </w:tabs>
      </w:pPr>
      <w:r>
        <w:t xml:space="preserve">cross-examination duties in civil proceedings (Chapter 14). </w:t>
      </w:r>
    </w:p>
    <w:p w14:paraId="46C95567" w14:textId="77A8978E" w:rsidR="005F67FC" w:rsidRDefault="005F67FC" w:rsidP="00866891">
      <w:pPr>
        <w:pStyle w:val="BodyText"/>
        <w:numPr>
          <w:ilvl w:val="1"/>
          <w:numId w:val="25"/>
        </w:numPr>
        <w:ind w:hanging="709"/>
      </w:pPr>
      <w:r>
        <w:t xml:space="preserve">We ask questions throughout this Issues Paper to seek your views. You are welcome to focus only on those topics you wish to provide feedback on. There is no need to answer all the questions. You can also raise any other issues with the operation of the Act </w:t>
      </w:r>
      <w:r w:rsidR="00F21646">
        <w:t xml:space="preserve">that </w:t>
      </w:r>
      <w:r>
        <w:t xml:space="preserve">we have not addressed in this </w:t>
      </w:r>
      <w:r w:rsidR="00356881">
        <w:t>Issues P</w:t>
      </w:r>
      <w:r>
        <w:t xml:space="preserve">aper. </w:t>
      </w:r>
    </w:p>
    <w:p w14:paraId="42A2ADCD" w14:textId="7EEBBC69" w:rsidR="0011340A" w:rsidRDefault="00437057" w:rsidP="00866891">
      <w:pPr>
        <w:pStyle w:val="ListParagraph"/>
        <w:numPr>
          <w:ilvl w:val="0"/>
          <w:numId w:val="25"/>
        </w:numPr>
      </w:pPr>
      <w:r>
        <w:rPr>
          <w:noProof/>
        </w:rPr>
        <mc:AlternateContent>
          <mc:Choice Requires="wpg">
            <w:drawing>
              <wp:anchor distT="0" distB="0" distL="114300" distR="114300" simplePos="0" relativeHeight="251658276" behindDoc="1" locked="0" layoutInCell="1" allowOverlap="1" wp14:anchorId="34A7F2C5" wp14:editId="18986F3B">
                <wp:simplePos x="0" y="0"/>
                <wp:positionH relativeFrom="column">
                  <wp:posOffset>0</wp:posOffset>
                </wp:positionH>
                <wp:positionV relativeFrom="paragraph">
                  <wp:posOffset>-635</wp:posOffset>
                </wp:positionV>
                <wp:extent cx="5760085" cy="978833"/>
                <wp:effectExtent l="0" t="0" r="0" b="0"/>
                <wp:wrapNone/>
                <wp:docPr id="764517953" name="Group 764517953" descr="Question"/>
                <wp:cNvGraphicFramePr/>
                <a:graphic xmlns:a="http://schemas.openxmlformats.org/drawingml/2006/main">
                  <a:graphicData uri="http://schemas.microsoft.com/office/word/2010/wordprocessingGroup">
                    <wpg:wgp>
                      <wpg:cNvGrpSpPr/>
                      <wpg:grpSpPr>
                        <a:xfrm>
                          <a:off x="0" y="0"/>
                          <a:ext cx="5760085" cy="978833"/>
                          <a:chOff x="0" y="62865"/>
                          <a:chExt cx="5760085" cy="978932"/>
                        </a:xfrm>
                      </wpg:grpSpPr>
                      <wps:wsp>
                        <wps:cNvPr id="76451795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4D16E1" w14:textId="77777777" w:rsidR="00437057" w:rsidRDefault="00437057" w:rsidP="00437057">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55" name="Group 53"/>
                        <wpg:cNvGrpSpPr>
                          <a:grpSpLocks/>
                        </wpg:cNvGrpSpPr>
                        <wpg:grpSpPr bwMode="auto">
                          <a:xfrm>
                            <a:off x="0" y="316263"/>
                            <a:ext cx="5760085" cy="725534"/>
                            <a:chOff x="1837" y="1792"/>
                            <a:chExt cx="9302" cy="7837"/>
                          </a:xfrm>
                        </wpg:grpSpPr>
                        <wps:wsp>
                          <wps:cNvPr id="764517956" name="Freeform 54"/>
                          <wps:cNvSpPr>
                            <a:spLocks/>
                          </wps:cNvSpPr>
                          <wps:spPr bwMode="auto">
                            <a:xfrm>
                              <a:off x="1837" y="1792"/>
                              <a:ext cx="9302" cy="783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7957" name="Group 764517957"/>
                        <wpg:cNvGrpSpPr/>
                        <wpg:grpSpPr>
                          <a:xfrm>
                            <a:off x="0" y="494036"/>
                            <a:ext cx="1443794" cy="252000"/>
                            <a:chOff x="-15880" y="0"/>
                            <a:chExt cx="1444379" cy="252068"/>
                          </a:xfrm>
                        </wpg:grpSpPr>
                        <wps:wsp>
                          <wps:cNvPr id="76451795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1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7364B7" w14:textId="77777777" w:rsidR="00437057" w:rsidRPr="00E90B8A" w:rsidRDefault="00437057" w:rsidP="00437057">
                                <w:pPr>
                                  <w:pStyle w:val="BoxTitle"/>
                                  <w:spacing w:before="0" w:beforeAutospacing="0"/>
                                  <w:rPr>
                                    <w:sz w:val="18"/>
                                    <w:szCs w:val="18"/>
                                  </w:rPr>
                                </w:pPr>
                                <w:r w:rsidRPr="00E90B8A">
                                  <w:rPr>
                                    <w:sz w:val="18"/>
                                    <w:szCs w:val="18"/>
                                  </w:rPr>
                                  <w:t>Q1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4A7F2C5" id="Group 764517953" o:spid="_x0000_s1031" alt="Question" style="position:absolute;left:0;text-align:left;margin-left:0;margin-top:-.05pt;width:453.55pt;height:77.05pt;z-index:-251658204;mso-height-relative:margin" coordorigin=",628" coordsize="57600,9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">
                <v:shape id="Freeform 52" o:spid="_x0000_s103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94D16E1" w14:textId="77777777" w:rsidR="00437057" w:rsidRDefault="00437057" w:rsidP="00437057">
                        <w:pPr>
                          <w:pStyle w:val="BoxTitle"/>
                          <w:spacing w:before="0" w:beforeAutospacing="0"/>
                        </w:pPr>
                        <w:r w:rsidRPr="007F6876">
                          <w:t>QUESTION</w:t>
                        </w:r>
                      </w:p>
                    </w:txbxContent>
                  </v:textbox>
                </v:shape>
                <v:group id="Group 53" o:spid="_x0000_s1033" style="position:absolute;top:3162;width:57600;height:7255" coordorigin="1837,1792" coordsize="9302,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">
                  <v:shape id="Freeform 54" o:spid="_x0000_s1034" style="position:absolute;left:1837;top:1792;width:9302;height:783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" path="m,l9354,r,7809l,7809,,e" fillcolor="#edf2ea" stroked="f">
                    <v:path arrowok="t" o:connecttype="custom" o:connectlocs="0,1004;9302,1004;9302,8841;0,8841;0,1004" o:connectangles="0,0,0,0,0"/>
                  </v:shape>
                </v:group>
                <v:group id="Group 764517957" o:spid="_x0000_s103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">
                  <v:shape id="Freeform 58" o:spid="_x0000_s103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" path="m,l1815,e" filled="f" strokecolor="#72ab6a" strokeweight=".5pt">
                    <v:path arrowok="t" o:connecttype="custom" o:connectlocs="0,0;1073495,0" o:connectangles="0,0"/>
                  </v:shape>
                  <v:shape id="Freeform 66" o:spid="_x0000_s103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D7364B7" w14:textId="77777777" w:rsidR="00437057" w:rsidRPr="00E90B8A" w:rsidRDefault="00437057" w:rsidP="00437057">
                          <w:pPr>
                            <w:pStyle w:val="BoxTitle"/>
                            <w:spacing w:before="0" w:beforeAutospacing="0"/>
                            <w:rPr>
                              <w:sz w:val="18"/>
                              <w:szCs w:val="18"/>
                            </w:rPr>
                          </w:pPr>
                          <w:r w:rsidRPr="00E90B8A">
                            <w:rPr>
                              <w:sz w:val="18"/>
                              <w:szCs w:val="18"/>
                            </w:rPr>
                            <w:t>Q1</w:t>
                          </w:r>
                        </w:p>
                      </w:txbxContent>
                    </v:textbox>
                  </v:shape>
                </v:group>
              </v:group>
            </w:pict>
          </mc:Fallback>
        </mc:AlternateContent>
      </w:r>
    </w:p>
    <w:p w14:paraId="0BFB3F1F" w14:textId="77777777" w:rsidR="00437057" w:rsidRDefault="00437057" w:rsidP="00437057">
      <w:pPr>
        <w:pStyle w:val="QuestionBox"/>
      </w:pPr>
    </w:p>
    <w:p w14:paraId="75F26936" w14:textId="158E37B1" w:rsidR="0011340A" w:rsidRPr="00083499" w:rsidRDefault="0011340A" w:rsidP="00437057">
      <w:pPr>
        <w:pStyle w:val="QuestionBox"/>
      </w:pPr>
      <w:r w:rsidRPr="00083499">
        <w:t xml:space="preserve">Are there any issues with the operation of the Act that are not addressed in this Issues Paper that you think we should consider?  </w:t>
      </w:r>
    </w:p>
    <w:p w14:paraId="422D923F" w14:textId="40EDEDAC" w:rsidR="005F67FC" w:rsidRDefault="005F67FC" w:rsidP="005F67FC">
      <w:pPr>
        <w:pStyle w:val="BodyTextalphalist"/>
        <w:ind w:left="0" w:firstLine="0"/>
      </w:pPr>
    </w:p>
    <w:p w14:paraId="48A84C5B" w14:textId="02C3AA58" w:rsidR="005F67FC" w:rsidRPr="00D37FCE" w:rsidRDefault="00D06249" w:rsidP="00045FD3">
      <w:pPr>
        <w:pStyle w:val="BodyTextalphalist"/>
      </w:pPr>
      <w:r w:rsidRPr="00D37FCE">
        <w:rPr>
          <w:rFonts w:eastAsiaTheme="minorHAnsi"/>
          <w:noProof/>
          <w:lang w:eastAsia="en-NZ"/>
        </w:rPr>
        <mc:AlternateContent>
          <mc:Choice Requires="wpg">
            <w:drawing>
              <wp:anchor distT="0" distB="0" distL="114300" distR="114300" simplePos="0" relativeHeight="251658277" behindDoc="1" locked="0" layoutInCell="1" allowOverlap="1" wp14:anchorId="2F10C2EF" wp14:editId="7806CFC7">
                <wp:simplePos x="0" y="0"/>
                <wp:positionH relativeFrom="page">
                  <wp:posOffset>1079500</wp:posOffset>
                </wp:positionH>
                <wp:positionV relativeFrom="paragraph">
                  <wp:posOffset>51435</wp:posOffset>
                </wp:positionV>
                <wp:extent cx="2411730" cy="1270"/>
                <wp:effectExtent l="0" t="19050" r="26670" b="17780"/>
                <wp:wrapNone/>
                <wp:docPr id="2079866929" name="Group 2079866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35362584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92A4B" id="Group 2079866929" o:spid="_x0000_s1026" style="position:absolute;margin-left:85pt;margin-top:4.05pt;width:189.9pt;height:.1pt;z-index:-25165820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" path="m,l2097,e" filled="f" strokecolor="#72ab6a" strokeweight="3pt">
                  <v:path arrowok="t" o:connecttype="custom" o:connectlocs="0,0;2097,0" o:connectangles="0,0"/>
                </v:shape>
                <w10:wrap anchorx="page"/>
              </v:group>
            </w:pict>
          </mc:Fallback>
        </mc:AlternateContent>
      </w:r>
    </w:p>
    <w:p w14:paraId="44EB0686" w14:textId="7057B2DE" w:rsidR="00CD6EA6" w:rsidRDefault="00CD6EA6">
      <w:pPr>
        <w:spacing w:line="200" w:lineRule="exact"/>
        <w:rPr>
          <w:rFonts w:eastAsia="SimSun"/>
          <w:szCs w:val="20"/>
        </w:rPr>
        <w:sectPr w:rsidR="00CD6EA6" w:rsidSect="00FD6721">
          <w:headerReference w:type="even" r:id="rId32"/>
          <w:headerReference w:type="default" r:id="rId33"/>
          <w:footerReference w:type="even" r:id="rId34"/>
          <w:footnotePr>
            <w:numRestart w:val="eachSect"/>
          </w:footnotePr>
          <w:type w:val="nextColumn"/>
          <w:pgSz w:w="11907" w:h="16840" w:code="9"/>
          <w:pgMar w:top="1134" w:right="1134" w:bottom="1134" w:left="1701" w:header="499" w:footer="499" w:gutter="0"/>
          <w:cols w:space="720"/>
          <w:docGrid w:linePitch="272"/>
        </w:sectPr>
      </w:pPr>
    </w:p>
    <w:p w14:paraId="076622F7" w14:textId="77777777" w:rsidR="00C17BEB" w:rsidRPr="00D37FCE" w:rsidRDefault="00C17BEB" w:rsidP="00634007">
      <w:pPr>
        <w:pStyle w:val="HEADING2topchapter-notinTOC"/>
      </w:pPr>
      <w:r w:rsidRPr="00D37FCE">
        <w:lastRenderedPageBreak/>
        <w:t xml:space="preserve">CHAPTER </w:t>
      </w:r>
      <w:r w:rsidR="00C2793E" w:rsidRPr="00D37FCE">
        <w:t>2</w:t>
      </w:r>
    </w:p>
    <w:p w14:paraId="745820DD" w14:textId="77777777" w:rsidR="00C17BEB" w:rsidRPr="00D37FCE" w:rsidRDefault="00C17BEB" w:rsidP="00C17BEB">
      <w:pPr>
        <w:spacing w:line="200" w:lineRule="exact"/>
        <w:rPr>
          <w:szCs w:val="20"/>
        </w:rPr>
      </w:pPr>
      <w:r w:rsidRPr="00D37FCE">
        <w:rPr>
          <w:noProof/>
          <w:lang w:eastAsia="en-NZ"/>
        </w:rPr>
        <mc:AlternateContent>
          <mc:Choice Requires="wpg">
            <w:drawing>
              <wp:anchor distT="0" distB="0" distL="114300" distR="114300" simplePos="0" relativeHeight="251658247" behindDoc="1" locked="0" layoutInCell="1" allowOverlap="1" wp14:anchorId="7E2EAB7C" wp14:editId="61CE316E">
                <wp:simplePos x="0" y="0"/>
                <wp:positionH relativeFrom="page">
                  <wp:posOffset>1076325</wp:posOffset>
                </wp:positionH>
                <wp:positionV relativeFrom="paragraph">
                  <wp:posOffset>6350</wp:posOffset>
                </wp:positionV>
                <wp:extent cx="1332230" cy="1270"/>
                <wp:effectExtent l="0" t="19050" r="127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BA83E" id="Group 1" o:spid="_x0000_s1026" style="position:absolute;margin-left:84.75pt;margin-top:.5pt;width:104.9pt;height:.1pt;z-index:-25165823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bd9gIAANc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" path="m,l2098,e" filled="f" strokecolor="#73ab6e" strokeweight="3pt">
                  <v:path arrowok="t" o:connecttype="custom" o:connectlocs="0,0;2098,0" o:connectangles="0,0"/>
                </v:shape>
                <w10:wrap anchorx="page"/>
              </v:group>
            </w:pict>
          </mc:Fallback>
        </mc:AlternateContent>
      </w:r>
    </w:p>
    <w:p w14:paraId="73F1B4E5" w14:textId="35D21706" w:rsidR="006E2256" w:rsidRPr="00D37FCE" w:rsidRDefault="006E2256" w:rsidP="006E2256">
      <w:pPr>
        <w:pStyle w:val="Heading1"/>
        <w:rPr>
          <w:rFonts w:eastAsia="Cordia New"/>
        </w:rPr>
      </w:pPr>
      <w:bookmarkStart w:id="61" w:name="_Toc132962543"/>
      <w:r w:rsidRPr="00D37FCE">
        <w:rPr>
          <w:color w:val="FFFFFF" w:themeColor="background1"/>
          <w:sz w:val="2"/>
          <w:szCs w:val="2"/>
        </w:rPr>
        <w:t xml:space="preserve">2 </w:t>
      </w:r>
      <w:r w:rsidR="0032466B">
        <w:rPr>
          <w:rFonts w:eastAsia="Metropolis Black"/>
        </w:rPr>
        <w:t>T</w:t>
      </w:r>
      <w:r w:rsidR="00F3489A" w:rsidRPr="00F3489A">
        <w:rPr>
          <w:rFonts w:eastAsia="Metropolis Black"/>
        </w:rPr>
        <w:t>e ao Māori</w:t>
      </w:r>
      <w:r w:rsidR="0032466B">
        <w:rPr>
          <w:rFonts w:eastAsia="Metropolis Black"/>
        </w:rPr>
        <w:t xml:space="preserve"> and the Evidence Act</w:t>
      </w:r>
      <w:bookmarkEnd w:id="61"/>
    </w:p>
    <w:p w14:paraId="6DCFDC92" w14:textId="2D7EF01E" w:rsidR="001E24BE" w:rsidRDefault="001E24BE" w:rsidP="006E2256">
      <w:pPr>
        <w:spacing w:line="200" w:lineRule="exact"/>
        <w:rPr>
          <w:szCs w:val="20"/>
        </w:rPr>
      </w:pPr>
      <w:r w:rsidRPr="00D37FCE">
        <w:rPr>
          <w:noProof/>
          <w:lang w:eastAsia="en-NZ"/>
        </w:rPr>
        <mc:AlternateContent>
          <mc:Choice Requires="wpg">
            <w:drawing>
              <wp:anchor distT="0" distB="0" distL="114300" distR="114300" simplePos="0" relativeHeight="251658254" behindDoc="1" locked="0" layoutInCell="1" allowOverlap="1" wp14:anchorId="42B5FFCE" wp14:editId="79CE6944">
                <wp:simplePos x="0" y="0"/>
                <wp:positionH relativeFrom="margin">
                  <wp:align>left</wp:align>
                </wp:positionH>
                <wp:positionV relativeFrom="paragraph">
                  <wp:posOffset>97596</wp:posOffset>
                </wp:positionV>
                <wp:extent cx="1332230" cy="1270"/>
                <wp:effectExtent l="0" t="19050" r="20320" b="177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2D8DB" id="Group 5" o:spid="_x0000_s1026" style="position:absolute;margin-left:0;margin-top:7.7pt;width:104.9pt;height:.1pt;z-index:-251658226;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Mv9Q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" path="m,l2098,e" filled="f" strokecolor="#73ab6e" strokeweight="3pt">
                  <v:path arrowok="t" o:connecttype="custom" o:connectlocs="0,0;2098,0" o:connectangles="0,0"/>
                </v:shape>
                <w10:wrap anchorx="margin"/>
              </v:group>
            </w:pict>
          </mc:Fallback>
        </mc:AlternateContent>
      </w:r>
    </w:p>
    <w:p w14:paraId="2926E331" w14:textId="77777777" w:rsidR="00DA088B" w:rsidRDefault="00DA088B" w:rsidP="00DA088B"/>
    <w:p w14:paraId="1F601A8D" w14:textId="50D4E172" w:rsidR="00C57E1E" w:rsidRDefault="00C57E1E" w:rsidP="00DA088B"/>
    <w:p w14:paraId="4351B8D0" w14:textId="11D9B1A7" w:rsidR="00C57E1E" w:rsidRDefault="00BB2DA2" w:rsidP="00DA088B">
      <w:r w:rsidRPr="00D37FCE">
        <w:rPr>
          <w:rFonts w:eastAsia="Metropolis"/>
          <w:noProof/>
        </w:rPr>
        <mc:AlternateContent>
          <mc:Choice Requires="wpg">
            <w:drawing>
              <wp:anchor distT="0" distB="0" distL="114300" distR="114300" simplePos="0" relativeHeight="251658268" behindDoc="1" locked="0" layoutInCell="1" allowOverlap="1" wp14:anchorId="007ABB6E" wp14:editId="5816B735">
                <wp:simplePos x="0" y="0"/>
                <wp:positionH relativeFrom="column">
                  <wp:posOffset>-6709</wp:posOffset>
                </wp:positionH>
                <wp:positionV relativeFrom="paragraph">
                  <wp:posOffset>26339</wp:posOffset>
                </wp:positionV>
                <wp:extent cx="5792470" cy="1399386"/>
                <wp:effectExtent l="0" t="0" r="0" b="0"/>
                <wp:wrapNone/>
                <wp:docPr id="764518294" name="Group 764518294"/>
                <wp:cNvGraphicFramePr/>
                <a:graphic xmlns:a="http://schemas.openxmlformats.org/drawingml/2006/main">
                  <a:graphicData uri="http://schemas.microsoft.com/office/word/2010/wordprocessingGroup">
                    <wpg:wgp>
                      <wpg:cNvGrpSpPr/>
                      <wpg:grpSpPr>
                        <a:xfrm>
                          <a:off x="0" y="0"/>
                          <a:ext cx="5792470" cy="1399386"/>
                          <a:chOff x="0" y="-4768"/>
                          <a:chExt cx="5793105" cy="1400281"/>
                        </a:xfrm>
                      </wpg:grpSpPr>
                      <wpg:grpSp>
                        <wpg:cNvPr id="764518295" name="Group 53"/>
                        <wpg:cNvGrpSpPr>
                          <a:grpSpLocks/>
                        </wpg:cNvGrpSpPr>
                        <wpg:grpSpPr bwMode="auto">
                          <a:xfrm>
                            <a:off x="0" y="313997"/>
                            <a:ext cx="5793105" cy="1081516"/>
                            <a:chOff x="1837" y="1789"/>
                            <a:chExt cx="9354" cy="11677"/>
                          </a:xfrm>
                        </wpg:grpSpPr>
                        <wps:wsp>
                          <wps:cNvPr id="764518296" name="Freeform 54"/>
                          <wps:cNvSpPr>
                            <a:spLocks/>
                          </wps:cNvSpPr>
                          <wps:spPr bwMode="auto">
                            <a:xfrm>
                              <a:off x="1837" y="1789"/>
                              <a:ext cx="9354" cy="1167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297"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6C20F7" w14:textId="70D475D4" w:rsidR="00C57E1E" w:rsidRDefault="00A33F55" w:rsidP="00C57E1E">
                              <w:pPr>
                                <w:pStyle w:val="BoxTitle"/>
                              </w:pPr>
                              <w:r>
                                <w:t>INTR</w:t>
                              </w:r>
                              <w:r w:rsidR="00342142">
                                <w:t>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07ABB6E" id="Group 764518294" o:spid="_x0000_s1038" style="position:absolute;margin-left:-.55pt;margin-top:2.05pt;width:456.1pt;height:110.2pt;z-index:-251658212;mso-height-relative:margin" coordorigin=",-47" coordsize="57931,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">
                <v:group id="Group 53" o:spid="_x0000_s1039" style="position:absolute;top:3139;width:57931;height:10816" coordorigin="1837,1789" coordsize="9354,1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">
                  <v:shape id="Freeform 54" o:spid="_x0000_s1040" style="position:absolute;left:1837;top:1789;width:9354;height:1167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" path="m,l9354,r,7809l,7809,,e" fillcolor="#edf2ea" stroked="f">
                    <v:path arrowok="t" o:connecttype="custom" o:connectlocs="0,1495;9354,1495;9354,13172;0,13172;0,1495" o:connectangles="0,0,0,0,0"/>
                  </v:shape>
                </v:group>
                <v:shape id="Freeform 52" o:spid="_x0000_s1041"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186C20F7" w14:textId="70D475D4" w:rsidR="00C57E1E" w:rsidRDefault="00A33F55" w:rsidP="00C57E1E">
                        <w:pPr>
                          <w:pStyle w:val="BoxTitle"/>
                        </w:pPr>
                        <w:r>
                          <w:t>INTR</w:t>
                        </w:r>
                        <w:r w:rsidR="00342142">
                          <w:t>ODUCTION</w:t>
                        </w:r>
                      </w:p>
                    </w:txbxContent>
                  </v:textbox>
                </v:shape>
              </v:group>
            </w:pict>
          </mc:Fallback>
        </mc:AlternateContent>
      </w:r>
    </w:p>
    <w:p w14:paraId="5A80AC40" w14:textId="77777777" w:rsidR="00BB2DA2" w:rsidRPr="00BB2DA2" w:rsidRDefault="00BB2DA2" w:rsidP="00BB2DA2">
      <w:pPr>
        <w:pStyle w:val="QuestionBox"/>
        <w:tabs>
          <w:tab w:val="clear" w:pos="709"/>
        </w:tabs>
        <w:ind w:left="709"/>
      </w:pPr>
    </w:p>
    <w:p w14:paraId="4FDA30B5" w14:textId="49F09DDF" w:rsidR="00662072" w:rsidRDefault="00662072" w:rsidP="00662072">
      <w:pPr>
        <w:pStyle w:val="QuestionBox"/>
        <w:tabs>
          <w:tab w:val="clear" w:pos="709"/>
        </w:tabs>
        <w:ind w:left="142"/>
      </w:pPr>
      <w:r>
        <w:t>In this chapter, we consider and seek feedback on</w:t>
      </w:r>
      <w:r w:rsidR="00590704">
        <w:t xml:space="preserve"> issues relating to</w:t>
      </w:r>
      <w:r>
        <w:t>:</w:t>
      </w:r>
    </w:p>
    <w:p w14:paraId="008B6FE4" w14:textId="77777777" w:rsidR="00662072" w:rsidRPr="00662072" w:rsidRDefault="00662072" w:rsidP="00866891">
      <w:pPr>
        <w:pStyle w:val="ListBullet"/>
        <w:numPr>
          <w:ilvl w:val="0"/>
          <w:numId w:val="20"/>
        </w:numPr>
        <w:ind w:left="709" w:hanging="425"/>
        <w:rPr>
          <w:rFonts w:eastAsia="Metropolis"/>
          <w:noProof/>
        </w:rPr>
      </w:pPr>
      <w:r>
        <w:t xml:space="preserve">how </w:t>
      </w:r>
      <w:r w:rsidRPr="00662072">
        <w:rPr>
          <w:rFonts w:eastAsia="Metropolis"/>
          <w:noProof/>
        </w:rPr>
        <w:t>the Act provides for the admission of mātauranga Māori and tikanga Māori; and</w:t>
      </w:r>
    </w:p>
    <w:p w14:paraId="00503308" w14:textId="55C3A1B0" w:rsidR="00662072" w:rsidRDefault="00662072" w:rsidP="00866891">
      <w:pPr>
        <w:pStyle w:val="ListBullet"/>
        <w:numPr>
          <w:ilvl w:val="0"/>
          <w:numId w:val="20"/>
        </w:numPr>
        <w:ind w:left="709" w:hanging="425"/>
      </w:pPr>
      <w:r w:rsidRPr="00662072">
        <w:rPr>
          <w:rFonts w:eastAsia="Metropolis"/>
          <w:noProof/>
        </w:rPr>
        <w:t>other pote</w:t>
      </w:r>
      <w:r>
        <w:t xml:space="preserve">ntial issues with how the Act recognises and provides for te ao Māori. </w:t>
      </w:r>
    </w:p>
    <w:p w14:paraId="656EFDBB" w14:textId="77777777" w:rsidR="00662072" w:rsidRDefault="00662072" w:rsidP="00662072">
      <w:pPr>
        <w:pStyle w:val="ListBullet"/>
        <w:numPr>
          <w:ilvl w:val="0"/>
          <w:numId w:val="0"/>
        </w:numPr>
        <w:ind w:left="709"/>
      </w:pPr>
    </w:p>
    <w:p w14:paraId="1FC26C09" w14:textId="77777777" w:rsidR="00662072" w:rsidRPr="00145269" w:rsidRDefault="00662072" w:rsidP="00662072">
      <w:pPr>
        <w:pStyle w:val="Heading2"/>
      </w:pPr>
      <w:bookmarkStart w:id="62" w:name="_Toc132962544"/>
      <w:r>
        <w:t>Background</w:t>
      </w:r>
      <w:bookmarkEnd w:id="62"/>
    </w:p>
    <w:p w14:paraId="525C4355" w14:textId="77777777" w:rsidR="00662072" w:rsidRPr="00662072" w:rsidRDefault="00662072" w:rsidP="00866891">
      <w:pPr>
        <w:pStyle w:val="ListParagraph"/>
        <w:numPr>
          <w:ilvl w:val="0"/>
          <w:numId w:val="28"/>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25FC8B5D" w14:textId="77777777" w:rsidR="00104317" w:rsidRPr="00104317" w:rsidRDefault="00104317" w:rsidP="00866891">
      <w:pPr>
        <w:pStyle w:val="ListParagraph"/>
        <w:numPr>
          <w:ilvl w:val="0"/>
          <w:numId w:val="18"/>
        </w:numPr>
        <w:spacing w:before="80" w:after="120" w:line="360" w:lineRule="auto"/>
        <w:contextualSpacing w:val="0"/>
        <w:jc w:val="both"/>
        <w:rPr>
          <w:rFonts w:eastAsia="Times New Roman" w:cs="Times New Roman"/>
          <w:vanish/>
          <w:color w:val="000000" w:themeColor="text1"/>
          <w:sz w:val="20"/>
          <w:szCs w:val="24"/>
          <w:lang w:eastAsia="en-AU"/>
        </w:rPr>
      </w:pPr>
    </w:p>
    <w:p w14:paraId="00B7681B" w14:textId="2F95EEF2" w:rsidR="00662072" w:rsidRDefault="00662072" w:rsidP="00104317">
      <w:pPr>
        <w:pStyle w:val="BodyText"/>
        <w:tabs>
          <w:tab w:val="clear" w:pos="709"/>
          <w:tab w:val="num" w:pos="1425"/>
        </w:tabs>
      </w:pPr>
      <w:r>
        <w:t xml:space="preserve">When developing the Evidence Code, Te Aka Matua o te Ture | Law Commission examined issues of potential concern to Māori and considered how the </w:t>
      </w:r>
      <w:r w:rsidR="000D77F3">
        <w:t xml:space="preserve">Evidence </w:t>
      </w:r>
      <w:r>
        <w:t xml:space="preserve">Code should address those issues. </w:t>
      </w:r>
      <w:r w:rsidRPr="001A4F3F">
        <w:t xml:space="preserve">This included consideration of how evidence of Māori custom is admitted in court, </w:t>
      </w:r>
      <w:r>
        <w:t xml:space="preserve">whether the confidentiality of </w:t>
      </w:r>
      <w:r w:rsidRPr="001A4F3F">
        <w:t xml:space="preserve">communications on marae and with kaumātua, Māori spiritual leaders and rongoā practitioners </w:t>
      </w:r>
      <w:r>
        <w:t>should be</w:t>
      </w:r>
      <w:r w:rsidRPr="001A4F3F">
        <w:t xml:space="preserve"> protected, and how the process for giving evidence should accommodate the specific needs of Māori.</w:t>
      </w:r>
      <w:r w:rsidRPr="001A4F3F">
        <w:rPr>
          <w:rStyle w:val="FootnoteReference"/>
        </w:rPr>
        <w:footnoteReference w:id="20"/>
      </w:r>
      <w:r>
        <w:t xml:space="preserve"> </w:t>
      </w:r>
    </w:p>
    <w:p w14:paraId="17217ED2" w14:textId="5A20EB07" w:rsidR="00662072" w:rsidRDefault="00662072" w:rsidP="00662072">
      <w:pPr>
        <w:pStyle w:val="BodyText"/>
      </w:pPr>
      <w:r>
        <w:t xml:space="preserve">As a result, while the Evidence Code did not expressly recognise te ao Māori or make specific provision for tikanga or te Tiriti o Waitangi | Treaty of Waitangi (the Treaty), several provisions in the </w:t>
      </w:r>
      <w:r w:rsidR="000D77F3">
        <w:t xml:space="preserve">Evidence </w:t>
      </w:r>
      <w:r>
        <w:t>Code and the resulting Act were drafted in a way that was intended to address potential issues of concern.</w:t>
      </w:r>
    </w:p>
    <w:p w14:paraId="7B0AFBCE" w14:textId="1D0C29B0" w:rsidR="00662072" w:rsidRDefault="00662072" w:rsidP="00662072">
      <w:pPr>
        <w:pStyle w:val="BodyText"/>
      </w:pPr>
      <w:r>
        <w:t xml:space="preserve">The Commission revisited these potential issues of concern in its </w:t>
      </w:r>
      <w:r w:rsidR="004D750B">
        <w:t>S</w:t>
      </w:r>
      <w:r>
        <w:t xml:space="preserve">econd </w:t>
      </w:r>
      <w:r w:rsidR="004D750B">
        <w:t>R</w:t>
      </w:r>
      <w:r>
        <w:t xml:space="preserve">eview of the </w:t>
      </w:r>
      <w:r w:rsidR="00A86ABE">
        <w:t xml:space="preserve">Evidence </w:t>
      </w:r>
      <w:r>
        <w:t>Act</w:t>
      </w:r>
      <w:r w:rsidR="001C04F2">
        <w:t xml:space="preserve"> 2006</w:t>
      </w:r>
      <w:r>
        <w:t>.</w:t>
      </w:r>
      <w:r>
        <w:rPr>
          <w:rStyle w:val="FootnoteReference"/>
        </w:rPr>
        <w:footnoteReference w:id="21"/>
      </w:r>
      <w:r>
        <w:t xml:space="preserve"> However, at that point there had been “surprisingly little case law relating to the Act and te ao Māori”, which made it difficult to draw any conclusions about how well the provisions of the Act were recognising Māori interests.</w:t>
      </w:r>
      <w:r>
        <w:rPr>
          <w:rStyle w:val="FootnoteReference"/>
        </w:rPr>
        <w:footnoteReference w:id="22"/>
      </w:r>
      <w:r>
        <w:t xml:space="preserve"> The Commission </w:t>
      </w:r>
      <w:r>
        <w:lastRenderedPageBreak/>
        <w:t>sought feedback on whether any provisions of the Act were creating difficulties for Māori,</w:t>
      </w:r>
      <w:r>
        <w:rPr>
          <w:rStyle w:val="FootnoteReference"/>
        </w:rPr>
        <w:footnoteReference w:id="23"/>
      </w:r>
      <w:r>
        <w:t xml:space="preserve"> and noted in its Report that submitters did not point to specific practical issues nor suggest that there were barriers to admitting evidence of Māori custom or protecting the confidentiality of communications with kaumātua or rongoā practitioners.</w:t>
      </w:r>
      <w:r>
        <w:rPr>
          <w:rStyle w:val="FootnoteReference"/>
        </w:rPr>
        <w:footnoteReference w:id="24"/>
      </w:r>
    </w:p>
    <w:p w14:paraId="6F6AF80B" w14:textId="1A54DFD6" w:rsidR="00662072" w:rsidRDefault="00662072" w:rsidP="00662072">
      <w:pPr>
        <w:pStyle w:val="BodyText"/>
      </w:pPr>
      <w:r>
        <w:t>The Commission did, however, conclude in the Second Review that there was scope to promote greater recognition of tikanga Māori in courtroom procedure. It recommended the Act be amended to make it clear that courts can regulate procedures for giving evidence in a manner that recognises tikanga.</w:t>
      </w:r>
      <w:r>
        <w:rPr>
          <w:rStyle w:val="FootnoteReference"/>
        </w:rPr>
        <w:footnoteReference w:id="25"/>
      </w:r>
      <w:r>
        <w:t xml:space="preserve"> The Government accepted this recommendation in principle, noting that the courts already do this to a certain extent using their inherent and implied powers. Its view, however, was that further consideration of the potential operational impacts was required.</w:t>
      </w:r>
      <w:r>
        <w:rPr>
          <w:rStyle w:val="FootnoteReference"/>
        </w:rPr>
        <w:footnoteReference w:id="26"/>
      </w:r>
    </w:p>
    <w:p w14:paraId="75BABD4C" w14:textId="0D20FC12" w:rsidR="00662072" w:rsidRDefault="00662072" w:rsidP="00662072">
      <w:pPr>
        <w:pStyle w:val="BodyText"/>
      </w:pPr>
      <w:r>
        <w:t>In this chapter</w:t>
      </w:r>
      <w:r w:rsidR="00EF7451">
        <w:t>,</w:t>
      </w:r>
      <w:r>
        <w:t xml:space="preserve"> we examine whether the Act adequately accommodates the admission of evidence of mātauranga Māori (Māori knowledge), including tikanga Māori. We also seek feedback on whether there is any new material that suggests other potential issues that have been previously identified by the Commission should be revisited.</w:t>
      </w:r>
    </w:p>
    <w:p w14:paraId="17FCFDD4" w14:textId="77777777" w:rsidR="00662072" w:rsidRDefault="00662072" w:rsidP="00662072">
      <w:pPr>
        <w:pStyle w:val="Heading2"/>
      </w:pPr>
      <w:bookmarkStart w:id="63" w:name="_Toc132962545"/>
      <w:r>
        <w:t>Admissibility of mātauranga Māori and tikanga Māori</w:t>
      </w:r>
      <w:bookmarkEnd w:id="63"/>
    </w:p>
    <w:p w14:paraId="5FA2732C" w14:textId="77777777" w:rsidR="00662072" w:rsidRDefault="00662072" w:rsidP="00662072">
      <w:pPr>
        <w:pStyle w:val="BodyText"/>
      </w:pPr>
      <w:r>
        <w:t>The Act’s rules of admissibility have their origins in the English common law. It has long been recognised that some rules, specifically the hearsay and opinion rules, can create challenges for the admission of relevant evidence relating to mātauranga Māori and tikanga Māori</w:t>
      </w:r>
      <w:r>
        <w:rPr>
          <w:rStyle w:val="FootnoteReference"/>
        </w:rPr>
        <w:footnoteReference w:id="27"/>
      </w:r>
      <w:r>
        <w:t xml:space="preserve"> due to the oral tradition in te ao Māori.</w:t>
      </w:r>
    </w:p>
    <w:p w14:paraId="762951EC" w14:textId="018412B8" w:rsidR="00662072" w:rsidRDefault="00662072" w:rsidP="00662072">
      <w:pPr>
        <w:pStyle w:val="BodyText"/>
      </w:pPr>
      <w:r>
        <w:t>The Commission is considering tikanga Māori and its position in Aotearoa New Zealand’s legal landscape in a separate project. In this operational review, our focus is on the existing rules of evidence and whether they properly allow for the admission of mātauranga Māori and tikanga Māori. We note the observations of t</w:t>
      </w:r>
      <w:r w:rsidR="00FE4702">
        <w:t xml:space="preserve">e Kōti </w:t>
      </w:r>
      <w:r w:rsidR="00C157C7">
        <w:t xml:space="preserve">Mana </w:t>
      </w:r>
      <w:r w:rsidR="00FE4702">
        <w:t>Nui |</w:t>
      </w:r>
      <w:r>
        <w:t xml:space="preserve"> Supreme Court in </w:t>
      </w:r>
      <w:r w:rsidRPr="00E152C8">
        <w:rPr>
          <w:i/>
          <w:iCs/>
        </w:rPr>
        <w:t xml:space="preserve">Ellis v R </w:t>
      </w:r>
      <w:r>
        <w:t>that suggest treating tikanga as a question of fact to be proved by evidence will not always be the most feasible or appropriate method for bringing tikanga before the courts.</w:t>
      </w:r>
      <w:r>
        <w:rPr>
          <w:rStyle w:val="FootnoteReference"/>
        </w:rPr>
        <w:footnoteReference w:id="28"/>
      </w:r>
      <w:r>
        <w:t xml:space="preserve"> Nonetheless, as a matter of procedural and substantive fairness. it is important that the Act is able to admit such evidence when appropriate, particularly in light of the changing legal, political and social landscape. The courts are increasingly being called upon to consider and recognise Māori rights and interests, including those arising under tikanga and the Treaty, as well as the general application of </w:t>
      </w:r>
      <w:r>
        <w:lastRenderedPageBreak/>
        <w:t>tikanga Māori.</w:t>
      </w:r>
      <w:r>
        <w:rPr>
          <w:rStyle w:val="FootnoteReference"/>
        </w:rPr>
        <w:footnoteReference w:id="29"/>
      </w:r>
      <w:r>
        <w:t xml:space="preserve"> Evidence of tikanga and mātauranga, such as tribal history, is often central to determining these cases.</w:t>
      </w:r>
    </w:p>
    <w:p w14:paraId="2A38BD00" w14:textId="77777777" w:rsidR="00662072" w:rsidRDefault="00662072" w:rsidP="00662072">
      <w:pPr>
        <w:pStyle w:val="BodyText"/>
      </w:pPr>
      <w:r>
        <w:t xml:space="preserve">We discuss the different pathways for admitting evidence under the Act below, especially in light of the Supreme Court’s decision in </w:t>
      </w:r>
      <w:r w:rsidRPr="00DB5C9E">
        <w:rPr>
          <w:i/>
          <w:iCs/>
        </w:rPr>
        <w:t>Ellis v R</w:t>
      </w:r>
      <w:r w:rsidRPr="00485618">
        <w:t>,</w:t>
      </w:r>
      <w:r w:rsidRPr="00FA0A5F">
        <w:rPr>
          <w:rStyle w:val="FootnoteReference"/>
        </w:rPr>
        <w:footnoteReference w:id="30"/>
      </w:r>
      <w:r>
        <w:t xml:space="preserve"> and then examine relevant case law to see how the Act is operating in practice.</w:t>
      </w:r>
    </w:p>
    <w:p w14:paraId="5DB782FD" w14:textId="77777777" w:rsidR="00662072" w:rsidRDefault="00662072" w:rsidP="00662072">
      <w:pPr>
        <w:pStyle w:val="Heading3"/>
      </w:pPr>
      <w:r>
        <w:t>Admitting evidence under the Act</w:t>
      </w:r>
    </w:p>
    <w:p w14:paraId="64290384" w14:textId="623E5FA3" w:rsidR="00662072" w:rsidRDefault="00662072" w:rsidP="00662072">
      <w:pPr>
        <w:pStyle w:val="BodyText"/>
      </w:pPr>
      <w:r>
        <w:t>A fundamental principle of the Act is that all relevant evidence is admissible, unless it is excluded or inadmissible under any provision of the Act or any other Act.</w:t>
      </w:r>
      <w:r>
        <w:rPr>
          <w:rStyle w:val="FootnoteReference"/>
        </w:rPr>
        <w:footnoteReference w:id="31"/>
      </w:r>
      <w:r>
        <w:t xml:space="preserve"> Evidence is relevant if it “has a tendency to prove or disprove anything that is of consequence to the determination of the proceeding”.</w:t>
      </w:r>
      <w:r>
        <w:rPr>
          <w:rStyle w:val="FootnoteReference"/>
        </w:rPr>
        <w:footnoteReference w:id="32"/>
      </w:r>
    </w:p>
    <w:p w14:paraId="1478D677" w14:textId="7623B1F3" w:rsidR="00662072" w:rsidRDefault="00933497" w:rsidP="00662072">
      <w:pPr>
        <w:pStyle w:val="BodyText"/>
      </w:pPr>
      <w:r>
        <w:t>The t</w:t>
      </w:r>
      <w:r w:rsidR="00662072">
        <w:t xml:space="preserve">wo rules in particular </w:t>
      </w:r>
      <w:r>
        <w:t xml:space="preserve">that </w:t>
      </w:r>
      <w:r w:rsidR="00662072">
        <w:t>have the potential to exclude relevant evidence of mātauranga Māori and tikanga Māori</w:t>
      </w:r>
      <w:r>
        <w:t xml:space="preserve"> are</w:t>
      </w:r>
      <w:r w:rsidR="00662072">
        <w:t>:</w:t>
      </w:r>
    </w:p>
    <w:p w14:paraId="7AC86234" w14:textId="77777777" w:rsidR="00662072" w:rsidRDefault="00662072" w:rsidP="00866891">
      <w:pPr>
        <w:pStyle w:val="BodyTextnonum"/>
        <w:numPr>
          <w:ilvl w:val="3"/>
          <w:numId w:val="28"/>
        </w:numPr>
      </w:pPr>
      <w:r>
        <w:t>the rule against hearsay; and</w:t>
      </w:r>
    </w:p>
    <w:p w14:paraId="746C4FF6" w14:textId="77777777" w:rsidR="00662072" w:rsidRDefault="00662072" w:rsidP="00866891">
      <w:pPr>
        <w:pStyle w:val="BodyTextnonum"/>
        <w:numPr>
          <w:ilvl w:val="3"/>
          <w:numId w:val="28"/>
        </w:numPr>
      </w:pPr>
      <w:r>
        <w:t>the rule against opinion evidence.</w:t>
      </w:r>
    </w:p>
    <w:p w14:paraId="7A447FEF" w14:textId="77777777" w:rsidR="00662072" w:rsidRDefault="00662072" w:rsidP="00662072">
      <w:pPr>
        <w:pStyle w:val="Heading4"/>
      </w:pPr>
      <w:r>
        <w:t>The rule against hearsay</w:t>
      </w:r>
    </w:p>
    <w:p w14:paraId="30ECDF7F" w14:textId="3DB598F2" w:rsidR="00662072" w:rsidRDefault="00662072" w:rsidP="00662072">
      <w:pPr>
        <w:pStyle w:val="BodyText"/>
        <w:tabs>
          <w:tab w:val="num" w:pos="709"/>
        </w:tabs>
      </w:pPr>
      <w:r>
        <w:t>A “hearsay statement” is a statement that was made by a person other than a witness that is offered in evidence to prove the truth of its contents.</w:t>
      </w:r>
      <w:r>
        <w:rPr>
          <w:rStyle w:val="FootnoteReference"/>
        </w:rPr>
        <w:footnoteReference w:id="33"/>
      </w:r>
      <w:r>
        <w:t xml:space="preserve"> The general rule under the Act is that hearsay statements are not admissible.</w:t>
      </w:r>
      <w:r>
        <w:rPr>
          <w:rStyle w:val="FootnoteReference"/>
        </w:rPr>
        <w:footnoteReference w:id="34"/>
      </w:r>
      <w:r>
        <w:t xml:space="preserve"> This is premised on the belief that such statements may be unreliable and misleading (relying as they do on the witnes</w:t>
      </w:r>
      <w:r w:rsidR="00F735B1">
        <w:t>s’</w:t>
      </w:r>
      <w:r>
        <w:t xml:space="preserve"> memory of what they heard and not the speaker’s/maker’s intention) and cannot be tested under cross-examination (beyond asking the witness, for example, whether they could have misheard or misinterpreted the maker’s words).</w:t>
      </w:r>
      <w:r>
        <w:rPr>
          <w:rStyle w:val="FootnoteReference"/>
        </w:rPr>
        <w:footnoteReference w:id="35"/>
      </w:r>
      <w:r w:rsidRPr="003B29F6">
        <w:t xml:space="preserve"> </w:t>
      </w:r>
      <w:r>
        <w:t>We discuss the hearsay provisions in more detail in Chapter 3.</w:t>
      </w:r>
    </w:p>
    <w:p w14:paraId="0A46E5BB" w14:textId="77777777" w:rsidR="00662072" w:rsidRDefault="00662072" w:rsidP="00662072">
      <w:pPr>
        <w:pStyle w:val="BodyText"/>
        <w:tabs>
          <w:tab w:val="num" w:pos="709"/>
        </w:tabs>
      </w:pPr>
      <w:r>
        <w:t xml:space="preserve">The rule against hearsay is subject to exceptions. In particular, a hearsay statement can be admitted if the circumstances relating to the statement “provide reasonable assurance </w:t>
      </w:r>
      <w:r>
        <w:lastRenderedPageBreak/>
        <w:t>that the statement is reliable”, and the maker of the statement is unavailable as a witness (for example, because they have died).</w:t>
      </w:r>
      <w:r>
        <w:rPr>
          <w:rStyle w:val="FootnoteReference"/>
        </w:rPr>
        <w:footnoteReference w:id="36"/>
      </w:r>
    </w:p>
    <w:p w14:paraId="5CE7DB33" w14:textId="62ABB4B5" w:rsidR="00662072" w:rsidRDefault="00662072" w:rsidP="00662072">
      <w:pPr>
        <w:pStyle w:val="BodyText"/>
        <w:tabs>
          <w:tab w:val="num" w:pos="709"/>
        </w:tabs>
      </w:pPr>
      <w:r>
        <w:t xml:space="preserve">The Commission acknowledged the difficulties the </w:t>
      </w:r>
      <w:r w:rsidR="00DE0E50">
        <w:t xml:space="preserve">rule against </w:t>
      </w:r>
      <w:r>
        <w:t>hearsay can pose for Māori in its 1991 Preliminary Paper on hearsay:</w:t>
      </w:r>
      <w:r>
        <w:rPr>
          <w:rStyle w:val="FootnoteReference"/>
        </w:rPr>
        <w:footnoteReference w:id="37"/>
      </w:r>
    </w:p>
    <w:p w14:paraId="45D10A12" w14:textId="77777777" w:rsidR="00662072" w:rsidRDefault="00662072" w:rsidP="00662072">
      <w:pPr>
        <w:pStyle w:val="Quote"/>
      </w:pPr>
      <w:r>
        <w:t>The hearsay rule has always posed problems for the reception of evidence of Māori custom. Such evidence is usually of an oral nature and, as the law at present stands, is technically inadmissible as hearsay unless it falls within one of the common law or statutory exceptions.</w:t>
      </w:r>
    </w:p>
    <w:p w14:paraId="7F7C2682" w14:textId="77777777" w:rsidR="00662072" w:rsidRDefault="00662072" w:rsidP="00662072">
      <w:pPr>
        <w:pStyle w:val="BodyText"/>
        <w:tabs>
          <w:tab w:val="num" w:pos="709"/>
        </w:tabs>
      </w:pPr>
      <w:r>
        <w:t>At that time, the Commission envisaged that its proposals, which underpin the Act’s current hearsay provisions, would “eliminate the current problems concerning evidence of Māori custom”.</w:t>
      </w:r>
      <w:r>
        <w:rPr>
          <w:rStyle w:val="FootnoteReference"/>
        </w:rPr>
        <w:footnoteReference w:id="38"/>
      </w:r>
      <w:r>
        <w:t xml:space="preserve"> In particular, the proposals would make it easier for the law to take proper account of reliable oral sources in te ao Māori, anticipating that the threshold of reasonable assurance of reliability may well be met in the case of evidence from a recipient of a long-standing oral tradition.</w:t>
      </w:r>
      <w:r>
        <w:rPr>
          <w:rStyle w:val="FootnoteReference"/>
        </w:rPr>
        <w:footnoteReference w:id="39"/>
      </w:r>
    </w:p>
    <w:p w14:paraId="58DE3E7D" w14:textId="77777777" w:rsidR="00662072" w:rsidRDefault="00662072" w:rsidP="00662072">
      <w:pPr>
        <w:pStyle w:val="Heading4"/>
      </w:pPr>
      <w:r>
        <w:t>The rule against opinion evidence and the admissibility of expert evidence</w:t>
      </w:r>
    </w:p>
    <w:p w14:paraId="61102596" w14:textId="42984CA0" w:rsidR="00662072" w:rsidRDefault="00662072" w:rsidP="00662072">
      <w:pPr>
        <w:pStyle w:val="BodyText"/>
      </w:pPr>
      <w:r>
        <w:t>Under the Act, a statement of opinion is not admissible in any proceeding.</w:t>
      </w:r>
      <w:r>
        <w:rPr>
          <w:rStyle w:val="FootnoteReference"/>
        </w:rPr>
        <w:footnoteReference w:id="40"/>
      </w:r>
      <w:r>
        <w:t xml:space="preserve"> This is subject to exceptions, including for opinions </w:t>
      </w:r>
      <w:r w:rsidR="00286924">
        <w:t>that</w:t>
      </w:r>
      <w:r>
        <w:t xml:space="preserve"> are given by an “expert” witness.</w:t>
      </w:r>
      <w:r>
        <w:rPr>
          <w:rStyle w:val="FootnoteReference"/>
        </w:rPr>
        <w:footnoteReference w:id="41"/>
      </w:r>
      <w:r>
        <w:t xml:space="preserve"> The Act defines an expert as “a person who has specialised knowledge or skill based on training, study or experience”.</w:t>
      </w:r>
      <w:r>
        <w:rPr>
          <w:rStyle w:val="FootnoteReference"/>
        </w:rPr>
        <w:footnoteReference w:id="42"/>
      </w:r>
      <w:r w:rsidRPr="00BB4C5B">
        <w:t xml:space="preserve"> </w:t>
      </w:r>
      <w:r>
        <w:t>Expert opinion evidence is only admissible if the fact-finder is likely to obtain substantial help from the opinion in understanding other evidence in the proceeding or in ascertaining any fact that is of consequence to the determination of the proceeding.</w:t>
      </w:r>
      <w:r>
        <w:rPr>
          <w:rStyle w:val="FootnoteReference"/>
        </w:rPr>
        <w:footnoteReference w:id="43"/>
      </w:r>
    </w:p>
    <w:p w14:paraId="437EE613" w14:textId="77777777" w:rsidR="00662072" w:rsidRDefault="00662072" w:rsidP="00662072">
      <w:pPr>
        <w:pStyle w:val="BodyText"/>
      </w:pPr>
      <w:r>
        <w:t>In its initial work on the Evidence Code, the Commission’s expectation was that the exception for expert evidence would continue to provide for the admission of “[r]elevant evidence about experiences of Māori that is beyond the knowledge of the fact finder”.</w:t>
      </w:r>
      <w:r>
        <w:rPr>
          <w:rStyle w:val="FootnoteReference"/>
        </w:rPr>
        <w:footnoteReference w:id="44"/>
      </w:r>
      <w:r>
        <w:t xml:space="preserve"> Earlier case law had already confirmed that expert evidence from those qualified in terms </w:t>
      </w:r>
      <w:r>
        <w:lastRenderedPageBreak/>
        <w:t>of Māori culture was admissible.</w:t>
      </w:r>
      <w:r>
        <w:rPr>
          <w:rStyle w:val="FootnoteReference"/>
        </w:rPr>
        <w:footnoteReference w:id="45"/>
      </w:r>
      <w:r>
        <w:t xml:space="preserve"> It was expected that the Evidence Code and resulting Act would continue this approach.</w:t>
      </w:r>
      <w:r>
        <w:rPr>
          <w:rStyle w:val="FootnoteReference"/>
        </w:rPr>
        <w:footnoteReference w:id="46"/>
      </w:r>
    </w:p>
    <w:p w14:paraId="764D4708" w14:textId="77777777" w:rsidR="00662072" w:rsidRDefault="00662072" w:rsidP="00662072">
      <w:pPr>
        <w:pStyle w:val="Heading4"/>
      </w:pPr>
      <w:r>
        <w:t>Other mechanisms for admitting evidence of mātauranga Māori and tikanga Māori</w:t>
      </w:r>
    </w:p>
    <w:p w14:paraId="0DAAFFD6" w14:textId="77777777" w:rsidR="00662072" w:rsidRDefault="00662072" w:rsidP="00662072">
      <w:pPr>
        <w:pStyle w:val="BodyText"/>
      </w:pPr>
      <w:r>
        <w:t>Several other mechanisms are available under the Act, but these are generally limited to undisputed evidence:</w:t>
      </w:r>
    </w:p>
    <w:p w14:paraId="74256704" w14:textId="2FF5B5D4" w:rsidR="00662072" w:rsidRDefault="00662072" w:rsidP="00866891">
      <w:pPr>
        <w:pStyle w:val="BodyTextnonum"/>
        <w:numPr>
          <w:ilvl w:val="3"/>
          <w:numId w:val="28"/>
        </w:numPr>
      </w:pPr>
      <w:r w:rsidRPr="00B322A5">
        <w:rPr>
          <w:b/>
          <w:bCs/>
        </w:rPr>
        <w:t>Agreed statements of fact</w:t>
      </w:r>
      <w:r w:rsidR="00C03C74">
        <w:rPr>
          <w:b/>
          <w:bCs/>
        </w:rPr>
        <w:t>:</w:t>
      </w:r>
      <w:r>
        <w:t xml:space="preserve"> Evidence that may not otherwise be admissible can be admitted with the agreement of all parties.</w:t>
      </w:r>
      <w:r>
        <w:rPr>
          <w:rStyle w:val="FootnoteReference"/>
        </w:rPr>
        <w:footnoteReference w:id="47"/>
      </w:r>
      <w:r>
        <w:t xml:space="preserve"> In </w:t>
      </w:r>
      <w:r>
        <w:rPr>
          <w:i/>
          <w:iCs/>
        </w:rPr>
        <w:t>Ellis v R</w:t>
      </w:r>
      <w:r w:rsidRPr="006C2AE4">
        <w:t>,</w:t>
      </w:r>
      <w:r>
        <w:rPr>
          <w:i/>
          <w:iCs/>
        </w:rPr>
        <w:t xml:space="preserve"> </w:t>
      </w:r>
      <w:r>
        <w:t>an agreed statement of facts was filed following a wānanga with independent pūkenga (experts). Appended to the agreed statement of facts was a statement of tikanga authored by Tā Hirini Moko Mead and Tā Pou Temara, which was supported by the tikanga experts who attended the wānanga.</w:t>
      </w:r>
      <w:r>
        <w:rPr>
          <w:rStyle w:val="FootnoteReference"/>
          <w:rFonts w:eastAsiaTheme="minorHAnsi"/>
        </w:rPr>
        <w:footnoteReference w:id="48"/>
      </w:r>
    </w:p>
    <w:p w14:paraId="59EE0015" w14:textId="141FA8D0" w:rsidR="00662072" w:rsidRDefault="00662072" w:rsidP="00866891">
      <w:pPr>
        <w:pStyle w:val="BodyTextnonum"/>
        <w:numPr>
          <w:ilvl w:val="3"/>
          <w:numId w:val="28"/>
        </w:numPr>
      </w:pPr>
      <w:r>
        <w:rPr>
          <w:b/>
          <w:bCs/>
        </w:rPr>
        <w:t>Notice of uncontroverted facts</w:t>
      </w:r>
      <w:r w:rsidR="00C47FE8">
        <w:rPr>
          <w:b/>
          <w:bCs/>
        </w:rPr>
        <w:t>:</w:t>
      </w:r>
      <w:r>
        <w:t xml:space="preserve"> A judge or jury can take notice of “facts so known and accepted either generally or in the locality in which the proceeding is being held that they cannot reasonably be questioned”.</w:t>
      </w:r>
      <w:r>
        <w:rPr>
          <w:rStyle w:val="FootnoteReference"/>
          <w:rFonts w:eastAsiaTheme="minorHAnsi"/>
        </w:rPr>
        <w:footnoteReference w:id="49"/>
      </w:r>
      <w:r>
        <w:t xml:space="preserve"> In addition, a judge can take notice of, or direct a jury in relation to, facts “capable of accurate and ready determination by reference to sources whose accuracy cannot be reasonably questioned”.</w:t>
      </w:r>
      <w:r>
        <w:rPr>
          <w:rStyle w:val="FootnoteReference"/>
          <w:rFonts w:eastAsiaTheme="minorHAnsi"/>
        </w:rPr>
        <w:footnoteReference w:id="50"/>
      </w:r>
      <w:r>
        <w:t xml:space="preserve"> While this sets a high bar, t</w:t>
      </w:r>
      <w:r w:rsidR="00F569DB">
        <w:t>e</w:t>
      </w:r>
      <w:r w:rsidR="000D65CD">
        <w:t xml:space="preserve"> Kōti P</w:t>
      </w:r>
      <w:r w:rsidR="00654661">
        <w:t>ī</w:t>
      </w:r>
      <w:r w:rsidR="000D65CD">
        <w:t xml:space="preserve">ra | </w:t>
      </w:r>
      <w:r>
        <w:t>Court of Appeal has previously taken judicial notice of “the fact that whanaungatanga is one of the fundamental precepts of tikanga, and indeed Māori society”.</w:t>
      </w:r>
      <w:r>
        <w:rPr>
          <w:rStyle w:val="FootnoteReference"/>
          <w:rFonts w:eastAsiaTheme="minorHAnsi"/>
        </w:rPr>
        <w:footnoteReference w:id="51"/>
      </w:r>
    </w:p>
    <w:p w14:paraId="1A861ABF" w14:textId="02D586F8" w:rsidR="00662072" w:rsidRDefault="00662072" w:rsidP="00866891">
      <w:pPr>
        <w:pStyle w:val="BodyTextnonum"/>
        <w:numPr>
          <w:ilvl w:val="3"/>
          <w:numId w:val="28"/>
        </w:numPr>
      </w:pPr>
      <w:r w:rsidRPr="001C10BC">
        <w:rPr>
          <w:b/>
          <w:bCs/>
        </w:rPr>
        <w:t>Reliance on published material</w:t>
      </w:r>
      <w:r w:rsidR="00C47FE8">
        <w:rPr>
          <w:b/>
          <w:bCs/>
        </w:rPr>
        <w:t>:</w:t>
      </w:r>
      <w:r>
        <w:t xml:space="preserve"> Published documents can be admitted in matters of “public history” if the </w:t>
      </w:r>
      <w:r w:rsidR="00EA57CC">
        <w:t>j</w:t>
      </w:r>
      <w:r>
        <w:t>udge considers that the sources of information are reliable.</w:t>
      </w:r>
      <w:r>
        <w:rPr>
          <w:rStyle w:val="FootnoteReference"/>
        </w:rPr>
        <w:footnoteReference w:id="52"/>
      </w:r>
      <w:r>
        <w:t xml:space="preserve"> Te Rōpū Whakamana i te Tiriti o Waitangi | Waitangi Tribunal reports have been admitted under this provision, including in situations where a party is “unable to give anything but a hearsay account” of relevant historical events.</w:t>
      </w:r>
      <w:r>
        <w:rPr>
          <w:rStyle w:val="FootnoteReference"/>
          <w:rFonts w:eastAsiaTheme="minorHAnsi"/>
        </w:rPr>
        <w:footnoteReference w:id="53"/>
      </w:r>
      <w:r>
        <w:t xml:space="preserve"> This allows a court to rely on historical facts as found by the Tribunal in situations where they might otherwise be unable to engage in a historical fact-finding process based on the evidence before them.</w:t>
      </w:r>
      <w:r>
        <w:rPr>
          <w:rStyle w:val="FootnoteReference"/>
          <w:rFonts w:eastAsiaTheme="minorHAnsi"/>
        </w:rPr>
        <w:footnoteReference w:id="54"/>
      </w:r>
      <w:r w:rsidRPr="009E24AF">
        <w:t xml:space="preserve"> </w:t>
      </w:r>
      <w:r>
        <w:t xml:space="preserve">In some cases, questions of tikanga might be dealt with through submissions, with reference to published material. Glazebrook </w:t>
      </w:r>
      <w:r w:rsidR="00384813">
        <w:t xml:space="preserve">J </w:t>
      </w:r>
      <w:r>
        <w:t xml:space="preserve">in </w:t>
      </w:r>
      <w:r>
        <w:rPr>
          <w:i/>
          <w:iCs/>
        </w:rPr>
        <w:t xml:space="preserve">Ellis v R </w:t>
      </w:r>
      <w:r>
        <w:lastRenderedPageBreak/>
        <w:t>observed that this might be appropriate “[i]n simple cases where tikanga is relevant and uncontroversial”.</w:t>
      </w:r>
      <w:r>
        <w:rPr>
          <w:rStyle w:val="FootnoteReference"/>
        </w:rPr>
        <w:footnoteReference w:id="55"/>
      </w:r>
      <w:r>
        <w:t xml:space="preserve"> A recent example of this approach is t</w:t>
      </w:r>
      <w:r w:rsidR="004057CA">
        <w:t>e Kōti M</w:t>
      </w:r>
      <w:r w:rsidR="007D56B0">
        <w:t>atua |</w:t>
      </w:r>
      <w:r>
        <w:t xml:space="preserve"> High Court case of </w:t>
      </w:r>
      <w:r w:rsidRPr="00C879FA">
        <w:rPr>
          <w:i/>
          <w:iCs/>
        </w:rPr>
        <w:t>Doney v Adlam</w:t>
      </w:r>
      <w:r>
        <w:rPr>
          <w:i/>
          <w:iCs/>
        </w:rPr>
        <w:t>.</w:t>
      </w:r>
      <w:r w:rsidRPr="00AD29D7">
        <w:rPr>
          <w:rStyle w:val="FootnoteReference"/>
        </w:rPr>
        <w:footnoteReference w:id="56"/>
      </w:r>
      <w:r w:rsidRPr="00C879FA">
        <w:rPr>
          <w:i/>
          <w:iCs/>
        </w:rPr>
        <w:t xml:space="preserve"> </w:t>
      </w:r>
      <w:r>
        <w:t>In that case, the Court had adjourned proceedings to enable the engagement of a tikanga expert but counsel were unable to do so in the time available.</w:t>
      </w:r>
      <w:r>
        <w:rPr>
          <w:rStyle w:val="FootnoteReference"/>
        </w:rPr>
        <w:footnoteReference w:id="57"/>
      </w:r>
      <w:r>
        <w:t xml:space="preserve"> In the absence of expert evidence, the Court relied on several authoritative texts, books, articles and case</w:t>
      </w:r>
      <w:r w:rsidR="00941EB4">
        <w:t xml:space="preserve"> </w:t>
      </w:r>
      <w:r>
        <w:t>law, both historic and contemporary, to consider the application of tikanga principles in that case.</w:t>
      </w:r>
      <w:r>
        <w:rPr>
          <w:rStyle w:val="FootnoteReference"/>
        </w:rPr>
        <w:footnoteReference w:id="58"/>
      </w:r>
    </w:p>
    <w:p w14:paraId="25BCC131" w14:textId="2ED6D105" w:rsidR="00662072" w:rsidRDefault="00662072" w:rsidP="00662072">
      <w:pPr>
        <w:pStyle w:val="BodyText"/>
        <w:tabs>
          <w:tab w:val="num" w:pos="709"/>
        </w:tabs>
      </w:pPr>
      <w:r>
        <w:t>Other mechanisms exist outside the Act. The High Court can appoint pūkenga as independent court experts for opinion or advice on tikanga.</w:t>
      </w:r>
      <w:r>
        <w:rPr>
          <w:rStyle w:val="FootnoteReference"/>
        </w:rPr>
        <w:footnoteReference w:id="59"/>
      </w:r>
      <w:r>
        <w:t xml:space="preserve"> Such a mechanism might helpfully be engaged if there is a lack of relevant information before the court as to relevant tikanga or conversely if there is a significant amount of expert evidence before the court. In </w:t>
      </w:r>
      <w:r w:rsidRPr="00B02E23">
        <w:rPr>
          <w:i/>
          <w:iCs/>
        </w:rPr>
        <w:t>Ngāti Whātua Ōrākei Trust v Attorney-General</w:t>
      </w:r>
      <w:r>
        <w:t>, Palmer</w:t>
      </w:r>
      <w:r w:rsidR="009C0C79">
        <w:t xml:space="preserve"> J</w:t>
      </w:r>
      <w:r>
        <w:t xml:space="preserve"> declined to appoint pūkenga given the ample expert evidence </w:t>
      </w:r>
      <w:r w:rsidR="00C3619C">
        <w:t xml:space="preserve">offered </w:t>
      </w:r>
      <w:r>
        <w:t>by the parties,</w:t>
      </w:r>
      <w:r>
        <w:rPr>
          <w:rStyle w:val="FootnoteReference"/>
        </w:rPr>
        <w:footnoteReference w:id="60"/>
      </w:r>
      <w:r>
        <w:t xml:space="preserve"> however later observed that “[i]</w:t>
      </w:r>
      <w:r w:rsidRPr="00D562B0">
        <w:t>n retrospect, I consider it would have been beneficial to appoint an independent pūkenga to conduct the conference of tikanga experts, and an independent chair of the historian experts</w:t>
      </w:r>
      <w:r>
        <w:t>”.</w:t>
      </w:r>
      <w:r>
        <w:rPr>
          <w:rStyle w:val="FootnoteReference"/>
        </w:rPr>
        <w:footnoteReference w:id="61"/>
      </w:r>
    </w:p>
    <w:p w14:paraId="554C4A4B" w14:textId="77777777" w:rsidR="00662072" w:rsidRDefault="00662072" w:rsidP="00662072">
      <w:pPr>
        <w:pStyle w:val="BodyText"/>
        <w:tabs>
          <w:tab w:val="num" w:pos="709"/>
        </w:tabs>
      </w:pPr>
      <w:r>
        <w:t>The High Court can also refer any question of fact relating to Māori rights or interests in land or personal property, or any question of tikanga, to the Māori Appellate Court.</w:t>
      </w:r>
      <w:r>
        <w:rPr>
          <w:rStyle w:val="FootnoteReference"/>
        </w:rPr>
        <w:footnoteReference w:id="62"/>
      </w:r>
      <w:r>
        <w:t xml:space="preserve"> </w:t>
      </w:r>
    </w:p>
    <w:p w14:paraId="6ACB02C0" w14:textId="77777777" w:rsidR="00662072" w:rsidRPr="007B30FA" w:rsidRDefault="00662072" w:rsidP="00662072">
      <w:pPr>
        <w:pStyle w:val="Heading4"/>
      </w:pPr>
      <w:r>
        <w:t xml:space="preserve">The Supreme Court’s decision in </w:t>
      </w:r>
      <w:r>
        <w:rPr>
          <w:iCs/>
        </w:rPr>
        <w:t>Ellis v R</w:t>
      </w:r>
    </w:p>
    <w:p w14:paraId="093561FC" w14:textId="2A8501CC" w:rsidR="00662072" w:rsidRDefault="00662072" w:rsidP="00662072">
      <w:pPr>
        <w:pStyle w:val="BodyText"/>
        <w:tabs>
          <w:tab w:val="num" w:pos="709"/>
        </w:tabs>
      </w:pPr>
      <w:r>
        <w:t xml:space="preserve">The Supreme Court canvassed the different avenues outlined above for ascertaining tikanga in </w:t>
      </w:r>
      <w:r w:rsidRPr="00A51F63">
        <w:rPr>
          <w:i/>
          <w:iCs/>
        </w:rPr>
        <w:t xml:space="preserve">Ellis v R. </w:t>
      </w:r>
      <w:r>
        <w:t xml:space="preserve">Glazebrook </w:t>
      </w:r>
      <w:r w:rsidR="00CF48BD">
        <w:t xml:space="preserve">J </w:t>
      </w:r>
      <w:r>
        <w:t>observed that “[t]he best approach will be contextual, depending on the issues, the significance of tikanga to the case as well as matters of accessibility and cost”.</w:t>
      </w:r>
      <w:r>
        <w:rPr>
          <w:rStyle w:val="FootnoteReference"/>
        </w:rPr>
        <w:footnoteReference w:id="63"/>
      </w:r>
      <w:r>
        <w:t xml:space="preserve"> However, the Court emphasised the need to preserve the integrity of tikanga. In the Statement of Tikanga appended to the judgment, Mead and Temara explained that, when tikanga comes before the courts, the courts must “use processes and practice that encourage the preservation of the integrity of tikanga”.</w:t>
      </w:r>
      <w:r>
        <w:rPr>
          <w:rStyle w:val="FootnoteReference"/>
        </w:rPr>
        <w:footnoteReference w:id="64"/>
      </w:r>
    </w:p>
    <w:p w14:paraId="5FFCB91E" w14:textId="1A9EE4CA" w:rsidR="00662072" w:rsidRDefault="00662072" w:rsidP="00662072">
      <w:pPr>
        <w:pStyle w:val="BodyText"/>
        <w:tabs>
          <w:tab w:val="num" w:pos="709"/>
        </w:tabs>
      </w:pPr>
      <w:r>
        <w:t xml:space="preserve">The Supreme Court also expressed caution about the “orthodox approach” of treating tikanga as something to be proved as a matter of fact by expert evidence, in the same </w:t>
      </w:r>
      <w:r>
        <w:lastRenderedPageBreak/>
        <w:t>way as foreign law.</w:t>
      </w:r>
      <w:r>
        <w:rPr>
          <w:rStyle w:val="FootnoteReference"/>
        </w:rPr>
        <w:footnoteReference w:id="65"/>
      </w:r>
      <w:r>
        <w:t xml:space="preserve"> Glazebrook </w:t>
      </w:r>
      <w:r w:rsidR="006B3DE9">
        <w:t xml:space="preserve">J </w:t>
      </w:r>
      <w:r>
        <w:t>observed that while tikanga may need to be established and ascertained by evidence or through another suitable process, it is “not appropriate to refer to it as having to be proved as a question of fact”.</w:t>
      </w:r>
      <w:r>
        <w:rPr>
          <w:rStyle w:val="FootnoteReference"/>
        </w:rPr>
        <w:footnoteReference w:id="66"/>
      </w:r>
      <w:r>
        <w:t xml:space="preserve"> Williams </w:t>
      </w:r>
      <w:r w:rsidR="006B3DE9">
        <w:t xml:space="preserve">J </w:t>
      </w:r>
      <w:r>
        <w:t>was also “somewhat uncomfortable” with the application of the evidential approach to indigenous law, noting that this was likely “simply a convenient and efficient way of getting unfamiliar material before the judge who then had to apply it”.</w:t>
      </w:r>
      <w:r>
        <w:rPr>
          <w:rStyle w:val="FootnoteReference"/>
        </w:rPr>
        <w:footnoteReference w:id="67"/>
      </w:r>
      <w:r>
        <w:t xml:space="preserve"> Williams</w:t>
      </w:r>
      <w:r w:rsidR="006B3DE9">
        <w:t xml:space="preserve"> J</w:t>
      </w:r>
      <w:r>
        <w:t xml:space="preserve"> observed that there are multiple available techniques for assisting the courts to understand and, if necessary, apply tikanga.</w:t>
      </w:r>
      <w:r>
        <w:rPr>
          <w:rStyle w:val="FootnoteReference"/>
        </w:rPr>
        <w:footnoteReference w:id="68"/>
      </w:r>
    </w:p>
    <w:p w14:paraId="7D56930E" w14:textId="77777777" w:rsidR="00662072" w:rsidRDefault="00662072" w:rsidP="00662072">
      <w:pPr>
        <w:pStyle w:val="Heading3"/>
      </w:pPr>
      <w:r>
        <w:t>How is the Act operating in practice?</w:t>
      </w:r>
    </w:p>
    <w:p w14:paraId="7D547425" w14:textId="77777777" w:rsidR="00662072" w:rsidRDefault="00662072" w:rsidP="00662072">
      <w:pPr>
        <w:pStyle w:val="Heading4"/>
      </w:pPr>
      <w:r>
        <w:t>Operation of the rules against hearsay and opinion evidence</w:t>
      </w:r>
    </w:p>
    <w:p w14:paraId="2BF8BD95" w14:textId="77777777" w:rsidR="00662072" w:rsidRDefault="00662072" w:rsidP="00662072">
      <w:pPr>
        <w:pStyle w:val="BodyText"/>
        <w:tabs>
          <w:tab w:val="num" w:pos="709"/>
        </w:tabs>
      </w:pPr>
      <w:r>
        <w:t>Few cases have expressly addressed the admissibility of mātauranga Māori and tikanga Māori under the rules against hearsay or opinion evidence in the Act.</w:t>
      </w:r>
    </w:p>
    <w:p w14:paraId="008DC6A3" w14:textId="10DE0D00" w:rsidR="00662072" w:rsidRDefault="00662072" w:rsidP="00662072">
      <w:pPr>
        <w:pStyle w:val="BodyText"/>
      </w:pPr>
      <w:r>
        <w:t xml:space="preserve">The first case to do so appears to be </w:t>
      </w:r>
      <w:r>
        <w:rPr>
          <w:i/>
          <w:iCs/>
        </w:rPr>
        <w:t>R v Saxton</w:t>
      </w:r>
      <w:r w:rsidRPr="001111E0">
        <w:t>,</w:t>
      </w:r>
      <w:r>
        <w:rPr>
          <w:i/>
          <w:iCs/>
        </w:rPr>
        <w:t xml:space="preserve"> </w:t>
      </w:r>
      <w:r>
        <w:t>a case decided after the Act had been passed but before it came into force.</w:t>
      </w:r>
      <w:r>
        <w:rPr>
          <w:rStyle w:val="FootnoteReference"/>
        </w:rPr>
        <w:footnoteReference w:id="69"/>
      </w:r>
      <w:r>
        <w:t xml:space="preserve"> In that case, the defendant sought to rely on evidence of customary rights in relation to pounamu. T</w:t>
      </w:r>
      <w:r w:rsidR="007A27B7">
        <w:t>e Kōti-</w:t>
      </w:r>
      <w:r w:rsidR="00500E06">
        <w:t>ā-Rohe |</w:t>
      </w:r>
      <w:r>
        <w:t xml:space="preserve"> District Court noted that</w:t>
      </w:r>
      <w:r w:rsidR="00F71C97">
        <w:t>,</w:t>
      </w:r>
      <w:r>
        <w:t xml:space="preserve"> while the Act did not apply in that case, the hearsay provisions in the Act “seem to allow the admission of evidence of this kind”.</w:t>
      </w:r>
      <w:r>
        <w:rPr>
          <w:rStyle w:val="FootnoteReference"/>
        </w:rPr>
        <w:footnoteReference w:id="70"/>
      </w:r>
      <w:r>
        <w:t xml:space="preserve"> This was accepted by counsel on appeal.</w:t>
      </w:r>
      <w:r>
        <w:rPr>
          <w:rStyle w:val="FootnoteReference"/>
        </w:rPr>
        <w:footnoteReference w:id="71"/>
      </w:r>
      <w:r>
        <w:t xml:space="preserve"> Another case that directly addressed this issue was </w:t>
      </w:r>
      <w:r>
        <w:rPr>
          <w:i/>
          <w:iCs/>
        </w:rPr>
        <w:t xml:space="preserve">Proprietors of Wakatū Inc v Attorney-General. </w:t>
      </w:r>
      <w:r>
        <w:t>The Attorney-General objected to the admission of evidence containing traditional, oral accounts of the collective histories of whānau, hapū and iwi on the basis that it was inadmissible and irrelevant hearsay and opinion evidence.</w:t>
      </w:r>
      <w:r>
        <w:rPr>
          <w:rStyle w:val="FootnoteReference"/>
        </w:rPr>
        <w:footnoteReference w:id="72"/>
      </w:r>
      <w:r>
        <w:t xml:space="preserve"> The High Court admitted the evidence, concluding:</w:t>
      </w:r>
      <w:r>
        <w:rPr>
          <w:rStyle w:val="FootnoteReference"/>
        </w:rPr>
        <w:footnoteReference w:id="73"/>
      </w:r>
    </w:p>
    <w:p w14:paraId="5A0A15F5" w14:textId="77777777" w:rsidR="00662072" w:rsidRDefault="00662072" w:rsidP="00662072">
      <w:pPr>
        <w:pStyle w:val="Quote"/>
      </w:pPr>
      <w:r w:rsidRPr="00B41865">
        <w:t>In terms of the Evidence Act 2006, the admissibility gateways for traditional, oral evidence would appear to involve a mixture of rules relating to opinion and hearsay evidence, and general questions of relevance (probative value). As a matter of principle, and noting the approaches outlined in the various cases referred to, I think it would be surprising if appropriate evidence of oral history was not admissible simply because it did not fit easily within the concepts of hearsay and opinion evidence as it is most commonly dealt with.</w:t>
      </w:r>
    </w:p>
    <w:p w14:paraId="4FF9416E" w14:textId="77777777" w:rsidR="00662072" w:rsidRDefault="00662072" w:rsidP="00662072">
      <w:pPr>
        <w:pStyle w:val="BodyText"/>
      </w:pPr>
      <w:r>
        <w:lastRenderedPageBreak/>
        <w:t>We noted these cases in the Second Review but said that the lack of case law made it difficult to draw conclusions about how the operation of the Act’s provisions are recognising Māori interests in practice.</w:t>
      </w:r>
    </w:p>
    <w:p w14:paraId="284FEDB5" w14:textId="5A8D914D" w:rsidR="00662072" w:rsidRDefault="00662072" w:rsidP="00662072">
      <w:pPr>
        <w:pStyle w:val="BodyText"/>
      </w:pPr>
      <w:r>
        <w:t xml:space="preserve">Since then, the High Court considered the application of the hearsay provisions in relation to tribal history in </w:t>
      </w:r>
      <w:r w:rsidRPr="007578E3">
        <w:rPr>
          <w:i/>
          <w:iCs/>
        </w:rPr>
        <w:t>Te Ara Rangatū o Te Iwi o Ngāti Te Ata Waiohua Inc v Attorney-General</w:t>
      </w:r>
      <w:r w:rsidR="006757CB">
        <w:t>,</w:t>
      </w:r>
      <w:r>
        <w:rPr>
          <w:i/>
          <w:iCs/>
        </w:rPr>
        <w:t xml:space="preserve"> </w:t>
      </w:r>
      <w:r>
        <w:t>a case concerning claims relating to the Crown’s acquisition and subsequent confiscation of ancestral land from Ngāti Te Ata in 1864 and subsequent events.</w:t>
      </w:r>
      <w:r>
        <w:rPr>
          <w:rStyle w:val="FootnoteReference"/>
        </w:rPr>
        <w:footnoteReference w:id="74"/>
      </w:r>
      <w:r>
        <w:t xml:space="preserve"> The Court noted the “difficulty in resolving disputed facts relating to events which took place some 160 years ago”, and that “factual findings concerning those historical events can only be made on the basis of admissible evidence put before the Court in these proceedings”.</w:t>
      </w:r>
      <w:r>
        <w:rPr>
          <w:rStyle w:val="FootnoteReference"/>
        </w:rPr>
        <w:footnoteReference w:id="75"/>
      </w:r>
      <w:r>
        <w:t xml:space="preserve"> The Court noted that, unlike the situation in </w:t>
      </w:r>
      <w:r w:rsidRPr="007578E3">
        <w:rPr>
          <w:i/>
          <w:iCs/>
        </w:rPr>
        <w:t>Wakatū</w:t>
      </w:r>
      <w:r>
        <w:t>, where the relevant facts could largely be drawn from a reasonably comprehensive documentary record, evidence of detailed discussions and relationships between the parties was “scant to say the least”.</w:t>
      </w:r>
      <w:r>
        <w:rPr>
          <w:rStyle w:val="FootnoteReference"/>
        </w:rPr>
        <w:footnoteReference w:id="76"/>
      </w:r>
      <w:r>
        <w:t xml:space="preserve"> </w:t>
      </w:r>
      <w:r w:rsidRPr="00151FED">
        <w:t>Many</w:t>
      </w:r>
      <w:r>
        <w:t xml:space="preserve"> of the facts were in dispute and were the subject of competing expert historian evidence.</w:t>
      </w:r>
      <w:r>
        <w:rPr>
          <w:rStyle w:val="FootnoteReference"/>
        </w:rPr>
        <w:footnoteReference w:id="77"/>
      </w:r>
    </w:p>
    <w:p w14:paraId="1D5EFCF1" w14:textId="77777777" w:rsidR="00662072" w:rsidRDefault="00662072" w:rsidP="00662072">
      <w:pPr>
        <w:pStyle w:val="BodyText"/>
      </w:pPr>
      <w:r>
        <w:t>In relation to that evidence, the Court’s observations record the difficulty in applying current categories of evidence to mātauranga:</w:t>
      </w:r>
      <w:r>
        <w:rPr>
          <w:rStyle w:val="FootnoteReference"/>
        </w:rPr>
        <w:footnoteReference w:id="78"/>
      </w:r>
    </w:p>
    <w:p w14:paraId="601A6844" w14:textId="77777777" w:rsidR="00662072" w:rsidRDefault="00662072" w:rsidP="00662072">
      <w:pPr>
        <w:pStyle w:val="Quote"/>
      </w:pPr>
      <w:r w:rsidRPr="009A22F7">
        <w:t>Some of the evidence I heard was strictly hearsay. There was nevertheless no formal objection taken by any party to the evidence adduced at trial. I accordingly proceed on the basis the evidence was admitted by agreement pursuant to s 9 of the Evidence Act 2006. Where appropriate however, I have taken these matters into account when considering the weight to be given to particular items of evidence. This has been particularly necessary in the case of some of the historical materials, which are not complete and thus the full context to certain events and communications is unknown.</w:t>
      </w:r>
    </w:p>
    <w:p w14:paraId="701ED3D0" w14:textId="77777777" w:rsidR="00662072" w:rsidRDefault="00662072" w:rsidP="00662072">
      <w:pPr>
        <w:pStyle w:val="BodyText"/>
      </w:pPr>
      <w:r>
        <w:t xml:space="preserve">While recourse to section 9 in that case enabled the Court to consider the evidence, such an approach will not provide a solution in all cases. Section 9 would not, for example, be available in cases where the evidence is contested. A question also arises as to whether this is an appropriate application of section 9, which was intended to require </w:t>
      </w:r>
      <w:r w:rsidRPr="00FA02F4">
        <w:rPr>
          <w:i/>
          <w:iCs/>
        </w:rPr>
        <w:t xml:space="preserve">express </w:t>
      </w:r>
      <w:r>
        <w:t>agreement of the parties in relation to agreed statements of fact.</w:t>
      </w:r>
      <w:r>
        <w:rPr>
          <w:rStyle w:val="FootnoteReference"/>
        </w:rPr>
        <w:footnoteReference w:id="79"/>
      </w:r>
    </w:p>
    <w:p w14:paraId="69B0CDF8" w14:textId="77777777" w:rsidR="00662072" w:rsidRDefault="00662072" w:rsidP="00662072">
      <w:pPr>
        <w:pStyle w:val="Heading4"/>
      </w:pPr>
      <w:r>
        <w:t>Ascertaining tikanga through expert evidence</w:t>
      </w:r>
    </w:p>
    <w:p w14:paraId="3EDA833A" w14:textId="79824FFF" w:rsidR="00662072" w:rsidRDefault="00662072" w:rsidP="00662072">
      <w:pPr>
        <w:pStyle w:val="BodyText"/>
      </w:pPr>
      <w:r>
        <w:t xml:space="preserve">While few cases have examined the operation of the rules against hearsay or opinion evidence in relation to mātauranga Māori and tikanga Māori, there are ample examples of </w:t>
      </w:r>
      <w:r>
        <w:lastRenderedPageBreak/>
        <w:t>expert evidence from pūkenga being admitted in cases since 2018 in a range of different contexts</w:t>
      </w:r>
      <w:r w:rsidR="004D4FC7">
        <w:t>,</w:t>
      </w:r>
      <w:r>
        <w:t xml:space="preserve"> including:</w:t>
      </w:r>
      <w:r>
        <w:rPr>
          <w:rStyle w:val="FootnoteReference"/>
        </w:rPr>
        <w:footnoteReference w:id="80"/>
      </w:r>
    </w:p>
    <w:p w14:paraId="5FE923A2" w14:textId="77777777" w:rsidR="00662072" w:rsidRDefault="00662072" w:rsidP="00866891">
      <w:pPr>
        <w:pStyle w:val="BodyTextnonum"/>
        <w:numPr>
          <w:ilvl w:val="3"/>
          <w:numId w:val="28"/>
        </w:numPr>
      </w:pPr>
      <w:r>
        <w:t>in cases involving disputes between iwi, hapū</w:t>
      </w:r>
      <w:r>
        <w:rPr>
          <w:rStyle w:val="FootnoteReference"/>
        </w:rPr>
        <w:footnoteReference w:id="81"/>
      </w:r>
      <w:r>
        <w:t xml:space="preserve"> and whānau;</w:t>
      </w:r>
      <w:r>
        <w:rPr>
          <w:rStyle w:val="FootnoteReference"/>
        </w:rPr>
        <w:footnoteReference w:id="82"/>
      </w:r>
    </w:p>
    <w:p w14:paraId="0E08D658" w14:textId="77777777" w:rsidR="00662072" w:rsidRDefault="00662072" w:rsidP="00866891">
      <w:pPr>
        <w:pStyle w:val="BodyTextnonum"/>
        <w:numPr>
          <w:ilvl w:val="3"/>
          <w:numId w:val="28"/>
        </w:numPr>
      </w:pPr>
      <w:r>
        <w:t>in cases against the Crown,</w:t>
      </w:r>
      <w:r>
        <w:rPr>
          <w:rStyle w:val="FootnoteReference"/>
        </w:rPr>
        <w:footnoteReference w:id="83"/>
      </w:r>
      <w:r>
        <w:t xml:space="preserve"> including cases relating to individual rights and entitlements;</w:t>
      </w:r>
      <w:r>
        <w:rPr>
          <w:rStyle w:val="FootnoteReference"/>
        </w:rPr>
        <w:footnoteReference w:id="84"/>
      </w:r>
    </w:p>
    <w:p w14:paraId="0413B54E" w14:textId="77777777" w:rsidR="00662072" w:rsidRDefault="00662072" w:rsidP="00866891">
      <w:pPr>
        <w:pStyle w:val="BodyTextnonum"/>
        <w:numPr>
          <w:ilvl w:val="3"/>
          <w:numId w:val="28"/>
        </w:numPr>
      </w:pPr>
      <w:r>
        <w:t>in a judicial review of a preliminary determination of the Waitangi Tribunal;</w:t>
      </w:r>
      <w:r>
        <w:rPr>
          <w:rStyle w:val="FootnoteReference"/>
        </w:rPr>
        <w:footnoteReference w:id="85"/>
      </w:r>
      <w:r>
        <w:t xml:space="preserve"> and</w:t>
      </w:r>
    </w:p>
    <w:p w14:paraId="031F21D2" w14:textId="77777777" w:rsidR="00662072" w:rsidRDefault="00662072" w:rsidP="00866891">
      <w:pPr>
        <w:pStyle w:val="BodyTextnonum"/>
        <w:numPr>
          <w:ilvl w:val="3"/>
          <w:numId w:val="28"/>
        </w:numPr>
      </w:pPr>
      <w:r>
        <w:t>in a criminal proceeding, where evidence of tikanga practices was relevant to the defendant’s defence.</w:t>
      </w:r>
      <w:r>
        <w:rPr>
          <w:rStyle w:val="FootnoteReference"/>
          <w:rFonts w:eastAsiaTheme="minorHAnsi"/>
        </w:rPr>
        <w:footnoteReference w:id="86"/>
      </w:r>
      <w:r>
        <w:t xml:space="preserve"> </w:t>
      </w:r>
    </w:p>
    <w:p w14:paraId="5C611668" w14:textId="77777777" w:rsidR="00662072" w:rsidRDefault="00662072" w:rsidP="00662072">
      <w:pPr>
        <w:pStyle w:val="Heading3"/>
      </w:pPr>
      <w:r>
        <w:t>Is legislative reform necessary or desirable?</w:t>
      </w:r>
    </w:p>
    <w:p w14:paraId="13A57891" w14:textId="77777777" w:rsidR="00662072" w:rsidRDefault="00662072" w:rsidP="00662072">
      <w:pPr>
        <w:pStyle w:val="BodyText"/>
      </w:pPr>
      <w:r>
        <w:t xml:space="preserve">Our review of available cases suggest that the expert evidence provisions of the Act are routinely engaged to admit evidence of mātauranga Māori and tikanga Māori from pūkenga. </w:t>
      </w:r>
    </w:p>
    <w:p w14:paraId="4E0F028E" w14:textId="597CFA72" w:rsidR="00662072" w:rsidRDefault="00662072" w:rsidP="00662072">
      <w:pPr>
        <w:pStyle w:val="BodyText"/>
      </w:pPr>
      <w:r>
        <w:t xml:space="preserve">There is, however, less clarity as to whether there is scope for the admission of mātauranga Māori or tikanga Māori outside the expert evidence provisions in the Act. We have identified few cases that have examined this issue and no cases that have embarked on an assessment of whether such evidence is in fact hearsay or whether it can be admitted as an exception to the </w:t>
      </w:r>
      <w:r w:rsidR="00DE0E50">
        <w:t>rule against</w:t>
      </w:r>
      <w:r>
        <w:t xml:space="preserve"> hearsay because it meets the reliability threshold. While section 9 (admission by agreement) has provided a pragmatic approach to date, we do not think it provides an adequate or principled response to this issue. </w:t>
      </w:r>
    </w:p>
    <w:p w14:paraId="30E1DE0C" w14:textId="77777777" w:rsidR="00662072" w:rsidRDefault="00662072" w:rsidP="00662072">
      <w:pPr>
        <w:pStyle w:val="BodyText"/>
      </w:pPr>
      <w:r>
        <w:lastRenderedPageBreak/>
        <w:t>As the courts are increasingly being asked to consider tikanga and mātauranga in proceedings subject to the Act,</w:t>
      </w:r>
      <w:r>
        <w:rPr>
          <w:rStyle w:val="FootnoteReference"/>
        </w:rPr>
        <w:footnoteReference w:id="87"/>
      </w:r>
      <w:r>
        <w:t xml:space="preserve"> it is desirable to consider whether further clarity is required as to the appropriate approach to such evidence.</w:t>
      </w:r>
      <w:r w:rsidRPr="00C169D2">
        <w:t xml:space="preserve"> </w:t>
      </w:r>
      <w:r>
        <w:t>As judicial awareness of commonly understood tikanga Māori increases, the need to ascertain that tikanga by way of evidence in every case may diminish over time. This does not, however, reduce the need for the Act to properly accommodate such evidence in appropriate cases.</w:t>
      </w:r>
    </w:p>
    <w:p w14:paraId="641051BE" w14:textId="5756DAAB" w:rsidR="00662072" w:rsidRDefault="00662072" w:rsidP="00662072">
      <w:pPr>
        <w:pStyle w:val="BodyText"/>
      </w:pPr>
      <w:bookmarkStart w:id="64" w:name="_Ref130885865"/>
      <w:r>
        <w:t>The approach under the Act can also be contrasted with the more flexible approach to evidence in other jurisdictions where the Act does not apply and Māori interests are often central, including in te Kooti Whenua Māori | Māori Land Court, te Kōti Taiao | Environment Court and claims under the Marine and Coastal Area (Takutai Moana) Act 2011.</w:t>
      </w:r>
      <w:r>
        <w:rPr>
          <w:rStyle w:val="FootnoteReference"/>
        </w:rPr>
        <w:footnoteReference w:id="88"/>
      </w:r>
      <w:r>
        <w:t xml:space="preserve"> By way of example, in </w:t>
      </w:r>
      <w:r>
        <w:rPr>
          <w:i/>
          <w:iCs/>
        </w:rPr>
        <w:t>Ngati Hokopu Ki Hokowhitu v Whakatane District Council</w:t>
      </w:r>
      <w:r w:rsidRPr="00CA1730">
        <w:t>,</w:t>
      </w:r>
      <w:r>
        <w:rPr>
          <w:i/>
          <w:iCs/>
        </w:rPr>
        <w:t xml:space="preserve"> </w:t>
      </w:r>
      <w:r>
        <w:t>the Environment Court explained that the rules about hearsay, opinion evidence and witness bias are normally applied for good reasons, however:</w:t>
      </w:r>
      <w:r>
        <w:rPr>
          <w:rStyle w:val="FootnoteReference"/>
        </w:rPr>
        <w:footnoteReference w:id="89"/>
      </w:r>
      <w:bookmarkEnd w:id="64"/>
    </w:p>
    <w:p w14:paraId="611CC8A1" w14:textId="77777777" w:rsidR="00662072" w:rsidRDefault="00662072" w:rsidP="00662072">
      <w:pPr>
        <w:pStyle w:val="Quote"/>
      </w:pPr>
      <w:r w:rsidRPr="00127A9F">
        <w:t>Against that, we have to bear in mind that Ngati Awa, and Māori generally, have a culture in which oral statements are the accepted method of discourse on serious issues, and statements of whakapapa are very important as connecting individuals to their land. In the absence of other evidence from experts on tikanga Maori, the evidence of tangata whenua must be given some weight (and in appropriate cases considerable, perhaps even determinative, weight). In the end the weight to be given to the evidence in any case is unique to that case.</w:t>
      </w:r>
    </w:p>
    <w:p w14:paraId="2849A3D4" w14:textId="77777777" w:rsidR="00662072" w:rsidRDefault="00662072" w:rsidP="00662072">
      <w:pPr>
        <w:pStyle w:val="BodyText"/>
      </w:pPr>
      <w:r>
        <w:t>The Court went on to state that:</w:t>
      </w:r>
      <w:r>
        <w:rPr>
          <w:rStyle w:val="FootnoteReference"/>
        </w:rPr>
        <w:footnoteReference w:id="90"/>
      </w:r>
    </w:p>
    <w:p w14:paraId="2C1EBF9A" w14:textId="77777777" w:rsidR="00662072" w:rsidRDefault="00662072" w:rsidP="00662072">
      <w:pPr>
        <w:pStyle w:val="Quote"/>
      </w:pPr>
      <w:r>
        <w:t xml:space="preserve">In these proceedings we heard a good deal of hearsay evidence from Ngati Awa witnesses … which also included opinion evidence - for example that the 100 acre block is or is not waahi tapu. All those witnesses were biased, in the legal sense, in that they had an interest in the </w:t>
      </w:r>
      <w:r>
        <w:lastRenderedPageBreak/>
        <w:t>proceedings. Despite that, we have considered the evidence of all the witnesses, whether they qualify as experts on tikanga Māori or not.</w:t>
      </w:r>
    </w:p>
    <w:p w14:paraId="32A94AA4" w14:textId="77777777" w:rsidR="00662072" w:rsidRDefault="00662072" w:rsidP="00662072">
      <w:pPr>
        <w:pStyle w:val="Heading3"/>
      </w:pPr>
      <w:r>
        <w:t>Options for reform</w:t>
      </w:r>
    </w:p>
    <w:p w14:paraId="23A14B4C" w14:textId="1CDEA4B3" w:rsidR="00662072" w:rsidRDefault="00662072" w:rsidP="00662072">
      <w:pPr>
        <w:pStyle w:val="BodyText"/>
      </w:pPr>
      <w:r>
        <w:t>We have identified two options for reform should legislative reform be considered necessary or desirable</w:t>
      </w:r>
      <w:r w:rsidRPr="00A64D98">
        <w:t xml:space="preserve"> </w:t>
      </w:r>
      <w:r>
        <w:t>to future proof the rules of evidence in light of the ongoing relevance of tikanga and mātauranga in proceedings to which the Act applies. These options could be considered as alternative reform options or both options could be progressed together.</w:t>
      </w:r>
    </w:p>
    <w:p w14:paraId="7DD274A7" w14:textId="77777777" w:rsidR="00662072" w:rsidRDefault="00662072" w:rsidP="00662072">
      <w:pPr>
        <w:pStyle w:val="Heading4"/>
      </w:pPr>
      <w:r>
        <w:t>Option 1: Tailored exception to the rules against hearsay and opinion evidence</w:t>
      </w:r>
    </w:p>
    <w:p w14:paraId="0DD226E7" w14:textId="77777777" w:rsidR="00662072" w:rsidRDefault="00662072" w:rsidP="00662072">
      <w:pPr>
        <w:pStyle w:val="BodyText"/>
      </w:pPr>
      <w:r>
        <w:t xml:space="preserve">This option is based on the Australian approach. There, concerns about the effect of these rules on the admission of evidence from </w:t>
      </w:r>
      <w:r w:rsidRPr="005457CF">
        <w:t>Aboriginal</w:t>
      </w:r>
      <w:r>
        <w:t xml:space="preserve"> people</w:t>
      </w:r>
      <w:r w:rsidRPr="005457CF">
        <w:t xml:space="preserve"> and Torres Stra</w:t>
      </w:r>
      <w:r>
        <w:t>it Islanders have resulted in the adoption of tailored exceptions for evidence about traditional laws and customs.</w:t>
      </w:r>
      <w:r>
        <w:rPr>
          <w:rStyle w:val="FootnoteReference"/>
        </w:rPr>
        <w:footnoteReference w:id="91"/>
      </w:r>
      <w:r>
        <w:t xml:space="preserve"> Commonwealth legislation (which is replicated in most states and territories) now provides:</w:t>
      </w:r>
      <w:r>
        <w:rPr>
          <w:rStyle w:val="FootnoteReference"/>
        </w:rPr>
        <w:footnoteReference w:id="92"/>
      </w:r>
    </w:p>
    <w:p w14:paraId="522B25B0" w14:textId="77777777" w:rsidR="00662072" w:rsidRPr="004D569B" w:rsidRDefault="00662072" w:rsidP="00662072">
      <w:pPr>
        <w:pStyle w:val="Quote"/>
        <w:rPr>
          <w:b/>
          <w:bCs/>
        </w:rPr>
      </w:pPr>
      <w:r w:rsidRPr="004D569B">
        <w:rPr>
          <w:b/>
          <w:bCs/>
        </w:rPr>
        <w:t>Exception: Aboriginal and Torres Strait Islander traditional laws and customs</w:t>
      </w:r>
    </w:p>
    <w:p w14:paraId="5C51AC80" w14:textId="77777777" w:rsidR="00662072" w:rsidRDefault="00662072" w:rsidP="00662072">
      <w:pPr>
        <w:pStyle w:val="Quote"/>
      </w:pPr>
      <w:r>
        <w:t>The hearsay rule does not apply to evidence of a representation about the existence or non-existence, or the content, of the traditional laws and customs of an Aboriginal or Torres Strait Islander group.</w:t>
      </w:r>
    </w:p>
    <w:p w14:paraId="445382FE" w14:textId="669EDFE9" w:rsidR="00662072" w:rsidRDefault="00662072" w:rsidP="00662072">
      <w:pPr>
        <w:pStyle w:val="BodyText"/>
      </w:pPr>
      <w:r>
        <w:t>A similar exception applies in relation to the rule against opinion evidence.</w:t>
      </w:r>
      <w:r>
        <w:rPr>
          <w:rStyle w:val="FootnoteReference"/>
        </w:rPr>
        <w:footnoteReference w:id="93"/>
      </w:r>
      <w:r>
        <w:t xml:space="preserve"> We are interested in exploring whether similar exceptions would be appropriate in Aotearoa New Zealand to clarify that the hearsay and opinion rules do not apply to evidence of tikanga Māori. We are also interested in exploring whether such exceptions should also address mātauranga Māori, thereby covering a wider field of knowledge, such as tribal histories </w:t>
      </w:r>
      <w:r w:rsidR="00A923A8">
        <w:t>that</w:t>
      </w:r>
      <w:r>
        <w:t xml:space="preserve"> are passed on through the generations.</w:t>
      </w:r>
    </w:p>
    <w:p w14:paraId="52D5119B" w14:textId="77777777" w:rsidR="00662072" w:rsidRDefault="00662072" w:rsidP="00662072">
      <w:pPr>
        <w:pStyle w:val="BodyText"/>
      </w:pPr>
      <w:r>
        <w:t>We note, however, that rules on hearsay and opinion evidence in Australia are similar but not identical to New Zealand law, so this option would require careful consideration to determine if it is appropriate in the New Zealand context and, if so, how the exception should be drafted. This would need to include consideration of the different situations when it would be appropriate to admit evidence of either tikanga Māori or mātauranga Māori of a person who would not otherwise meet the definition of expert under the Act.</w:t>
      </w:r>
      <w:r>
        <w:rPr>
          <w:rStyle w:val="FootnoteReference"/>
        </w:rPr>
        <w:footnoteReference w:id="94"/>
      </w:r>
    </w:p>
    <w:p w14:paraId="53113E26" w14:textId="37124E4B" w:rsidR="00662072" w:rsidRDefault="00662072" w:rsidP="00662072">
      <w:pPr>
        <w:pStyle w:val="BodyText"/>
      </w:pPr>
      <w:r>
        <w:t xml:space="preserve">There may be merit in adopting a broad exception to the hearsay and opinion rules that would include other cultures where traditional knowledge systems and methods of storing knowledge are oral in nature. As the Supreme Court recognised in </w:t>
      </w:r>
      <w:r>
        <w:rPr>
          <w:i/>
          <w:iCs/>
        </w:rPr>
        <w:t>Deng v Zheng</w:t>
      </w:r>
      <w:r w:rsidRPr="008B7D02">
        <w:t xml:space="preserve">, </w:t>
      </w:r>
      <w:r>
        <w:t xml:space="preserve">cases in which one or more parties have a cultural background </w:t>
      </w:r>
      <w:r w:rsidR="00D70C6A">
        <w:t>that</w:t>
      </w:r>
      <w:r>
        <w:t xml:space="preserve"> differs from that o</w:t>
      </w:r>
      <w:r w:rsidR="00B37230">
        <w:t>f a j</w:t>
      </w:r>
      <w:r>
        <w:t xml:space="preserve">udge are common in New Zealand courts and are likely to become more common in </w:t>
      </w:r>
      <w:r>
        <w:lastRenderedPageBreak/>
        <w:t>future.</w:t>
      </w:r>
      <w:r>
        <w:rPr>
          <w:rStyle w:val="FootnoteReference"/>
        </w:rPr>
        <w:footnoteReference w:id="95"/>
      </w:r>
      <w:r>
        <w:t xml:space="preserve"> It may be desirable for the Act to more clearly acknowledge and accommodate oral traditions in other cultures. </w:t>
      </w:r>
      <w:r w:rsidRPr="00690366">
        <w:t xml:space="preserve">This may be most appropriate where such knowledge systems employ sophisticated techniques for recording history or knowledge orally, as is the case in relation to mātauranga Māori, so that concerns about reliability and verification that underpin the </w:t>
      </w:r>
      <w:r w:rsidR="00DE0E50">
        <w:t xml:space="preserve">rule against </w:t>
      </w:r>
      <w:r w:rsidRPr="00690366">
        <w:t>hearsay have less or no relevance.</w:t>
      </w:r>
      <w:r>
        <w:t xml:space="preserve"> We welcome feedback on this point. </w:t>
      </w:r>
    </w:p>
    <w:p w14:paraId="578A25A6" w14:textId="77777777" w:rsidR="00662072" w:rsidRDefault="00662072" w:rsidP="00662072">
      <w:pPr>
        <w:pStyle w:val="Heading4"/>
      </w:pPr>
      <w:r>
        <w:t>Option 2: Prescribing interpretative guidance</w:t>
      </w:r>
    </w:p>
    <w:p w14:paraId="69D33615" w14:textId="77777777" w:rsidR="00662072" w:rsidRDefault="00662072" w:rsidP="00662072">
      <w:pPr>
        <w:pStyle w:val="BodyText"/>
      </w:pPr>
      <w:r>
        <w:t>The second option is to introduce statutory guidance as to the need to interpret and apply the provisions of the Act having regard to te ao Māori</w:t>
      </w:r>
      <w:r w:rsidRPr="00853E08">
        <w:t>.</w:t>
      </w:r>
      <w:r w:rsidRPr="00853E08">
        <w:rPr>
          <w:rStyle w:val="FootnoteReference"/>
        </w:rPr>
        <w:footnoteReference w:id="96"/>
      </w:r>
    </w:p>
    <w:p w14:paraId="66CEA93B" w14:textId="77777777" w:rsidR="00662072" w:rsidRDefault="00662072" w:rsidP="00662072">
      <w:pPr>
        <w:pStyle w:val="BodyText"/>
      </w:pPr>
      <w:r w:rsidRPr="00853E08">
        <w:t xml:space="preserve">Currently, the Act does not expressly refer to te </w:t>
      </w:r>
      <w:r>
        <w:t xml:space="preserve">ao Māori </w:t>
      </w:r>
      <w:r w:rsidRPr="00853E08">
        <w:t xml:space="preserve">or </w:t>
      </w:r>
      <w:r>
        <w:t>tikanga Māori</w:t>
      </w:r>
      <w:r w:rsidRPr="00853E08">
        <w:t xml:space="preserve">. This is despite attention </w:t>
      </w:r>
      <w:r>
        <w:t xml:space="preserve">being </w:t>
      </w:r>
      <w:r w:rsidRPr="00853E08">
        <w:t xml:space="preserve">given to te ao Māori issues in the development of the </w:t>
      </w:r>
      <w:r>
        <w:t xml:space="preserve">Evidence </w:t>
      </w:r>
      <w:r w:rsidRPr="00853E08">
        <w:t xml:space="preserve">Code and a clear desire to ensure the Act appropriately accommodates te ao Māori. </w:t>
      </w:r>
      <w:r>
        <w:t xml:space="preserve">Since the Act was passed, the courts have increasingly been engaging with tikanga and considering Māori rights and interests, including those arising under the Treaty. It is important that the Act can respond to these changes. </w:t>
      </w:r>
    </w:p>
    <w:p w14:paraId="213F21F7" w14:textId="77777777" w:rsidR="00662072" w:rsidRDefault="00662072" w:rsidP="00662072">
      <w:pPr>
        <w:pStyle w:val="BodyText"/>
      </w:pPr>
      <w:r>
        <w:t>An advantage of</w:t>
      </w:r>
      <w:r w:rsidRPr="00853E08">
        <w:t xml:space="preserve"> expressly requiring </w:t>
      </w:r>
      <w:r>
        <w:t xml:space="preserve">the courts to have regard to te ao Māori would be to </w:t>
      </w:r>
      <w:r w:rsidRPr="00853E08">
        <w:t>assist the courts in their application of the rules of evidence</w:t>
      </w:r>
      <w:r>
        <w:t xml:space="preserve"> in cases involving Māori interests and help normalise the admission of such evidence in appropriate cases</w:t>
      </w:r>
      <w:r w:rsidRPr="00853E08">
        <w:t>.</w:t>
      </w:r>
      <w:r>
        <w:t xml:space="preserve"> </w:t>
      </w:r>
    </w:p>
    <w:p w14:paraId="0E06B8EE" w14:textId="77777777" w:rsidR="00662072" w:rsidRPr="00F8573A" w:rsidRDefault="00662072" w:rsidP="00662072">
      <w:pPr>
        <w:pStyle w:val="BodyText"/>
      </w:pPr>
      <w:r w:rsidRPr="00F8573A">
        <w:t>Other legislation under which Māori interests are relevant to court proceedings already make similar provision. The Resource Management Act 1991 provides that the Environment Court shall recognise tikanga Māori where appropriate,</w:t>
      </w:r>
      <w:r w:rsidRPr="00F8573A">
        <w:rPr>
          <w:rStyle w:val="FootnoteReference"/>
        </w:rPr>
        <w:footnoteReference w:id="97"/>
      </w:r>
      <w:r w:rsidRPr="00F8573A">
        <w:t xml:space="preserve"> and Te Ture Whenua Maori Act 1993 provides that a judge of the Māori Land Court or the Māori Appellate Court may apply such rules of marae kawa as they consider appropriate.</w:t>
      </w:r>
      <w:r w:rsidRPr="00F8573A">
        <w:rPr>
          <w:rStyle w:val="FootnoteReference"/>
        </w:rPr>
        <w:footnoteReference w:id="98"/>
      </w:r>
      <w:r w:rsidRPr="00F8573A">
        <w:t xml:space="preserve"> </w:t>
      </w:r>
    </w:p>
    <w:p w14:paraId="32F13EC8" w14:textId="77777777" w:rsidR="00662072" w:rsidRDefault="00662072" w:rsidP="00662072">
      <w:pPr>
        <w:pStyle w:val="BodyText"/>
      </w:pPr>
      <w:r w:rsidRPr="00853E08">
        <w:t xml:space="preserve">This option is more general in nature than </w:t>
      </w:r>
      <w:r>
        <w:t>O</w:t>
      </w:r>
      <w:r w:rsidRPr="00853E08">
        <w:t xml:space="preserve">ption 1, but arguably that is appropriate if the </w:t>
      </w:r>
      <w:r>
        <w:t xml:space="preserve">intention </w:t>
      </w:r>
      <w:r w:rsidRPr="00853E08">
        <w:t xml:space="preserve">is to future proof the Act </w:t>
      </w:r>
      <w:r>
        <w:t>in a general sense</w:t>
      </w:r>
      <w:r w:rsidRPr="00853E08">
        <w:t xml:space="preserve">. </w:t>
      </w:r>
      <w:r>
        <w:t xml:space="preserve">Option 2 would enable the reliability of hearsay evidence or the application of the expert evidence provisions to be considered through a te ao Māori lens and in light of mātauranga Māori methodologies for storing and transmitting information. </w:t>
      </w:r>
    </w:p>
    <w:p w14:paraId="6C023A99" w14:textId="77777777" w:rsidR="00662072" w:rsidRDefault="00662072" w:rsidP="00662072">
      <w:pPr>
        <w:pStyle w:val="BodyText"/>
      </w:pPr>
      <w:r>
        <w:t>Option 2 would also apply more broadly to other provisions of the Act. It would guide a judge to consider questions of relevance under section 7 from a te ao Māori perspective, which may be different to the judge’s own perspective. For example, the whakapapa of a person or a place may not initially seem relevant to the judge but it may well be relevant to the kaumātua giving evidence or to the parties themselves. It could also assist the court when deciding whether to exclude evidence under section 69, discussed below.</w:t>
      </w:r>
    </w:p>
    <w:p w14:paraId="2C8EE569" w14:textId="6A5E29FA" w:rsidR="00662072" w:rsidRDefault="00662072" w:rsidP="00662072">
      <w:pPr>
        <w:pStyle w:val="BodyText"/>
      </w:pPr>
      <w:r>
        <w:t xml:space="preserve">A disadvantage, however, of including any interpretative guidance of general effect is that its application can be uncertain and may result in unintended consequences for the application of other specific provisions in the Act. </w:t>
      </w:r>
    </w:p>
    <w:p w14:paraId="30780647" w14:textId="77777777" w:rsidR="00060FCC" w:rsidRDefault="00060FCC" w:rsidP="00060FCC">
      <w:pPr>
        <w:pStyle w:val="ListNumber"/>
        <w:numPr>
          <w:ilvl w:val="0"/>
          <w:numId w:val="0"/>
        </w:numPr>
        <w:ind w:left="360" w:hanging="360"/>
        <w:rPr>
          <w:rFonts w:eastAsiaTheme="minorHAnsi"/>
        </w:rPr>
      </w:pPr>
      <w:r>
        <w:rPr>
          <w:noProof/>
        </w:rPr>
        <w:lastRenderedPageBreak/>
        <mc:AlternateContent>
          <mc:Choice Requires="wpg">
            <w:drawing>
              <wp:anchor distT="0" distB="0" distL="114300" distR="114300" simplePos="0" relativeHeight="251658278" behindDoc="1" locked="0" layoutInCell="1" allowOverlap="1" wp14:anchorId="5D1AA6B0" wp14:editId="509BB8A3">
                <wp:simplePos x="0" y="0"/>
                <wp:positionH relativeFrom="column">
                  <wp:posOffset>-1962</wp:posOffset>
                </wp:positionH>
                <wp:positionV relativeFrom="paragraph">
                  <wp:posOffset>3241</wp:posOffset>
                </wp:positionV>
                <wp:extent cx="5760085" cy="2238229"/>
                <wp:effectExtent l="0" t="0" r="0" b="0"/>
                <wp:wrapNone/>
                <wp:docPr id="764518333" name="Group 764518333" descr="Question"/>
                <wp:cNvGraphicFramePr/>
                <a:graphic xmlns:a="http://schemas.openxmlformats.org/drawingml/2006/main">
                  <a:graphicData uri="http://schemas.microsoft.com/office/word/2010/wordprocessingGroup">
                    <wpg:wgp>
                      <wpg:cNvGrpSpPr/>
                      <wpg:grpSpPr>
                        <a:xfrm>
                          <a:off x="0" y="0"/>
                          <a:ext cx="5760085" cy="2238229"/>
                          <a:chOff x="0" y="62865"/>
                          <a:chExt cx="5760085" cy="2238455"/>
                        </a:xfrm>
                      </wpg:grpSpPr>
                      <wps:wsp>
                        <wps:cNvPr id="76451833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A5FA2C" w14:textId="77777777" w:rsidR="00060FCC" w:rsidRDefault="00060FCC" w:rsidP="00060FCC">
                              <w:pPr>
                                <w:pStyle w:val="BoxTitle"/>
                                <w:spacing w:before="0" w:beforeAutospacing="0"/>
                              </w:pPr>
                              <w:r w:rsidRPr="007F6876">
                                <w:t>QUESTION</w:t>
                              </w:r>
                            </w:p>
                          </w:txbxContent>
                        </wps:txbx>
                        <wps:bodyPr rot="0" vert="horz" wrap="square" lIns="91440" tIns="0" rIns="0" bIns="45720" anchor="ctr" anchorCtr="0" upright="1">
                          <a:noAutofit/>
                        </wps:bodyPr>
                      </wps:wsp>
                      <wpg:grpSp>
                        <wpg:cNvPr id="472" name="Group 53"/>
                        <wpg:cNvGrpSpPr>
                          <a:grpSpLocks/>
                        </wpg:cNvGrpSpPr>
                        <wpg:grpSpPr bwMode="auto">
                          <a:xfrm>
                            <a:off x="0" y="316170"/>
                            <a:ext cx="5760085" cy="1985150"/>
                            <a:chOff x="1837" y="1791"/>
                            <a:chExt cx="9302" cy="21443"/>
                          </a:xfrm>
                        </wpg:grpSpPr>
                        <wps:wsp>
                          <wps:cNvPr id="473" name="Freeform 54"/>
                          <wps:cNvSpPr>
                            <a:spLocks/>
                          </wps:cNvSpPr>
                          <wps:spPr bwMode="auto">
                            <a:xfrm>
                              <a:off x="1837" y="1791"/>
                              <a:ext cx="9302" cy="2144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74"/>
                        <wpg:cNvGrpSpPr/>
                        <wpg:grpSpPr>
                          <a:xfrm>
                            <a:off x="0" y="494036"/>
                            <a:ext cx="1443794" cy="252000"/>
                            <a:chOff x="-15880" y="0"/>
                            <a:chExt cx="1444379" cy="252068"/>
                          </a:xfrm>
                        </wpg:grpSpPr>
                        <wps:wsp>
                          <wps:cNvPr id="47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7B518A" w14:textId="77777777" w:rsidR="00060FCC" w:rsidRPr="00E90B8A" w:rsidRDefault="00060FCC" w:rsidP="00060FCC">
                                <w:pPr>
                                  <w:pStyle w:val="BoxTitle"/>
                                  <w:spacing w:before="0" w:beforeAutospacing="0"/>
                                  <w:rPr>
                                    <w:sz w:val="18"/>
                                    <w:szCs w:val="18"/>
                                  </w:rPr>
                                </w:pPr>
                                <w:r w:rsidRPr="00E90B8A">
                                  <w:rPr>
                                    <w:sz w:val="18"/>
                                    <w:szCs w:val="18"/>
                                  </w:rPr>
                                  <w:t>Q</w:t>
                                </w:r>
                                <w:r>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D1AA6B0" id="Group 764518333" o:spid="_x0000_s1042" alt="Question" style="position:absolute;left:0;text-align:left;margin-left:-.15pt;margin-top:.25pt;width:453.55pt;height:176.25pt;z-index:-251658202;mso-height-relative:margin" coordorigin=",628" coordsize="57600,2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">
                <v:shape id="Freeform 52" o:spid="_x0000_s104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DA5FA2C" w14:textId="77777777" w:rsidR="00060FCC" w:rsidRDefault="00060FCC" w:rsidP="00060FCC">
                        <w:pPr>
                          <w:pStyle w:val="BoxTitle"/>
                          <w:spacing w:before="0" w:beforeAutospacing="0"/>
                        </w:pPr>
                        <w:r w:rsidRPr="007F6876">
                          <w:t>QUESTION</w:t>
                        </w:r>
                      </w:p>
                    </w:txbxContent>
                  </v:textbox>
                </v:shape>
                <v:group id="Group 53" o:spid="_x0000_s1044" style="position:absolute;top:3161;width:57600;height:19852" coordorigin="1837,1791" coordsize="9302,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54" o:spid="_x0000_s1045" style="position:absolute;left:1837;top:1791;width:9302;height:2144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" path="m,l9354,r,7809l,7809,,e" fillcolor="#edf2ea" stroked="f">
                    <v:path arrowok="t" o:connecttype="custom" o:connectlocs="0,2746;9302,2746;9302,24189;0,24189;0,2746" o:connectangles="0,0,0,0,0"/>
                  </v:shape>
                </v:group>
                <v:group id="Group 474" o:spid="_x0000_s104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58" o:spid="_x0000_s104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" path="m,l1815,e" filled="f" strokecolor="#72ab6a" strokeweight=".5pt">
                    <v:path arrowok="t" o:connecttype="custom" o:connectlocs="0,0;1073495,0" o:connectangles="0,0"/>
                  </v:shape>
                  <v:shape id="Freeform 66" o:spid="_x0000_s104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37B518A" w14:textId="77777777" w:rsidR="00060FCC" w:rsidRPr="00E90B8A" w:rsidRDefault="00060FCC" w:rsidP="00060FCC">
                          <w:pPr>
                            <w:pStyle w:val="BoxTitle"/>
                            <w:spacing w:before="0" w:beforeAutospacing="0"/>
                            <w:rPr>
                              <w:sz w:val="18"/>
                              <w:szCs w:val="18"/>
                            </w:rPr>
                          </w:pPr>
                          <w:r w:rsidRPr="00E90B8A">
                            <w:rPr>
                              <w:sz w:val="18"/>
                              <w:szCs w:val="18"/>
                            </w:rPr>
                            <w:t>Q</w:t>
                          </w:r>
                          <w:r>
                            <w:rPr>
                              <w:sz w:val="18"/>
                              <w:szCs w:val="18"/>
                            </w:rPr>
                            <w:t>2</w:t>
                          </w:r>
                        </w:p>
                      </w:txbxContent>
                    </v:textbox>
                  </v:shape>
                </v:group>
              </v:group>
            </w:pict>
          </mc:Fallback>
        </mc:AlternateContent>
      </w:r>
    </w:p>
    <w:p w14:paraId="07958FC3" w14:textId="77777777" w:rsidR="00060FCC" w:rsidRPr="00007D35" w:rsidRDefault="00060FCC" w:rsidP="00060FCC">
      <w:pPr>
        <w:pStyle w:val="ListNumber"/>
        <w:numPr>
          <w:ilvl w:val="0"/>
          <w:numId w:val="0"/>
        </w:numPr>
        <w:ind w:left="360" w:hanging="360"/>
        <w:rPr>
          <w:rFonts w:eastAsiaTheme="minorHAnsi"/>
        </w:rPr>
      </w:pPr>
    </w:p>
    <w:p w14:paraId="0FB8E7A3" w14:textId="77777777" w:rsidR="00060FCC" w:rsidRDefault="00060FCC" w:rsidP="00060FCC">
      <w:pPr>
        <w:pStyle w:val="QuestionBox"/>
      </w:pPr>
      <w:r>
        <w:t>Should the Act be amended to address the admissibility of tikanga and mātauranga in proceedings to which the Act applies? If so, should the Act be amended to:</w:t>
      </w:r>
    </w:p>
    <w:p w14:paraId="439B09BE" w14:textId="77777777" w:rsidR="00060FCC" w:rsidRDefault="00060FCC" w:rsidP="00060FCC">
      <w:pPr>
        <w:pStyle w:val="Questionabc"/>
      </w:pPr>
      <w:r>
        <w:t xml:space="preserve">introduce statutory </w:t>
      </w:r>
      <w:r w:rsidRPr="003E5CD9">
        <w:t>exceptions</w:t>
      </w:r>
      <w:r>
        <w:t xml:space="preserve"> to the rules against hearsay and opinion evidence for </w:t>
      </w:r>
      <w:r w:rsidRPr="0001050F">
        <w:t>evidence of tikanga Māori</w:t>
      </w:r>
      <w:r>
        <w:t xml:space="preserve"> (and potentially </w:t>
      </w:r>
      <w:r w:rsidRPr="0001050F">
        <w:t>mātauranga Māori</w:t>
      </w:r>
      <w:r>
        <w:t>); and/or</w:t>
      </w:r>
    </w:p>
    <w:p w14:paraId="2DD19A56" w14:textId="77777777" w:rsidR="00060FCC" w:rsidRDefault="00060FCC" w:rsidP="00060FCC">
      <w:pPr>
        <w:pStyle w:val="Questionabc"/>
      </w:pPr>
      <w:r>
        <w:t>introduce guidance as to the need to interpret and apply the provisions of the Act having regard to te ao Māori?</w:t>
      </w:r>
    </w:p>
    <w:p w14:paraId="530122EF" w14:textId="77777777" w:rsidR="00060FCC" w:rsidRDefault="00060FCC" w:rsidP="00060FCC">
      <w:pPr>
        <w:pStyle w:val="BodyText"/>
        <w:numPr>
          <w:ilvl w:val="0"/>
          <w:numId w:val="0"/>
        </w:numPr>
      </w:pPr>
    </w:p>
    <w:p w14:paraId="00F2728B" w14:textId="77777777" w:rsidR="00662072" w:rsidRDefault="00662072" w:rsidP="00662072">
      <w:pPr>
        <w:pStyle w:val="Heading2"/>
        <w:rPr>
          <w:lang w:val="mi-NZ"/>
        </w:rPr>
      </w:pPr>
      <w:bookmarkStart w:id="65" w:name="_Toc132962546"/>
      <w:r>
        <w:t>Other potential issues with how the Act recognises and provides for te ao Māori</w:t>
      </w:r>
      <w:bookmarkEnd w:id="65"/>
      <w:r>
        <w:t xml:space="preserve"> </w:t>
      </w:r>
    </w:p>
    <w:p w14:paraId="7020DDA0" w14:textId="77777777" w:rsidR="00662072" w:rsidRDefault="00662072" w:rsidP="00662072">
      <w:pPr>
        <w:pStyle w:val="Heading3"/>
        <w:rPr>
          <w:lang w:val="mi-NZ"/>
        </w:rPr>
      </w:pPr>
      <w:r>
        <w:rPr>
          <w:lang w:val="mi-NZ"/>
        </w:rPr>
        <w:t>Operation of section 30 (improperly obtained evidence) and racial bias</w:t>
      </w:r>
    </w:p>
    <w:p w14:paraId="37E3423E" w14:textId="48DD548D" w:rsidR="00662072" w:rsidRPr="00892F05" w:rsidRDefault="00662072" w:rsidP="00662072">
      <w:pPr>
        <w:pStyle w:val="BodyText"/>
        <w:rPr>
          <w:lang w:val="mi-NZ"/>
        </w:rPr>
      </w:pPr>
      <w:r>
        <w:t xml:space="preserve">Section 30 governs the admissibility of improperly obtained evidence and is examined in detail in Chapter 7. An issue raised with us </w:t>
      </w:r>
      <w:r w:rsidR="007C501F">
        <w:t>through</w:t>
      </w:r>
      <w:r>
        <w:t xml:space="preserve"> preliminary </w:t>
      </w:r>
      <w:r w:rsidR="007C501F">
        <w:t>feedback</w:t>
      </w:r>
      <w:r>
        <w:t xml:space="preserve"> is that the current application of section 30 fails to discourage poor policing practices and that has a disproportionate impact on Māori.</w:t>
      </w:r>
    </w:p>
    <w:p w14:paraId="24711C91" w14:textId="77777777" w:rsidR="00662072" w:rsidRPr="003B703E" w:rsidRDefault="00662072" w:rsidP="00662072">
      <w:pPr>
        <w:pStyle w:val="BodyText"/>
        <w:rPr>
          <w:lang w:val="mi-NZ"/>
        </w:rPr>
      </w:pPr>
      <w:r>
        <w:t>A more specific concern relates to the application of section 30 when racial bias has impacted the gathering of evidence in a particular case. Māori and other ethnic minorities are stopped and searched by Police disproportionately.</w:t>
      </w:r>
      <w:r>
        <w:rPr>
          <w:rStyle w:val="FootnoteReference"/>
        </w:rPr>
        <w:footnoteReference w:id="99"/>
      </w:r>
      <w:r>
        <w:t xml:space="preserve"> New Zealand Police has acknowledged this issue and appointed an independent panel to conduct research into</w:t>
      </w:r>
      <w:r w:rsidRPr="0066137D">
        <w:t xml:space="preserve"> </w:t>
      </w:r>
      <w:r>
        <w:t>fair and equitable policing.</w:t>
      </w:r>
      <w:r>
        <w:rPr>
          <w:rStyle w:val="FootnoteReference"/>
        </w:rPr>
        <w:footnoteReference w:id="100"/>
      </w:r>
      <w:r>
        <w:t xml:space="preserve"> While racial bias in policing is a broad issue that cannot be addressed solely – or even substantially – through the law of evidence (as evidence law is only concerned with breaches of rights retrospectively and only if proceedings are initiated), it is nonetheless important that section 30 responds appropriately when racial bias has impacted the gathering of evidence subsequently presented in court.</w:t>
      </w:r>
    </w:p>
    <w:p w14:paraId="2261AA90" w14:textId="3EB0BD7F" w:rsidR="00662072" w:rsidRPr="00AC0E5C" w:rsidRDefault="00662072" w:rsidP="00662072">
      <w:pPr>
        <w:pStyle w:val="BodyText"/>
        <w:rPr>
          <w:lang w:val="mi-NZ"/>
        </w:rPr>
      </w:pPr>
      <w:r>
        <w:t xml:space="preserve">In </w:t>
      </w:r>
      <w:r>
        <w:rPr>
          <w:i/>
          <w:iCs/>
        </w:rPr>
        <w:t>Kearns v R</w:t>
      </w:r>
      <w:r w:rsidRPr="006661A1">
        <w:t>,</w:t>
      </w:r>
      <w:r>
        <w:rPr>
          <w:i/>
          <w:iCs/>
        </w:rPr>
        <w:t xml:space="preserve"> </w:t>
      </w:r>
      <w:r>
        <w:t>the Court of Appeal considered an argument that evidence obtained through an exercise of search powers was improperly obtained on the basis that the search was motivated by racial bias</w:t>
      </w:r>
      <w:r w:rsidRPr="007D595C">
        <w:t>.</w:t>
      </w:r>
      <w:r w:rsidRPr="007D595C">
        <w:rPr>
          <w:rStyle w:val="FootnoteReference"/>
        </w:rPr>
        <w:footnoteReference w:id="101"/>
      </w:r>
      <w:r>
        <w:rPr>
          <w:i/>
          <w:iCs/>
        </w:rPr>
        <w:t xml:space="preserve"> </w:t>
      </w:r>
      <w:r w:rsidRPr="005436D7">
        <w:t>The Court found there was an evidential basis to support the allegation that the defendant was approached by a constable (leading to a search of his vehicle) because of his race or skin colour.</w:t>
      </w:r>
      <w:r>
        <w:rPr>
          <w:rStyle w:val="FootnoteReference"/>
        </w:rPr>
        <w:footnoteReference w:id="102"/>
      </w:r>
      <w:r>
        <w:t xml:space="preserve"> </w:t>
      </w:r>
      <w:r w:rsidRPr="005B3C01">
        <w:t>The District Court judge had therefore erred in failing to determine whether the evidence disclosed by the search had been improperly obtained</w:t>
      </w:r>
      <w:r w:rsidR="00D25D1B">
        <w:t xml:space="preserve">, </w:t>
      </w:r>
      <w:r w:rsidRPr="005B3C01">
        <w:t xml:space="preserve">for example, in breach of section 19 of </w:t>
      </w:r>
      <w:r>
        <w:t xml:space="preserve">the New Zealand Bill of Rights Act 1990 </w:t>
      </w:r>
      <w:r w:rsidRPr="005B3C01">
        <w:t>(freedom from discrimination). The case was remitted back to the District Court to be reheard.</w:t>
      </w:r>
    </w:p>
    <w:p w14:paraId="17D91F85" w14:textId="77777777" w:rsidR="00662072" w:rsidRPr="00674D76" w:rsidRDefault="00662072" w:rsidP="00662072">
      <w:pPr>
        <w:pStyle w:val="BodyText"/>
        <w:rPr>
          <w:lang w:val="mi-NZ"/>
        </w:rPr>
      </w:pPr>
      <w:r>
        <w:lastRenderedPageBreak/>
        <w:t xml:space="preserve">It appears </w:t>
      </w:r>
      <w:r>
        <w:rPr>
          <w:i/>
          <w:iCs/>
        </w:rPr>
        <w:t xml:space="preserve">Kearns </w:t>
      </w:r>
      <w:r>
        <w:t>has only been considered in one case subsequently. In that case,</w:t>
      </w:r>
      <w:r w:rsidDel="0085494D">
        <w:t xml:space="preserve"> the</w:t>
      </w:r>
      <w:r>
        <w:t xml:space="preserve"> Court of Appeal recognised an argument that evidence was obtained pursuant to a search motivated by institutional bias could be a matter of general and public importance justifying a second appeal.</w:t>
      </w:r>
      <w:r>
        <w:rPr>
          <w:rStyle w:val="FootnoteReference"/>
        </w:rPr>
        <w:footnoteReference w:id="103"/>
      </w:r>
      <w:r>
        <w:t xml:space="preserve"> Unlike in </w:t>
      </w:r>
      <w:r>
        <w:rPr>
          <w:i/>
          <w:iCs/>
        </w:rPr>
        <w:t>Kearns</w:t>
      </w:r>
      <w:r w:rsidR="00C252D1" w:rsidRPr="00C252D1">
        <w:t>,</w:t>
      </w:r>
      <w:r>
        <w:rPr>
          <w:i/>
          <w:iCs/>
        </w:rPr>
        <w:t xml:space="preserve"> </w:t>
      </w:r>
      <w:r>
        <w:t xml:space="preserve">however, there was no evidential foundation for the argument in that case. </w:t>
      </w:r>
    </w:p>
    <w:p w14:paraId="7F9AF68C" w14:textId="77777777" w:rsidR="00662072" w:rsidRDefault="00662072" w:rsidP="00662072">
      <w:pPr>
        <w:pStyle w:val="BodyText"/>
        <w:tabs>
          <w:tab w:val="clear" w:pos="709"/>
          <w:tab w:val="num" w:pos="1425"/>
        </w:tabs>
        <w:spacing w:after="80"/>
      </w:pPr>
      <w:r w:rsidRPr="00FA1909">
        <w:t xml:space="preserve">We </w:t>
      </w:r>
      <w:r>
        <w:t xml:space="preserve">seek submissions </w:t>
      </w:r>
      <w:r w:rsidRPr="00FA1909">
        <w:t xml:space="preserve">on whether the application of section 30 in cases of potential racial bias is sufficiently clear as a result of </w:t>
      </w:r>
      <w:r w:rsidRPr="00212CA7">
        <w:rPr>
          <w:i/>
          <w:iCs/>
        </w:rPr>
        <w:t>Kearns</w:t>
      </w:r>
      <w:r w:rsidRPr="00FA1909">
        <w:t>. In particular, we are interested in whether counsel are confident raising issues of racial bias where appropriate and how judges approach such matters at trial (which may not always be reflected in judgments).</w:t>
      </w:r>
    </w:p>
    <w:p w14:paraId="76F152C4" w14:textId="77777777" w:rsidR="00662072" w:rsidRPr="00C143C8" w:rsidRDefault="00662072" w:rsidP="00662072">
      <w:pPr>
        <w:pStyle w:val="Heading3"/>
        <w:rPr>
          <w:lang w:val="mi-NZ"/>
        </w:rPr>
      </w:pPr>
      <w:r>
        <w:t>Protecting confidential communications</w:t>
      </w:r>
    </w:p>
    <w:p w14:paraId="2301176D" w14:textId="43B0FE83" w:rsidR="00662072" w:rsidRDefault="00662072" w:rsidP="00662072">
      <w:pPr>
        <w:pStyle w:val="BodyText"/>
        <w:tabs>
          <w:tab w:val="clear" w:pos="709"/>
          <w:tab w:val="num" w:pos="1425"/>
        </w:tabs>
        <w:spacing w:after="80"/>
      </w:pPr>
      <w:r w:rsidRPr="00A15E7B">
        <w:t>When developing the Evidence Code</w:t>
      </w:r>
      <w:r w:rsidR="00C75A3C">
        <w:t>,</w:t>
      </w:r>
      <w:r w:rsidRPr="007657D4">
        <w:rPr>
          <w:b/>
          <w:bCs/>
        </w:rPr>
        <w:t xml:space="preserve"> </w:t>
      </w:r>
      <w:r>
        <w:t>the Commission considered how marae discussions and communications with kaumātua, tohunga and rongoā practitioners should be treated.</w:t>
      </w:r>
      <w:r>
        <w:rPr>
          <w:rStyle w:val="FootnoteReference"/>
        </w:rPr>
        <w:footnoteReference w:id="104"/>
      </w:r>
      <w:r>
        <w:t xml:space="preserve"> It was anticipated that section 69, which gives the court discretion to exclude confidential communications, would provide the necessary discretion in appropriate cases. The Second Review did not identify any concerns with how this provision is operating</w:t>
      </w:r>
      <w:r w:rsidR="00AB52DA">
        <w:t>,</w:t>
      </w:r>
      <w:r>
        <w:t xml:space="preserve"> and we have not identified any relevant cases since then. However, we seek feedback on this issue to see whether there have been any other significant developments in recent years that suggest this area should be revisited, or significant concerns about how the law is operating in practice.</w:t>
      </w:r>
    </w:p>
    <w:p w14:paraId="7BEC6B90" w14:textId="77777777" w:rsidR="00662072" w:rsidRDefault="00662072" w:rsidP="00662072">
      <w:pPr>
        <w:pStyle w:val="Heading3"/>
      </w:pPr>
      <w:bookmarkStart w:id="66" w:name="_Toc128558047"/>
      <w:r>
        <w:t>Judicial warnings on cross-cultural identification bias and the risk of assessing credibility based on cultural stereotypes</w:t>
      </w:r>
      <w:bookmarkEnd w:id="66"/>
    </w:p>
    <w:p w14:paraId="37E771A4" w14:textId="77777777" w:rsidR="00662072" w:rsidRPr="00630448" w:rsidRDefault="00662072" w:rsidP="00662072">
      <w:pPr>
        <w:pStyle w:val="BodyText"/>
        <w:rPr>
          <w:lang w:val="mi-NZ"/>
        </w:rPr>
      </w:pPr>
      <w:r>
        <w:t>During the development of the Evidence Code the Commission was alive to research that indicated that:</w:t>
      </w:r>
    </w:p>
    <w:p w14:paraId="44FF8402" w14:textId="77777777" w:rsidR="00662072" w:rsidRDefault="00662072" w:rsidP="00866891">
      <w:pPr>
        <w:pStyle w:val="BodyTextnonum"/>
        <w:numPr>
          <w:ilvl w:val="3"/>
          <w:numId w:val="28"/>
        </w:numPr>
        <w:rPr>
          <w:lang w:val="mi-NZ"/>
        </w:rPr>
      </w:pPr>
      <w:r w:rsidRPr="00DF1A2B">
        <w:rPr>
          <w:lang w:val="mi-NZ"/>
        </w:rPr>
        <w:t>attempts to identify a person of a different racial appearance are generally less reliable than attempts to identify a person of the same racial appearance</w:t>
      </w:r>
      <w:r>
        <w:rPr>
          <w:lang w:val="mi-NZ"/>
        </w:rPr>
        <w:t>; and</w:t>
      </w:r>
    </w:p>
    <w:p w14:paraId="19781BFE" w14:textId="77777777" w:rsidR="00662072" w:rsidRPr="00DF1A2B" w:rsidRDefault="00662072" w:rsidP="00866891">
      <w:pPr>
        <w:pStyle w:val="BodyTextnonum"/>
        <w:numPr>
          <w:ilvl w:val="3"/>
          <w:numId w:val="28"/>
        </w:numPr>
        <w:rPr>
          <w:lang w:val="mi-NZ"/>
        </w:rPr>
      </w:pPr>
      <w:r w:rsidRPr="00DF1A2B">
        <w:rPr>
          <w:lang w:val="mi-NZ"/>
        </w:rPr>
        <w:t xml:space="preserve"> assessments of witness credibility can be influenced by cultural stereotypes</w:t>
      </w:r>
      <w:r>
        <w:rPr>
          <w:lang w:val="mi-NZ"/>
        </w:rPr>
        <w:t>.</w:t>
      </w:r>
    </w:p>
    <w:p w14:paraId="2FD69BE4" w14:textId="77777777" w:rsidR="00662072" w:rsidRPr="00896AEE" w:rsidRDefault="00662072" w:rsidP="00662072">
      <w:pPr>
        <w:pStyle w:val="BodyText"/>
        <w:tabs>
          <w:tab w:val="num" w:pos="709"/>
        </w:tabs>
        <w:rPr>
          <w:lang w:val="mi-NZ"/>
        </w:rPr>
      </w:pPr>
      <w:r>
        <w:t>The Act does not include specific directions on these matters. A judge can, however, give a warning in criminal proceedings in which the case depends wholly or substantially on the correctness of visual identification as to the special need for caution when relying on such evidence.</w:t>
      </w:r>
      <w:r>
        <w:rPr>
          <w:rStyle w:val="FootnoteReference"/>
        </w:rPr>
        <w:footnoteReference w:id="105"/>
      </w:r>
    </w:p>
    <w:p w14:paraId="572751A5" w14:textId="31748B3C" w:rsidR="00662072" w:rsidRPr="008B1CE9" w:rsidRDefault="00662072" w:rsidP="00662072">
      <w:pPr>
        <w:pStyle w:val="BodyText"/>
        <w:tabs>
          <w:tab w:val="num" w:pos="709"/>
        </w:tabs>
        <w:rPr>
          <w:lang w:val="mi-NZ"/>
        </w:rPr>
      </w:pPr>
      <w:r>
        <w:t>In the Second Review</w:t>
      </w:r>
      <w:r w:rsidR="00601535">
        <w:t>,</w:t>
      </w:r>
      <w:r>
        <w:t xml:space="preserve"> the Commission examined research and case law on these two matters and considered whether to reform the Act to provide for judicial directions on cross-cultural identifications and/or demeanour assessments.</w:t>
      </w:r>
      <w:r>
        <w:rPr>
          <w:rStyle w:val="FootnoteReference"/>
        </w:rPr>
        <w:footnoteReference w:id="106"/>
      </w:r>
      <w:r>
        <w:t xml:space="preserve"> Ultimately</w:t>
      </w:r>
      <w:r w:rsidR="00282846">
        <w:t>,</w:t>
      </w:r>
      <w:r>
        <w:t xml:space="preserve"> the Commission did not recommend reform, emphasising the need for any judicial direction </w:t>
      </w:r>
      <w:r>
        <w:lastRenderedPageBreak/>
        <w:t>to be assessed on a case-by-case basis.</w:t>
      </w:r>
      <w:r>
        <w:rPr>
          <w:rStyle w:val="FootnoteReference"/>
        </w:rPr>
        <w:footnoteReference w:id="107"/>
      </w:r>
      <w:r>
        <w:t xml:space="preserve"> We invite feedback on whether there have been any developments in recent years that suggest this area should be revisited. </w:t>
      </w:r>
    </w:p>
    <w:p w14:paraId="1A73FC4A" w14:textId="77777777" w:rsidR="00662072" w:rsidRPr="00693BC5" w:rsidRDefault="00662072" w:rsidP="00662072">
      <w:pPr>
        <w:pStyle w:val="Heading3"/>
        <w:rPr>
          <w:lang w:val="mi-NZ"/>
        </w:rPr>
      </w:pPr>
      <w:r>
        <w:t>Giving evidence in court</w:t>
      </w:r>
    </w:p>
    <w:p w14:paraId="6EA25216" w14:textId="0FC7C3F7" w:rsidR="00662072" w:rsidRPr="00B64C6E" w:rsidRDefault="00662072" w:rsidP="00662072">
      <w:pPr>
        <w:pStyle w:val="BodyText"/>
        <w:tabs>
          <w:tab w:val="num" w:pos="709"/>
        </w:tabs>
        <w:rPr>
          <w:lang w:val="mi-NZ"/>
        </w:rPr>
      </w:pPr>
      <w:r>
        <w:t>In the Second Review</w:t>
      </w:r>
      <w:r w:rsidR="00B06105">
        <w:t>,</w:t>
      </w:r>
      <w:r>
        <w:t xml:space="preserve"> the Commission recommended the Act be amended to make it clear that courts can regulate procedures for giving evidence in a manner that recognises tikanga.</w:t>
      </w:r>
      <w:r>
        <w:rPr>
          <w:rStyle w:val="FootnoteReference"/>
        </w:rPr>
        <w:footnoteReference w:id="108"/>
      </w:r>
      <w:r>
        <w:t xml:space="preserve"> The Government accepted this recommendation in principle, noting that the courts already do this to a certain extent using their inherent and implied powers. However its view was that further consideration of the potential operational impacts was required.</w:t>
      </w:r>
      <w:r>
        <w:rPr>
          <w:rStyle w:val="FootnoteReference"/>
        </w:rPr>
        <w:footnoteReference w:id="109"/>
      </w:r>
    </w:p>
    <w:p w14:paraId="64340077" w14:textId="1EFB8631" w:rsidR="00662072" w:rsidRPr="00F167EF" w:rsidRDefault="00662072" w:rsidP="00662072">
      <w:pPr>
        <w:pStyle w:val="BodyText"/>
        <w:tabs>
          <w:tab w:val="num" w:pos="709"/>
        </w:tabs>
        <w:rPr>
          <w:lang w:val="mi-NZ"/>
        </w:rPr>
      </w:pPr>
      <w:r>
        <w:t xml:space="preserve">This recommendation, if implemented, could meaningfully address several concerns we have identified with courtroom procedures and their disconnect with tikanga Māori. This may lend further support to the Commission’s recommendation in its </w:t>
      </w:r>
      <w:r w:rsidR="00304147">
        <w:t>S</w:t>
      </w:r>
      <w:r>
        <w:t xml:space="preserve">econd </w:t>
      </w:r>
      <w:r w:rsidR="00304147">
        <w:t>R</w:t>
      </w:r>
      <w:r>
        <w:t>eview.</w:t>
      </w:r>
    </w:p>
    <w:p w14:paraId="3A02B36B" w14:textId="77777777" w:rsidR="00662072" w:rsidRDefault="00662072" w:rsidP="00662072">
      <w:pPr>
        <w:pStyle w:val="BodyText"/>
        <w:tabs>
          <w:tab w:val="num" w:pos="709"/>
        </w:tabs>
        <w:rPr>
          <w:lang w:val="mi-NZ"/>
        </w:rPr>
      </w:pPr>
      <w:r>
        <w:t>The first issue relates to the way in which counsel and judges deal with challenges to pūkenga evidence. Often such evidence is not contested or challenged.</w:t>
      </w:r>
      <w:r>
        <w:rPr>
          <w:rStyle w:val="FootnoteReference"/>
        </w:rPr>
        <w:footnoteReference w:id="110"/>
      </w:r>
      <w:r>
        <w:t xml:space="preserve"> However, that is not always the case, particularly in relation to competing claims among iwi or hapū. In such cases, the parties may present different or competing evidence. The conventional approach in an adversarial system is to highlight inconsistencies in evidence through cross-examination to show that a witness may be unreliable or untruthful. In te ao M</w:t>
      </w:r>
      <w:r>
        <w:rPr>
          <w:lang w:val="mi-NZ"/>
        </w:rPr>
        <w:t xml:space="preserve">āori, however, it may not be approrpiate to attribute differences in accounts from pūkenga, or changing accounts over time, to questions of credibility or reliability. The conventional approach to cross-examination may therefore in some circumstances be regarded as inappropriate and potentially a breach of tikanga. </w:t>
      </w:r>
      <w:r w:rsidRPr="00A05FBA">
        <w:rPr>
          <w:lang w:val="mi-NZ"/>
        </w:rPr>
        <w:t>As the Commission observed in its commentary on the Evidence Code:</w:t>
      </w:r>
      <w:r>
        <w:rPr>
          <w:rStyle w:val="FootnoteReference"/>
          <w:lang w:val="mi-NZ"/>
        </w:rPr>
        <w:footnoteReference w:id="111"/>
      </w:r>
    </w:p>
    <w:p w14:paraId="14A9CFB7" w14:textId="77777777" w:rsidR="00662072" w:rsidRPr="001057AE" w:rsidRDefault="00662072" w:rsidP="00662072">
      <w:pPr>
        <w:pStyle w:val="Quote"/>
        <w:rPr>
          <w:lang w:val="mi-NZ"/>
        </w:rPr>
      </w:pPr>
      <w:r>
        <w:t>The question-and-answer format is not the way Māori traditionally resolve disputes or discuss issues. Thus cross-examination of kaumātua can amount to an insult to their mana, especially when questioning is directed at impeaching their credibility or exposing them to ridicule.</w:t>
      </w:r>
    </w:p>
    <w:p w14:paraId="519249AA" w14:textId="405F919B" w:rsidR="00662072" w:rsidRPr="00EB233A" w:rsidRDefault="00662072" w:rsidP="00662072">
      <w:pPr>
        <w:pStyle w:val="BodyText"/>
        <w:rPr>
          <w:lang w:val="mi-NZ"/>
        </w:rPr>
      </w:pPr>
      <w:r w:rsidRPr="00EB233A">
        <w:t>There is also a concern that, when cross-examination of pūkenga is conducted without regard to or understanding of the methodologies used within te ao Māori to gather and store information, or the tikanga processes associated with resolution of disputes in te ao Māori, this can result in misunderstanding and can waste court time. Effective cross</w:t>
      </w:r>
      <w:r w:rsidR="00EF646E">
        <w:t>-</w:t>
      </w:r>
      <w:r w:rsidRPr="00EB233A">
        <w:t xml:space="preserve">examination therefore demands sufficient expertise of mātauranga Māori and tikanga Māori by cross-examining counsel and the judge. Where that expertise is absent, there is an increased risk of breaching tikanga, misunderstandings and/or unnecessarily taking up court time. </w:t>
      </w:r>
    </w:p>
    <w:p w14:paraId="7420E2B6" w14:textId="77777777" w:rsidR="00662072" w:rsidRPr="004A5586" w:rsidRDefault="00662072" w:rsidP="00662072">
      <w:pPr>
        <w:pStyle w:val="BodyText"/>
        <w:rPr>
          <w:lang w:val="mi-NZ"/>
        </w:rPr>
      </w:pPr>
      <w:r>
        <w:lastRenderedPageBreak/>
        <w:t>The Act already permits a judge to have regard to the linguistic or cultural background of the witness in considering whether any question, or the way in which it is asked, is improper. The judge can disallow the question or direct that the witness is not obliged to answer it.</w:t>
      </w:r>
      <w:r>
        <w:rPr>
          <w:rStyle w:val="FootnoteReference"/>
        </w:rPr>
        <w:footnoteReference w:id="112"/>
      </w:r>
      <w:r>
        <w:t xml:space="preserve"> The Commission envisaged that this would “allow judges to exert some control over cross-examination that may be culturally offensive”.</w:t>
      </w:r>
      <w:r>
        <w:rPr>
          <w:rStyle w:val="FootnoteReference"/>
        </w:rPr>
        <w:footnoteReference w:id="113"/>
      </w:r>
      <w:r>
        <w:t xml:space="preserve"> The recommendation made in the Second Review would give the courts greater direction on their ability to facilitate the giving of evidence (including cross-examination) in a way that does not unnecessarily denigrate the mana of witnesses. </w:t>
      </w:r>
    </w:p>
    <w:p w14:paraId="2CA645CC" w14:textId="19A79F33" w:rsidR="00662072" w:rsidRPr="000F6FC7" w:rsidRDefault="00662072" w:rsidP="00662072">
      <w:pPr>
        <w:pStyle w:val="BodyText"/>
        <w:rPr>
          <w:lang w:val="mi-NZ"/>
        </w:rPr>
      </w:pPr>
      <w:r w:rsidRPr="00EB233A">
        <w:t>The issue is not whether pūkenga evidence can be tested in cross-examination, but rather how that evidence is tested. Our expectation is that the recommendation made in the Second Review would promote a tikanga-consistent approach to cross-examination of pūkenga. This would be similar to the way in which sophisticated principles and procedures have developed in other specific areas to address improper questioning of witnesses, including processes that seek to protect vulnerable witnesses from undue pressure or irrelevant inquiry.</w:t>
      </w:r>
      <w:r>
        <w:t xml:space="preserve"> </w:t>
      </w:r>
    </w:p>
    <w:p w14:paraId="01D06952" w14:textId="77777777" w:rsidR="00662072" w:rsidRPr="00DF1A2B" w:rsidRDefault="00662072" w:rsidP="00662072">
      <w:pPr>
        <w:pStyle w:val="BodyText"/>
        <w:rPr>
          <w:lang w:val="mi-NZ"/>
        </w:rPr>
      </w:pPr>
      <w:r>
        <w:t xml:space="preserve">The second issue relates to the availability of support people to witnesses giving evidence in court. Several submitters on the Second Review supported the ability for </w:t>
      </w:r>
      <w:r w:rsidRPr="001C6EBA">
        <w:rPr>
          <w:color w:val="000000"/>
        </w:rPr>
        <w:t>more than one support person to allow wh</w:t>
      </w:r>
      <w:r>
        <w:rPr>
          <w:color w:val="000000"/>
        </w:rPr>
        <w:t>ā</w:t>
      </w:r>
      <w:r w:rsidRPr="001C6EBA">
        <w:rPr>
          <w:color w:val="000000"/>
        </w:rPr>
        <w:t>nau to provide support in alternative ways. Again, we note that the recommendation made in the Second Review would facilitate the courts interpreting their discretion to appoint more than one support person in a way that is consistent with tikanga.</w:t>
      </w:r>
      <w:r>
        <w:rPr>
          <w:rStyle w:val="FootnoteReference"/>
        </w:rPr>
        <w:footnoteReference w:id="114"/>
      </w:r>
    </w:p>
    <w:p w14:paraId="336529D5" w14:textId="451B8B24" w:rsidR="00662072" w:rsidRPr="00DF1A2B" w:rsidRDefault="00662072" w:rsidP="00662072">
      <w:pPr>
        <w:pStyle w:val="BodyText"/>
        <w:rPr>
          <w:lang w:val="mi-NZ"/>
        </w:rPr>
      </w:pPr>
      <w:r>
        <w:t xml:space="preserve">The third issue relates to procedures for relying on written briefs of evidence and was highlighted in the recent case of </w:t>
      </w:r>
      <w:r>
        <w:rPr>
          <w:i/>
          <w:iCs/>
        </w:rPr>
        <w:t>Bamber v Official Assignee.</w:t>
      </w:r>
      <w:r w:rsidRPr="00F90997">
        <w:rPr>
          <w:rStyle w:val="FootnoteReference"/>
        </w:rPr>
        <w:footnoteReference w:id="115"/>
      </w:r>
      <w:r>
        <w:rPr>
          <w:i/>
          <w:iCs/>
        </w:rPr>
        <w:t xml:space="preserve"> </w:t>
      </w:r>
      <w:r>
        <w:t xml:space="preserve">On appeal from a District Court decision, it was argued that the Judge should have allowed kaumātua to speak to their affidavit evidence at the hearing, and </w:t>
      </w:r>
      <w:r w:rsidR="00790B0F">
        <w:t xml:space="preserve">that </w:t>
      </w:r>
      <w:r>
        <w:t>the failure to do so demonstrated a disrespect toward</w:t>
      </w:r>
      <w:r w:rsidR="00F85843">
        <w:t>s</w:t>
      </w:r>
      <w:r>
        <w:t xml:space="preserve"> and a non-recognition of tikanga Māori.</w:t>
      </w:r>
      <w:r>
        <w:rPr>
          <w:rStyle w:val="FootnoteReference"/>
        </w:rPr>
        <w:footnoteReference w:id="116"/>
      </w:r>
      <w:r>
        <w:t xml:space="preserve"> On appeal the High Court acknowledged that, for completeness, it might have been preferable for the Judge to have permitted the kaumātua to speak during the hearing, but that it was within the Judge’s authority to determine the procedure for the case and to rely on affidavit evidence.</w:t>
      </w:r>
      <w:r>
        <w:rPr>
          <w:rStyle w:val="FootnoteReference"/>
        </w:rPr>
        <w:footnoteReference w:id="117"/>
      </w:r>
    </w:p>
    <w:p w14:paraId="6E1DA8D1" w14:textId="77777777" w:rsidR="00060FCC" w:rsidRDefault="00060FCC" w:rsidP="00060FCC">
      <w:pPr>
        <w:pStyle w:val="ListNumber"/>
        <w:numPr>
          <w:ilvl w:val="0"/>
          <w:numId w:val="0"/>
        </w:numPr>
        <w:ind w:left="360"/>
      </w:pPr>
      <w:r>
        <w:rPr>
          <w:noProof/>
        </w:rPr>
        <mc:AlternateContent>
          <mc:Choice Requires="wpg">
            <w:drawing>
              <wp:anchor distT="0" distB="0" distL="114300" distR="114300" simplePos="0" relativeHeight="251658279" behindDoc="1" locked="0" layoutInCell="1" allowOverlap="1" wp14:anchorId="7C93BF4A" wp14:editId="0AB1FD14">
                <wp:simplePos x="0" y="0"/>
                <wp:positionH relativeFrom="column">
                  <wp:posOffset>0</wp:posOffset>
                </wp:positionH>
                <wp:positionV relativeFrom="paragraph">
                  <wp:posOffset>7473</wp:posOffset>
                </wp:positionV>
                <wp:extent cx="5760085" cy="978535"/>
                <wp:effectExtent l="0" t="0" r="0" b="0"/>
                <wp:wrapNone/>
                <wp:docPr id="477" name="Group 477" descr="Question"/>
                <wp:cNvGraphicFramePr/>
                <a:graphic xmlns:a="http://schemas.openxmlformats.org/drawingml/2006/main">
                  <a:graphicData uri="http://schemas.microsoft.com/office/word/2010/wordprocessingGroup">
                    <wpg:wgp>
                      <wpg:cNvGrpSpPr/>
                      <wpg:grpSpPr>
                        <a:xfrm>
                          <a:off x="0" y="0"/>
                          <a:ext cx="5760085" cy="978535"/>
                          <a:chOff x="0" y="62865"/>
                          <a:chExt cx="5760085" cy="978932"/>
                        </a:xfrm>
                      </wpg:grpSpPr>
                      <wps:wsp>
                        <wps:cNvPr id="47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DD5081" w14:textId="77777777" w:rsidR="00060FCC" w:rsidRDefault="00060FCC" w:rsidP="00060FCC">
                              <w:pPr>
                                <w:pStyle w:val="BoxTitle"/>
                                <w:spacing w:before="0" w:beforeAutospacing="0"/>
                              </w:pPr>
                              <w:r w:rsidRPr="007F6876">
                                <w:t>QUESTION</w:t>
                              </w:r>
                            </w:p>
                          </w:txbxContent>
                        </wps:txbx>
                        <wps:bodyPr rot="0" vert="horz" wrap="square" lIns="91440" tIns="0" rIns="0" bIns="45720" anchor="ctr" anchorCtr="0" upright="1">
                          <a:noAutofit/>
                        </wps:bodyPr>
                      </wps:wsp>
                      <wpg:grpSp>
                        <wpg:cNvPr id="480" name="Group 53"/>
                        <wpg:cNvGrpSpPr>
                          <a:grpSpLocks/>
                        </wpg:cNvGrpSpPr>
                        <wpg:grpSpPr bwMode="auto">
                          <a:xfrm>
                            <a:off x="0" y="316263"/>
                            <a:ext cx="5760085" cy="725534"/>
                            <a:chOff x="1837" y="1792"/>
                            <a:chExt cx="9302" cy="7837"/>
                          </a:xfrm>
                        </wpg:grpSpPr>
                        <wps:wsp>
                          <wps:cNvPr id="481" name="Freeform 54"/>
                          <wps:cNvSpPr>
                            <a:spLocks/>
                          </wps:cNvSpPr>
                          <wps:spPr bwMode="auto">
                            <a:xfrm>
                              <a:off x="1837" y="1792"/>
                              <a:ext cx="9302" cy="783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82"/>
                        <wpg:cNvGrpSpPr/>
                        <wpg:grpSpPr>
                          <a:xfrm>
                            <a:off x="0" y="494036"/>
                            <a:ext cx="1443794" cy="252000"/>
                            <a:chOff x="-15880" y="0"/>
                            <a:chExt cx="1444379" cy="252068"/>
                          </a:xfrm>
                        </wpg:grpSpPr>
                        <wps:wsp>
                          <wps:cNvPr id="48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6634BC" w14:textId="77777777" w:rsidR="00060FCC" w:rsidRPr="00E90B8A" w:rsidRDefault="00060FCC" w:rsidP="00060FCC">
                                <w:pPr>
                                  <w:pStyle w:val="BoxTitle"/>
                                  <w:spacing w:before="0" w:beforeAutospacing="0"/>
                                  <w:rPr>
                                    <w:sz w:val="18"/>
                                    <w:szCs w:val="18"/>
                                  </w:rPr>
                                </w:pPr>
                                <w:r w:rsidRPr="00E90B8A">
                                  <w:rPr>
                                    <w:sz w:val="18"/>
                                    <w:szCs w:val="18"/>
                                  </w:rPr>
                                  <w:t>Q</w:t>
                                </w:r>
                                <w:r>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C93BF4A" id="Group 477" o:spid="_x0000_s1049" alt="Question" style="position:absolute;left:0;text-align:left;margin-left:0;margin-top:.6pt;width:453.55pt;height:77.05pt;z-index:-251658201;mso-height-relative:margin" coordorigin=",628" coordsize="57600,9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">
                <v:shape id="Freeform 52" o:spid="_x0000_s105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9DD5081" w14:textId="77777777" w:rsidR="00060FCC" w:rsidRDefault="00060FCC" w:rsidP="00060FCC">
                        <w:pPr>
                          <w:pStyle w:val="BoxTitle"/>
                          <w:spacing w:before="0" w:beforeAutospacing="0"/>
                        </w:pPr>
                        <w:r w:rsidRPr="007F6876">
                          <w:t>QUESTION</w:t>
                        </w:r>
                      </w:p>
                    </w:txbxContent>
                  </v:textbox>
                </v:shape>
                <v:group id="Group 53" o:spid="_x0000_s1051" style="position:absolute;top:3162;width:57600;height:7255" coordorigin="1837,1792" coordsize="9302,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54" o:spid="_x0000_s1052" style="position:absolute;left:1837;top:1792;width:9302;height:783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" path="m,l9354,r,7809l,7809,,e" fillcolor="#edf2ea" stroked="f">
                    <v:path arrowok="t" o:connecttype="custom" o:connectlocs="0,1004;9302,1004;9302,8841;0,8841;0,1004" o:connectangles="0,0,0,0,0"/>
                  </v:shape>
                </v:group>
                <v:group id="Group 482" o:spid="_x0000_s105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58" o:spid="_x0000_s105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" path="m,l1815,e" filled="f" strokecolor="#72ab6a" strokeweight=".5pt">
                    <v:path arrowok="t" o:connecttype="custom" o:connectlocs="0,0;1073495,0" o:connectangles="0,0"/>
                  </v:shape>
                  <v:shape id="Freeform 66" o:spid="_x0000_s105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A6634BC" w14:textId="77777777" w:rsidR="00060FCC" w:rsidRPr="00E90B8A" w:rsidRDefault="00060FCC" w:rsidP="00060FCC">
                          <w:pPr>
                            <w:pStyle w:val="BoxTitle"/>
                            <w:spacing w:before="0" w:beforeAutospacing="0"/>
                            <w:rPr>
                              <w:sz w:val="18"/>
                              <w:szCs w:val="18"/>
                            </w:rPr>
                          </w:pPr>
                          <w:r w:rsidRPr="00E90B8A">
                            <w:rPr>
                              <w:sz w:val="18"/>
                              <w:szCs w:val="18"/>
                            </w:rPr>
                            <w:t>Q</w:t>
                          </w:r>
                          <w:r>
                            <w:rPr>
                              <w:sz w:val="18"/>
                              <w:szCs w:val="18"/>
                            </w:rPr>
                            <w:t>3</w:t>
                          </w:r>
                        </w:p>
                      </w:txbxContent>
                    </v:textbox>
                  </v:shape>
                </v:group>
              </v:group>
            </w:pict>
          </mc:Fallback>
        </mc:AlternateContent>
      </w:r>
    </w:p>
    <w:p w14:paraId="02E24A06" w14:textId="77777777" w:rsidR="00060FCC" w:rsidRDefault="00060FCC" w:rsidP="00060FCC">
      <w:pPr>
        <w:pStyle w:val="ListNumber"/>
        <w:numPr>
          <w:ilvl w:val="0"/>
          <w:numId w:val="0"/>
        </w:numPr>
        <w:ind w:left="360"/>
      </w:pPr>
    </w:p>
    <w:p w14:paraId="3E3E7177" w14:textId="77777777" w:rsidR="00060FCC" w:rsidRPr="000E437E" w:rsidRDefault="00060FCC" w:rsidP="00060FCC">
      <w:pPr>
        <w:pStyle w:val="QuestionBox"/>
      </w:pPr>
      <w:r>
        <w:t xml:space="preserve">Are any other provisions in the Act failing to adequately provide for te ao Māori in practice? If so, how should the Act be amended to better recognise te ao Māori? </w:t>
      </w:r>
    </w:p>
    <w:p w14:paraId="52F5D166" w14:textId="2E4D3690" w:rsidR="00F5591A" w:rsidRDefault="00060FCC" w:rsidP="00F5591A">
      <w:pPr>
        <w:pStyle w:val="QuestionBox"/>
        <w:tabs>
          <w:tab w:val="clear" w:pos="709"/>
        </w:tabs>
        <w:ind w:left="709"/>
      </w:pPr>
      <w:r w:rsidRPr="00D37FCE">
        <w:rPr>
          <w:rFonts w:eastAsiaTheme="minorHAnsi"/>
          <w:noProof/>
          <w:lang w:eastAsia="en-NZ"/>
        </w:rPr>
        <mc:AlternateContent>
          <mc:Choice Requires="wpg">
            <w:drawing>
              <wp:anchor distT="0" distB="0" distL="114300" distR="114300" simplePos="0" relativeHeight="251658240" behindDoc="1" locked="0" layoutInCell="1" allowOverlap="1" wp14:anchorId="3DFF03C6" wp14:editId="0C828BCB">
                <wp:simplePos x="0" y="0"/>
                <wp:positionH relativeFrom="page">
                  <wp:posOffset>1080135</wp:posOffset>
                </wp:positionH>
                <wp:positionV relativeFrom="paragraph">
                  <wp:posOffset>418143</wp:posOffset>
                </wp:positionV>
                <wp:extent cx="2411730" cy="1270"/>
                <wp:effectExtent l="0" t="19050" r="26670" b="177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3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E1E89" id="Group 31" o:spid="_x0000_s1026" style="position:absolute;margin-left:85.05pt;margin-top:32.9pt;width:189.9pt;height:.1pt;z-index:-25165824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U7+wIAANw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" path="m,l2097,e" filled="f" strokecolor="#72ab6a" strokeweight="3pt">
                  <v:path arrowok="t" o:connecttype="custom" o:connectlocs="0,0;2097,0" o:connectangles="0,0"/>
                </v:shape>
                <w10:wrap anchorx="page"/>
              </v:group>
            </w:pict>
          </mc:Fallback>
        </mc:AlternateContent>
      </w:r>
    </w:p>
    <w:p w14:paraId="68E79CA2" w14:textId="77777777" w:rsidR="007A47C8" w:rsidRPr="007A47C8" w:rsidRDefault="007A47C8" w:rsidP="00866891">
      <w:pPr>
        <w:pStyle w:val="ListParagraph"/>
        <w:numPr>
          <w:ilvl w:val="0"/>
          <w:numId w:val="25"/>
        </w:numPr>
        <w:tabs>
          <w:tab w:val="left" w:pos="709"/>
          <w:tab w:val="num" w:pos="1425"/>
        </w:tabs>
        <w:contextualSpacing w:val="0"/>
        <w:jc w:val="both"/>
        <w:rPr>
          <w:rFonts w:eastAsia="Times New Roman" w:cs="Times New Roman"/>
          <w:vanish/>
          <w:color w:val="000000" w:themeColor="text1"/>
          <w:sz w:val="20"/>
          <w:szCs w:val="24"/>
          <w:lang w:eastAsia="en-AU"/>
        </w:rPr>
      </w:pPr>
    </w:p>
    <w:p w14:paraId="2A48F6C7" w14:textId="317345E5" w:rsidR="000A52E8" w:rsidRDefault="000A52E8" w:rsidP="00602CBC">
      <w:pPr>
        <w:pStyle w:val="BodyText"/>
        <w:numPr>
          <w:ilvl w:val="0"/>
          <w:numId w:val="0"/>
        </w:numPr>
        <w:sectPr w:rsidR="000A52E8" w:rsidSect="00FD6721">
          <w:headerReference w:type="default" r:id="rId35"/>
          <w:footerReference w:type="even" r:id="rId36"/>
          <w:footnotePr>
            <w:numRestart w:val="eachSect"/>
          </w:footnotePr>
          <w:type w:val="nextColumn"/>
          <w:pgSz w:w="11907" w:h="16840" w:code="9"/>
          <w:pgMar w:top="1134" w:right="1134" w:bottom="1134" w:left="1701" w:header="499" w:footer="499" w:gutter="0"/>
          <w:cols w:space="720"/>
          <w:noEndnote/>
        </w:sectPr>
      </w:pPr>
    </w:p>
    <w:p w14:paraId="4C2FEE42" w14:textId="77777777" w:rsidR="006E2256" w:rsidRPr="00D37FCE" w:rsidRDefault="006E2256" w:rsidP="006E2256">
      <w:pPr>
        <w:pStyle w:val="HEADING2topchapter-notinTOC"/>
        <w:rPr>
          <w:sz w:val="21"/>
          <w:szCs w:val="21"/>
        </w:rPr>
      </w:pPr>
      <w:r w:rsidRPr="00D37FCE">
        <w:lastRenderedPageBreak/>
        <w:t>CHAPTER 3</w:t>
      </w:r>
    </w:p>
    <w:p w14:paraId="65D43C21" w14:textId="77777777" w:rsidR="006E2256" w:rsidRPr="00D37FCE" w:rsidRDefault="006E2256" w:rsidP="006E2256">
      <w:pPr>
        <w:spacing w:line="200" w:lineRule="exact"/>
        <w:rPr>
          <w:szCs w:val="20"/>
        </w:rPr>
      </w:pPr>
      <w:r w:rsidRPr="00D37FCE">
        <w:rPr>
          <w:noProof/>
          <w:lang w:eastAsia="en-NZ"/>
        </w:rPr>
        <mc:AlternateContent>
          <mc:Choice Requires="wpg">
            <w:drawing>
              <wp:anchor distT="0" distB="0" distL="114300" distR="114300" simplePos="0" relativeHeight="251658243" behindDoc="1" locked="0" layoutInCell="1" allowOverlap="1" wp14:anchorId="1EBF6048" wp14:editId="0250C7FC">
                <wp:simplePos x="0" y="0"/>
                <wp:positionH relativeFrom="page">
                  <wp:posOffset>1076653</wp:posOffset>
                </wp:positionH>
                <wp:positionV relativeFrom="paragraph">
                  <wp:posOffset>53975</wp:posOffset>
                </wp:positionV>
                <wp:extent cx="1332230" cy="1270"/>
                <wp:effectExtent l="0" t="19050" r="1270" b="1778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2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022D2" id="Group 524" o:spid="_x0000_s1026" style="position:absolute;margin-left:84.8pt;margin-top:4.25pt;width:104.9pt;height:.1pt;z-index:-25165823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jk9wIAANk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1A13BC3F" w14:textId="60F98406" w:rsidR="005513F7" w:rsidRPr="00D37FCE" w:rsidRDefault="006E2256" w:rsidP="00DE0E34">
      <w:pPr>
        <w:pStyle w:val="Heading1"/>
        <w:ind w:right="283"/>
        <w:rPr>
          <w:rFonts w:eastAsia="Metropolis Black"/>
        </w:rPr>
      </w:pPr>
      <w:bookmarkStart w:id="67" w:name="_Toc132962547"/>
      <w:r w:rsidRPr="00D37FCE">
        <w:rPr>
          <w:color w:val="FFFFFF" w:themeColor="background1"/>
          <w:sz w:val="2"/>
          <w:szCs w:val="2"/>
        </w:rPr>
        <w:t xml:space="preserve">3 </w:t>
      </w:r>
      <w:r w:rsidR="00E05BE3" w:rsidRPr="00E05BE3">
        <w:rPr>
          <w:rFonts w:eastAsia="Metropolis Black"/>
        </w:rPr>
        <w:t>Hearsay</w:t>
      </w:r>
      <w:bookmarkEnd w:id="67"/>
    </w:p>
    <w:p w14:paraId="022972D7" w14:textId="77777777" w:rsidR="005513F7" w:rsidRPr="00D37FCE" w:rsidRDefault="005513F7" w:rsidP="005513F7">
      <w:pPr>
        <w:spacing w:line="200" w:lineRule="exact"/>
        <w:rPr>
          <w:szCs w:val="20"/>
        </w:rPr>
      </w:pPr>
      <w:r w:rsidRPr="00D37FCE">
        <w:rPr>
          <w:noProof/>
          <w:lang w:eastAsia="en-NZ"/>
        </w:rPr>
        <mc:AlternateContent>
          <mc:Choice Requires="wpg">
            <w:drawing>
              <wp:anchor distT="0" distB="0" distL="114300" distR="114300" simplePos="0" relativeHeight="251658244" behindDoc="1" locked="0" layoutInCell="1" allowOverlap="1" wp14:anchorId="7D04C587" wp14:editId="7014B9C7">
                <wp:simplePos x="0" y="0"/>
                <wp:positionH relativeFrom="page">
                  <wp:posOffset>1087427</wp:posOffset>
                </wp:positionH>
                <wp:positionV relativeFrom="paragraph">
                  <wp:posOffset>71755</wp:posOffset>
                </wp:positionV>
                <wp:extent cx="1332230" cy="1270"/>
                <wp:effectExtent l="0" t="19050" r="1270" b="17780"/>
                <wp:wrapNone/>
                <wp:docPr id="764518059" name="Group 764518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06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FA7C" id="Group 764518059" o:spid="_x0000_s1026" style="position:absolute;margin-left:85.6pt;margin-top:5.65pt;width:104.9pt;height:.1pt;z-index:-25165823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BE8uLb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" path="m,l2098,e" filled="f" strokecolor="#73ab6e" strokeweight="3pt">
                  <v:path arrowok="t" o:connecttype="custom" o:connectlocs="0,0;2098,0" o:connectangles="0,0"/>
                </v:shape>
                <w10:wrap anchorx="page"/>
              </v:group>
            </w:pict>
          </mc:Fallback>
        </mc:AlternateContent>
      </w:r>
    </w:p>
    <w:p w14:paraId="332BE59A" w14:textId="4A3AED1F" w:rsidR="00342142" w:rsidRDefault="00342142" w:rsidP="00C023EF">
      <w:bookmarkStart w:id="68" w:name="_Toc55557638"/>
    </w:p>
    <w:p w14:paraId="75DFE469" w14:textId="77777777" w:rsidR="007E1376" w:rsidRDefault="007E1376" w:rsidP="00C023EF"/>
    <w:p w14:paraId="5131F343" w14:textId="4EECAED4" w:rsidR="00342142" w:rsidRDefault="00A6234C" w:rsidP="00342142">
      <w:r w:rsidRPr="00D37FCE">
        <w:rPr>
          <w:rFonts w:eastAsia="Metropolis"/>
          <w:noProof/>
        </w:rPr>
        <mc:AlternateContent>
          <mc:Choice Requires="wpg">
            <w:drawing>
              <wp:anchor distT="0" distB="0" distL="114300" distR="114300" simplePos="0" relativeHeight="251658269" behindDoc="1" locked="0" layoutInCell="1" allowOverlap="1" wp14:anchorId="391D9ED8" wp14:editId="3BB9CFC0">
                <wp:simplePos x="0" y="0"/>
                <wp:positionH relativeFrom="column">
                  <wp:posOffset>1242</wp:posOffset>
                </wp:positionH>
                <wp:positionV relativeFrom="paragraph">
                  <wp:posOffset>10933</wp:posOffset>
                </wp:positionV>
                <wp:extent cx="5792470" cy="1860568"/>
                <wp:effectExtent l="0" t="0" r="0" b="6350"/>
                <wp:wrapNone/>
                <wp:docPr id="764518298" name="Group 764518298"/>
                <wp:cNvGraphicFramePr/>
                <a:graphic xmlns:a="http://schemas.openxmlformats.org/drawingml/2006/main">
                  <a:graphicData uri="http://schemas.microsoft.com/office/word/2010/wordprocessingGroup">
                    <wpg:wgp>
                      <wpg:cNvGrpSpPr/>
                      <wpg:grpSpPr>
                        <a:xfrm>
                          <a:off x="0" y="0"/>
                          <a:ext cx="5792470" cy="1860568"/>
                          <a:chOff x="0" y="-4768"/>
                          <a:chExt cx="5793105" cy="1862267"/>
                        </a:xfrm>
                      </wpg:grpSpPr>
                      <wpg:grpSp>
                        <wpg:cNvPr id="764518299" name="Group 53"/>
                        <wpg:cNvGrpSpPr>
                          <a:grpSpLocks/>
                        </wpg:cNvGrpSpPr>
                        <wpg:grpSpPr bwMode="auto">
                          <a:xfrm>
                            <a:off x="0" y="314275"/>
                            <a:ext cx="5793105" cy="1543224"/>
                            <a:chOff x="1837" y="1792"/>
                            <a:chExt cx="9354" cy="16662"/>
                          </a:xfrm>
                        </wpg:grpSpPr>
                        <wps:wsp>
                          <wps:cNvPr id="764518300" name="Freeform 54"/>
                          <wps:cNvSpPr>
                            <a:spLocks/>
                          </wps:cNvSpPr>
                          <wps:spPr bwMode="auto">
                            <a:xfrm>
                              <a:off x="1837" y="1792"/>
                              <a:ext cx="9354" cy="1666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01"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415806" w14:textId="77777777" w:rsidR="00342142" w:rsidRDefault="00342142" w:rsidP="001922C6">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391D9ED8" id="Group 764518298" o:spid="_x0000_s1056" style="position:absolute;margin-left:.1pt;margin-top:.85pt;width:456.1pt;height:146.5pt;z-index:-251658211;mso-height-relative:margin" coordorigin=",-47" coordsize="57931,1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">
                <v:group id="Group 53" o:spid="_x0000_s1057" style="position:absolute;top:3142;width:57931;height:15432" coordorigin="1837,1792" coordsize="9354,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">
                  <v:shape id="Freeform 54" o:spid="_x0000_s1058" style="position:absolute;left:1837;top:1792;width:9354;height:1666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" path="m,l9354,r,7809l,7809,,e" fillcolor="#edf2ea" stroked="f">
                    <v:path arrowok="t" o:connecttype="custom" o:connectlocs="0,2134;9354,2134;9354,18796;0,18796;0,2134" o:connectangles="0,0,0,0,0"/>
                  </v:shape>
                </v:group>
                <v:shape id="Freeform 52" o:spid="_x0000_s1059"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32415806" w14:textId="77777777" w:rsidR="00342142" w:rsidRDefault="00342142" w:rsidP="001922C6">
                        <w:pPr>
                          <w:pStyle w:val="BoxTitle"/>
                          <w:spacing w:before="60" w:beforeAutospacing="0"/>
                        </w:pPr>
                        <w:r>
                          <w:t>INTRODUCTION</w:t>
                        </w:r>
                      </w:p>
                    </w:txbxContent>
                  </v:textbox>
                </v:shape>
              </v:group>
            </w:pict>
          </mc:Fallback>
        </mc:AlternateContent>
      </w:r>
    </w:p>
    <w:p w14:paraId="0C48A885" w14:textId="77777777" w:rsidR="0044525C" w:rsidRDefault="0044525C" w:rsidP="0044525C">
      <w:pPr>
        <w:pStyle w:val="QuestionBox"/>
        <w:tabs>
          <w:tab w:val="clear" w:pos="709"/>
        </w:tabs>
        <w:ind w:left="0"/>
        <w:rPr>
          <w:rFonts w:eastAsia="Metropolis"/>
          <w:noProof/>
        </w:rPr>
      </w:pPr>
    </w:p>
    <w:p w14:paraId="7C74F525" w14:textId="77777777" w:rsidR="001922C6" w:rsidRDefault="001922C6" w:rsidP="00A6234C">
      <w:pPr>
        <w:pStyle w:val="QuestionBox"/>
        <w:tabs>
          <w:tab w:val="clear" w:pos="709"/>
        </w:tabs>
        <w:ind w:left="284"/>
      </w:pPr>
      <w:r>
        <w:t xml:space="preserve">In this chapter, we consider and seek feedback on issues with the operation of the hearsay provisions relating to: </w:t>
      </w:r>
    </w:p>
    <w:p w14:paraId="2DED8D65" w14:textId="77777777" w:rsidR="008F3DB2" w:rsidRPr="008F3DB2" w:rsidRDefault="00024697" w:rsidP="00866891">
      <w:pPr>
        <w:pStyle w:val="ListBullet"/>
        <w:numPr>
          <w:ilvl w:val="0"/>
          <w:numId w:val="20"/>
        </w:numPr>
        <w:ind w:left="709" w:hanging="425"/>
        <w:rPr>
          <w:rFonts w:eastAsia="Metropolis"/>
          <w:noProof/>
        </w:rPr>
      </w:pPr>
      <w:r>
        <w:t>the</w:t>
      </w:r>
      <w:r w:rsidRPr="00024697">
        <w:rPr>
          <w:rFonts w:eastAsia="Metropolis"/>
          <w:noProof/>
        </w:rPr>
        <w:t xml:space="preserve"> meaning of when a person is “unavailable as a witness”;</w:t>
      </w:r>
      <w:r w:rsidR="008F3DB2" w:rsidRPr="008F3DB2">
        <w:rPr>
          <w:rFonts w:eastAsia="Metropolis"/>
          <w:noProof/>
        </w:rPr>
        <w:t xml:space="preserve"> </w:t>
      </w:r>
    </w:p>
    <w:p w14:paraId="0D562666" w14:textId="77777777" w:rsidR="008F3DB2" w:rsidRPr="008F3DB2" w:rsidRDefault="008F3DB2" w:rsidP="00866891">
      <w:pPr>
        <w:pStyle w:val="ListBullet"/>
        <w:numPr>
          <w:ilvl w:val="0"/>
          <w:numId w:val="20"/>
        </w:numPr>
        <w:ind w:left="709" w:hanging="425"/>
        <w:rPr>
          <w:rFonts w:eastAsia="Metropolis"/>
          <w:noProof/>
        </w:rPr>
      </w:pPr>
      <w:r w:rsidRPr="008F3DB2">
        <w:rPr>
          <w:rFonts w:eastAsia="Metropolis"/>
          <w:noProof/>
        </w:rPr>
        <w:t xml:space="preserve">the meaning of when a person </w:t>
      </w:r>
      <w:r w:rsidRPr="00024697">
        <w:rPr>
          <w:rFonts w:eastAsia="Metropolis"/>
        </w:rPr>
        <w:t>“</w:t>
      </w:r>
      <w:r w:rsidRPr="008F3DB2">
        <w:rPr>
          <w:rFonts w:eastAsia="Metropolis"/>
          <w:noProof/>
        </w:rPr>
        <w:t>cannot with reasonable diligence</w:t>
      </w:r>
      <w:r w:rsidRPr="00024697">
        <w:rPr>
          <w:rFonts w:eastAsia="Metropolis"/>
        </w:rPr>
        <w:t>”</w:t>
      </w:r>
      <w:r w:rsidRPr="008F3DB2">
        <w:rPr>
          <w:rFonts w:eastAsia="Metropolis"/>
          <w:noProof/>
        </w:rPr>
        <w:t xml:space="preserve"> be found; and</w:t>
      </w:r>
    </w:p>
    <w:p w14:paraId="3D0BCE34" w14:textId="77777777" w:rsidR="008F3DB2" w:rsidRDefault="008F3DB2" w:rsidP="00866891">
      <w:pPr>
        <w:pStyle w:val="ListBullet"/>
        <w:numPr>
          <w:ilvl w:val="0"/>
          <w:numId w:val="20"/>
        </w:numPr>
        <w:ind w:left="709" w:hanging="425"/>
        <w:rPr>
          <w:rFonts w:eastAsia="Metropolis"/>
        </w:rPr>
      </w:pPr>
      <w:r w:rsidRPr="008F3DB2">
        <w:rPr>
          <w:rFonts w:eastAsia="Metropolis"/>
          <w:noProof/>
        </w:rPr>
        <w:t>hear</w:t>
      </w:r>
      <w:r>
        <w:rPr>
          <w:rFonts w:eastAsia="Metropolis"/>
        </w:rPr>
        <w:t>say in civil proceedings</w:t>
      </w:r>
      <w:r w:rsidRPr="00AE3835">
        <w:rPr>
          <w:rFonts w:eastAsia="Metropolis"/>
        </w:rPr>
        <w:t>.</w:t>
      </w:r>
    </w:p>
    <w:p w14:paraId="07472F55" w14:textId="77777777" w:rsidR="00C8797E" w:rsidRPr="00AE3835" w:rsidRDefault="00C8797E" w:rsidP="00C8797E">
      <w:pPr>
        <w:pStyle w:val="ListBullet"/>
        <w:numPr>
          <w:ilvl w:val="0"/>
          <w:numId w:val="0"/>
        </w:numPr>
        <w:ind w:left="709"/>
        <w:rPr>
          <w:rFonts w:eastAsia="Metropolis"/>
        </w:rPr>
      </w:pPr>
    </w:p>
    <w:p w14:paraId="08F26EBF" w14:textId="77777777" w:rsidR="00024697" w:rsidRDefault="00024697" w:rsidP="00024697">
      <w:pPr>
        <w:pStyle w:val="Heading2"/>
      </w:pPr>
      <w:bookmarkStart w:id="69" w:name="_Toc132962548"/>
      <w:bookmarkEnd w:id="68"/>
      <w:r>
        <w:t>Background</w:t>
      </w:r>
      <w:bookmarkEnd w:id="69"/>
    </w:p>
    <w:p w14:paraId="578F3E4C" w14:textId="08A02E65" w:rsidR="00024697" w:rsidRDefault="00024697" w:rsidP="009F4F6E">
      <w:pPr>
        <w:pStyle w:val="BodyText"/>
        <w:tabs>
          <w:tab w:val="clear" w:pos="709"/>
          <w:tab w:val="num" w:pos="1425"/>
        </w:tabs>
      </w:pPr>
      <w:r>
        <w:t xml:space="preserve">The </w:t>
      </w:r>
      <w:r w:rsidR="00BE6A65">
        <w:t xml:space="preserve">Evidence </w:t>
      </w:r>
      <w:r>
        <w:t>Act</w:t>
      </w:r>
      <w:r w:rsidR="00BE6A65">
        <w:t xml:space="preserve"> 2006</w:t>
      </w:r>
      <w:r>
        <w:t xml:space="preserve"> is based on the principle of orality.</w:t>
      </w:r>
      <w:r>
        <w:rPr>
          <w:rStyle w:val="FootnoteReference"/>
        </w:rPr>
        <w:footnoteReference w:id="118"/>
      </w:r>
      <w:r>
        <w:t xml:space="preserve"> This recognises the fundamental importance of transparency in the administration of justice through the courts, and rests upon the assumption that the fact-finder is likely to benefit from seeing and hearing witnesses give their evidence.</w:t>
      </w:r>
      <w:r>
        <w:rPr>
          <w:rStyle w:val="FootnoteReference"/>
        </w:rPr>
        <w:footnoteReference w:id="119"/>
      </w:r>
      <w:r>
        <w:t xml:space="preserve"> Evidence is therefore ordinarily given orally in court by witnesses who are available for cross-examination.</w:t>
      </w:r>
      <w:r>
        <w:rPr>
          <w:rStyle w:val="FootnoteReference"/>
        </w:rPr>
        <w:footnoteReference w:id="120"/>
      </w:r>
      <w:r>
        <w:t xml:space="preserve"> To facilitate this, section 71 provides that every person is eligible and compellable to give evidence in court unless they fall into one of the narrow exceptions in sections 72 to 75 of the Act.</w:t>
      </w:r>
      <w:r>
        <w:rPr>
          <w:rStyle w:val="FootnoteReference"/>
        </w:rPr>
        <w:footnoteReference w:id="121"/>
      </w:r>
    </w:p>
    <w:p w14:paraId="2D55CA32" w14:textId="46452D46" w:rsidR="00024697" w:rsidRDefault="00024697" w:rsidP="009F4F6E">
      <w:pPr>
        <w:pStyle w:val="BodyText"/>
        <w:tabs>
          <w:tab w:val="num" w:pos="709"/>
        </w:tabs>
      </w:pPr>
      <w:r>
        <w:t>An out</w:t>
      </w:r>
      <w:r w:rsidR="006A3871">
        <w:t>-</w:t>
      </w:r>
      <w:r>
        <w:t>of</w:t>
      </w:r>
      <w:r w:rsidR="006A3871">
        <w:t>-</w:t>
      </w:r>
      <w:r>
        <w:t>court statement that was made by a person who is not a witness can only be offered in evidence to prove the truth of its contents in limited circumstances. These are “hearsay statements”.</w:t>
      </w:r>
      <w:r>
        <w:rPr>
          <w:rStyle w:val="FootnoteReference"/>
        </w:rPr>
        <w:footnoteReference w:id="122"/>
      </w:r>
      <w:r>
        <w:t xml:space="preserve"> The general test for admitting hearsay statements is contained in section 18 of the Act, which provides:</w:t>
      </w:r>
    </w:p>
    <w:p w14:paraId="4F3A98CF" w14:textId="77777777" w:rsidR="00024697" w:rsidRPr="00E10147" w:rsidRDefault="00024697" w:rsidP="00024697">
      <w:pPr>
        <w:pStyle w:val="Quote"/>
        <w:rPr>
          <w:b/>
          <w:bCs/>
        </w:rPr>
      </w:pPr>
      <w:r w:rsidRPr="00E10147">
        <w:rPr>
          <w:b/>
          <w:bCs/>
        </w:rPr>
        <w:t>18</w:t>
      </w:r>
      <w:r w:rsidRPr="00E10147">
        <w:rPr>
          <w:b/>
          <w:bCs/>
        </w:rPr>
        <w:tab/>
        <w:t>General admissibility of hearsay</w:t>
      </w:r>
    </w:p>
    <w:p w14:paraId="16052354" w14:textId="77777777" w:rsidR="00024697" w:rsidRDefault="00024697" w:rsidP="00024697">
      <w:pPr>
        <w:pStyle w:val="Quote"/>
      </w:pPr>
      <w:r>
        <w:t>(1)</w:t>
      </w:r>
      <w:r>
        <w:tab/>
        <w:t>A hearsay statement is admissible in any proceeding if—</w:t>
      </w:r>
    </w:p>
    <w:p w14:paraId="5E291718" w14:textId="77777777" w:rsidR="00024697" w:rsidRDefault="00024697" w:rsidP="00024697">
      <w:pPr>
        <w:pStyle w:val="Quote"/>
        <w:ind w:left="1701" w:hanging="283"/>
      </w:pPr>
      <w:r>
        <w:t>(a)</w:t>
      </w:r>
      <w:r>
        <w:tab/>
        <w:t>the circumstances relating to the statement provide reasonable assurance that the statement is reliable; and</w:t>
      </w:r>
    </w:p>
    <w:p w14:paraId="6967DBCB" w14:textId="77777777" w:rsidR="00024697" w:rsidRDefault="00024697" w:rsidP="00024697">
      <w:pPr>
        <w:pStyle w:val="Quote"/>
        <w:ind w:left="1701" w:hanging="283"/>
      </w:pPr>
      <w:r>
        <w:lastRenderedPageBreak/>
        <w:t>(b)</w:t>
      </w:r>
      <w:r>
        <w:tab/>
        <w:t>either—</w:t>
      </w:r>
    </w:p>
    <w:p w14:paraId="5067E00C" w14:textId="77777777" w:rsidR="00024697" w:rsidRDefault="00024697" w:rsidP="00024697">
      <w:pPr>
        <w:pStyle w:val="Quote"/>
        <w:ind w:left="1985"/>
      </w:pPr>
      <w:r>
        <w:t>(i)</w:t>
      </w:r>
      <w:r>
        <w:tab/>
        <w:t>the maker of the statement is unavailable as a witness; or</w:t>
      </w:r>
    </w:p>
    <w:p w14:paraId="3C0B1C61" w14:textId="77777777" w:rsidR="00024697" w:rsidRDefault="00024697" w:rsidP="00024697">
      <w:pPr>
        <w:pStyle w:val="Quote"/>
        <w:ind w:left="1985"/>
      </w:pPr>
      <w:r>
        <w:t>(ii)</w:t>
      </w:r>
      <w:r>
        <w:tab/>
        <w:t>the Judge considers that undue expense or delay would be caused if the maker of the statement were required to be a witness.</w:t>
      </w:r>
    </w:p>
    <w:p w14:paraId="114C7DEC" w14:textId="77777777" w:rsidR="00024697" w:rsidRDefault="00024697" w:rsidP="00024697">
      <w:pPr>
        <w:pStyle w:val="Quote"/>
      </w:pPr>
      <w:r>
        <w:t>…</w:t>
      </w:r>
    </w:p>
    <w:p w14:paraId="3E87818E" w14:textId="77777777" w:rsidR="00024697" w:rsidRDefault="00024697" w:rsidP="009F4F6E">
      <w:pPr>
        <w:pStyle w:val="BodyText"/>
      </w:pPr>
      <w:r>
        <w:t>Section 16(2) of the Act states that a person is “unavailable as a witness” for the purposes of the hearsay provisions if the person:</w:t>
      </w:r>
    </w:p>
    <w:p w14:paraId="6F81EE9D" w14:textId="77777777" w:rsidR="00024697" w:rsidRDefault="00024697" w:rsidP="00024697">
      <w:pPr>
        <w:pStyle w:val="Quote"/>
      </w:pPr>
      <w:r>
        <w:t xml:space="preserve">(a) is dead; or </w:t>
      </w:r>
    </w:p>
    <w:p w14:paraId="66ABE88E" w14:textId="77777777" w:rsidR="00024697" w:rsidRDefault="00024697" w:rsidP="00024697">
      <w:pPr>
        <w:pStyle w:val="Quote"/>
      </w:pPr>
      <w:r>
        <w:t xml:space="preserve">(b) is outside New Zealand and it is not reasonably practicable for him or her to be a witness; or </w:t>
      </w:r>
    </w:p>
    <w:p w14:paraId="6C058299" w14:textId="77777777" w:rsidR="00024697" w:rsidRDefault="00024697" w:rsidP="00024697">
      <w:pPr>
        <w:pStyle w:val="Quote"/>
      </w:pPr>
      <w:r>
        <w:t xml:space="preserve">(c) is unfit to be a witness because of age or physical or mental condition; or </w:t>
      </w:r>
    </w:p>
    <w:p w14:paraId="2A7020D1" w14:textId="77777777" w:rsidR="00024697" w:rsidRDefault="00024697" w:rsidP="00024697">
      <w:pPr>
        <w:pStyle w:val="Quote"/>
      </w:pPr>
      <w:r>
        <w:t xml:space="preserve">(d) cannot with reasonable diligence be identified or found; or </w:t>
      </w:r>
    </w:p>
    <w:p w14:paraId="2AA7C7DF" w14:textId="77777777" w:rsidR="00024697" w:rsidRDefault="00024697" w:rsidP="00024697">
      <w:pPr>
        <w:pStyle w:val="Quote"/>
      </w:pPr>
      <w:r>
        <w:t>(e) is not compellable to give evidence.</w:t>
      </w:r>
    </w:p>
    <w:p w14:paraId="01AB769B" w14:textId="77777777" w:rsidR="00024697" w:rsidRDefault="00024697" w:rsidP="00024697">
      <w:pPr>
        <w:pStyle w:val="Heading2"/>
      </w:pPr>
      <w:bookmarkStart w:id="70" w:name="_Toc132962549"/>
      <w:r>
        <w:t>When a person is “unavailable as a witness”</w:t>
      </w:r>
      <w:bookmarkEnd w:id="70"/>
    </w:p>
    <w:p w14:paraId="29F1BB74" w14:textId="77777777" w:rsidR="00024697" w:rsidRDefault="00024697" w:rsidP="009F4F6E">
      <w:pPr>
        <w:pStyle w:val="BodyText"/>
        <w:tabs>
          <w:tab w:val="num" w:pos="709"/>
        </w:tabs>
      </w:pPr>
      <w:r>
        <w:t xml:space="preserve">The Act narrowly prescribes situations when a person is unavailable as a witness for the purpose of the hearsay provisions. It does not confer any general discretion on the court to find that a person is unavailable for reasons other than those listed in section 16(2). </w:t>
      </w:r>
    </w:p>
    <w:p w14:paraId="39B10BE3" w14:textId="77777777" w:rsidR="00024697" w:rsidRDefault="00024697" w:rsidP="00024697">
      <w:pPr>
        <w:pStyle w:val="Heading3"/>
      </w:pPr>
      <w:r>
        <w:t>What is the issue?</w:t>
      </w:r>
    </w:p>
    <w:p w14:paraId="5821DD87" w14:textId="77777777" w:rsidR="00024697" w:rsidRDefault="00024697" w:rsidP="009F4F6E">
      <w:pPr>
        <w:pStyle w:val="BodyText"/>
        <w:tabs>
          <w:tab w:val="num" w:pos="709"/>
        </w:tabs>
      </w:pPr>
      <w:r>
        <w:t xml:space="preserve">Recent case law suggests the law remains unsettled as to whether the categories of unavailability for hearsay purposes can be interpreted in a way that includes situations where a person is excused by the court from giving evidence. This raises a broader question as to whether the categories of unavailability should provide for situations where a person has a good reason or “just excuse” for not giving evidence. </w:t>
      </w:r>
    </w:p>
    <w:p w14:paraId="263C6A9F" w14:textId="2EB25C90" w:rsidR="00024697" w:rsidRDefault="00024697" w:rsidP="009F4F6E">
      <w:pPr>
        <w:pStyle w:val="BodyText"/>
        <w:tabs>
          <w:tab w:val="num" w:pos="709"/>
        </w:tabs>
      </w:pPr>
      <w:r>
        <w:rPr>
          <w:i/>
          <w:iCs/>
        </w:rPr>
        <w:t xml:space="preserve">Awatere v R </w:t>
      </w:r>
      <w:r>
        <w:t>considered the interrelationship between the hearsay provisions and the Criminal Procedure Act 2011.</w:t>
      </w:r>
      <w:r>
        <w:rPr>
          <w:rStyle w:val="FootnoteReference"/>
        </w:rPr>
        <w:footnoteReference w:id="123"/>
      </w:r>
      <w:r>
        <w:t xml:space="preserve"> That Act provides mechanisms for enforcing obligations on compellable witnesses to attend court and give evidence</w:t>
      </w:r>
      <w:r w:rsidRPr="00300382">
        <w:t>.</w:t>
      </w:r>
      <w:r w:rsidRPr="00300382">
        <w:rPr>
          <w:rStyle w:val="FootnoteReference"/>
        </w:rPr>
        <w:footnoteReference w:id="124"/>
      </w:r>
      <w:r w:rsidRPr="00300382">
        <w:t xml:space="preserve"> </w:t>
      </w:r>
      <w:r>
        <w:t xml:space="preserve">Under section 165, if a person refuses to give evidence </w:t>
      </w:r>
      <w:r w:rsidRPr="00300382">
        <w:t xml:space="preserve">the court </w:t>
      </w:r>
      <w:r>
        <w:t xml:space="preserve">may order that they be detained in custody for a period not exceeding </w:t>
      </w:r>
      <w:r w:rsidR="003D2AEE">
        <w:t>seven</w:t>
      </w:r>
      <w:r>
        <w:t xml:space="preserve"> days.</w:t>
      </w:r>
      <w:r>
        <w:rPr>
          <w:rStyle w:val="FootnoteReference"/>
        </w:rPr>
        <w:footnoteReference w:id="125"/>
      </w:r>
      <w:r>
        <w:t xml:space="preserve"> However, the court may exercise its</w:t>
      </w:r>
      <w:r w:rsidRPr="00300382">
        <w:t xml:space="preserve"> discretion</w:t>
      </w:r>
      <w:r>
        <w:t xml:space="preserve"> not to make such an order, thereby </w:t>
      </w:r>
      <w:r w:rsidRPr="00300382">
        <w:t>excus</w:t>
      </w:r>
      <w:r>
        <w:t>ing</w:t>
      </w:r>
      <w:r w:rsidRPr="00300382">
        <w:t xml:space="preserve"> a person from giving evidence</w:t>
      </w:r>
      <w:r>
        <w:t>,</w:t>
      </w:r>
      <w:r w:rsidRPr="00300382">
        <w:t xml:space="preserve"> if they can offer a “just excuse”.</w:t>
      </w:r>
      <w:r w:rsidRPr="00300382">
        <w:rPr>
          <w:rStyle w:val="FootnoteReference"/>
        </w:rPr>
        <w:footnoteReference w:id="126"/>
      </w:r>
    </w:p>
    <w:p w14:paraId="76D322C9" w14:textId="7CF9E2B4" w:rsidR="00024697" w:rsidRDefault="00024697" w:rsidP="009F4F6E">
      <w:pPr>
        <w:pStyle w:val="BodyText"/>
        <w:tabs>
          <w:tab w:val="num" w:pos="709"/>
        </w:tabs>
      </w:pPr>
      <w:r>
        <w:t xml:space="preserve">In </w:t>
      </w:r>
      <w:r w:rsidRPr="004E7DF8">
        <w:rPr>
          <w:i/>
          <w:iCs/>
        </w:rPr>
        <w:t>Awatere</w:t>
      </w:r>
      <w:r>
        <w:t xml:space="preserve">, </w:t>
      </w:r>
      <w:r w:rsidRPr="009A7B2A">
        <w:t>the</w:t>
      </w:r>
      <w:r>
        <w:t xml:space="preserve"> complainant </w:t>
      </w:r>
      <w:r w:rsidRPr="009A7B2A">
        <w:t xml:space="preserve">left the courtroom </w:t>
      </w:r>
      <w:r>
        <w:t xml:space="preserve">in a distressed state </w:t>
      </w:r>
      <w:r w:rsidRPr="009A7B2A">
        <w:t xml:space="preserve">during questioning by the prosecution </w:t>
      </w:r>
      <w:r>
        <w:t xml:space="preserve">after being declared a </w:t>
      </w:r>
      <w:r w:rsidRPr="009A7B2A">
        <w:t>hostile witness.</w:t>
      </w:r>
      <w:r>
        <w:rPr>
          <w:rStyle w:val="FootnoteReference"/>
        </w:rPr>
        <w:footnoteReference w:id="127"/>
      </w:r>
      <w:r w:rsidRPr="009A7B2A">
        <w:t xml:space="preserve"> </w:t>
      </w:r>
      <w:r>
        <w:t xml:space="preserve">The </w:t>
      </w:r>
      <w:r w:rsidR="00DC3369">
        <w:t>J</w:t>
      </w:r>
      <w:r>
        <w:t xml:space="preserve">udge then ruled the </w:t>
      </w:r>
      <w:r>
        <w:lastRenderedPageBreak/>
        <w:t>complainant’s statement to Police was admissible.</w:t>
      </w:r>
      <w:r>
        <w:rPr>
          <w:rStyle w:val="FootnoteReference"/>
        </w:rPr>
        <w:footnoteReference w:id="128"/>
      </w:r>
      <w:r w:rsidRPr="0044609B">
        <w:t xml:space="preserve"> </w:t>
      </w:r>
      <w:r w:rsidRPr="00DA0BA1">
        <w:t>On appeal</w:t>
      </w:r>
      <w:r>
        <w:t>,</w:t>
      </w:r>
      <w:r w:rsidRPr="00DA0BA1">
        <w:t xml:space="preserve"> </w:t>
      </w:r>
      <w:r w:rsidR="00DA6DC3">
        <w:t>te Kōti Matua |</w:t>
      </w:r>
      <w:r w:rsidRPr="00DA0BA1">
        <w:t xml:space="preserve"> High Court </w:t>
      </w:r>
      <w:r>
        <w:t xml:space="preserve">held </w:t>
      </w:r>
      <w:r w:rsidRPr="00DA0BA1">
        <w:t xml:space="preserve">that </w:t>
      </w:r>
      <w:r>
        <w:t>the complainant’s police statement was hearsay.</w:t>
      </w:r>
      <w:r>
        <w:rPr>
          <w:rStyle w:val="FootnoteReference"/>
        </w:rPr>
        <w:footnoteReference w:id="129"/>
      </w:r>
      <w:r w:rsidRPr="00DA0BA1">
        <w:t xml:space="preserve"> </w:t>
      </w:r>
      <w:r>
        <w:t>The issue therefore became whether the hearsay statement could be admitted on the basis that the complainant was “unavailable as a witness”. The Court</w:t>
      </w:r>
      <w:r w:rsidRPr="004E7DF8">
        <w:rPr>
          <w:i/>
          <w:iCs/>
        </w:rPr>
        <w:t xml:space="preserve"> </w:t>
      </w:r>
      <w:r>
        <w:t>commented that</w:t>
      </w:r>
      <w:r w:rsidR="00E714AF">
        <w:t>,</w:t>
      </w:r>
      <w:r>
        <w:t xml:space="preserve"> “</w:t>
      </w:r>
      <w:r w:rsidRPr="00C92DC5">
        <w:t>as a matter of</w:t>
      </w:r>
      <w:r>
        <w:t xml:space="preserve"> </w:t>
      </w:r>
      <w:r w:rsidRPr="00C92DC5">
        <w:t>logic</w:t>
      </w:r>
      <w:r>
        <w:t>”,</w:t>
      </w:r>
      <w:r w:rsidRPr="00C92DC5">
        <w:t xml:space="preserve"> s</w:t>
      </w:r>
      <w:r>
        <w:t>ection</w:t>
      </w:r>
      <w:r w:rsidRPr="00C92DC5">
        <w:t xml:space="preserve"> 165 of</w:t>
      </w:r>
      <w:r>
        <w:t xml:space="preserve"> </w:t>
      </w:r>
      <w:r w:rsidRPr="00C92DC5">
        <w:t xml:space="preserve">the </w:t>
      </w:r>
      <w:r>
        <w:t>Criminal Procedure Act “</w:t>
      </w:r>
      <w:r w:rsidRPr="00C92DC5">
        <w:t>could be read as modifying or glossing</w:t>
      </w:r>
      <w:r>
        <w:t>”</w:t>
      </w:r>
      <w:r w:rsidRPr="00C92DC5">
        <w:t xml:space="preserve"> the </w:t>
      </w:r>
      <w:r>
        <w:t>Act’s</w:t>
      </w:r>
      <w:r w:rsidRPr="00C92DC5">
        <w:t xml:space="preserve"> rules about compellability and </w:t>
      </w:r>
      <w:r>
        <w:t>therefore</w:t>
      </w:r>
      <w:r w:rsidRPr="00C92DC5">
        <w:t xml:space="preserve"> the meaning of</w:t>
      </w:r>
      <w:r>
        <w:t xml:space="preserve"> </w:t>
      </w:r>
      <w:r w:rsidR="00D3346B">
        <w:t>“u</w:t>
      </w:r>
      <w:r w:rsidRPr="00C92DC5">
        <w:t>navailabl</w:t>
      </w:r>
      <w:r w:rsidR="00D3346B">
        <w:t>e”</w:t>
      </w:r>
      <w:r w:rsidRPr="00C92DC5">
        <w:t xml:space="preserve"> </w:t>
      </w:r>
      <w:r>
        <w:t>under</w:t>
      </w:r>
      <w:r w:rsidRPr="00C92DC5">
        <w:t xml:space="preserve"> the hearsay rule</w:t>
      </w:r>
      <w:r>
        <w:t>s</w:t>
      </w:r>
      <w:r w:rsidRPr="00C92DC5">
        <w:t>.</w:t>
      </w:r>
      <w:r>
        <w:rPr>
          <w:rStyle w:val="FootnoteReference"/>
        </w:rPr>
        <w:footnoteReference w:id="130"/>
      </w:r>
      <w:r>
        <w:t xml:space="preserve"> However, the Court found it </w:t>
      </w:r>
      <w:r w:rsidRPr="00BC5822">
        <w:t xml:space="preserve">unnecessary </w:t>
      </w:r>
      <w:r>
        <w:t xml:space="preserve">to determine the issue because the trial judge had made </w:t>
      </w:r>
      <w:r w:rsidRPr="00444FF2">
        <w:t xml:space="preserve">no </w:t>
      </w:r>
      <w:r>
        <w:t xml:space="preserve">formal </w:t>
      </w:r>
      <w:r w:rsidRPr="00444FF2">
        <w:t>rulin</w:t>
      </w:r>
      <w:r>
        <w:t>g</w:t>
      </w:r>
      <w:r w:rsidRPr="00444FF2">
        <w:t xml:space="preserve"> </w:t>
      </w:r>
      <w:r>
        <w:t xml:space="preserve">that the complainant </w:t>
      </w:r>
      <w:r w:rsidRPr="00444FF2">
        <w:t xml:space="preserve">had </w:t>
      </w:r>
      <w:r>
        <w:t>a</w:t>
      </w:r>
      <w:r w:rsidR="00FB78D7">
        <w:t xml:space="preserve"> “</w:t>
      </w:r>
      <w:r w:rsidRPr="00444FF2">
        <w:t>just excus</w:t>
      </w:r>
      <w:r w:rsidR="00FB78D7">
        <w:t>e”</w:t>
      </w:r>
      <w:r>
        <w:t xml:space="preserve"> under section 165 of the Criminal Procedure Act.</w:t>
      </w:r>
      <w:r>
        <w:rPr>
          <w:rStyle w:val="FootnoteReference"/>
        </w:rPr>
        <w:footnoteReference w:id="131"/>
      </w:r>
    </w:p>
    <w:p w14:paraId="1CEA6EBC" w14:textId="4B42D5D8" w:rsidR="00024697" w:rsidRDefault="00024697" w:rsidP="009F4F6E">
      <w:pPr>
        <w:pStyle w:val="BodyText"/>
        <w:tabs>
          <w:tab w:val="num" w:pos="709"/>
        </w:tabs>
      </w:pPr>
      <w:r>
        <w:t xml:space="preserve">In addition to </w:t>
      </w:r>
      <w:r>
        <w:rPr>
          <w:i/>
          <w:iCs/>
        </w:rPr>
        <w:t>Awatere</w:t>
      </w:r>
      <w:r w:rsidR="00C252D1" w:rsidRPr="00C252D1">
        <w:t>,</w:t>
      </w:r>
      <w:r>
        <w:rPr>
          <w:i/>
          <w:iCs/>
        </w:rPr>
        <w:t xml:space="preserve"> </w:t>
      </w:r>
      <w:r>
        <w:t xml:space="preserve">we are aware of two other recent cases </w:t>
      </w:r>
      <w:r w:rsidR="00900ED2">
        <w:t xml:space="preserve">that </w:t>
      </w:r>
      <w:r>
        <w:t>considered the application of the hearsay provisions to an out-of-court statement made by a person who was excused from giving evidence.</w:t>
      </w:r>
      <w:r>
        <w:rPr>
          <w:rStyle w:val="FootnoteReference"/>
        </w:rPr>
        <w:footnoteReference w:id="132"/>
      </w:r>
      <w:r>
        <w:t xml:space="preserve"> Like </w:t>
      </w:r>
      <w:r>
        <w:rPr>
          <w:i/>
          <w:iCs/>
        </w:rPr>
        <w:t>Awatere</w:t>
      </w:r>
      <w:r w:rsidR="00E17AA6" w:rsidRPr="00E17AA6">
        <w:t>,</w:t>
      </w:r>
      <w:r>
        <w:rPr>
          <w:i/>
          <w:iCs/>
        </w:rPr>
        <w:t xml:space="preserve"> </w:t>
      </w:r>
      <w:r>
        <w:t>these cases suggested it could be possible that having a “just excuse” under the Criminal Procedure Act might constitute being “</w:t>
      </w:r>
      <w:r w:rsidRPr="00D80B20">
        <w:t>unavailable</w:t>
      </w:r>
      <w:r>
        <w:t xml:space="preserve">” for hearsay purposes, but neither case had to decide the issue. </w:t>
      </w:r>
    </w:p>
    <w:p w14:paraId="68A6E38F" w14:textId="77777777" w:rsidR="00024697" w:rsidRDefault="00024697" w:rsidP="00024697">
      <w:pPr>
        <w:pStyle w:val="Heading4"/>
      </w:pPr>
      <w:r>
        <w:t>Policy and legislative history</w:t>
      </w:r>
    </w:p>
    <w:p w14:paraId="6574C6CE" w14:textId="3008EB55" w:rsidR="00024697" w:rsidRDefault="00024697" w:rsidP="009F4F6E">
      <w:pPr>
        <w:pStyle w:val="BodyText"/>
        <w:tabs>
          <w:tab w:val="num" w:pos="709"/>
        </w:tabs>
      </w:pPr>
      <w:r>
        <w:t xml:space="preserve">The hearsay provisions were based on </w:t>
      </w:r>
      <w:r w:rsidR="0059580A">
        <w:t>Te Aka Matua o te Ture | Law</w:t>
      </w:r>
      <w:r>
        <w:t xml:space="preserve"> Commission’s Evidence Code.</w:t>
      </w:r>
      <w:r>
        <w:rPr>
          <w:rStyle w:val="FootnoteReference"/>
        </w:rPr>
        <w:footnoteReference w:id="133"/>
      </w:r>
      <w:r>
        <w:t xml:space="preserve"> When developing the Evidence Code, the Commission considered whether it should treat witnesses as unavailable in other situations. Specifically, the Commission considered people who were too frightened or traumatised to give evidence.</w:t>
      </w:r>
      <w:r>
        <w:rPr>
          <w:rStyle w:val="FootnoteReference"/>
        </w:rPr>
        <w:footnoteReference w:id="134"/>
      </w:r>
      <w:r>
        <w:t xml:space="preserve"> Ultimately, it decided that </w:t>
      </w:r>
      <w:r w:rsidRPr="00BE7A76">
        <w:t xml:space="preserve">“trauma” </w:t>
      </w:r>
      <w:r>
        <w:t xml:space="preserve">would be sufficiently </w:t>
      </w:r>
      <w:r w:rsidRPr="00BE7A76">
        <w:t xml:space="preserve">covered </w:t>
      </w:r>
      <w:r>
        <w:t>by unavailability due to a mental condition (under what is now section 16(2)(c)), and that frightened witnesses could be accommodated through other measures.</w:t>
      </w:r>
      <w:r>
        <w:rPr>
          <w:rStyle w:val="FootnoteReference"/>
        </w:rPr>
        <w:footnoteReference w:id="135"/>
      </w:r>
      <w:r>
        <w:t xml:space="preserve"> The Commission also decided against treating as unavailable a witness who was physically present in court but refused to give evidence.</w:t>
      </w:r>
      <w:r>
        <w:rPr>
          <w:rStyle w:val="FootnoteReference"/>
        </w:rPr>
        <w:footnoteReference w:id="136"/>
      </w:r>
      <w:r>
        <w:t xml:space="preserve"> </w:t>
      </w:r>
    </w:p>
    <w:p w14:paraId="4BFBAF37" w14:textId="5549F26F" w:rsidR="00024697" w:rsidRDefault="00024697" w:rsidP="009F4F6E">
      <w:pPr>
        <w:pStyle w:val="BodyText"/>
        <w:tabs>
          <w:tab w:val="num" w:pos="709"/>
        </w:tabs>
      </w:pPr>
      <w:r>
        <w:t xml:space="preserve">The Commission was, however, concerned about </w:t>
      </w:r>
      <w:r w:rsidRPr="00871617">
        <w:t xml:space="preserve">the effect of abolishing the spousal non-compellability rule </w:t>
      </w:r>
      <w:r>
        <w:t>for</w:t>
      </w:r>
      <w:r w:rsidRPr="00871617">
        <w:t xml:space="preserve"> domestic violence</w:t>
      </w:r>
      <w:r>
        <w:t xml:space="preserve"> complainants, who may be </w:t>
      </w:r>
      <w:r w:rsidRPr="00871617">
        <w:t>put at risk of retaliatory violence</w:t>
      </w:r>
      <w:r>
        <w:t xml:space="preserve"> if compelled to </w:t>
      </w:r>
      <w:r w:rsidR="00BF2844">
        <w:t>give evidence</w:t>
      </w:r>
      <w:r w:rsidRPr="00871617">
        <w:t>.</w:t>
      </w:r>
      <w:r>
        <w:rPr>
          <w:rStyle w:val="FootnoteReference"/>
        </w:rPr>
        <w:footnoteReference w:id="137"/>
      </w:r>
      <w:r>
        <w:t xml:space="preserve"> The Commission had consulted on a proposal to give judges a discretion to excuse a witness if the judge was not satisfied that </w:t>
      </w:r>
      <w:r>
        <w:lastRenderedPageBreak/>
        <w:t>the witness could be protected from retaliation.</w:t>
      </w:r>
      <w:r>
        <w:rPr>
          <w:rStyle w:val="FootnoteReference"/>
        </w:rPr>
        <w:footnoteReference w:id="138"/>
      </w:r>
      <w:r>
        <w:t xml:space="preserve"> That proposal received a mixed response, with some commentators of the view that such a discretionary rule should in fairness extend </w:t>
      </w:r>
      <w:r w:rsidRPr="00596769">
        <w:t xml:space="preserve">to all frightened witnesses, not just to </w:t>
      </w:r>
      <w:r>
        <w:t>victims of family</w:t>
      </w:r>
      <w:r w:rsidRPr="00596769">
        <w:t xml:space="preserve"> violence.</w:t>
      </w:r>
      <w:r>
        <w:rPr>
          <w:rStyle w:val="FootnoteReference"/>
        </w:rPr>
        <w:footnoteReference w:id="139"/>
      </w:r>
      <w:r>
        <w:t xml:space="preserve"> The Commission was concerned that extending such a rule to all frightened witnesses would “potentially allow a large number of crucial prosecution witnesses to be excused, which is clearly undesirable”.</w:t>
      </w:r>
      <w:r>
        <w:rPr>
          <w:rStyle w:val="FootnoteReference"/>
        </w:rPr>
        <w:footnoteReference w:id="140"/>
      </w:r>
      <w:r>
        <w:t xml:space="preserve"> Conceding the issue had caused “considerable difficulty”,</w:t>
      </w:r>
      <w:r>
        <w:rPr>
          <w:rStyle w:val="FootnoteReference"/>
        </w:rPr>
        <w:footnoteReference w:id="141"/>
      </w:r>
      <w:r>
        <w:t xml:space="preserve"> the Commission ultimately decided it was premature to include in the </w:t>
      </w:r>
      <w:r w:rsidR="000D77F3">
        <w:t xml:space="preserve">Evidence </w:t>
      </w:r>
      <w:r>
        <w:t>Code special rules dealing with the compellability of victims of family violence.</w:t>
      </w:r>
      <w:r>
        <w:rPr>
          <w:rStyle w:val="FootnoteReference"/>
        </w:rPr>
        <w:footnoteReference w:id="142"/>
      </w:r>
      <w:r>
        <w:t xml:space="preserve"> It did not address the consequences of such rules for the admissibility of hearsay statements.</w:t>
      </w:r>
    </w:p>
    <w:p w14:paraId="117DBDC8" w14:textId="77777777" w:rsidR="00024697" w:rsidRDefault="00024697" w:rsidP="009F4F6E">
      <w:pPr>
        <w:pStyle w:val="BodyText"/>
        <w:tabs>
          <w:tab w:val="num" w:pos="709"/>
        </w:tabs>
      </w:pPr>
      <w:r>
        <w:t>The Evidence Bill as introduced did address partners at risk of family violence. C</w:t>
      </w:r>
      <w:r w:rsidRPr="00122246">
        <w:t>l</w:t>
      </w:r>
      <w:r>
        <w:t>ause</w:t>
      </w:r>
      <w:r w:rsidRPr="00122246">
        <w:t xml:space="preserve"> 71 provided a discretion to excuse those in </w:t>
      </w:r>
      <w:r>
        <w:t>“</w:t>
      </w:r>
      <w:r w:rsidRPr="00122246">
        <w:t>close personal relationships</w:t>
      </w:r>
      <w:r>
        <w:t>”</w:t>
      </w:r>
      <w:r w:rsidRPr="00122246">
        <w:t xml:space="preserve"> with defendants</w:t>
      </w:r>
      <w:r>
        <w:t xml:space="preserve"> from giving evidence. The consequence of a decision to excuse a person was that the person was deemed “unavailable” for hearsay purposes. A Cabinet paper on this matter referred explicitly to the court’s existing power to excuse a witness with just excuse from giving evidence as “bolstering” the proposal.</w:t>
      </w:r>
      <w:r>
        <w:rPr>
          <w:rStyle w:val="FootnoteReference"/>
        </w:rPr>
        <w:footnoteReference w:id="143"/>
      </w:r>
      <w:r>
        <w:t xml:space="preserve"> The clause was, however, removed at select committee stage due to concerns about incentivising coercion, the potential arbitrariness of determining what constitutes a close personal relationship, and the undesirability of admitting statements through the hearsay provisions without opportunity for cross-examination.</w:t>
      </w:r>
      <w:r>
        <w:rPr>
          <w:rStyle w:val="FootnoteReference"/>
        </w:rPr>
        <w:footnoteReference w:id="144"/>
      </w:r>
    </w:p>
    <w:p w14:paraId="1FE64B3E" w14:textId="77777777" w:rsidR="00024697" w:rsidRDefault="00024697" w:rsidP="00024697">
      <w:pPr>
        <w:pStyle w:val="Heading3"/>
      </w:pPr>
      <w:r>
        <w:t>Is legislative reform necessary or desirable?</w:t>
      </w:r>
    </w:p>
    <w:p w14:paraId="60E15C18" w14:textId="77777777" w:rsidR="00024697" w:rsidRDefault="00024697" w:rsidP="009F4F6E">
      <w:pPr>
        <w:pStyle w:val="BodyText"/>
        <w:tabs>
          <w:tab w:val="num" w:pos="709"/>
        </w:tabs>
      </w:pPr>
      <w:r>
        <w:t>Our preliminary view is that legislative reform may be desirable to clarify the scope of the hearsay provisions. The question then becomes, as a matter of policy, how the Act should respond to situations where a person has a good reason or “just excuse” not to give evidence.</w:t>
      </w:r>
    </w:p>
    <w:p w14:paraId="4096E500" w14:textId="0AA36206" w:rsidR="00024697" w:rsidRDefault="00024697" w:rsidP="009F4F6E">
      <w:pPr>
        <w:pStyle w:val="BodyText"/>
        <w:tabs>
          <w:tab w:val="num" w:pos="709"/>
        </w:tabs>
      </w:pPr>
      <w:r>
        <w:t>This question engages fundamental and competing public interests.</w:t>
      </w:r>
      <w:r>
        <w:rPr>
          <w:rStyle w:val="FootnoteReference"/>
        </w:rPr>
        <w:footnoteReference w:id="145"/>
      </w:r>
      <w:r>
        <w:t xml:space="preserve"> As a general rule, it is in the interests of justice that all relevant information should be available to the fact-finder. It is also important to consider the interests of the witness. In some cases</w:t>
      </w:r>
      <w:r w:rsidR="002C0031">
        <w:t>,</w:t>
      </w:r>
      <w:r>
        <w:t xml:space="preserve"> a witness may face adverse consequences if they give evidence, such as intimidation or retaliation. However, relying on hearsay statements means that a defendant is deprived of the opportunity to challenge that evidence in cross-examination. This engages a defendant’s </w:t>
      </w:r>
      <w:r>
        <w:lastRenderedPageBreak/>
        <w:t>fundamental right to a fair trial, which is enshrined under the New Zealand Bill of Rights Act 1990 and includes the right to cross-examine witnesses.</w:t>
      </w:r>
      <w:r>
        <w:rPr>
          <w:rStyle w:val="FootnoteReference"/>
        </w:rPr>
        <w:footnoteReference w:id="146"/>
      </w:r>
    </w:p>
    <w:p w14:paraId="77DC1A7F" w14:textId="77777777" w:rsidR="00024697" w:rsidRDefault="00024697" w:rsidP="00024697">
      <w:pPr>
        <w:pStyle w:val="Heading3"/>
      </w:pPr>
      <w:r>
        <w:t>Options for reform</w:t>
      </w:r>
    </w:p>
    <w:p w14:paraId="51F170BF" w14:textId="77777777" w:rsidR="00024697" w:rsidRDefault="00024697" w:rsidP="009F4F6E">
      <w:pPr>
        <w:pStyle w:val="BodyText"/>
        <w:tabs>
          <w:tab w:val="num" w:pos="709"/>
        </w:tabs>
      </w:pPr>
      <w:r>
        <w:t>There are, broadly speaking, two opposing legislative options for reform, which reflect the stark policy choice involved.</w:t>
      </w:r>
    </w:p>
    <w:p w14:paraId="367F3DE8" w14:textId="77777777" w:rsidR="00024697" w:rsidRDefault="00024697" w:rsidP="00024697">
      <w:pPr>
        <w:pStyle w:val="Heading4"/>
      </w:pPr>
      <w:r w:rsidRPr="00184EDB">
        <w:t xml:space="preserve">Option 1: </w:t>
      </w:r>
      <w:r>
        <w:t xml:space="preserve">Clarify that there is no jurisdiction to admit hearsay from </w:t>
      </w:r>
      <w:r w:rsidRPr="00184EDB">
        <w:t>people excused from giving evidence</w:t>
      </w:r>
    </w:p>
    <w:p w14:paraId="4A76C40C" w14:textId="77777777" w:rsidR="00024697" w:rsidRDefault="00024697" w:rsidP="009F4F6E">
      <w:pPr>
        <w:pStyle w:val="BodyText"/>
        <w:tabs>
          <w:tab w:val="num" w:pos="709"/>
        </w:tabs>
      </w:pPr>
      <w:r>
        <w:t xml:space="preserve">This option gives priority to a defendant’s right to a fair trial by clarifying that a person who is available as a witness and compellable to give evidence must be available for cross-examination if their evidence is to be admitted in court. This option could be achieved by amending the Act to clarify that “compellability” for hearsay purposes is defined by sections 71 to 75 of the Act. This would respond to the question raised in </w:t>
      </w:r>
      <w:r w:rsidRPr="00A16A01">
        <w:rPr>
          <w:i/>
          <w:iCs/>
        </w:rPr>
        <w:t xml:space="preserve">Awatere </w:t>
      </w:r>
      <w:r>
        <w:t>and confirm that the term “compellable to give evidence” in section 16 is to be given its meaning in the Act rather than being modified or glossed by section 165 of the Criminal Procedure Act.</w:t>
      </w:r>
      <w:r>
        <w:rPr>
          <w:rStyle w:val="FootnoteReference"/>
        </w:rPr>
        <w:footnoteReference w:id="147"/>
      </w:r>
    </w:p>
    <w:p w14:paraId="494BE73C" w14:textId="77777777" w:rsidR="00024697" w:rsidRDefault="00024697" w:rsidP="009F4F6E">
      <w:pPr>
        <w:pStyle w:val="BodyText"/>
        <w:tabs>
          <w:tab w:val="num" w:pos="709"/>
        </w:tabs>
      </w:pPr>
      <w:r>
        <w:t>Under this option, concerns about witnesses who may have a good reason for not giving evidence would need to be addressed through the Act’s provision of alternative ways of giving evidence.</w:t>
      </w:r>
      <w:r>
        <w:rPr>
          <w:rStyle w:val="FootnoteReference"/>
        </w:rPr>
        <w:footnoteReference w:id="148"/>
      </w:r>
    </w:p>
    <w:p w14:paraId="7FF2D1B1" w14:textId="77777777" w:rsidR="00024697" w:rsidRDefault="00024697" w:rsidP="009F4F6E">
      <w:pPr>
        <w:pStyle w:val="BodyText"/>
        <w:tabs>
          <w:tab w:val="num" w:pos="709"/>
        </w:tabs>
      </w:pPr>
      <w:r w:rsidRPr="005A3919">
        <w:t xml:space="preserve">There is some support for this approach. One commentator, writing on the High Court decision in </w:t>
      </w:r>
      <w:r w:rsidRPr="005A3919">
        <w:rPr>
          <w:i/>
          <w:iCs/>
        </w:rPr>
        <w:t>Awatere</w:t>
      </w:r>
      <w:r w:rsidR="00E17AA6" w:rsidRPr="00E17AA6">
        <w:t>,</w:t>
      </w:r>
      <w:r w:rsidRPr="005A3919">
        <w:rPr>
          <w:i/>
          <w:iCs/>
        </w:rPr>
        <w:t xml:space="preserve"> </w:t>
      </w:r>
      <w:r>
        <w:t xml:space="preserve">has </w:t>
      </w:r>
      <w:r w:rsidRPr="005A3919">
        <w:t>argued that any extension of the exception</w:t>
      </w:r>
      <w:r>
        <w:t>s</w:t>
      </w:r>
      <w:r w:rsidRPr="005A3919">
        <w:t xml:space="preserve"> to the </w:t>
      </w:r>
      <w:r>
        <w:t xml:space="preserve">rule against </w:t>
      </w:r>
      <w:r w:rsidRPr="005A3919">
        <w:t>hearsay to encompass statements of witnesses who “choose not to give evidence” would tilt the balance too far against the accused by precluding cross-examination.</w:t>
      </w:r>
      <w:r w:rsidRPr="005A3919">
        <w:rPr>
          <w:rStyle w:val="FootnoteReference"/>
        </w:rPr>
        <w:footnoteReference w:id="149"/>
      </w:r>
      <w:r w:rsidRPr="005A3919">
        <w:t xml:space="preserve"> They suggest that a decision by the court </w:t>
      </w:r>
      <w:r>
        <w:t xml:space="preserve">to excuse a person from </w:t>
      </w:r>
      <w:r w:rsidRPr="005A3919">
        <w:t>giv</w:t>
      </w:r>
      <w:r>
        <w:t>ing</w:t>
      </w:r>
      <w:r w:rsidRPr="005A3919">
        <w:t xml:space="preserve"> evidence, or a failure of the existing sanctions to facilitate a person giving evidence, should not result in the admission of hearsay. Rather, “[i]t is simply the nature of criminal law that in some cases there will be insufficient admissible evidence on which to base a conviction”.</w:t>
      </w:r>
      <w:r w:rsidRPr="005A3919">
        <w:rPr>
          <w:rStyle w:val="FootnoteReference"/>
        </w:rPr>
        <w:footnoteReference w:id="150"/>
      </w:r>
    </w:p>
    <w:p w14:paraId="21637EE5" w14:textId="77777777" w:rsidR="00024697" w:rsidRDefault="00024697" w:rsidP="009F4F6E">
      <w:pPr>
        <w:pStyle w:val="BodyText"/>
        <w:tabs>
          <w:tab w:val="num" w:pos="709"/>
        </w:tabs>
      </w:pPr>
      <w:r>
        <w:t xml:space="preserve">This option seems broadly consistent with Parliament’s intention when passing the Act. The policy history discussed above demonstrates that consideration was given to different situations where a witness may have a good reason for not giving evidence. Ultimately, greater weight was placed on the defendant’s fair trial rights, the importance </w:t>
      </w:r>
      <w:r>
        <w:lastRenderedPageBreak/>
        <w:t>of preserving the availability of cross-examination, and the availability of alternative ways of giving evidence.</w:t>
      </w:r>
      <w:r>
        <w:rPr>
          <w:rStyle w:val="FootnoteReference"/>
        </w:rPr>
        <w:footnoteReference w:id="151"/>
      </w:r>
    </w:p>
    <w:p w14:paraId="0107D9F5" w14:textId="77777777" w:rsidR="00024697" w:rsidRDefault="00024697" w:rsidP="00024697">
      <w:pPr>
        <w:pStyle w:val="Heading5"/>
      </w:pPr>
      <w:r>
        <w:t>Limitations of Option 1</w:t>
      </w:r>
    </w:p>
    <w:p w14:paraId="2541396A" w14:textId="77777777" w:rsidR="00024697" w:rsidRDefault="00024697" w:rsidP="009F4F6E">
      <w:pPr>
        <w:pStyle w:val="BodyText"/>
        <w:tabs>
          <w:tab w:val="num" w:pos="709"/>
        </w:tabs>
      </w:pPr>
      <w:r>
        <w:t>This option would not provide for situations where the defendant, through threats or other actions, causes a person to have a just excuse to not give evidence (discussed under Option 2 below).</w:t>
      </w:r>
    </w:p>
    <w:p w14:paraId="52444DD5" w14:textId="43A91279" w:rsidR="00024697" w:rsidRDefault="00024697" w:rsidP="009F4F6E">
      <w:pPr>
        <w:pStyle w:val="BodyText"/>
        <w:tabs>
          <w:tab w:val="num" w:pos="709"/>
        </w:tabs>
      </w:pPr>
      <w:r>
        <w:t xml:space="preserve">This option also leaves people who may have a good reason for not giving evidence in a difficult position. For example, </w:t>
      </w:r>
      <w:r w:rsidR="00933E79">
        <w:t>where</w:t>
      </w:r>
      <w:r>
        <w:t xml:space="preserve"> there is no way for the prosecution to prove a family violence charge without the complainant’s evidence, and no way to admit the complainant’s hearsay statement even if they have a good reason for not giving evidence, then the prosecution needs to summon that complainant under threat of imprisonment for not complying with the summons and, if necessary, have them declared hostile in court in order to admit their previous statement as evidence.</w:t>
      </w:r>
      <w:r>
        <w:rPr>
          <w:rStyle w:val="FootnoteReference"/>
        </w:rPr>
        <w:footnoteReference w:id="152"/>
      </w:r>
      <w:r>
        <w:t xml:space="preserve"> These issues have long been recognised.</w:t>
      </w:r>
      <w:r>
        <w:rPr>
          <w:rStyle w:val="FootnoteReference"/>
        </w:rPr>
        <w:footnoteReference w:id="153"/>
      </w:r>
      <w:r>
        <w:t xml:space="preserve"> As the Commission observed in its 1994 Preliminary Paper on privilege:</w:t>
      </w:r>
      <w:r>
        <w:rPr>
          <w:rStyle w:val="FootnoteReference"/>
        </w:rPr>
        <w:footnoteReference w:id="154"/>
      </w:r>
    </w:p>
    <w:p w14:paraId="216ABDCF" w14:textId="77777777" w:rsidR="00024697" w:rsidRDefault="00024697" w:rsidP="00024697">
      <w:pPr>
        <w:pStyle w:val="Quote"/>
      </w:pPr>
      <w:r w:rsidRPr="00336D0C">
        <w:t>The public may well question the adequacy of a justice system in which a battered woman who refuses to testify against her partner is imprisoned for contempt while the defendant goes free</w:t>
      </w:r>
      <w:r>
        <w:t>.</w:t>
      </w:r>
    </w:p>
    <w:p w14:paraId="17006CB1" w14:textId="77777777" w:rsidR="00024697" w:rsidRDefault="00024697" w:rsidP="009F4F6E">
      <w:pPr>
        <w:pStyle w:val="BodyText"/>
      </w:pPr>
      <w:r>
        <w:t>This option also fails to resolve some of the anomalies under the Act. If, for example, a complainant who fears retaliation is successful in avoiding Police, then their reliable hearsay statement can be admitted on the basis that they “cannot with reasonable diligence be… found”.</w:t>
      </w:r>
      <w:r>
        <w:rPr>
          <w:rStyle w:val="FootnoteReference"/>
        </w:rPr>
        <w:footnoteReference w:id="155"/>
      </w:r>
      <w:r>
        <w:t xml:space="preserve"> Similarly, if a person is outside Aotearoa New Zealand, their fear of retaliation for giving evidence can be considered when determining whether it is “reasonably practicable” for them to be a witness.</w:t>
      </w:r>
      <w:r>
        <w:rPr>
          <w:rStyle w:val="FootnoteReference"/>
        </w:rPr>
        <w:footnoteReference w:id="156"/>
      </w:r>
      <w:r>
        <w:t xml:space="preserve"> If, however, they are found in Aotearoa New Zealand and are compelled to attend court but refuse to give evidence (regardless of the legal sanctions they face for refusing to do so), their hearsay statement is inadmissible regardless of its reliability. </w:t>
      </w:r>
    </w:p>
    <w:p w14:paraId="06568883" w14:textId="788FDBA1" w:rsidR="00024697" w:rsidRDefault="00024697" w:rsidP="009F4F6E">
      <w:pPr>
        <w:pStyle w:val="BodyText"/>
      </w:pPr>
      <w:r>
        <w:t xml:space="preserve">The cases discussed above suggest that there will be situations where the court does not consider it to be in the interests of justice to exclude hearsay statements from a person who has a good reason for not giving evidence. This option would not accommodate these situations. It is also arguable that such a restrictive approach is not necessary to </w:t>
      </w:r>
      <w:r>
        <w:lastRenderedPageBreak/>
        <w:t>preserve a defendant’s fair trial rights provided there are other adequate safeguards. We address this further under Option 2.</w:t>
      </w:r>
    </w:p>
    <w:p w14:paraId="40BFC4A2" w14:textId="77777777" w:rsidR="00024697" w:rsidRDefault="00024697" w:rsidP="00024697">
      <w:pPr>
        <w:pStyle w:val="Heading4"/>
      </w:pPr>
      <w:r>
        <w:t>Option 2: A new discretion to admit a hearsay statement when a person has a good reason not to give evidence</w:t>
      </w:r>
    </w:p>
    <w:p w14:paraId="17E759CA" w14:textId="77777777" w:rsidR="00024697" w:rsidRDefault="00024697" w:rsidP="009F4F6E">
      <w:pPr>
        <w:pStyle w:val="BodyText"/>
      </w:pPr>
      <w:r>
        <w:t xml:space="preserve">This option would expand the situations in which a person’s hearsay statement could be admitted. It could be achieved by introducing a new category of “unavailability” in section 16(2) or providing a new alternative to the unavailability requirement in section 18(1)(b). </w:t>
      </w:r>
    </w:p>
    <w:p w14:paraId="216C532E" w14:textId="77777777" w:rsidR="00024697" w:rsidRDefault="00024697" w:rsidP="009F4F6E">
      <w:pPr>
        <w:pStyle w:val="BodyText"/>
      </w:pPr>
      <w:r>
        <w:t>The objective of this option would be to ensure relevant and reliable information is available to the court when it considers a person should not be required to give evidence.</w:t>
      </w:r>
    </w:p>
    <w:p w14:paraId="53BFD969" w14:textId="7E89A087" w:rsidR="00024697" w:rsidRDefault="00024697" w:rsidP="009F4F6E">
      <w:pPr>
        <w:pStyle w:val="BodyText"/>
      </w:pPr>
      <w:r>
        <w:t>We have adopted the language of “good reason” in this discussion to avoid conflating this option with a finding of “just excuse” under section 165 of the Criminal Procedure Act.</w:t>
      </w:r>
      <w:r>
        <w:rPr>
          <w:rStyle w:val="FootnoteReference"/>
        </w:rPr>
        <w:footnoteReference w:id="157"/>
      </w:r>
      <w:r>
        <w:t xml:space="preserve"> Requiring a finding of “just excuse” under the Criminal Procedure Act to engage the hearsay provisions would result in procedural difficulties. A judge can only exercise </w:t>
      </w:r>
      <w:r w:rsidR="00BB637A">
        <w:t>their</w:t>
      </w:r>
      <w:r>
        <w:t xml:space="preserve"> discretion under section 165 at the trial, and only if the person is present in court. Further, a determination under section 165 is also made for a separate purpose – to decide whether a witness should be detained in order to compel them to give evidence in court – not to decide whether their hearsay statement should be admissible. Different considerations are engaged, including, in the latter situation, the importance of the availability of cross-examination. For these reasons, under this option</w:t>
      </w:r>
      <w:r w:rsidR="000834B9">
        <w:t>,</w:t>
      </w:r>
      <w:r>
        <w:t xml:space="preserve"> we think a judge should be able to make a determination of “good reason” independently under the Act for the purposes of assessing the admissibility of a hearsay statement. The existing notice provision in section 22 of the Act requiring a party to give advance notice of an intention to offer a hearsay statement in evidence would apply. We discuss how “good reason” could be defined below.</w:t>
      </w:r>
    </w:p>
    <w:p w14:paraId="020478D9" w14:textId="77777777" w:rsidR="00024697" w:rsidRDefault="00024697" w:rsidP="009F4F6E">
      <w:pPr>
        <w:pStyle w:val="BodyText"/>
      </w:pPr>
      <w:r>
        <w:t>This option departs from the original underpinning policy of the hearsay provisions, discussed above. However, we think it is appropriate to reconsider whether the Act strikes the right balance between the competing public policy interests, given the problems identified in the case law outlined above, the criticism of the decision to abolish spousal non-compellability in the Act given its impact on victims of family violence,</w:t>
      </w:r>
      <w:r>
        <w:rPr>
          <w:rStyle w:val="FootnoteReference"/>
        </w:rPr>
        <w:footnoteReference w:id="158"/>
      </w:r>
      <w:r>
        <w:t xml:space="preserve"> and developments in international human rights law on this issue, which we discuss below.</w:t>
      </w:r>
    </w:p>
    <w:p w14:paraId="009CDF4C" w14:textId="77777777" w:rsidR="00024697" w:rsidRDefault="00024697" w:rsidP="009F4F6E">
      <w:pPr>
        <w:pStyle w:val="BodyText"/>
      </w:pPr>
      <w:r>
        <w:t>This option would address concerns identified by some commentators,</w:t>
      </w:r>
      <w:r>
        <w:rPr>
          <w:rStyle w:val="FootnoteReference"/>
        </w:rPr>
        <w:footnoteReference w:id="159"/>
      </w:r>
      <w:r>
        <w:t xml:space="preserve"> and is broadly consistent with more expansive approaches taken in comparable jurisdictions.</w:t>
      </w:r>
      <w:r>
        <w:rPr>
          <w:rStyle w:val="FootnoteReference"/>
        </w:rPr>
        <w:footnoteReference w:id="160"/>
      </w:r>
      <w:r>
        <w:t xml:space="preserve"> Of most assistance is the approach in England and Wales.</w:t>
      </w:r>
    </w:p>
    <w:p w14:paraId="1D2F1E83" w14:textId="77777777" w:rsidR="00024697" w:rsidRDefault="00024697" w:rsidP="00024697">
      <w:pPr>
        <w:pStyle w:val="Heading5"/>
      </w:pPr>
      <w:r>
        <w:lastRenderedPageBreak/>
        <w:t>The fear-based approach in England and Wales</w:t>
      </w:r>
    </w:p>
    <w:p w14:paraId="33B23F08" w14:textId="77777777" w:rsidR="00024697" w:rsidRDefault="00024697" w:rsidP="009F4F6E">
      <w:pPr>
        <w:pStyle w:val="BodyText"/>
      </w:pPr>
      <w:r>
        <w:t>The Criminal Justice Act 2003 (UK) includes similar categories of unavailability for hearsay purposes as the Act, with one notable additional category, which applies when:</w:t>
      </w:r>
      <w:r>
        <w:rPr>
          <w:rStyle w:val="FootnoteReference"/>
        </w:rPr>
        <w:footnoteReference w:id="161"/>
      </w:r>
    </w:p>
    <w:p w14:paraId="5828EC7C" w14:textId="77777777" w:rsidR="00024697" w:rsidRDefault="00024697" w:rsidP="00024697">
      <w:pPr>
        <w:pStyle w:val="Quote"/>
      </w:pPr>
      <w:r>
        <w:t>… t</w:t>
      </w:r>
      <w:r w:rsidRPr="00090A29">
        <w:t>hrough fear the relevant person does not give (or does not continue to give) oral evidence in the proceedings, either at all or in connection with the subject matter of the statement, and the court gives leave for the statement to be given in evidenc</w:t>
      </w:r>
      <w:r>
        <w:t>e.</w:t>
      </w:r>
    </w:p>
    <w:p w14:paraId="350539AF" w14:textId="7E30E6D1" w:rsidR="00024697" w:rsidRDefault="00024697" w:rsidP="009F4F6E">
      <w:pPr>
        <w:pStyle w:val="BodyText"/>
      </w:pPr>
      <w:r>
        <w:t>The term “f</w:t>
      </w:r>
      <w:r w:rsidRPr="00B83AE7">
        <w:t>e</w:t>
      </w:r>
      <w:r w:rsidR="00803539">
        <w:t xml:space="preserve">ar” </w:t>
      </w:r>
      <w:r w:rsidRPr="00B83AE7">
        <w:t xml:space="preserve">is to be </w:t>
      </w:r>
      <w:r>
        <w:t>“</w:t>
      </w:r>
      <w:r w:rsidRPr="00B83AE7">
        <w:t>widely construed</w:t>
      </w:r>
      <w:r>
        <w:t xml:space="preserve">” and includes </w:t>
      </w:r>
      <w:r w:rsidRPr="00B83AE7">
        <w:t>fear of the death or injury of another person or of financial loss.</w:t>
      </w:r>
      <w:r>
        <w:rPr>
          <w:rStyle w:val="FootnoteReference"/>
        </w:rPr>
        <w:footnoteReference w:id="162"/>
      </w:r>
      <w:r>
        <w:t xml:space="preserve"> A</w:t>
      </w:r>
      <w:r w:rsidRPr="0000072B">
        <w:t>n</w:t>
      </w:r>
      <w:r>
        <w:t>y</w:t>
      </w:r>
      <w:r w:rsidRPr="0000072B">
        <w:t xml:space="preserve"> application </w:t>
      </w:r>
      <w:r>
        <w:t xml:space="preserve">to admit hearsay evidence under the “fear” category may be granted </w:t>
      </w:r>
      <w:r w:rsidRPr="0000072B">
        <w:t>only if the court considers that the statement ought to be admitted in the interests of justice</w:t>
      </w:r>
      <w:r>
        <w:t>.</w:t>
      </w:r>
      <w:r>
        <w:rPr>
          <w:rStyle w:val="FootnoteReference"/>
        </w:rPr>
        <w:footnoteReference w:id="163"/>
      </w:r>
      <w:r>
        <w:t xml:space="preserve"> In doing so, the court must have regard to the statement’s contents, any risk that its admission or exclusion will result in unfairness to any party to the proceedings (and</w:t>
      </w:r>
      <w:r w:rsidR="00CF3C71">
        <w:t>,</w:t>
      </w:r>
      <w:r>
        <w:t xml:space="preserve"> in particular</w:t>
      </w:r>
      <w:r w:rsidR="004C00A0">
        <w:t>,</w:t>
      </w:r>
      <w:r>
        <w:t xml:space="preserve"> to how difficult it will be to challenge the statement if the relevant person does not give oral evidence) and, in appropriate cases, the fact that special measures for the giving of evidence by “fearful witnesses” could be made.</w:t>
      </w:r>
      <w:r>
        <w:rPr>
          <w:rStyle w:val="FootnoteReference"/>
        </w:rPr>
        <w:footnoteReference w:id="164"/>
      </w:r>
    </w:p>
    <w:p w14:paraId="2482CEA2" w14:textId="77777777" w:rsidR="00024697" w:rsidRDefault="00024697" w:rsidP="009F4F6E">
      <w:pPr>
        <w:pStyle w:val="BodyText"/>
      </w:pPr>
      <w:r>
        <w:t>The Criminal Justice Act also provides a residual discretion for the judge to admit hearsay evidence if satisfied that it is in the interests of justice, having regard to a range of prescribed considerations.</w:t>
      </w:r>
      <w:r>
        <w:rPr>
          <w:rStyle w:val="FootnoteReference"/>
        </w:rPr>
        <w:footnoteReference w:id="165"/>
      </w:r>
    </w:p>
    <w:p w14:paraId="493DF172" w14:textId="77777777" w:rsidR="00024697" w:rsidRDefault="00024697" w:rsidP="00024697">
      <w:pPr>
        <w:pStyle w:val="Heading5"/>
      </w:pPr>
      <w:r>
        <w:t>Grand Chamber consideration of the fear-based approach</w:t>
      </w:r>
    </w:p>
    <w:p w14:paraId="68647F06" w14:textId="77777777" w:rsidR="00024697" w:rsidRPr="00C01A56" w:rsidRDefault="00024697" w:rsidP="009F4F6E">
      <w:pPr>
        <w:pStyle w:val="BodyText"/>
      </w:pPr>
      <w:r>
        <w:t>The Grand Chamber of the European Court of Human Rights (Grand Chamber) considered whether the category for “fear” is compatible with fair trial rights (including the right to cross-examine)</w:t>
      </w:r>
      <w:r>
        <w:rPr>
          <w:rStyle w:val="FootnoteReference"/>
        </w:rPr>
        <w:footnoteReference w:id="166"/>
      </w:r>
      <w:r>
        <w:t xml:space="preserve"> in </w:t>
      </w:r>
      <w:r>
        <w:rPr>
          <w:i/>
          <w:iCs/>
        </w:rPr>
        <w:t>Al Khawaja and Tahery v United Kingdom.</w:t>
      </w:r>
      <w:r w:rsidRPr="00E81FC0">
        <w:rPr>
          <w:rStyle w:val="FootnoteReference"/>
        </w:rPr>
        <w:footnoteReference w:id="167"/>
      </w:r>
    </w:p>
    <w:p w14:paraId="7269F67F" w14:textId="6298409F" w:rsidR="00024697" w:rsidRDefault="00024697" w:rsidP="009F4F6E">
      <w:pPr>
        <w:pStyle w:val="BodyText"/>
      </w:pPr>
      <w:r>
        <w:t xml:space="preserve">The Grand Chamber observed there were two requirements </w:t>
      </w:r>
      <w:r w:rsidR="00501BAA">
        <w:t>that</w:t>
      </w:r>
      <w:r>
        <w:t xml:space="preserve"> follow from the general principle that the accused should be given an opportunity to challenge and question a witness against them:</w:t>
      </w:r>
      <w:r>
        <w:rPr>
          <w:rStyle w:val="FootnoteReference"/>
        </w:rPr>
        <w:footnoteReference w:id="168"/>
      </w:r>
    </w:p>
    <w:p w14:paraId="662266DD" w14:textId="77777777" w:rsidR="00024697" w:rsidRDefault="00024697" w:rsidP="00024697">
      <w:pPr>
        <w:pStyle w:val="Quote"/>
      </w:pPr>
      <w:r w:rsidRPr="0051105F">
        <w:lastRenderedPageBreak/>
        <w:t>First, there must be a good reason for the non-attendance of a witness. Second, when a conviction is based solely or to a decisive degree on depositions that have been made by a person whom the accused has had no opportunity to examine or to have examined, whether during the investigation or at the trial, the rights of the defence may be restricted to an extent that is incompatible with the guarantees provided by Article 6</w:t>
      </w:r>
      <w:r>
        <w:t>.</w:t>
      </w:r>
    </w:p>
    <w:p w14:paraId="50D10885" w14:textId="3703B05E" w:rsidR="00024697" w:rsidRDefault="00024697" w:rsidP="009F4F6E">
      <w:pPr>
        <w:pStyle w:val="BodyText"/>
      </w:pPr>
      <w:r>
        <w:t>The Grand Chamber went on to discuss whether absence owing to fear is a “good reason” for non-attendance.</w:t>
      </w:r>
      <w:r>
        <w:rPr>
          <w:rStyle w:val="FootnoteReference"/>
        </w:rPr>
        <w:footnoteReference w:id="169"/>
      </w:r>
      <w:r>
        <w:t xml:space="preserve"> A distinction was drawn between two types of fear: fear </w:t>
      </w:r>
      <w:r w:rsidR="00831A57">
        <w:t>that</w:t>
      </w:r>
      <w:r>
        <w:t xml:space="preserve"> was attributable to threats or other actions of the defendant or those acting on their behalf, and fear </w:t>
      </w:r>
      <w:r w:rsidR="00831A57">
        <w:t>that</w:t>
      </w:r>
      <w:r>
        <w:t xml:space="preserve"> is attributable to a more general fear of what will happen if they give evidence at trial.</w:t>
      </w:r>
      <w:r>
        <w:rPr>
          <w:rStyle w:val="FootnoteReference"/>
        </w:rPr>
        <w:footnoteReference w:id="170"/>
      </w:r>
      <w:r>
        <w:t xml:space="preserve"> In relation to fear attributable to the defendant or those acting on their behalf, the Grand Chamber considered that:</w:t>
      </w:r>
      <w:r>
        <w:rPr>
          <w:rStyle w:val="FootnoteReference"/>
        </w:rPr>
        <w:footnoteReference w:id="171"/>
      </w:r>
    </w:p>
    <w:p w14:paraId="7E40C728" w14:textId="77777777" w:rsidR="00024697" w:rsidRDefault="00024697" w:rsidP="00024697">
      <w:pPr>
        <w:pStyle w:val="Quote"/>
      </w:pPr>
      <w:r w:rsidRPr="006B11CF">
        <w:t xml:space="preserve">… it is appropriate to allow the evidence of that witness to be introduced at trial without the need for the witness to give live evidence or be examined by the defendant or his representatives – even if such evidence was the sole or decisive evidence against the defendant. To allow the defendant to benefit from the fear he has engendered in witnesses would be incompatible with the rights of victims and witnesses. No court could be expected to allow the integrity of its proceedings to be subverted in this way. Consequently, a defendant who has acted in this manner must be taken to have waived his rights to question such witnesses under Article 6 </w:t>
      </w:r>
      <w:r w:rsidRPr="006B11CF">
        <w:rPr>
          <w:rFonts w:ascii="Calibri" w:hAnsi="Calibri" w:cs="Calibri"/>
        </w:rPr>
        <w:t>§</w:t>
      </w:r>
      <w:r w:rsidRPr="006B11CF">
        <w:t xml:space="preserve"> 3(d). The same conclusion must apply when the threats or actions which lead to the witness being afraid to testify come from those who act on behalf of the defendant or with his knowledge and approval.</w:t>
      </w:r>
    </w:p>
    <w:p w14:paraId="16253881" w14:textId="77777777" w:rsidR="00024697" w:rsidRDefault="00024697" w:rsidP="009F4F6E">
      <w:pPr>
        <w:pStyle w:val="BodyText"/>
      </w:pPr>
      <w:r>
        <w:t>The Grand Chamber acknowledged the concern that it was “notoriously difficult” for any court to be certain that a defendant had threatened a witness but considered that such difficulties were “not insuperable”.</w:t>
      </w:r>
      <w:r>
        <w:rPr>
          <w:rStyle w:val="FootnoteReference"/>
        </w:rPr>
        <w:footnoteReference w:id="172"/>
      </w:r>
    </w:p>
    <w:p w14:paraId="2CF560CA" w14:textId="77777777" w:rsidR="00024697" w:rsidRDefault="00024697" w:rsidP="009F4F6E">
      <w:pPr>
        <w:pStyle w:val="BodyText"/>
      </w:pPr>
      <w:r>
        <w:t>In relation to the “more common” situation, where fear is attributable to a general fear of the consequences of giving evidence, the Grand Chamber observed:</w:t>
      </w:r>
      <w:r>
        <w:rPr>
          <w:rStyle w:val="FootnoteReference"/>
        </w:rPr>
        <w:footnoteReference w:id="173"/>
      </w:r>
    </w:p>
    <w:p w14:paraId="5C8EFA80" w14:textId="77777777" w:rsidR="00024697" w:rsidRDefault="00024697" w:rsidP="00024697">
      <w:pPr>
        <w:pStyle w:val="Quote"/>
      </w:pPr>
      <w:r w:rsidRPr="00614E88">
        <w:t>There is … no requirement that a witness’s fear be attributable directly to threats made by the defendant in order for that witness to be excused from giving evidence at trial. Moreover, fear of death or injury of another person or of financial loss are all relevant considerations in determining whether a witness should not be required to give oral evidence. This does not mean, however, that any subjective fear of the witness will suffice. The trial court must conduct appropriate enquiries to determine first, whether or not there are objective grounds for that fear, and, second, whether those objective grounds are supported by evidence …</w:t>
      </w:r>
    </w:p>
    <w:p w14:paraId="742CE786" w14:textId="77777777" w:rsidR="00024697" w:rsidRDefault="00024697" w:rsidP="009F4F6E">
      <w:pPr>
        <w:pStyle w:val="BodyText"/>
      </w:pPr>
      <w:r>
        <w:t>The Grand Chamber emphasised that the admission of hearsay statements “must be a measure of last resort”, and the trial court must be satisfied that all available alternatives, such as witness anonymity and other special measures, would be inappropriate or impracticable.</w:t>
      </w:r>
      <w:r>
        <w:rPr>
          <w:rStyle w:val="FootnoteReference"/>
        </w:rPr>
        <w:footnoteReference w:id="174"/>
      </w:r>
    </w:p>
    <w:p w14:paraId="79BAF683" w14:textId="77777777" w:rsidR="00024697" w:rsidRDefault="00024697" w:rsidP="009F4F6E">
      <w:pPr>
        <w:pStyle w:val="BodyText"/>
      </w:pPr>
      <w:r>
        <w:t xml:space="preserve">The Grand Chamber went on to conclude that, where a hearsay statement is the sole or decisive evidence against a defendant, its admission will not automatically result in a </w:t>
      </w:r>
      <w:r>
        <w:lastRenderedPageBreak/>
        <w:t>breach of fair trial rights relating to cross-examination. However, any court must “subject the proceedings to the most searching scrutiny”.</w:t>
      </w:r>
      <w:r>
        <w:rPr>
          <w:rStyle w:val="FootnoteReference"/>
        </w:rPr>
        <w:footnoteReference w:id="175"/>
      </w:r>
      <w:r>
        <w:t xml:space="preserve"> An important factor in any assessment will be the presence of “sufficient counterbalancing factors”, including the existence of strong procedural safeguards.</w:t>
      </w:r>
      <w:r>
        <w:rPr>
          <w:rStyle w:val="FootnoteReference"/>
        </w:rPr>
        <w:footnoteReference w:id="176"/>
      </w:r>
    </w:p>
    <w:p w14:paraId="14900318" w14:textId="77777777" w:rsidR="00024697" w:rsidRDefault="00024697" w:rsidP="009F4F6E">
      <w:pPr>
        <w:pStyle w:val="BodyText"/>
      </w:pPr>
      <w:bookmarkStart w:id="71" w:name="_Ref125465577"/>
      <w:r>
        <w:t>The Grand Chamber considered the safeguards in the Criminal Procedure Act (UK) were, in principle, strong safeguards designed to ensure fairness.</w:t>
      </w:r>
      <w:r>
        <w:rPr>
          <w:rStyle w:val="FootnoteReference"/>
        </w:rPr>
        <w:footnoteReference w:id="177"/>
      </w:r>
      <w:r>
        <w:t xml:space="preserve"> These include provision to admit evidence relevant to the credibility of the maker of the hearsay statement even where that evidence would not have been admissible had the person given evidence in court,</w:t>
      </w:r>
      <w:r>
        <w:rPr>
          <w:rStyle w:val="FootnoteReference"/>
        </w:rPr>
        <w:footnoteReference w:id="178"/>
      </w:r>
      <w:r>
        <w:t xml:space="preserve"> the residual discretion to refuse to admit a hearsay statement if satisfied that the case for its exclusion substantially outweighs the case for admitting it,</w:t>
      </w:r>
      <w:r>
        <w:rPr>
          <w:rStyle w:val="FootnoteReference"/>
        </w:rPr>
        <w:footnoteReference w:id="179"/>
      </w:r>
      <w:r>
        <w:t xml:space="preserve"> and the requirement that the judge stop the case if the hearsay evidence is “so unconvincing that, considering its importance to the case against the defendant, his conviction of the offence would be unsafe”.</w:t>
      </w:r>
      <w:r>
        <w:rPr>
          <w:rStyle w:val="FootnoteReference"/>
        </w:rPr>
        <w:footnoteReference w:id="180"/>
      </w:r>
      <w:bookmarkEnd w:id="71"/>
    </w:p>
    <w:p w14:paraId="73D35ACD" w14:textId="77777777" w:rsidR="00024697" w:rsidRDefault="00024697" w:rsidP="00024697">
      <w:pPr>
        <w:pStyle w:val="Heading5"/>
      </w:pPr>
      <w:r>
        <w:t>How would “good reason” be defined?</w:t>
      </w:r>
    </w:p>
    <w:p w14:paraId="0E4F5553" w14:textId="77777777" w:rsidR="00024697" w:rsidRDefault="00024697" w:rsidP="009F4F6E">
      <w:pPr>
        <w:pStyle w:val="BodyText"/>
      </w:pPr>
      <w:r>
        <w:t>This option could introduce a discretion that simply applies when a judge is satisfied that a person has a good reason not to give evidence. Alternatively, more focused language could be adopted, such as the formulation of “fear” in England and Wales. The benefit of the latter approach is that existing case law would provide some guidance as to how it should be applied in the Aotearoa New Zealand context. It would, however, potentially be narrower than a general “good reason” formulation.</w:t>
      </w:r>
    </w:p>
    <w:p w14:paraId="14890588" w14:textId="77777777" w:rsidR="00024697" w:rsidRDefault="00024697" w:rsidP="009F4F6E">
      <w:pPr>
        <w:pStyle w:val="BodyText"/>
      </w:pPr>
      <w:r>
        <w:t>We have identified two broad subcategories that could potentially warrant inclusion within any new discretionary category:</w:t>
      </w:r>
    </w:p>
    <w:p w14:paraId="67A5E49B" w14:textId="7075DFF2" w:rsidR="00024697" w:rsidRDefault="00024697" w:rsidP="00866891">
      <w:pPr>
        <w:pStyle w:val="BodyTextnonum"/>
        <w:numPr>
          <w:ilvl w:val="3"/>
          <w:numId w:val="27"/>
        </w:numPr>
      </w:pPr>
      <w:r>
        <w:rPr>
          <w:b/>
          <w:bCs/>
        </w:rPr>
        <w:t xml:space="preserve">When </w:t>
      </w:r>
      <w:r w:rsidRPr="00E80CEA">
        <w:rPr>
          <w:b/>
          <w:bCs/>
        </w:rPr>
        <w:t>a person is subjected to intimidation attributable to the defendant</w:t>
      </w:r>
      <w:r w:rsidR="00B73F92">
        <w:rPr>
          <w:b/>
          <w:bCs/>
        </w:rPr>
        <w:t>.</w:t>
      </w:r>
      <w:r>
        <w:t xml:space="preserve"> This would apply where a judge is satisfied that a person has been intimidated by or on behalf of the defendant. There are good reasons for including this subcategory, as noted by the Grand Chamber and set out at paragraph </w:t>
      </w:r>
      <w:r w:rsidR="009B4FCD">
        <w:t>3.33</w:t>
      </w:r>
      <w:r>
        <w:t xml:space="preserve"> above. It would also provide a clear deterrent to defendants engaging in intimidatory tactics </w:t>
      </w:r>
      <w:r w:rsidR="00F932B1">
        <w:t>that</w:t>
      </w:r>
      <w:r>
        <w:t xml:space="preserve"> may otherwise interfere with the proper administration of justice. It may, however, be difficult to prove intimidation in any given case, so adopting this subcategory alone may have little utility in practice.</w:t>
      </w:r>
    </w:p>
    <w:p w14:paraId="624002F8" w14:textId="7AE2CDD2" w:rsidR="00024697" w:rsidRDefault="00024697" w:rsidP="00866891">
      <w:pPr>
        <w:pStyle w:val="BodyTextnonum"/>
        <w:numPr>
          <w:ilvl w:val="3"/>
          <w:numId w:val="27"/>
        </w:numPr>
      </w:pPr>
      <w:r w:rsidRPr="00735AFE">
        <w:rPr>
          <w:b/>
          <w:bCs/>
        </w:rPr>
        <w:t>When a person fears retaliation if they give evidence</w:t>
      </w:r>
      <w:r w:rsidR="00B73F92">
        <w:rPr>
          <w:b/>
          <w:bCs/>
        </w:rPr>
        <w:t>.</w:t>
      </w:r>
      <w:r>
        <w:t xml:space="preserve"> This could have most application in situations where a complainant is in a violent relationship with the defendant, but it would not necessarily be limited to such situations. To avoid infringing a defendant’s fair trial rights, this subcategory would require a high threshold. It would therefore, not be appropriate to regard this as a complete answer </w:t>
      </w:r>
      <w:r>
        <w:lastRenderedPageBreak/>
        <w:t xml:space="preserve">to “the vexed issue”, identified in </w:t>
      </w:r>
      <w:r>
        <w:rPr>
          <w:i/>
          <w:iCs/>
        </w:rPr>
        <w:t>Awatere</w:t>
      </w:r>
      <w:r>
        <w:t>,</w:t>
      </w:r>
      <w:r>
        <w:rPr>
          <w:i/>
          <w:iCs/>
        </w:rPr>
        <w:t xml:space="preserve"> </w:t>
      </w:r>
      <w:r>
        <w:t>of how the law of evidence, and the courts as a matter of practicality, deal with victims of family violence who, for reasons of fear, do not wish to give evidence.</w:t>
      </w:r>
      <w:r>
        <w:rPr>
          <w:rStyle w:val="FootnoteReference"/>
        </w:rPr>
        <w:footnoteReference w:id="181"/>
      </w:r>
      <w:r>
        <w:t xml:space="preserve"> For example, a fear of adverse social, emotional or financial consequences of giving evidence would be unlikely to qualify under this category.</w:t>
      </w:r>
      <w:r>
        <w:rPr>
          <w:rStyle w:val="FootnoteReference"/>
        </w:rPr>
        <w:footnoteReference w:id="182"/>
      </w:r>
      <w:r>
        <w:t xml:space="preserve"> As t</w:t>
      </w:r>
      <w:r w:rsidR="000D65CD">
        <w:t>e Kōti P</w:t>
      </w:r>
      <w:r w:rsidR="00F224E2">
        <w:t>ī</w:t>
      </w:r>
      <w:r w:rsidR="000D65CD">
        <w:t>ra |</w:t>
      </w:r>
      <w:r>
        <w:t xml:space="preserve"> Court of Appeal observed in the pre-Act case </w:t>
      </w:r>
      <w:r w:rsidRPr="005623C1">
        <w:rPr>
          <w:i/>
          <w:iCs/>
        </w:rPr>
        <w:t>R v Manase</w:t>
      </w:r>
      <w:r w:rsidRPr="005623C1">
        <w:t xml:space="preserve">, </w:t>
      </w:r>
      <w:r>
        <w:t>to admit hearsay evidence “simply because the witness would prefer not to face the ordeal or giving evidence or would find it difficult to do so … would be to tilt the balance too far against the accused”.</w:t>
      </w:r>
      <w:r>
        <w:rPr>
          <w:rStyle w:val="FootnoteReference"/>
        </w:rPr>
        <w:footnoteReference w:id="183"/>
      </w:r>
      <w:r>
        <w:t xml:space="preserve"> Additionally, satisfying a judge that they have good reason under this subcategory may be as much of a hurdle for a complainant as giving evidence.</w:t>
      </w:r>
      <w:r>
        <w:rPr>
          <w:rStyle w:val="FootnoteReference"/>
        </w:rPr>
        <w:footnoteReference w:id="184"/>
      </w:r>
      <w:r>
        <w:t xml:space="preserve"> Even if a complainant is excused, the fact that their hearsay statement is relied on in court instead will not necessarily protect them from future violence.</w:t>
      </w:r>
      <w:r>
        <w:rPr>
          <w:rStyle w:val="FootnoteReference"/>
        </w:rPr>
        <w:footnoteReference w:id="185"/>
      </w:r>
    </w:p>
    <w:p w14:paraId="4CBEDD2D" w14:textId="19BC54CD" w:rsidR="00024697" w:rsidRPr="005C63A4" w:rsidRDefault="00024697" w:rsidP="00BC14E7">
      <w:pPr>
        <w:pStyle w:val="BodyText"/>
        <w:tabs>
          <w:tab w:val="num" w:pos="709"/>
        </w:tabs>
      </w:pPr>
      <w:r>
        <w:t xml:space="preserve">People who may be too traumatised to give evidence can, we think, be considered under the existing category of unavailability that applies to people who are </w:t>
      </w:r>
      <w:r w:rsidRPr="005C63A4">
        <w:t>“unfit to be a witness because of age or physical or mental condition”</w:t>
      </w:r>
      <w:r>
        <w:t>.</w:t>
      </w:r>
      <w:r>
        <w:rPr>
          <w:rStyle w:val="FootnoteReference"/>
        </w:rPr>
        <w:footnoteReference w:id="186"/>
      </w:r>
      <w:r>
        <w:t xml:space="preserve"> </w:t>
      </w:r>
      <w:r w:rsidRPr="005C63A4">
        <w:t xml:space="preserve">As noted above, the Commission </w:t>
      </w:r>
      <w:r>
        <w:t xml:space="preserve">intended </w:t>
      </w:r>
      <w:r w:rsidRPr="005C63A4">
        <w:t>that</w:t>
      </w:r>
      <w:r>
        <w:t xml:space="preserve"> this </w:t>
      </w:r>
      <w:r w:rsidRPr="005C63A4">
        <w:t xml:space="preserve">would </w:t>
      </w:r>
      <w:r>
        <w:t xml:space="preserve">sufficiently </w:t>
      </w:r>
      <w:r w:rsidRPr="005C63A4">
        <w:t>cover people who are too traumatised to give evidence.</w:t>
      </w:r>
      <w:r w:rsidRPr="005C63A4">
        <w:rPr>
          <w:rStyle w:val="FootnoteReference"/>
        </w:rPr>
        <w:footnoteReference w:id="187"/>
      </w:r>
      <w:r w:rsidRPr="005C63A4">
        <w:t xml:space="preserve"> </w:t>
      </w:r>
      <w:r>
        <w:t>E</w:t>
      </w:r>
      <w:r w:rsidRPr="005C63A4">
        <w:t xml:space="preserve">arly case law </w:t>
      </w:r>
      <w:r>
        <w:t>interpreted this section as imposing a high threshold that required more than evidence that a person is “simply distressed or depressed”.</w:t>
      </w:r>
      <w:r>
        <w:rPr>
          <w:rStyle w:val="FootnoteReference"/>
        </w:rPr>
        <w:footnoteReference w:id="188"/>
      </w:r>
      <w:r>
        <w:t xml:space="preserve"> However, in the recent case of </w:t>
      </w:r>
      <w:r>
        <w:rPr>
          <w:i/>
          <w:iCs/>
        </w:rPr>
        <w:t>Downes v R</w:t>
      </w:r>
      <w:r w:rsidR="00BF7231">
        <w:t>,</w:t>
      </w:r>
      <w:r>
        <w:rPr>
          <w:i/>
          <w:iCs/>
        </w:rPr>
        <w:t xml:space="preserve"> </w:t>
      </w:r>
      <w:r>
        <w:t>the Court of Appeal preferred a different approach that appears to be more in line with the Commission’s original intention:</w:t>
      </w:r>
      <w:r>
        <w:rPr>
          <w:rStyle w:val="FootnoteReference"/>
        </w:rPr>
        <w:footnoteReference w:id="189"/>
      </w:r>
      <w:r>
        <w:t xml:space="preserve"> </w:t>
      </w:r>
    </w:p>
    <w:p w14:paraId="5137F591" w14:textId="77777777" w:rsidR="00024697" w:rsidRDefault="00024697" w:rsidP="00024697">
      <w:pPr>
        <w:pStyle w:val="Quote"/>
      </w:pPr>
      <w:r>
        <w:t xml:space="preserve">We do not consider that it is helpful to describe the threshold as “a high one”; the inquiry should focus on the statutory language without that gloss. The possibility that a pre-existing mental condition may have the effect of rendering a person unavailable to give evidence is expressly contemplated by the Act; whether it has that effect in a particular case turns on [an] “intensely factual” inquiry… </w:t>
      </w:r>
    </w:p>
    <w:p w14:paraId="6AD49CEE" w14:textId="77777777" w:rsidR="00024697" w:rsidRDefault="00024697" w:rsidP="00024697">
      <w:pPr>
        <w:pStyle w:val="Heading5"/>
      </w:pPr>
      <w:r>
        <w:t>Is there a need for further safeguards?</w:t>
      </w:r>
    </w:p>
    <w:p w14:paraId="79954DD2" w14:textId="77777777" w:rsidR="00024697" w:rsidRDefault="00024697" w:rsidP="009F4F6E">
      <w:pPr>
        <w:pStyle w:val="BodyText"/>
        <w:tabs>
          <w:tab w:val="num" w:pos="709"/>
        </w:tabs>
      </w:pPr>
      <w:r>
        <w:t xml:space="preserve">A determination that a person has “good reason” not to give evidence would not mean that their hearsay statement will automatically be admissible. The statement would still need to meet the reliability threshold for hearsay statements in section 18(1)(a) and under </w:t>
      </w:r>
      <w:r>
        <w:lastRenderedPageBreak/>
        <w:t>section 8 the probative value of the statement must outweigh the risk of unfair prejudicial effect, taking into account the right of the defendant to offer an effective defence.</w:t>
      </w:r>
    </w:p>
    <w:p w14:paraId="6FD758C3" w14:textId="77777777" w:rsidR="00024697" w:rsidRDefault="00024697" w:rsidP="009F4F6E">
      <w:pPr>
        <w:pStyle w:val="BodyText"/>
        <w:tabs>
          <w:tab w:val="num" w:pos="709"/>
        </w:tabs>
      </w:pPr>
      <w:r>
        <w:t>The veracity and propensity provisions in the Act already permit a defendant to offer evidence in relation to any “person”, which would appear to include the maker of a hearsay statement.</w:t>
      </w:r>
      <w:r>
        <w:rPr>
          <w:rStyle w:val="FootnoteReference"/>
        </w:rPr>
        <w:footnoteReference w:id="190"/>
      </w:r>
      <w:r>
        <w:t xml:space="preserve"> </w:t>
      </w:r>
    </w:p>
    <w:p w14:paraId="33752B33" w14:textId="445BB808" w:rsidR="00024697" w:rsidRDefault="00024697" w:rsidP="009F4F6E">
      <w:pPr>
        <w:pStyle w:val="BodyText"/>
        <w:tabs>
          <w:tab w:val="num" w:pos="709"/>
        </w:tabs>
      </w:pPr>
      <w:r>
        <w:t>We are interested in views on whether additional safeguards would be desirable under this option. Like the approach in England and Wales, this option could require the judge to be satisfied that it is in the interests of justice to admit the hearsay statement.</w:t>
      </w:r>
      <w:r>
        <w:rPr>
          <w:rStyle w:val="FootnoteReference"/>
        </w:rPr>
        <w:footnoteReference w:id="191"/>
      </w:r>
      <w:r>
        <w:t xml:space="preserve"> Relevant considerations could be prescribed in statute and could include the availability of alternative ways of giving evidence.</w:t>
      </w:r>
      <w:r w:rsidRPr="00910F1F">
        <w:t xml:space="preserve"> </w:t>
      </w:r>
      <w:r>
        <w:t xml:space="preserve">This would ensure that excusing a witness from </w:t>
      </w:r>
      <w:r w:rsidR="007254F1">
        <w:t xml:space="preserve">giving evidence </w:t>
      </w:r>
      <w:r>
        <w:t>and relying on a hearsay statement is a measure of last resort. Another option would be for the judge to have the power to stop proceedings if satisfied that the hearsay evidence is so unconvincing that a conviction would be unsafe.</w:t>
      </w:r>
      <w:r>
        <w:rPr>
          <w:rStyle w:val="FootnoteReference"/>
        </w:rPr>
        <w:footnoteReference w:id="192"/>
      </w:r>
    </w:p>
    <w:p w14:paraId="635C31ED" w14:textId="77777777" w:rsidR="00F16A7A" w:rsidRDefault="00F16A7A" w:rsidP="00F16A7A">
      <w:pPr>
        <w:pStyle w:val="ListNumber"/>
        <w:numPr>
          <w:ilvl w:val="0"/>
          <w:numId w:val="0"/>
        </w:numPr>
      </w:pPr>
      <w:bookmarkStart w:id="72" w:name="_Toc132962550"/>
      <w:r>
        <w:rPr>
          <w:noProof/>
        </w:rPr>
        <mc:AlternateContent>
          <mc:Choice Requires="wpg">
            <w:drawing>
              <wp:anchor distT="0" distB="0" distL="114300" distR="114300" simplePos="0" relativeHeight="251658280" behindDoc="1" locked="0" layoutInCell="1" allowOverlap="1" wp14:anchorId="0F03AC1D" wp14:editId="55923C88">
                <wp:simplePos x="0" y="0"/>
                <wp:positionH relativeFrom="column">
                  <wp:posOffset>-1612</wp:posOffset>
                </wp:positionH>
                <wp:positionV relativeFrom="paragraph">
                  <wp:posOffset>-1075</wp:posOffset>
                </wp:positionV>
                <wp:extent cx="5760085" cy="4355089"/>
                <wp:effectExtent l="0" t="0" r="0" b="7620"/>
                <wp:wrapNone/>
                <wp:docPr id="485" name="Group 485" descr="Question"/>
                <wp:cNvGraphicFramePr/>
                <a:graphic xmlns:a="http://schemas.openxmlformats.org/drawingml/2006/main">
                  <a:graphicData uri="http://schemas.microsoft.com/office/word/2010/wordprocessingGroup">
                    <wpg:wgp>
                      <wpg:cNvGrpSpPr/>
                      <wpg:grpSpPr>
                        <a:xfrm>
                          <a:off x="0" y="0"/>
                          <a:ext cx="5760085" cy="4355089"/>
                          <a:chOff x="0" y="62865"/>
                          <a:chExt cx="5760085" cy="4355530"/>
                        </a:xfrm>
                      </wpg:grpSpPr>
                      <wps:wsp>
                        <wps:cNvPr id="48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E4F336" w14:textId="5E919266" w:rsidR="00F16A7A" w:rsidRDefault="00F16A7A" w:rsidP="00F16A7A">
                              <w:pPr>
                                <w:pStyle w:val="BoxTitle"/>
                                <w:spacing w:before="0" w:beforeAutospacing="0"/>
                              </w:pPr>
                              <w:r w:rsidRPr="007F6876">
                                <w:t>QUESTION</w:t>
                              </w:r>
                              <w:r w:rsidR="002C0F3E">
                                <w:t>S</w:t>
                              </w:r>
                            </w:p>
                          </w:txbxContent>
                        </wps:txbx>
                        <wps:bodyPr rot="0" vert="horz" wrap="square" lIns="91440" tIns="0" rIns="0" bIns="45720" anchor="ctr" anchorCtr="0" upright="1">
                          <a:noAutofit/>
                        </wps:bodyPr>
                      </wps:wsp>
                      <wpg:grpSp>
                        <wpg:cNvPr id="487" name="Group 53"/>
                        <wpg:cNvGrpSpPr>
                          <a:grpSpLocks/>
                        </wpg:cNvGrpSpPr>
                        <wpg:grpSpPr bwMode="auto">
                          <a:xfrm>
                            <a:off x="0" y="316170"/>
                            <a:ext cx="5760085" cy="4102225"/>
                            <a:chOff x="1837" y="1791"/>
                            <a:chExt cx="9302" cy="44311"/>
                          </a:xfrm>
                        </wpg:grpSpPr>
                        <wps:wsp>
                          <wps:cNvPr id="488" name="Freeform 54"/>
                          <wps:cNvSpPr>
                            <a:spLocks/>
                          </wps:cNvSpPr>
                          <wps:spPr bwMode="auto">
                            <a:xfrm>
                              <a:off x="1837" y="1791"/>
                              <a:ext cx="9302" cy="4431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489"/>
                        <wpg:cNvGrpSpPr/>
                        <wpg:grpSpPr>
                          <a:xfrm>
                            <a:off x="0" y="494036"/>
                            <a:ext cx="1443794" cy="252000"/>
                            <a:chOff x="-15880" y="0"/>
                            <a:chExt cx="1444379" cy="252068"/>
                          </a:xfrm>
                        </wpg:grpSpPr>
                        <wps:wsp>
                          <wps:cNvPr id="49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536185" w14:textId="77777777" w:rsidR="00F16A7A" w:rsidRPr="00E90B8A" w:rsidRDefault="00F16A7A" w:rsidP="00F16A7A">
                                <w:pPr>
                                  <w:pStyle w:val="BoxTitle"/>
                                  <w:spacing w:before="0" w:beforeAutospacing="0"/>
                                  <w:rPr>
                                    <w:sz w:val="18"/>
                                    <w:szCs w:val="18"/>
                                  </w:rPr>
                                </w:pPr>
                                <w:r w:rsidRPr="00E90B8A">
                                  <w:rPr>
                                    <w:sz w:val="18"/>
                                    <w:szCs w:val="18"/>
                                  </w:rPr>
                                  <w:t>Q</w:t>
                                </w:r>
                                <w:r>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F03AC1D" id="Group 485" o:spid="_x0000_s1060" alt="Question" style="position:absolute;left:0;text-align:left;margin-left:-.15pt;margin-top:-.1pt;width:453.55pt;height:342.9pt;z-index:-251658200;mso-height-relative:margin" coordorigin=",628" coordsize="57600,4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">
                <v:shape id="Freeform 52" o:spid="_x0000_s106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DE4F336" w14:textId="5E919266" w:rsidR="00F16A7A" w:rsidRDefault="00F16A7A" w:rsidP="00F16A7A">
                        <w:pPr>
                          <w:pStyle w:val="BoxTitle"/>
                          <w:spacing w:before="0" w:beforeAutospacing="0"/>
                        </w:pPr>
                        <w:r w:rsidRPr="007F6876">
                          <w:t>QUESTION</w:t>
                        </w:r>
                        <w:r w:rsidR="002C0F3E">
                          <w:t>S</w:t>
                        </w:r>
                      </w:p>
                    </w:txbxContent>
                  </v:textbox>
                </v:shape>
                <v:group id="Group 53" o:spid="_x0000_s1062" style="position:absolute;top:3161;width:57600;height:41022" coordorigin="1837,1791" coordsize="9302,4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4" o:spid="_x0000_s1063" style="position:absolute;left:1837;top:1791;width:9302;height:4431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" path="m,l9354,r,7809l,7809,,e" fillcolor="#edf2ea" stroked="f">
                    <v:path arrowok="t" o:connecttype="custom" o:connectlocs="0,5674;9302,5674;9302,49985;0,49985;0,5674" o:connectangles="0,0,0,0,0"/>
                  </v:shape>
                </v:group>
                <v:group id="Group 489" o:spid="_x0000_s106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58" o:spid="_x0000_s106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" path="m,l1815,e" filled="f" strokecolor="#72ab6a" strokeweight=".5pt">
                    <v:path arrowok="t" o:connecttype="custom" o:connectlocs="0,0;1073495,0" o:connectangles="0,0"/>
                  </v:shape>
                  <v:shape id="Freeform 66" o:spid="_x0000_s106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3536185" w14:textId="77777777" w:rsidR="00F16A7A" w:rsidRPr="00E90B8A" w:rsidRDefault="00F16A7A" w:rsidP="00F16A7A">
                          <w:pPr>
                            <w:pStyle w:val="BoxTitle"/>
                            <w:spacing w:before="0" w:beforeAutospacing="0"/>
                            <w:rPr>
                              <w:sz w:val="18"/>
                              <w:szCs w:val="18"/>
                            </w:rPr>
                          </w:pPr>
                          <w:r w:rsidRPr="00E90B8A">
                            <w:rPr>
                              <w:sz w:val="18"/>
                              <w:szCs w:val="18"/>
                            </w:rPr>
                            <w:t>Q</w:t>
                          </w:r>
                          <w:r>
                            <w:rPr>
                              <w:sz w:val="18"/>
                              <w:szCs w:val="18"/>
                            </w:rPr>
                            <w:t>4</w:t>
                          </w:r>
                        </w:p>
                      </w:txbxContent>
                    </v:textbox>
                  </v:shape>
                </v:group>
              </v:group>
            </w:pict>
          </mc:Fallback>
        </mc:AlternateContent>
      </w:r>
    </w:p>
    <w:p w14:paraId="62F44157" w14:textId="77777777" w:rsidR="00F16A7A" w:rsidRDefault="00F16A7A" w:rsidP="00F16A7A">
      <w:pPr>
        <w:pStyle w:val="QuestionBox"/>
      </w:pPr>
    </w:p>
    <w:p w14:paraId="4F7B8431" w14:textId="77777777" w:rsidR="00F16A7A" w:rsidRDefault="00F16A7A" w:rsidP="00F16A7A">
      <w:pPr>
        <w:pStyle w:val="QuestionBox"/>
      </w:pPr>
      <w:r>
        <w:t>Should the Act be amended to clarify the application of the hearsay provisions? If so, should the Act be amended to:</w:t>
      </w:r>
    </w:p>
    <w:p w14:paraId="508B209E" w14:textId="77777777" w:rsidR="00F16A7A" w:rsidRDefault="00F16A7A" w:rsidP="000F742D">
      <w:pPr>
        <w:pStyle w:val="Questionabc"/>
        <w:numPr>
          <w:ilvl w:val="0"/>
          <w:numId w:val="88"/>
        </w:numPr>
        <w:ind w:left="1418" w:hanging="425"/>
      </w:pPr>
      <w:r>
        <w:t xml:space="preserve">clarify that a court finding that a person has a just excuse not to give evidence under the Criminal Procedure Act 2011 does </w:t>
      </w:r>
      <w:r w:rsidRPr="002F1C04">
        <w:rPr>
          <w:b/>
          <w:bCs/>
        </w:rPr>
        <w:t>not</w:t>
      </w:r>
      <w:r>
        <w:t xml:space="preserve"> affect the application of the hearsay provisions under the Evidence Act; or</w:t>
      </w:r>
    </w:p>
    <w:p w14:paraId="046F3EEB" w14:textId="77777777" w:rsidR="00F16A7A" w:rsidRDefault="00F16A7A" w:rsidP="00F16A7A">
      <w:pPr>
        <w:pStyle w:val="Questionabc"/>
      </w:pPr>
      <w:r>
        <w:t>introduce a new discretion to permit the court to admit reliable hearsay statements when a person has a good reason not to give evidence?</w:t>
      </w:r>
    </w:p>
    <w:p w14:paraId="3ACD77F7" w14:textId="77777777" w:rsidR="00F16A7A" w:rsidRDefault="00F16A7A" w:rsidP="00F16A7A">
      <w:pPr>
        <w:pStyle w:val="QuestionBox"/>
      </w:pPr>
      <w:r>
        <w:rPr>
          <w:noProof/>
        </w:rPr>
        <mc:AlternateContent>
          <mc:Choice Requires="wpg">
            <w:drawing>
              <wp:anchor distT="0" distB="0" distL="114300" distR="114300" simplePos="0" relativeHeight="251658281" behindDoc="1" locked="0" layoutInCell="1" allowOverlap="1" wp14:anchorId="4D601BB1" wp14:editId="7B1327CB">
                <wp:simplePos x="0" y="0"/>
                <wp:positionH relativeFrom="column">
                  <wp:posOffset>9525</wp:posOffset>
                </wp:positionH>
                <wp:positionV relativeFrom="paragraph">
                  <wp:posOffset>161143</wp:posOffset>
                </wp:positionV>
                <wp:extent cx="1443355" cy="251460"/>
                <wp:effectExtent l="0" t="0" r="42545" b="0"/>
                <wp:wrapNone/>
                <wp:docPr id="506" name="Group 506"/>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50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D0EB62" w14:textId="77777777" w:rsidR="00F16A7A" w:rsidRPr="00E700FF" w:rsidRDefault="00F16A7A" w:rsidP="00F16A7A">
                              <w:pPr>
                                <w:pStyle w:val="BoxTitle"/>
                                <w:spacing w:before="0" w:beforeAutospacing="0"/>
                              </w:pPr>
                              <w:r w:rsidRPr="001C1B37">
                                <w:t>Q</w:t>
                              </w:r>
                              <w:r>
                                <w:t>5</w:t>
                              </w:r>
                            </w:p>
                          </w:txbxContent>
                        </wps:txbx>
                        <wps:bodyPr rot="0" vert="horz" wrap="square" lIns="54000" tIns="82800" rIns="91440" bIns="45720" anchor="ctr" anchorCtr="0" upright="1">
                          <a:noAutofit/>
                        </wps:bodyPr>
                      </wps:wsp>
                    </wpg:wgp>
                  </a:graphicData>
                </a:graphic>
              </wp:anchor>
            </w:drawing>
          </mc:Choice>
          <mc:Fallback>
            <w:pict>
              <v:group w14:anchorId="4D601BB1" id="Group 506" o:spid="_x0000_s1067" style="position:absolute;left:0;text-align:left;margin-left:.75pt;margin-top:12.7pt;width:113.65pt;height:19.8pt;z-index:-25165819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">
                <v:shape id="Freeform 58" o:spid="_x0000_s106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" path="m,l1815,e" filled="f" strokecolor="#72ab6a" strokeweight=".5pt">
                  <v:path arrowok="t" o:connecttype="custom" o:connectlocs="0,0;1073495,0" o:connectangles="0,0"/>
                </v:shape>
                <v:shape id="Freeform 66" o:spid="_x0000_s106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0D0EB62" w14:textId="77777777" w:rsidR="00F16A7A" w:rsidRPr="00E700FF" w:rsidRDefault="00F16A7A" w:rsidP="00F16A7A">
                        <w:pPr>
                          <w:pStyle w:val="BoxTitle"/>
                          <w:spacing w:before="0" w:beforeAutospacing="0"/>
                        </w:pPr>
                        <w:r w:rsidRPr="001C1B37">
                          <w:t>Q</w:t>
                        </w:r>
                        <w:r>
                          <w:t>5</w:t>
                        </w:r>
                      </w:p>
                    </w:txbxContent>
                  </v:textbox>
                </v:shape>
              </v:group>
            </w:pict>
          </mc:Fallback>
        </mc:AlternateContent>
      </w:r>
    </w:p>
    <w:p w14:paraId="77801A37" w14:textId="77777777" w:rsidR="00F16A7A" w:rsidRDefault="00F16A7A" w:rsidP="00F16A7A">
      <w:pPr>
        <w:pStyle w:val="QuestionBox"/>
      </w:pPr>
      <w:r>
        <w:t>If the Act were amended to introduce a new discretion, should this be:</w:t>
      </w:r>
    </w:p>
    <w:p w14:paraId="087AA7DF" w14:textId="77777777" w:rsidR="00F16A7A" w:rsidRDefault="00F16A7A" w:rsidP="00866891">
      <w:pPr>
        <w:pStyle w:val="Questionabc"/>
        <w:numPr>
          <w:ilvl w:val="0"/>
          <w:numId w:val="55"/>
        </w:numPr>
        <w:ind w:left="1418" w:hanging="425"/>
      </w:pPr>
      <w:r>
        <w:t>a general discretion for situations where a person has a “good reason” not to give evidence; or</w:t>
      </w:r>
    </w:p>
    <w:p w14:paraId="6486BB19" w14:textId="77777777" w:rsidR="00F16A7A" w:rsidRDefault="00F16A7A" w:rsidP="00F16A7A">
      <w:pPr>
        <w:pStyle w:val="Questionabc"/>
        <w:ind w:left="1418"/>
      </w:pPr>
      <w:r>
        <w:t>a narrow discretion founded on fear, similar to the approach in England and Wales?</w:t>
      </w:r>
    </w:p>
    <w:p w14:paraId="1FC4AAEA" w14:textId="77777777" w:rsidR="00F16A7A" w:rsidRDefault="00F16A7A" w:rsidP="00F16A7A">
      <w:pPr>
        <w:pStyle w:val="QuestionBox"/>
      </w:pPr>
      <w:r>
        <w:rPr>
          <w:noProof/>
        </w:rPr>
        <mc:AlternateContent>
          <mc:Choice Requires="wpg">
            <w:drawing>
              <wp:anchor distT="0" distB="0" distL="114300" distR="114300" simplePos="0" relativeHeight="251658282" behindDoc="1" locked="0" layoutInCell="1" allowOverlap="1" wp14:anchorId="28EA966D" wp14:editId="4A999ADB">
                <wp:simplePos x="0" y="0"/>
                <wp:positionH relativeFrom="column">
                  <wp:posOffset>9525</wp:posOffset>
                </wp:positionH>
                <wp:positionV relativeFrom="paragraph">
                  <wp:posOffset>160802</wp:posOffset>
                </wp:positionV>
                <wp:extent cx="1443355" cy="251460"/>
                <wp:effectExtent l="0" t="0" r="42545" b="0"/>
                <wp:wrapNone/>
                <wp:docPr id="509" name="Group 509"/>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51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E2CDB1" w14:textId="77777777" w:rsidR="00F16A7A" w:rsidRPr="00E700FF" w:rsidRDefault="00F16A7A" w:rsidP="00F16A7A">
                              <w:pPr>
                                <w:pStyle w:val="BoxTitle"/>
                                <w:spacing w:before="0" w:beforeAutospacing="0"/>
                              </w:pPr>
                              <w:r w:rsidRPr="001C1B37">
                                <w:t>Q</w:t>
                              </w:r>
                              <w:r>
                                <w:t>6</w:t>
                              </w:r>
                            </w:p>
                          </w:txbxContent>
                        </wps:txbx>
                        <wps:bodyPr rot="0" vert="horz" wrap="square" lIns="54000" tIns="82800" rIns="91440" bIns="45720" anchor="ctr" anchorCtr="0" upright="1">
                          <a:noAutofit/>
                        </wps:bodyPr>
                      </wps:wsp>
                    </wpg:wgp>
                  </a:graphicData>
                </a:graphic>
              </wp:anchor>
            </w:drawing>
          </mc:Choice>
          <mc:Fallback>
            <w:pict>
              <v:group w14:anchorId="28EA966D" id="Group 509" o:spid="_x0000_s1070" style="position:absolute;left:0;text-align:left;margin-left:.75pt;margin-top:12.65pt;width:113.65pt;height:19.8pt;z-index:-251658198"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">
                <v:shape id="Freeform 58" o:spid="_x0000_s107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" path="m,l1815,e" filled="f" strokecolor="#72ab6a" strokeweight=".5pt">
                  <v:path arrowok="t" o:connecttype="custom" o:connectlocs="0,0;1073495,0" o:connectangles="0,0"/>
                </v:shape>
                <v:shape id="Freeform 66" o:spid="_x0000_s107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9E2CDB1" w14:textId="77777777" w:rsidR="00F16A7A" w:rsidRPr="00E700FF" w:rsidRDefault="00F16A7A" w:rsidP="00F16A7A">
                        <w:pPr>
                          <w:pStyle w:val="BoxTitle"/>
                          <w:spacing w:before="0" w:beforeAutospacing="0"/>
                        </w:pPr>
                        <w:r w:rsidRPr="001C1B37">
                          <w:t>Q</w:t>
                        </w:r>
                        <w:r>
                          <w:t>6</w:t>
                        </w:r>
                      </w:p>
                    </w:txbxContent>
                  </v:textbox>
                </v:shape>
              </v:group>
            </w:pict>
          </mc:Fallback>
        </mc:AlternateContent>
      </w:r>
    </w:p>
    <w:p w14:paraId="56DD9E03" w14:textId="77777777" w:rsidR="00F16A7A" w:rsidRDefault="00F16A7A" w:rsidP="00F16A7A">
      <w:pPr>
        <w:pStyle w:val="QuestionBox"/>
      </w:pPr>
      <w:r>
        <w:t xml:space="preserve">If a new discretion to admit hearsay statements is introduced, what </w:t>
      </w:r>
      <w:r w:rsidRPr="0011601F">
        <w:t>additional safeguards</w:t>
      </w:r>
      <w:r>
        <w:t>, if any, should</w:t>
      </w:r>
      <w:r w:rsidRPr="0011601F">
        <w:t xml:space="preserve"> be inserted into the Act?</w:t>
      </w:r>
    </w:p>
    <w:p w14:paraId="0EF1D38D" w14:textId="77777777" w:rsidR="0010021F" w:rsidRPr="0011601F" w:rsidRDefault="0010021F" w:rsidP="00F16A7A">
      <w:pPr>
        <w:pStyle w:val="QuestionBox"/>
      </w:pPr>
    </w:p>
    <w:p w14:paraId="4FE2382F" w14:textId="77777777" w:rsidR="00024697" w:rsidRDefault="00024697" w:rsidP="00024697">
      <w:pPr>
        <w:pStyle w:val="Heading2"/>
      </w:pPr>
      <w:r>
        <w:t>When a person “cannot with reasonable diligence” be found</w:t>
      </w:r>
      <w:bookmarkEnd w:id="72"/>
    </w:p>
    <w:p w14:paraId="34924B13" w14:textId="77777777" w:rsidR="00024697" w:rsidRDefault="00024697" w:rsidP="009F4F6E">
      <w:pPr>
        <w:pStyle w:val="BodyText"/>
      </w:pPr>
      <w:r>
        <w:t xml:space="preserve">Section 16(2)(d) of the Act states that a person is “unavailable as a witness” for the purposes of the hearsay provisions if the person “cannot with reasonable diligence be </w:t>
      </w:r>
      <w:r>
        <w:lastRenderedPageBreak/>
        <w:t>identified or found”. If a person is unavailable as a witness, their hearsay statement is admissible provided that the circumstances relating to the statement provide reasonable assurance that the statement is reliable.</w:t>
      </w:r>
      <w:r>
        <w:rPr>
          <w:rStyle w:val="FootnoteReference"/>
        </w:rPr>
        <w:footnoteReference w:id="193"/>
      </w:r>
    </w:p>
    <w:p w14:paraId="6B56F63C" w14:textId="77777777" w:rsidR="00024697" w:rsidRDefault="00024697" w:rsidP="00024697">
      <w:pPr>
        <w:pStyle w:val="Heading3"/>
      </w:pPr>
      <w:r>
        <w:t>Is there an issue?</w:t>
      </w:r>
    </w:p>
    <w:p w14:paraId="02314FF1" w14:textId="6BF4230F" w:rsidR="00024697" w:rsidRDefault="0014076A" w:rsidP="009F4F6E">
      <w:pPr>
        <w:pStyle w:val="BodyText"/>
      </w:pPr>
      <w:r>
        <w:t>Preliminary feedback</w:t>
      </w:r>
      <w:r w:rsidR="00024697">
        <w:t xml:space="preserve"> identified a concern about the lack of guidance in the Act or case law as to what is required to satisfy the “reasonable diligence” requirement in section 16(2)(d). There is concern that this may be a growing issue given the increasing practice of video recording police statements and interviews.</w:t>
      </w:r>
      <w:r w:rsidR="00024697">
        <w:rPr>
          <w:rStyle w:val="FootnoteReference"/>
        </w:rPr>
        <w:footnoteReference w:id="194"/>
      </w:r>
      <w:r w:rsidR="00024697">
        <w:t xml:space="preserve"> If a witness cannot be found, their hearsay statement could provide an important source of information for the fact-finder. In some cases, it may be the only direct evidence to support the charges. As discussed above</w:t>
      </w:r>
      <w:r w:rsidR="003328AF">
        <w:t>,</w:t>
      </w:r>
      <w:r w:rsidR="00024697">
        <w:t xml:space="preserve"> however, the use of any hearsay statement engages fair trial rights because it deprives the defendant of the opportunity to challenge that evidence in cross-examination.</w:t>
      </w:r>
    </w:p>
    <w:p w14:paraId="38D472A5" w14:textId="26D234DA" w:rsidR="00024697" w:rsidRDefault="00024697" w:rsidP="009F4F6E">
      <w:pPr>
        <w:pStyle w:val="BodyText"/>
      </w:pPr>
      <w:r>
        <w:t xml:space="preserve">This issue arose in </w:t>
      </w:r>
      <w:r>
        <w:rPr>
          <w:i/>
          <w:iCs/>
        </w:rPr>
        <w:t>Huritu v Police.</w:t>
      </w:r>
      <w:r w:rsidRPr="006264BE">
        <w:rPr>
          <w:rStyle w:val="FootnoteReference"/>
        </w:rPr>
        <w:footnoteReference w:id="195"/>
      </w:r>
      <w:r>
        <w:rPr>
          <w:i/>
          <w:iCs/>
        </w:rPr>
        <w:t xml:space="preserve"> </w:t>
      </w:r>
      <w:r>
        <w:t>The defendant had been charged with assaulting the complainant. The complainant had been summoned to give evidence at the District Court trial and, when she did not appear, was arrested pursuant to a warrant and released on bail to appear at the rescheduled trial. When the complainant failed to appear on the morning of the rescheduled trial, a warrant for her arrest was issued and the trial judge gave police until that afternoon to locate her. Police unsuccessfully attempted to locate the complainant by visiting her house and that of a friend, and also by calling her. Later that day</w:t>
      </w:r>
      <w:r w:rsidR="00E9403A">
        <w:t>,</w:t>
      </w:r>
      <w:r>
        <w:t xml:space="preserve"> the Court granted an application to admit the complainant’s hearsay statement on the basis that she could not with reasonable diligence be found.</w:t>
      </w:r>
      <w:r>
        <w:rPr>
          <w:rStyle w:val="FootnoteReference"/>
        </w:rPr>
        <w:footnoteReference w:id="196"/>
      </w:r>
      <w:r>
        <w:t xml:space="preserve"> </w:t>
      </w:r>
    </w:p>
    <w:p w14:paraId="493EF038" w14:textId="2488B992" w:rsidR="00024697" w:rsidRDefault="00024697" w:rsidP="009F4F6E">
      <w:pPr>
        <w:pStyle w:val="BodyText"/>
      </w:pPr>
      <w:r>
        <w:t xml:space="preserve">The High Court rejected the defendant’s argument </w:t>
      </w:r>
      <w:r w:rsidR="00E9403A">
        <w:t xml:space="preserve">that </w:t>
      </w:r>
      <w:r>
        <w:t>a higher threshold of diligence should have been applied to locate the complainant in circumstances where without the hearsay statement, the defendant had no case to answer.</w:t>
      </w:r>
      <w:r>
        <w:rPr>
          <w:rStyle w:val="FootnoteReference"/>
        </w:rPr>
        <w:footnoteReference w:id="197"/>
      </w:r>
      <w:r>
        <w:t xml:space="preserve"> On further appeal, defence counsel invited the Court of Appeal to adopt a set of principles (based on a number of judgments of the Court of Appeal of England and Wales) to guide trial judges in the application of the reasonable diligence test.</w:t>
      </w:r>
      <w:r>
        <w:rPr>
          <w:rStyle w:val="FootnoteReference"/>
        </w:rPr>
        <w:footnoteReference w:id="198"/>
      </w:r>
      <w:r>
        <w:t xml:space="preserve"> The Court declined to do so, finding that the question of whether a witness is or is not able to be found “is a simple question of fact” and that:</w:t>
      </w:r>
      <w:r>
        <w:rPr>
          <w:rStyle w:val="FootnoteReference"/>
        </w:rPr>
        <w:footnoteReference w:id="199"/>
      </w:r>
    </w:p>
    <w:p w14:paraId="0E9281BE" w14:textId="77777777" w:rsidR="00024697" w:rsidRDefault="00024697" w:rsidP="00024697">
      <w:pPr>
        <w:pStyle w:val="Quote"/>
      </w:pPr>
      <w:r>
        <w:t xml:space="preserve">The question of whether reasonable diligence has been applied in attempting to find a witness requires an assessment of what has been done in the overall circumstances. There is no difficulty in the statutory language. What is required is simply an assessment as to whether what has been done amounts to reasonable diligence. </w:t>
      </w:r>
      <w:r w:rsidRPr="0067759B">
        <w:t xml:space="preserve">We consider Ms Hoskin was correct to </w:t>
      </w:r>
      <w:r w:rsidRPr="0067759B">
        <w:lastRenderedPageBreak/>
        <w:t>submit that issue is to be determined by looking at the steps taken to find the witness and ought not to be influenced by a consideration of what role the witness will play in the trial if he or she is located and gives evidence.</w:t>
      </w:r>
    </w:p>
    <w:p w14:paraId="258810FE" w14:textId="77777777" w:rsidR="00024697" w:rsidRDefault="00024697" w:rsidP="009F4F6E">
      <w:pPr>
        <w:pStyle w:val="BodyText"/>
      </w:pPr>
      <w:r>
        <w:t>The Court noted that a factual determination that a person is unavailable as a witness does not mean their hearsay statement will for that reason be admissible. There must still be reasonable assurance that the statement is reliable (section 18(1)(a)) and the probative value of the statement must outweigh the risk that the statement would have an unfairly prejudicial effect on the proceeding (section 8). The Court noted that the latter issue is to be assessed taking into account the right of the defendant to offer an effective defence.</w:t>
      </w:r>
      <w:r>
        <w:rPr>
          <w:rStyle w:val="FootnoteReference"/>
        </w:rPr>
        <w:footnoteReference w:id="200"/>
      </w:r>
    </w:p>
    <w:p w14:paraId="7000B83D" w14:textId="5AC080BF" w:rsidR="00024697" w:rsidRDefault="00024697" w:rsidP="00866891">
      <w:pPr>
        <w:pStyle w:val="BodyText"/>
        <w:numPr>
          <w:ilvl w:val="1"/>
          <w:numId w:val="45"/>
        </w:numPr>
        <w:tabs>
          <w:tab w:val="clear" w:pos="709"/>
        </w:tabs>
        <w:spacing w:after="80"/>
      </w:pPr>
      <w:r>
        <w:t>T</w:t>
      </w:r>
      <w:r w:rsidR="00A80EA0">
        <w:t>e Kōti Mana Nui |</w:t>
      </w:r>
      <w:r>
        <w:t xml:space="preserve"> Supreme Court declined leave to appeal the decision. The </w:t>
      </w:r>
      <w:r w:rsidR="00DC3369">
        <w:t>J</w:t>
      </w:r>
      <w:r>
        <w:t xml:space="preserve">udges that considered the leave application affirmed the Court of Appeal’s view that </w:t>
      </w:r>
      <w:r w:rsidRPr="00796D13">
        <w:t>whether the reasonable diligence test was met required a factual inquiry</w:t>
      </w:r>
      <w:r>
        <w:t>.</w:t>
      </w:r>
      <w:r>
        <w:rPr>
          <w:rStyle w:val="FootnoteReference"/>
        </w:rPr>
        <w:footnoteReference w:id="201"/>
      </w:r>
      <w:r>
        <w:t xml:space="preserve"> They observed that:</w:t>
      </w:r>
      <w:r>
        <w:rPr>
          <w:rStyle w:val="FootnoteReference"/>
        </w:rPr>
        <w:footnoteReference w:id="202"/>
      </w:r>
    </w:p>
    <w:p w14:paraId="66A8DF70" w14:textId="77777777" w:rsidR="00024697" w:rsidRDefault="00024697" w:rsidP="00024697">
      <w:pPr>
        <w:pStyle w:val="Quote"/>
      </w:pPr>
      <w:r>
        <w:t>There may be room for differing views about the reasonableness of the steps taken by the police in this case in light of their responsibilities, the complainant’s earlier non-appearance and the history of the relationship between the applicant and complainant. That possibility does not, however, detract from the factual nature of inquiry to be undertaken. Further, the assessment made here is one which, on the face of it, comes within the policy of the legislative scheme.</w:t>
      </w:r>
    </w:p>
    <w:p w14:paraId="7790BF73" w14:textId="77777777" w:rsidR="00024697" w:rsidRDefault="00024697" w:rsidP="00024697">
      <w:pPr>
        <w:pStyle w:val="Heading4"/>
      </w:pPr>
      <w:r>
        <w:t>How does the current approach compare with overseas approaches?</w:t>
      </w:r>
    </w:p>
    <w:p w14:paraId="070D90F9" w14:textId="77777777" w:rsidR="00024697" w:rsidRDefault="00024697" w:rsidP="009F4F6E">
      <w:pPr>
        <w:pStyle w:val="BodyText"/>
        <w:spacing w:after="80"/>
      </w:pPr>
      <w:r>
        <w:t>In England and Wales, the relevant statutory test is that the person “</w:t>
      </w:r>
      <w:r w:rsidRPr="007C7EDC">
        <w:t>cannot be found although such steps as it is reasonably practicable to take to find him have been taken</w:t>
      </w:r>
      <w:r>
        <w:t>”.</w:t>
      </w:r>
      <w:r>
        <w:rPr>
          <w:rStyle w:val="FootnoteReference"/>
        </w:rPr>
        <w:footnoteReference w:id="203"/>
      </w:r>
      <w:r>
        <w:t xml:space="preserve"> As noted above, the Court of Appeal in England and Wales has provided some guidance on how this test is to be applied. </w:t>
      </w:r>
      <w:r w:rsidRPr="00867546">
        <w:t>These requirements start with the witness being given all possible support and made to understand the importance of their duty to give evidence.</w:t>
      </w:r>
      <w:r w:rsidRPr="00867546">
        <w:rPr>
          <w:rStyle w:val="FootnoteReference"/>
        </w:rPr>
        <w:footnoteReference w:id="204"/>
      </w:r>
      <w:r w:rsidRPr="00867546">
        <w:t xml:space="preserve"> If a witness is difficult to contact, then it may be necessary for the trial to be delayed in order for additional steps to be taken.</w:t>
      </w:r>
      <w:r w:rsidRPr="00867546">
        <w:rPr>
          <w:rStyle w:val="FootnoteReference"/>
        </w:rPr>
        <w:footnoteReference w:id="205"/>
      </w:r>
      <w:r w:rsidRPr="00867546">
        <w:t xml:space="preserve"> Unlike the </w:t>
      </w:r>
      <w:r>
        <w:t>New Zealand</w:t>
      </w:r>
      <w:r w:rsidRPr="00867546">
        <w:t xml:space="preserve"> </w:t>
      </w:r>
      <w:r>
        <w:t xml:space="preserve">Court’s approach in </w:t>
      </w:r>
      <w:r>
        <w:rPr>
          <w:i/>
          <w:iCs/>
        </w:rPr>
        <w:t>Huritu</w:t>
      </w:r>
      <w:r w:rsidR="00E17AA6" w:rsidRPr="00E17AA6">
        <w:t>,</w:t>
      </w:r>
      <w:r>
        <w:rPr>
          <w:i/>
          <w:iCs/>
        </w:rPr>
        <w:t xml:space="preserve"> </w:t>
      </w:r>
      <w:r w:rsidRPr="00867546">
        <w:t>multiple cases have found that the importance of the evidence to the case is a relevant factor.</w:t>
      </w:r>
      <w:r w:rsidRPr="00867546">
        <w:rPr>
          <w:rStyle w:val="FootnoteReference"/>
        </w:rPr>
        <w:footnoteReference w:id="206"/>
      </w:r>
      <w:r w:rsidRPr="00867546">
        <w:t xml:space="preserve"> Some cases have also found the seriousness of the charge to be relevant.</w:t>
      </w:r>
      <w:r w:rsidRPr="00867546">
        <w:rPr>
          <w:rStyle w:val="FootnoteReference"/>
        </w:rPr>
        <w:footnoteReference w:id="207"/>
      </w:r>
    </w:p>
    <w:p w14:paraId="2E7F4D0A" w14:textId="77777777" w:rsidR="00024697" w:rsidRDefault="00024697" w:rsidP="009F4F6E">
      <w:pPr>
        <w:pStyle w:val="BodyText"/>
      </w:pPr>
      <w:r>
        <w:t>The test in Australia is similar to that in England and Wales, requiring that “</w:t>
      </w:r>
      <w:r w:rsidRPr="008E55AB">
        <w:t xml:space="preserve">all reasonable steps have been taken, by the party seeking to prove the person is not available, to find </w:t>
      </w:r>
      <w:r w:rsidRPr="008E55AB">
        <w:lastRenderedPageBreak/>
        <w:t>the person or secure his or her attendance, but without success</w:t>
      </w:r>
      <w:r>
        <w:t>”.</w:t>
      </w:r>
      <w:r>
        <w:rPr>
          <w:rStyle w:val="FootnoteReference"/>
        </w:rPr>
        <w:footnoteReference w:id="208"/>
      </w:r>
      <w:r>
        <w:t xml:space="preserve"> This requirement was considered by the New South Wales Supreme Court in </w:t>
      </w:r>
      <w:r>
        <w:rPr>
          <w:i/>
          <w:iCs/>
        </w:rPr>
        <w:t xml:space="preserve">Huang v Wei. </w:t>
      </w:r>
      <w:r>
        <w:t xml:space="preserve">The Court concluded that it was </w:t>
      </w:r>
      <w:r w:rsidRPr="0038203D">
        <w:t>not possible to set out an all-encompassing list</w:t>
      </w:r>
      <w:r>
        <w:t xml:space="preserve"> of relevant considerations (given the fact-specific nature of the inquiry), but suggested that at least some of the following considerations will be relevant:</w:t>
      </w:r>
      <w:r>
        <w:rPr>
          <w:rStyle w:val="FootnoteReference"/>
        </w:rPr>
        <w:footnoteReference w:id="209"/>
      </w:r>
    </w:p>
    <w:p w14:paraId="64BB5564" w14:textId="77777777" w:rsidR="00024697" w:rsidRDefault="00024697" w:rsidP="009F4F6E">
      <w:pPr>
        <w:pStyle w:val="BodyText2"/>
        <w:tabs>
          <w:tab w:val="clear" w:pos="1134"/>
        </w:tabs>
      </w:pPr>
      <w:r w:rsidRPr="00D53D53">
        <w:t>The nature of the case</w:t>
      </w:r>
      <w:r>
        <w:t xml:space="preserve"> (suggesting that a higher bar for criminal cases may be justifiable). </w:t>
      </w:r>
    </w:p>
    <w:p w14:paraId="01C7D897" w14:textId="77777777" w:rsidR="00024697" w:rsidRDefault="00024697" w:rsidP="009F4F6E">
      <w:pPr>
        <w:pStyle w:val="BodyText2"/>
      </w:pPr>
      <w:r w:rsidRPr="00D53D53">
        <w:t>The importance of the evidence</w:t>
      </w:r>
      <w:r>
        <w:t>.</w:t>
      </w:r>
    </w:p>
    <w:p w14:paraId="6ACCC49C" w14:textId="77777777" w:rsidR="00024697" w:rsidRDefault="00024697" w:rsidP="009F4F6E">
      <w:pPr>
        <w:pStyle w:val="BodyText2"/>
      </w:pPr>
      <w:r w:rsidRPr="00AE3078">
        <w:t xml:space="preserve">The inquiries that have been made and their outcome. </w:t>
      </w:r>
    </w:p>
    <w:p w14:paraId="4C9F97E0" w14:textId="77777777" w:rsidR="00024697" w:rsidRDefault="00024697" w:rsidP="009F4F6E">
      <w:pPr>
        <w:pStyle w:val="BodyText2"/>
      </w:pPr>
      <w:r w:rsidRPr="005C520D">
        <w:t>Who the party is that is making the inquiries and about whom the inquiries are being made</w:t>
      </w:r>
      <w:r>
        <w:t>.</w:t>
      </w:r>
    </w:p>
    <w:p w14:paraId="219238E1" w14:textId="77777777" w:rsidR="00024697" w:rsidRDefault="00024697" w:rsidP="009F4F6E">
      <w:pPr>
        <w:pStyle w:val="BodyText2"/>
      </w:pPr>
      <w:r w:rsidRPr="007D6303">
        <w:t>The likelihood of any specific step yielding useful information.</w:t>
      </w:r>
    </w:p>
    <w:p w14:paraId="019CD4AD" w14:textId="77777777" w:rsidR="00024697" w:rsidRDefault="00024697" w:rsidP="009F4F6E">
      <w:pPr>
        <w:pStyle w:val="BodyText2"/>
      </w:pPr>
      <w:r w:rsidRPr="00520A89">
        <w:t>The cost and delay that a particular step might cause</w:t>
      </w:r>
      <w:r>
        <w:t>.</w:t>
      </w:r>
    </w:p>
    <w:p w14:paraId="7897A884" w14:textId="77777777" w:rsidR="00024697" w:rsidRDefault="00024697" w:rsidP="009F4F6E">
      <w:pPr>
        <w:pStyle w:val="BodyText"/>
      </w:pPr>
      <w:r>
        <w:t>The Court noted that the following factors might also be relevant:</w:t>
      </w:r>
      <w:r>
        <w:rPr>
          <w:rStyle w:val="FootnoteReference"/>
        </w:rPr>
        <w:footnoteReference w:id="210"/>
      </w:r>
    </w:p>
    <w:p w14:paraId="6D28CE95" w14:textId="77777777" w:rsidR="00024697" w:rsidRDefault="00024697" w:rsidP="00866891">
      <w:pPr>
        <w:pStyle w:val="BodyTextnonum"/>
        <w:numPr>
          <w:ilvl w:val="3"/>
          <w:numId w:val="28"/>
        </w:numPr>
      </w:pPr>
      <w:r w:rsidRPr="00622C71">
        <w:t xml:space="preserve">Is the identity of the potential witness known? </w:t>
      </w:r>
    </w:p>
    <w:p w14:paraId="518A0E75" w14:textId="77777777" w:rsidR="00024697" w:rsidRDefault="00024697" w:rsidP="00866891">
      <w:pPr>
        <w:pStyle w:val="BodyTextnonum"/>
        <w:numPr>
          <w:ilvl w:val="3"/>
          <w:numId w:val="28"/>
        </w:numPr>
      </w:pPr>
      <w:r w:rsidRPr="00622C71">
        <w:t xml:space="preserve">Are the location or other contact details for the potential witness known? </w:t>
      </w:r>
    </w:p>
    <w:p w14:paraId="385980BC" w14:textId="77777777" w:rsidR="00024697" w:rsidRDefault="00024697" w:rsidP="00866891">
      <w:pPr>
        <w:pStyle w:val="BodyTextnonum"/>
        <w:numPr>
          <w:ilvl w:val="3"/>
          <w:numId w:val="28"/>
        </w:numPr>
      </w:pPr>
      <w:r w:rsidRPr="00622C71">
        <w:t xml:space="preserve">What, if anything, is known about the person’s attitude to giving evidence? </w:t>
      </w:r>
    </w:p>
    <w:p w14:paraId="5CAC8B28" w14:textId="77777777" w:rsidR="00024697" w:rsidRDefault="00024697" w:rsidP="00866891">
      <w:pPr>
        <w:pStyle w:val="BodyTextnonum"/>
        <w:numPr>
          <w:ilvl w:val="3"/>
          <w:numId w:val="28"/>
        </w:numPr>
      </w:pPr>
      <w:r w:rsidRPr="00622C71">
        <w:t xml:space="preserve">The practicability of compelling the witness to give evidence. </w:t>
      </w:r>
    </w:p>
    <w:p w14:paraId="626355B8" w14:textId="77777777" w:rsidR="00024697" w:rsidRDefault="00024697" w:rsidP="00866891">
      <w:pPr>
        <w:pStyle w:val="BodyTextnonum"/>
        <w:numPr>
          <w:ilvl w:val="3"/>
          <w:numId w:val="28"/>
        </w:numPr>
      </w:pPr>
      <w:r w:rsidRPr="00622C71">
        <w:t xml:space="preserve">When did the party applying for the benefit of the exception become aware of the existence of the witness and the evidence the witness could give? </w:t>
      </w:r>
    </w:p>
    <w:p w14:paraId="17DC6C08" w14:textId="77777777" w:rsidR="00024697" w:rsidRDefault="00024697" w:rsidP="00866891">
      <w:pPr>
        <w:pStyle w:val="BodyTextnonum"/>
        <w:numPr>
          <w:ilvl w:val="3"/>
          <w:numId w:val="28"/>
        </w:numPr>
      </w:pPr>
      <w:r w:rsidRPr="00622C71">
        <w:t>The ability of the other party to respond to the evidence.</w:t>
      </w:r>
    </w:p>
    <w:p w14:paraId="7E292FDE" w14:textId="77777777" w:rsidR="00024697" w:rsidRDefault="00024697" w:rsidP="00024697">
      <w:pPr>
        <w:pStyle w:val="Heading3"/>
      </w:pPr>
      <w:r>
        <w:t>Is legislative reform necessary or desirable?</w:t>
      </w:r>
    </w:p>
    <w:p w14:paraId="0D1E4400" w14:textId="77777777" w:rsidR="00024697" w:rsidRDefault="00024697" w:rsidP="009F4F6E">
      <w:pPr>
        <w:pStyle w:val="BodyText"/>
      </w:pPr>
      <w:r>
        <w:t xml:space="preserve">We seek feedback on whether the current approach to the reasonable diligence requirement is causing problems in practice, and whether reform is necessary or desirable. On the one hand, there is clear appellate authority that the inquiry is a simple question of fact. It may be that this is the best approach as it allows for the relevant matters to be considered on a case-by-case basis. On the other hand, the Court of Appeal’s decision in </w:t>
      </w:r>
      <w:r>
        <w:rPr>
          <w:i/>
          <w:iCs/>
        </w:rPr>
        <w:t xml:space="preserve">Huritu </w:t>
      </w:r>
      <w:r>
        <w:t>(and the Supreme Court’s subsequent refusal of leave) suggests that further guidance from these courts on this issue is unlikely to be forthcoming in the near future. Legislative reform may therefore be considered necessary or desirable if the lack of statutory guidance is resulting in inconsistency in approach or uncertainty as to what steps police should take to locate an intended witness.</w:t>
      </w:r>
    </w:p>
    <w:p w14:paraId="5D235A49" w14:textId="77777777" w:rsidR="00024697" w:rsidRDefault="00024697" w:rsidP="009F4F6E">
      <w:pPr>
        <w:pStyle w:val="BodyText"/>
      </w:pPr>
      <w:r>
        <w:t xml:space="preserve">Should reform be considered necessary or desirable, the Act could be amended to include further guidance on the “reasonable diligence” requirement. Such guidance could take the form of a list of relevant factors a court should consider when deciding whether </w:t>
      </w:r>
      <w:r>
        <w:lastRenderedPageBreak/>
        <w:t>a person cannot, without reasonable diligence, be found. Consideration would need to be given to the following matters:</w:t>
      </w:r>
    </w:p>
    <w:p w14:paraId="304B9BC1" w14:textId="6DAF9704" w:rsidR="00024697" w:rsidRDefault="00024697" w:rsidP="00866891">
      <w:pPr>
        <w:pStyle w:val="BodyTextnonum"/>
        <w:numPr>
          <w:ilvl w:val="3"/>
          <w:numId w:val="28"/>
        </w:numPr>
      </w:pPr>
      <w:r>
        <w:t xml:space="preserve">Whether the significance of the person’s evidence to the proceeding should be a relevant factor. The New Zealand </w:t>
      </w:r>
      <w:r w:rsidR="004272A3">
        <w:t>c</w:t>
      </w:r>
      <w:r>
        <w:t xml:space="preserve">ourts’ current approach can be contrasted with </w:t>
      </w:r>
      <w:r w:rsidR="00FB5242">
        <w:t>approaches</w:t>
      </w:r>
      <w:r>
        <w:t xml:space="preserve"> in Australia and England and Wales, as discussed above. The New Zealand </w:t>
      </w:r>
      <w:r w:rsidR="004272A3">
        <w:t>c</w:t>
      </w:r>
      <w:r>
        <w:t>ourts’ current approach is also inconsistent with the approach to assessing whether a witness’ attendance would cause undue expense or delay under an alternative limb of the hearsay provisions (section 18(1)(b)(ii)).</w:t>
      </w:r>
      <w:r>
        <w:rPr>
          <w:rStyle w:val="FootnoteReference"/>
        </w:rPr>
        <w:footnoteReference w:id="211"/>
      </w:r>
      <w:r>
        <w:t xml:space="preserve"> </w:t>
      </w:r>
    </w:p>
    <w:p w14:paraId="5FA310E8" w14:textId="4E931FA6" w:rsidR="00024697" w:rsidRDefault="00024697" w:rsidP="00866891">
      <w:pPr>
        <w:pStyle w:val="BodyTextnonum"/>
        <w:numPr>
          <w:ilvl w:val="3"/>
          <w:numId w:val="28"/>
        </w:numPr>
      </w:pPr>
      <w:r>
        <w:t xml:space="preserve">Whether the Act should prescribe certain steps as a precondition (or presumptive requirement) to finding that reasonable diligence has been satisfied. This could include consideration of whether there should be an obligation to provide a potential witness with certain information, to maintain a level of contact with that person, and/or to take certain steps if the person indicates they are reluctant to give evidence. We note, however, that in </w:t>
      </w:r>
      <w:r>
        <w:rPr>
          <w:i/>
          <w:iCs/>
        </w:rPr>
        <w:t xml:space="preserve">Huritu </w:t>
      </w:r>
      <w:r>
        <w:t>the Court of Appeal rejected the suggestion that there should be a general expectation or positive obligation on police to maintain contact with witnesses to identify whether an arrest warrant will be necessary to secure their attendance at trial, citing the significant resourcing implications of doing so.</w:t>
      </w:r>
      <w:r>
        <w:rPr>
          <w:rStyle w:val="FootnoteReference"/>
        </w:rPr>
        <w:footnoteReference w:id="212"/>
      </w:r>
      <w:r>
        <w:t xml:space="preserve"> </w:t>
      </w:r>
    </w:p>
    <w:p w14:paraId="0DCC6D4D" w14:textId="1483B20F" w:rsidR="00024697" w:rsidRDefault="00024697" w:rsidP="00866891">
      <w:pPr>
        <w:pStyle w:val="BodyTextnonum"/>
        <w:numPr>
          <w:ilvl w:val="3"/>
          <w:numId w:val="28"/>
        </w:numPr>
      </w:pPr>
      <w:r>
        <w:t>Whether the guidance would best be contained in a non-statutory instrument. This might be more appropriate if it is considered that the guidance should be more detailed in nature, for example</w:t>
      </w:r>
      <w:r w:rsidR="00CA0EE8">
        <w:t>,</w:t>
      </w:r>
      <w:r>
        <w:t xml:space="preserve"> if it should address the steps that should be considered or taken in different situations. </w:t>
      </w:r>
    </w:p>
    <w:p w14:paraId="7689CE5A" w14:textId="326686EF" w:rsidR="00024697" w:rsidRDefault="00024697" w:rsidP="00866891">
      <w:pPr>
        <w:pStyle w:val="BodyTextnonum"/>
        <w:numPr>
          <w:ilvl w:val="3"/>
          <w:numId w:val="28"/>
        </w:numPr>
      </w:pPr>
      <w:r w:rsidRPr="00FC5D37">
        <w:t>Whether there should be an expectation that</w:t>
      </w:r>
      <w:r>
        <w:t xml:space="preserve"> </w:t>
      </w:r>
      <w:r w:rsidRPr="00FC5D37">
        <w:t>evidence should be offered in support of an application to offer a hearsay statement in reliance on section 16(2)(d), rather than relying on counsel’s submissions. This would require the relevant police officer(s) to give evidence on the steps taken to facilitate the witnes</w:t>
      </w:r>
      <w:r w:rsidR="00F735B1">
        <w:t>s’</w:t>
      </w:r>
      <w:r w:rsidRPr="00FC5D37">
        <w:t xml:space="preserve"> attendance and to be available for cross-examination</w:t>
      </w:r>
      <w:r>
        <w:t xml:space="preserve"> if appropriate</w:t>
      </w:r>
      <w:r w:rsidRPr="00FC5D37">
        <w:t>.</w:t>
      </w:r>
      <w:r>
        <w:rPr>
          <w:rStyle w:val="FootnoteReference"/>
        </w:rPr>
        <w:footnoteReference w:id="213"/>
      </w:r>
      <w:r w:rsidRPr="00FC5D37">
        <w:t xml:space="preserve"> Such a</w:t>
      </w:r>
      <w:r>
        <w:t xml:space="preserve">n expectation could increase scrutiny on the steps that had been taken and </w:t>
      </w:r>
      <w:r w:rsidRPr="00FC5D37">
        <w:t>could be justified given the potential significance of admitting hearsay statements.</w:t>
      </w:r>
      <w:r>
        <w:t xml:space="preserve"> </w:t>
      </w:r>
    </w:p>
    <w:p w14:paraId="1FBE596B" w14:textId="021122E2" w:rsidR="00024697" w:rsidRDefault="00024697" w:rsidP="009F4F6E">
      <w:pPr>
        <w:pStyle w:val="BodyText"/>
        <w:tabs>
          <w:tab w:val="num" w:pos="709"/>
        </w:tabs>
      </w:pPr>
      <w:r>
        <w:t>The language of “reasonable diligence” used in section 16(2)(d), which can be traced back to a 1967 report on hearsay evidence,</w:t>
      </w:r>
      <w:r>
        <w:rPr>
          <w:rStyle w:val="FootnoteReference"/>
        </w:rPr>
        <w:footnoteReference w:id="214"/>
      </w:r>
      <w:r>
        <w:t xml:space="preserve"> may also warrant updating. There may be merit in adopting the language of “</w:t>
      </w:r>
      <w:r w:rsidRPr="00204B12">
        <w:t>all reasonable steps</w:t>
      </w:r>
      <w:r>
        <w:t>”</w:t>
      </w:r>
      <w:r>
        <w:rPr>
          <w:i/>
          <w:iCs/>
        </w:rPr>
        <w:t xml:space="preserve"> </w:t>
      </w:r>
      <w:r w:rsidRPr="008506EC">
        <w:t>as u</w:t>
      </w:r>
      <w:r>
        <w:t xml:space="preserve">sed in Australia and England and Wales. This may assist in focusing the inquiry more directly on which steps were (and were not) taken to find the witness or, in the words of the Australian legislation, to “secure [their] attendance”. </w:t>
      </w:r>
    </w:p>
    <w:p w14:paraId="4B97202F" w14:textId="6672AF42" w:rsidR="0010021F" w:rsidRDefault="0010021F">
      <w:pPr>
        <w:widowControl w:val="0"/>
        <w:spacing w:after="200" w:line="276" w:lineRule="auto"/>
        <w:rPr>
          <w:rFonts w:eastAsia="Times New Roman" w:cs="Times New Roman"/>
          <w:color w:val="0D0D0D" w:themeColor="text1" w:themeTint="F2"/>
          <w:szCs w:val="24"/>
          <w:lang w:eastAsia="en-AU"/>
        </w:rPr>
      </w:pPr>
      <w:bookmarkStart w:id="73" w:name="_Toc132962551"/>
      <w:r>
        <w:br w:type="page"/>
      </w:r>
    </w:p>
    <w:p w14:paraId="7FBA8C7A" w14:textId="77777777" w:rsidR="0010021F" w:rsidRDefault="0010021F" w:rsidP="0010021F">
      <w:pPr>
        <w:pStyle w:val="ListNumber"/>
        <w:numPr>
          <w:ilvl w:val="0"/>
          <w:numId w:val="0"/>
        </w:numPr>
        <w:ind w:left="360" w:hanging="360"/>
      </w:pPr>
      <w:r>
        <w:rPr>
          <w:noProof/>
        </w:rPr>
        <w:lastRenderedPageBreak/>
        <mc:AlternateContent>
          <mc:Choice Requires="wpg">
            <w:drawing>
              <wp:anchor distT="0" distB="0" distL="114300" distR="114300" simplePos="0" relativeHeight="251658283" behindDoc="1" locked="0" layoutInCell="1" allowOverlap="1" wp14:anchorId="4C6ACA11" wp14:editId="5007A20C">
                <wp:simplePos x="0" y="0"/>
                <wp:positionH relativeFrom="column">
                  <wp:posOffset>-1612</wp:posOffset>
                </wp:positionH>
                <wp:positionV relativeFrom="paragraph">
                  <wp:posOffset>-1563</wp:posOffset>
                </wp:positionV>
                <wp:extent cx="5760085" cy="2028098"/>
                <wp:effectExtent l="0" t="0" r="0" b="0"/>
                <wp:wrapNone/>
                <wp:docPr id="499" name="Group 499" descr="Question"/>
                <wp:cNvGraphicFramePr/>
                <a:graphic xmlns:a="http://schemas.openxmlformats.org/drawingml/2006/main">
                  <a:graphicData uri="http://schemas.microsoft.com/office/word/2010/wordprocessingGroup">
                    <wpg:wgp>
                      <wpg:cNvGrpSpPr/>
                      <wpg:grpSpPr>
                        <a:xfrm>
                          <a:off x="0" y="0"/>
                          <a:ext cx="5760085" cy="2028098"/>
                          <a:chOff x="0" y="62865"/>
                          <a:chExt cx="5760085" cy="2028303"/>
                        </a:xfrm>
                      </wpg:grpSpPr>
                      <wps:wsp>
                        <wps:cNvPr id="50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172F17" w14:textId="77777777" w:rsidR="0010021F" w:rsidRDefault="0010021F" w:rsidP="0010021F">
                              <w:pPr>
                                <w:pStyle w:val="BoxTitle"/>
                                <w:spacing w:before="0" w:beforeAutospacing="0"/>
                              </w:pPr>
                              <w:r w:rsidRPr="007F6876">
                                <w:t>QUESTION</w:t>
                              </w:r>
                            </w:p>
                          </w:txbxContent>
                        </wps:txbx>
                        <wps:bodyPr rot="0" vert="horz" wrap="square" lIns="91440" tIns="0" rIns="0" bIns="45720" anchor="ctr" anchorCtr="0" upright="1">
                          <a:noAutofit/>
                        </wps:bodyPr>
                      </wps:wsp>
                      <wpg:grpSp>
                        <wpg:cNvPr id="501" name="Group 53"/>
                        <wpg:cNvGrpSpPr>
                          <a:grpSpLocks/>
                        </wpg:cNvGrpSpPr>
                        <wpg:grpSpPr bwMode="auto">
                          <a:xfrm>
                            <a:off x="0" y="316170"/>
                            <a:ext cx="5760085" cy="1774998"/>
                            <a:chOff x="1837" y="1791"/>
                            <a:chExt cx="9302" cy="19173"/>
                          </a:xfrm>
                        </wpg:grpSpPr>
                        <wps:wsp>
                          <wps:cNvPr id="502" name="Freeform 54"/>
                          <wps:cNvSpPr>
                            <a:spLocks/>
                          </wps:cNvSpPr>
                          <wps:spPr bwMode="auto">
                            <a:xfrm>
                              <a:off x="1837" y="1791"/>
                              <a:ext cx="9302" cy="1917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503"/>
                        <wpg:cNvGrpSpPr/>
                        <wpg:grpSpPr>
                          <a:xfrm>
                            <a:off x="0" y="494036"/>
                            <a:ext cx="1443794" cy="252000"/>
                            <a:chOff x="-15880" y="0"/>
                            <a:chExt cx="1444379" cy="252068"/>
                          </a:xfrm>
                        </wpg:grpSpPr>
                        <wps:wsp>
                          <wps:cNvPr id="50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57EA93" w14:textId="77777777" w:rsidR="0010021F" w:rsidRPr="00E90B8A" w:rsidRDefault="0010021F" w:rsidP="0010021F">
                                <w:pPr>
                                  <w:pStyle w:val="BoxTitle"/>
                                  <w:spacing w:before="0" w:beforeAutospacing="0"/>
                                  <w:rPr>
                                    <w:sz w:val="18"/>
                                    <w:szCs w:val="18"/>
                                  </w:rPr>
                                </w:pPr>
                                <w:r w:rsidRPr="00E90B8A">
                                  <w:rPr>
                                    <w:sz w:val="18"/>
                                    <w:szCs w:val="18"/>
                                  </w:rPr>
                                  <w:t>Q</w:t>
                                </w:r>
                                <w:r>
                                  <w:rPr>
                                    <w:sz w:val="18"/>
                                    <w:szCs w:val="18"/>
                                  </w:rP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C6ACA11" id="Group 499" o:spid="_x0000_s1073" alt="Question" style="position:absolute;left:0;text-align:left;margin-left:-.15pt;margin-top:-.1pt;width:453.55pt;height:159.7pt;z-index:-251658197;mso-height-relative:margin" coordorigin=",628" coordsize="57600,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">
                <v:shape id="Freeform 52" o:spid="_x0000_s107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4172F17" w14:textId="77777777" w:rsidR="0010021F" w:rsidRDefault="0010021F" w:rsidP="0010021F">
                        <w:pPr>
                          <w:pStyle w:val="BoxTitle"/>
                          <w:spacing w:before="0" w:beforeAutospacing="0"/>
                        </w:pPr>
                        <w:r w:rsidRPr="007F6876">
                          <w:t>QUESTION</w:t>
                        </w:r>
                      </w:p>
                    </w:txbxContent>
                  </v:textbox>
                </v:shape>
                <v:group id="Group 53" o:spid="_x0000_s1075" style="position:absolute;top:3161;width:57600;height:17750" coordorigin="1837,1791" coordsize="9302,1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4" o:spid="_x0000_s1076" style="position:absolute;left:1837;top:1791;width:9302;height:1917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" path="m,l9354,r,7809l,7809,,e" fillcolor="#edf2ea" stroked="f">
                    <v:path arrowok="t" o:connecttype="custom" o:connectlocs="0,2455;9302,2455;9302,21628;0,21628;0,2455" o:connectangles="0,0,0,0,0"/>
                  </v:shape>
                </v:group>
                <v:group id="Group 503" o:spid="_x0000_s107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8" o:spid="_x0000_s107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" path="m,l1815,e" filled="f" strokecolor="#72ab6a" strokeweight=".5pt">
                    <v:path arrowok="t" o:connecttype="custom" o:connectlocs="0,0;1073495,0" o:connectangles="0,0"/>
                  </v:shape>
                  <v:shape id="Freeform 66" o:spid="_x0000_s107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B57EA93" w14:textId="77777777" w:rsidR="0010021F" w:rsidRPr="00E90B8A" w:rsidRDefault="0010021F" w:rsidP="0010021F">
                          <w:pPr>
                            <w:pStyle w:val="BoxTitle"/>
                            <w:spacing w:before="0" w:beforeAutospacing="0"/>
                            <w:rPr>
                              <w:sz w:val="18"/>
                              <w:szCs w:val="18"/>
                            </w:rPr>
                          </w:pPr>
                          <w:r w:rsidRPr="00E90B8A">
                            <w:rPr>
                              <w:sz w:val="18"/>
                              <w:szCs w:val="18"/>
                            </w:rPr>
                            <w:t>Q</w:t>
                          </w:r>
                          <w:r>
                            <w:rPr>
                              <w:sz w:val="18"/>
                              <w:szCs w:val="18"/>
                            </w:rPr>
                            <w:t>7</w:t>
                          </w:r>
                        </w:p>
                      </w:txbxContent>
                    </v:textbox>
                  </v:shape>
                </v:group>
              </v:group>
            </w:pict>
          </mc:Fallback>
        </mc:AlternateContent>
      </w:r>
    </w:p>
    <w:p w14:paraId="32AC299E" w14:textId="77777777" w:rsidR="0010021F" w:rsidRDefault="0010021F" w:rsidP="0010021F">
      <w:pPr>
        <w:pStyle w:val="ListNumber"/>
        <w:numPr>
          <w:ilvl w:val="0"/>
          <w:numId w:val="0"/>
        </w:numPr>
        <w:ind w:left="360" w:hanging="360"/>
      </w:pPr>
    </w:p>
    <w:p w14:paraId="11C571A3" w14:textId="77777777" w:rsidR="0010021F" w:rsidRDefault="0010021F" w:rsidP="0010021F">
      <w:pPr>
        <w:pStyle w:val="QuestionBox"/>
      </w:pPr>
      <w:r>
        <w:t>Is the operation of section 16(2)(d) causing problems in practice? If so, should it be amended to:</w:t>
      </w:r>
    </w:p>
    <w:p w14:paraId="5EA52885" w14:textId="77777777" w:rsidR="0010021F" w:rsidRDefault="0010021F" w:rsidP="00866891">
      <w:pPr>
        <w:pStyle w:val="Questionabc"/>
        <w:numPr>
          <w:ilvl w:val="0"/>
          <w:numId w:val="56"/>
        </w:numPr>
        <w:ind w:left="1417" w:hanging="425"/>
      </w:pPr>
      <w:r>
        <w:t xml:space="preserve">prescribe factors that are relevant to determining whether the section 16(2)(d) threshold is satisfied; and/or </w:t>
      </w:r>
    </w:p>
    <w:p w14:paraId="011059E6" w14:textId="77777777" w:rsidR="0010021F" w:rsidRDefault="0010021F" w:rsidP="0010021F">
      <w:pPr>
        <w:pStyle w:val="Questionabc"/>
        <w:ind w:left="1418"/>
      </w:pPr>
      <w:r>
        <w:t>amend the language used in section 16(2)(d) so that it requires “all reasonable steps” to be taken to find the person and/or secure their attendance at court?</w:t>
      </w:r>
    </w:p>
    <w:p w14:paraId="6B558F63" w14:textId="77777777" w:rsidR="0010021F" w:rsidRPr="00F52EF1" w:rsidRDefault="0010021F" w:rsidP="0010021F">
      <w:pPr>
        <w:pStyle w:val="QuestionBox"/>
        <w:rPr>
          <w:lang w:eastAsia="en-US"/>
        </w:rPr>
      </w:pPr>
    </w:p>
    <w:p w14:paraId="451257FB" w14:textId="77777777" w:rsidR="00024697" w:rsidRDefault="00024697" w:rsidP="00024697">
      <w:pPr>
        <w:pStyle w:val="Heading2"/>
      </w:pPr>
      <w:r>
        <w:t>Hearsay in civil proceedings</w:t>
      </w:r>
      <w:bookmarkEnd w:id="73"/>
    </w:p>
    <w:p w14:paraId="6BC60788" w14:textId="77777777" w:rsidR="00024697" w:rsidRDefault="00024697" w:rsidP="009F4F6E">
      <w:pPr>
        <w:pStyle w:val="BodyText"/>
      </w:pPr>
      <w:r>
        <w:t>The Act determines the admissibility of evidence in both civil and criminal proceedings. In civil proceedings, the Act must also be read alongside the relevant rules of court, including the High Court Rules 2016 (HCRs), which regulate practice and procedure.</w:t>
      </w:r>
      <w:r>
        <w:rPr>
          <w:rStyle w:val="FootnoteReference"/>
        </w:rPr>
        <w:footnoteReference w:id="215"/>
      </w:r>
    </w:p>
    <w:p w14:paraId="271BD3F6" w14:textId="60037AA7" w:rsidR="00024697" w:rsidRDefault="00024697" w:rsidP="009F4F6E">
      <w:pPr>
        <w:pStyle w:val="BodyText"/>
      </w:pPr>
      <w:r>
        <w:t>Under the HCRs, evidence in chief is usually given by the witness reading a brief of evidence</w:t>
      </w:r>
      <w:r>
        <w:rPr>
          <w:rStyle w:val="FootnoteReference"/>
        </w:rPr>
        <w:footnoteReference w:id="216"/>
      </w:r>
      <w:r>
        <w:t xml:space="preserve"> </w:t>
      </w:r>
      <w:r w:rsidR="008B3DCC">
        <w:t>that</w:t>
      </w:r>
      <w:r>
        <w:t xml:space="preserve"> is prepared in advance and served upon all other parties before trial.</w:t>
      </w:r>
      <w:r>
        <w:rPr>
          <w:rStyle w:val="FootnoteReference"/>
        </w:rPr>
        <w:footnoteReference w:id="217"/>
      </w:r>
      <w:r>
        <w:t xml:space="preserve"> Documents are normally received in evidence by their inclusion in the “common bundle”. The common bundle is prepared in advance of trial and contains all the documents each party intends to rely on.</w:t>
      </w:r>
      <w:r>
        <w:rPr>
          <w:rStyle w:val="FootnoteReference"/>
        </w:rPr>
        <w:footnoteReference w:id="218"/>
      </w:r>
      <w:r>
        <w:t xml:space="preserve"> HCR 9.5(4) provides that a document in the common bundle is “automatically received into evidence (subject to the resolution of any objection to admissibility)” when a witness refers to it in evidence or when counsel refer to it in submissions (other than closing submissions). </w:t>
      </w:r>
    </w:p>
    <w:p w14:paraId="719F390A" w14:textId="7118D377" w:rsidR="00024697" w:rsidRDefault="00024697" w:rsidP="009F4F6E">
      <w:pPr>
        <w:pStyle w:val="BodyText"/>
      </w:pPr>
      <w:r>
        <w:t>The rule against hearsay applies in civil proceedings. If a witnes</w:t>
      </w:r>
      <w:r w:rsidR="00F735B1">
        <w:t>s’</w:t>
      </w:r>
      <w:r>
        <w:t xml:space="preserve"> evidence or a document in the common bundle contains a statement made by someone who is not a witness, and that statement is relied on for the truth of its contents, it will be a hearsay statement and inadmissible unless one of the exceptions in the Act applies.</w:t>
      </w:r>
    </w:p>
    <w:p w14:paraId="045C2913" w14:textId="77777777" w:rsidR="00024697" w:rsidRDefault="00024697" w:rsidP="00024697">
      <w:pPr>
        <w:pStyle w:val="Heading3"/>
      </w:pPr>
      <w:r>
        <w:t>What are the issues?</w:t>
      </w:r>
    </w:p>
    <w:p w14:paraId="5EA07BDE" w14:textId="77777777" w:rsidR="00024697" w:rsidRDefault="00024697" w:rsidP="009F4F6E">
      <w:pPr>
        <w:pStyle w:val="BodyText"/>
      </w:pPr>
      <w:r>
        <w:t>A review of the operation of the hearsay provisions in civil proceedings has identified apparent inconsistencies between the Act and the HCRs in relation to:</w:t>
      </w:r>
    </w:p>
    <w:p w14:paraId="4DBCD5CE" w14:textId="77777777" w:rsidR="00024697" w:rsidRDefault="00024697" w:rsidP="00866891">
      <w:pPr>
        <w:pStyle w:val="BodyTextnonum"/>
        <w:numPr>
          <w:ilvl w:val="3"/>
          <w:numId w:val="27"/>
        </w:numPr>
      </w:pPr>
      <w:r>
        <w:t>the process for challenging the admissibility of hearsay statements in civil proceedings; and</w:t>
      </w:r>
    </w:p>
    <w:p w14:paraId="606317BA" w14:textId="77777777" w:rsidR="00024697" w:rsidRDefault="00024697" w:rsidP="00866891">
      <w:pPr>
        <w:pStyle w:val="BodyTextnonum"/>
        <w:numPr>
          <w:ilvl w:val="3"/>
          <w:numId w:val="27"/>
        </w:numPr>
      </w:pPr>
      <w:r>
        <w:t>the admissibility of hearsay statements that are not challenged by any party.</w:t>
      </w:r>
    </w:p>
    <w:p w14:paraId="549216E2" w14:textId="77777777" w:rsidR="00024697" w:rsidRDefault="00024697" w:rsidP="00024697">
      <w:pPr>
        <w:pStyle w:val="Heading4"/>
      </w:pPr>
      <w:r>
        <w:lastRenderedPageBreak/>
        <w:t>Process for challenging hearsay statements in civil proceedings</w:t>
      </w:r>
    </w:p>
    <w:p w14:paraId="0384AD8D" w14:textId="77777777" w:rsidR="00024697" w:rsidRDefault="00024697" w:rsidP="009F4F6E">
      <w:pPr>
        <w:pStyle w:val="BodyText"/>
        <w:tabs>
          <w:tab w:val="num" w:pos="709"/>
        </w:tabs>
      </w:pPr>
      <w:r>
        <w:t>The HCRs prescribe clear procedures for challenging the admissibility of evidence, including hearsay statements. In relation to briefs of evidence, HCR 9.11 states that any admissibility challenge must be notified to the party or parties concerned within 20 working days after receipt of the brief by the challenging party. If the issue is not resolved within 10 working days, notice that there is an admissibility issue must be given to the court by the challenging party.</w:t>
      </w:r>
    </w:p>
    <w:p w14:paraId="1402BEB6" w14:textId="77777777" w:rsidR="00024697" w:rsidRDefault="00024697" w:rsidP="009F4F6E">
      <w:pPr>
        <w:pStyle w:val="BodyText"/>
        <w:tabs>
          <w:tab w:val="num" w:pos="709"/>
        </w:tabs>
      </w:pPr>
      <w:r w:rsidRPr="008A626E">
        <w:t>In relation to documents in the common bundle, HCR 9.5(2) states that if a party objects to the admissibility of a document the objection “must, if practicable, be recorded in the common bundle, and must be determined by the court at the hearing or at any prior time that the court directs”.</w:t>
      </w:r>
    </w:p>
    <w:p w14:paraId="485B0058" w14:textId="77777777" w:rsidR="00024697" w:rsidRDefault="00024697" w:rsidP="009F4F6E">
      <w:pPr>
        <w:pStyle w:val="BodyText"/>
        <w:tabs>
          <w:tab w:val="num" w:pos="709"/>
        </w:tabs>
      </w:pPr>
      <w:r>
        <w:t>These requirements are designed to ensure that any evidentiary issues are identified before trial.</w:t>
      </w:r>
      <w:r>
        <w:rPr>
          <w:rStyle w:val="FootnoteReference"/>
        </w:rPr>
        <w:footnoteReference w:id="219"/>
      </w:r>
      <w:r>
        <w:t xml:space="preserve"> It gives the party offering the evidence an opportunity to remedy any accepted deficiencies in the evidence and prevents the challenging party from seeking to obtain some form of strategic advantage by delaying a challenge until trial.</w:t>
      </w:r>
      <w:r>
        <w:rPr>
          <w:rStyle w:val="FootnoteReference"/>
        </w:rPr>
        <w:footnoteReference w:id="220"/>
      </w:r>
    </w:p>
    <w:p w14:paraId="6628FA98" w14:textId="77777777" w:rsidR="00024697" w:rsidRDefault="00024697" w:rsidP="009F4F6E">
      <w:pPr>
        <w:pStyle w:val="BodyText"/>
        <w:tabs>
          <w:tab w:val="num" w:pos="709"/>
        </w:tabs>
      </w:pPr>
      <w:r>
        <w:t xml:space="preserve">The Act does not prescribe the process for challenging the admissibility of hearsay statements. This has led to disagreement among parties in civil proceedings as to whether a hearsay statement can be challenged at trial, outside the procedures prescribed in the HCRs. </w:t>
      </w:r>
      <w:r w:rsidRPr="009F1393">
        <w:rPr>
          <w:lang w:val="mi-NZ"/>
        </w:rPr>
        <w:t xml:space="preserve">In </w:t>
      </w:r>
      <w:r w:rsidRPr="009F1393">
        <w:rPr>
          <w:i/>
          <w:iCs/>
        </w:rPr>
        <w:t>Zespri Group Ltd v Gao</w:t>
      </w:r>
      <w:r w:rsidR="00E17AA6" w:rsidRPr="00E17AA6">
        <w:t>,</w:t>
      </w:r>
      <w:r w:rsidRPr="009F1393">
        <w:rPr>
          <w:i/>
          <w:iCs/>
        </w:rPr>
        <w:t xml:space="preserve"> </w:t>
      </w:r>
      <w:r>
        <w:t>for example, the admissibility of hearsay statements contained in witness briefs was not challenged under the HCRs.</w:t>
      </w:r>
      <w:r>
        <w:rPr>
          <w:rStyle w:val="FootnoteReference"/>
        </w:rPr>
        <w:footnoteReference w:id="221"/>
      </w:r>
      <w:r>
        <w:t xml:space="preserve"> It was only in response to a query from the Judge on the second day of trial that the respondent advised that they were intending to advance a hearsay challenge but were reserving this for closing argument.</w:t>
      </w:r>
      <w:r>
        <w:rPr>
          <w:rStyle w:val="FootnoteReference"/>
        </w:rPr>
        <w:footnoteReference w:id="222"/>
      </w:r>
      <w:r>
        <w:t xml:space="preserve"> The Court considered what non-compliance with the HCRs meant in terms of the admissibility of hearsay statements under the Act and concluded:</w:t>
      </w:r>
      <w:r>
        <w:rPr>
          <w:rStyle w:val="FootnoteReference"/>
        </w:rPr>
        <w:footnoteReference w:id="223"/>
      </w:r>
    </w:p>
    <w:p w14:paraId="4D229620" w14:textId="01549C22" w:rsidR="00024697" w:rsidRDefault="00024697" w:rsidP="00024697">
      <w:pPr>
        <w:pStyle w:val="Quote"/>
      </w:pPr>
      <w:r w:rsidRPr="00B51E4F">
        <w:t>The failure to adhere to rule 9.11 does not displace the mandatory statutory criteria of ss 17</w:t>
      </w:r>
      <w:r w:rsidR="00F22581">
        <w:t>–</w:t>
      </w:r>
      <w:r w:rsidRPr="00B51E4F">
        <w:t>18 of the Evidence Act. Nor does the absence of a r 9.11 objection displace the plaintiff’s own obligation to comply with the Evidence Act. Rule 9.14 expressly provides that nothing in part 9 subpart 1 of the Rules changes inadmissible evidence into admissible evidence. Issues of hearsay can be raised subsequent to the timeframe outlined in r 9.11.</w:t>
      </w:r>
    </w:p>
    <w:p w14:paraId="42E61B99" w14:textId="77777777" w:rsidR="00024697" w:rsidRDefault="00024697" w:rsidP="009F4F6E">
      <w:pPr>
        <w:pStyle w:val="BodyText"/>
        <w:tabs>
          <w:tab w:val="num" w:pos="709"/>
        </w:tabs>
      </w:pPr>
      <w:r>
        <w:t>This creates a conflict between the Act and the procedures set out in the HCRs. A hearsay objection does not need to be made in advance of trial, despite the clear obligation in the HCRs to raise admissibility challenges before trial. It has been suggested that this interpretation of the Act “appears to run contrary to the intention of the legislative provisions”.</w:t>
      </w:r>
      <w:r>
        <w:rPr>
          <w:rStyle w:val="FootnoteReference"/>
        </w:rPr>
        <w:footnoteReference w:id="224"/>
      </w:r>
      <w:r>
        <w:t xml:space="preserve"> It also appears inconsistent with the approach taken prior to the Act, when </w:t>
      </w:r>
      <w:r>
        <w:lastRenderedPageBreak/>
        <w:t>a failure to object to documents in the common bundle pre-trial could mean that party was estopped from raising objections at trial.</w:t>
      </w:r>
      <w:r>
        <w:rPr>
          <w:rStyle w:val="FootnoteReference"/>
        </w:rPr>
        <w:footnoteReference w:id="225"/>
      </w:r>
    </w:p>
    <w:p w14:paraId="10BD8B7C" w14:textId="77777777" w:rsidR="00024697" w:rsidRDefault="00024697" w:rsidP="009F4F6E">
      <w:pPr>
        <w:pStyle w:val="BodyText"/>
        <w:tabs>
          <w:tab w:val="num" w:pos="709"/>
        </w:tabs>
      </w:pPr>
      <w:r>
        <w:t>L</w:t>
      </w:r>
      <w:r w:rsidRPr="00DB707F">
        <w:t>ate challenges to hearsay statements have the potential to increase cost and delay, especially if an adjournment is needed to address admissibility issues.</w:t>
      </w:r>
      <w:r w:rsidRPr="00DB707F">
        <w:rPr>
          <w:rStyle w:val="FootnoteReference"/>
        </w:rPr>
        <w:footnoteReference w:id="226"/>
      </w:r>
    </w:p>
    <w:p w14:paraId="529CD1C9" w14:textId="77777777" w:rsidR="00024697" w:rsidRDefault="00024697" w:rsidP="009F4F6E">
      <w:pPr>
        <w:pStyle w:val="BodyText"/>
        <w:tabs>
          <w:tab w:val="num" w:pos="709"/>
        </w:tabs>
      </w:pPr>
      <w:r w:rsidRPr="00DB707F">
        <w:t>The consequences for a party seeking to rely on hearsay statements can also be significant. Evidence may be ruled inadmissible at trial, despite the pre-trial silence of any other party.</w:t>
      </w:r>
    </w:p>
    <w:p w14:paraId="6528FFA2" w14:textId="77777777" w:rsidR="00024697" w:rsidRDefault="00024697" w:rsidP="00024697">
      <w:pPr>
        <w:pStyle w:val="Heading4"/>
      </w:pPr>
      <w:r>
        <w:t>Admissibility of unchallenged hearsay statements</w:t>
      </w:r>
    </w:p>
    <w:p w14:paraId="70E3CE1A" w14:textId="77777777" w:rsidR="00024697" w:rsidRDefault="00024697" w:rsidP="009F4F6E">
      <w:pPr>
        <w:pStyle w:val="BodyText"/>
        <w:tabs>
          <w:tab w:val="num" w:pos="709"/>
        </w:tabs>
      </w:pPr>
      <w:r>
        <w:t>The second inconsistency between the Act and the HCRs relates to the admissibility of hearsay statements that are not challenged by any party.</w:t>
      </w:r>
    </w:p>
    <w:p w14:paraId="6E66BCFE" w14:textId="6BE04005" w:rsidR="00024697" w:rsidRPr="00EA621D" w:rsidRDefault="00024697" w:rsidP="009F4F6E">
      <w:pPr>
        <w:pStyle w:val="BodyText"/>
        <w:tabs>
          <w:tab w:val="num" w:pos="709"/>
        </w:tabs>
      </w:pPr>
      <w:r>
        <w:rPr>
          <w:lang w:val="mi-NZ"/>
        </w:rPr>
        <w:t xml:space="preserve">HCR 9.5(1) provides that each document in the common bundle, unless the court otherwise directs, </w:t>
      </w:r>
      <w:r w:rsidR="00F7474E">
        <w:rPr>
          <w:lang w:val="mi-NZ"/>
        </w:rPr>
        <w:t xml:space="preserve">is </w:t>
      </w:r>
      <w:r>
        <w:rPr>
          <w:lang w:val="mi-NZ"/>
        </w:rPr>
        <w:t xml:space="preserve">to be considered admissible. This does not, however, mean that hearsay statements in the common bundle are admissible to prove the truth of their contents. This is because the hearsay rules in the Act are described in absolute terms. A hearsay statement must meet one of the exceptions in the Act in order to be admissible. The Court of Appeal </w:t>
      </w:r>
      <w:r>
        <w:t xml:space="preserve">in </w:t>
      </w:r>
      <w:r w:rsidRPr="00EF33FA">
        <w:rPr>
          <w:i/>
          <w:iCs/>
          <w:lang w:val="mi-NZ"/>
        </w:rPr>
        <w:t>Taylor v Asteron Life Ltd</w:t>
      </w:r>
      <w:r>
        <w:rPr>
          <w:lang w:val="mi-NZ"/>
        </w:rPr>
        <w:t xml:space="preserve"> explained the relationship between the Act and the HCRs as follows:</w:t>
      </w:r>
      <w:r>
        <w:rPr>
          <w:rStyle w:val="FootnoteReference"/>
          <w:lang w:val="mi-NZ"/>
        </w:rPr>
        <w:footnoteReference w:id="227"/>
      </w:r>
    </w:p>
    <w:p w14:paraId="766D5EB8" w14:textId="77777777" w:rsidR="00024697" w:rsidRDefault="00024697" w:rsidP="00024697">
      <w:pPr>
        <w:pStyle w:val="Quote"/>
      </w:pPr>
      <w:r>
        <w:t>Rule 9.5(1)(a) read together with s 132 of the Evidence Act resulted in the document being received in evidence, and benefiting from the presumptions set out in r 9.5(1)(b) to (f). But the mere fact that the document has been received in evidence does not mean that it is received as evidence of the truth of its contents. That is a different proposition altogether. The document would be received as evidence of the truth of its contents only if it qualified as admissible hearsay evidence under s 18 of the Evidence Act …</w:t>
      </w:r>
    </w:p>
    <w:p w14:paraId="5CD7C230" w14:textId="1E6A34F1" w:rsidR="00024697" w:rsidRPr="00D3198C" w:rsidRDefault="00024697" w:rsidP="009F4F6E">
      <w:pPr>
        <w:pStyle w:val="BodyText"/>
      </w:pPr>
      <w:r>
        <w:rPr>
          <w:lang w:val="mi-NZ"/>
        </w:rPr>
        <w:t xml:space="preserve">The status of an unchallenged hearsay statement is, therefore, unclear. Different outcomes are possible. On a strict interpretation of the Act, the </w:t>
      </w:r>
      <w:r w:rsidR="006B3574">
        <w:rPr>
          <w:lang w:val="mi-NZ"/>
        </w:rPr>
        <w:t>c</w:t>
      </w:r>
      <w:r>
        <w:rPr>
          <w:lang w:val="mi-NZ"/>
        </w:rPr>
        <w:t>ourt might exclude any hearsay statements it identifies on the basis that no argument has been made as to its admissibility under the statutory exceptions to the rule against hearsay.</w:t>
      </w:r>
      <w:r>
        <w:rPr>
          <w:rStyle w:val="FootnoteReference"/>
          <w:lang w:val="mi-NZ"/>
        </w:rPr>
        <w:footnoteReference w:id="228"/>
      </w:r>
      <w:r>
        <w:rPr>
          <w:lang w:val="mi-NZ"/>
        </w:rPr>
        <w:t xml:space="preserve"> </w:t>
      </w:r>
    </w:p>
    <w:p w14:paraId="5C418354" w14:textId="77777777" w:rsidR="00024697" w:rsidRPr="00EA621D" w:rsidRDefault="00024697" w:rsidP="009F4F6E">
      <w:pPr>
        <w:pStyle w:val="BodyText"/>
      </w:pPr>
      <w:r>
        <w:rPr>
          <w:lang w:val="mi-NZ"/>
        </w:rPr>
        <w:t xml:space="preserve">An alternative approach would be to treat the parties, by failing to challenge the hearsay statement, as having agreed to to its admission. In </w:t>
      </w:r>
      <w:r>
        <w:rPr>
          <w:i/>
          <w:iCs/>
          <w:lang w:val="mi-NZ"/>
        </w:rPr>
        <w:t>Matvin Group Ltd v Crown Finance Ltd</w:t>
      </w:r>
      <w:r>
        <w:rPr>
          <w:lang w:val="mi-NZ"/>
        </w:rPr>
        <w:t>, a decision was made not to call Mr C, whose brief had been served on the other parties prior to trial.</w:t>
      </w:r>
      <w:r>
        <w:rPr>
          <w:rStyle w:val="FootnoteReference"/>
          <w:lang w:val="mi-NZ"/>
        </w:rPr>
        <w:footnoteReference w:id="229"/>
      </w:r>
      <w:r>
        <w:rPr>
          <w:lang w:val="mi-NZ"/>
        </w:rPr>
        <w:t xml:space="preserve"> This meant that some of the evidence before the Court was hearsay. The High Court explained:</w:t>
      </w:r>
      <w:r>
        <w:rPr>
          <w:rStyle w:val="FootnoteReference"/>
          <w:lang w:val="mi-NZ"/>
        </w:rPr>
        <w:footnoteReference w:id="230"/>
      </w:r>
    </w:p>
    <w:p w14:paraId="585809D3" w14:textId="77777777" w:rsidR="00024697" w:rsidRDefault="00024697" w:rsidP="00024697">
      <w:pPr>
        <w:pStyle w:val="Quote"/>
      </w:pPr>
      <w:r w:rsidRPr="00A61D4D">
        <w:lastRenderedPageBreak/>
        <w:t>… no-one at the hearing addressed how the decision not to call [Mr C] affected the admission of evidence in the trial. Written documents prepared by [Mr C] are in the bundle of documents. Witnesses for both Matvin and Crown and CAPGL gave evidence in chief and under cross-examination that recounted what [Mr C] had said and done. Such evidence would not be hearsay if [Mr C] had been called to give evidence. However because he ultimately was not called to give evidence much, if not all, of what other witnesses have said about him in their evidence, and the documents he prepared, are now hearsay. Since no-one at trial raised any objection to the affected evidence based on this change of status, I am proceeding on the basis the evidence remains admissible. However, the fact I have not heard explanations [Mr C] could offer for his conduct necessarily affects the weight I can place on what other witnesses have said about him or what the parties might have me understand from the documents he has prepared.</w:t>
      </w:r>
    </w:p>
    <w:p w14:paraId="447DDB76" w14:textId="77777777" w:rsidR="00024697" w:rsidRDefault="00024697" w:rsidP="009F4F6E">
      <w:pPr>
        <w:pStyle w:val="BodyText"/>
        <w:tabs>
          <w:tab w:val="clear" w:pos="709"/>
        </w:tabs>
      </w:pPr>
      <w:r>
        <w:t xml:space="preserve">The Court in </w:t>
      </w:r>
      <w:r>
        <w:rPr>
          <w:i/>
          <w:iCs/>
        </w:rPr>
        <w:t xml:space="preserve">Matvin </w:t>
      </w:r>
      <w:r>
        <w:t xml:space="preserve">appeared to proceed on the basis that a lack of objection to hearsay evidence can amount to implied agreement to admit evidence. Section 9 of the Act does provide for evidence that may otherwise be inadmissible to be admitted with the agreement of the parties. However, section 9 was not discussed directly in </w:t>
      </w:r>
      <w:r>
        <w:rPr>
          <w:i/>
          <w:iCs/>
        </w:rPr>
        <w:t>Matvin</w:t>
      </w:r>
      <w:r w:rsidR="00E17AA6" w:rsidRPr="00E17AA6">
        <w:t>,</w:t>
      </w:r>
      <w:r>
        <w:rPr>
          <w:i/>
          <w:iCs/>
        </w:rPr>
        <w:t xml:space="preserve"> </w:t>
      </w:r>
      <w:r>
        <w:t>and in any event section 9 contemplates the existence of a written or oral agreement of the parties. It is debatable whether it was intended to apply when the parties simply do not turn their minds to the issue.</w:t>
      </w:r>
      <w:r>
        <w:rPr>
          <w:rStyle w:val="FootnoteReference"/>
        </w:rPr>
        <w:footnoteReference w:id="231"/>
      </w:r>
    </w:p>
    <w:p w14:paraId="2B5928B7" w14:textId="77777777" w:rsidR="00024697" w:rsidRDefault="00024697" w:rsidP="00024697">
      <w:pPr>
        <w:pStyle w:val="Heading3"/>
      </w:pPr>
      <w:r>
        <w:t xml:space="preserve">Is legislative reform necessary or desirable? </w:t>
      </w:r>
    </w:p>
    <w:p w14:paraId="167BCF12" w14:textId="450C4140" w:rsidR="00024697" w:rsidRDefault="00024697" w:rsidP="009F4F6E">
      <w:pPr>
        <w:pStyle w:val="BodyText"/>
      </w:pPr>
      <w:r>
        <w:t xml:space="preserve">The inconsistencies between how the Act operates and provisions in </w:t>
      </w:r>
      <w:r w:rsidR="00C0535E">
        <w:t xml:space="preserve">the </w:t>
      </w:r>
      <w:r>
        <w:t>HCRs is undesirable. It creates uncertainty and may increase cost and delay in civil proceedings when objections are not made in accordance with the HCRs or when hearsay statements remain unchallenged.</w:t>
      </w:r>
    </w:p>
    <w:p w14:paraId="26C3B02B" w14:textId="77777777" w:rsidR="00024697" w:rsidRDefault="00024697" w:rsidP="009F4F6E">
      <w:pPr>
        <w:pStyle w:val="BodyText"/>
      </w:pPr>
      <w:r>
        <w:t xml:space="preserve">We therefore seek submissions on whether the Act should be amended to clarify the relationship between the Act and the HCRs and/or promote greater compliance with the hearsay rules in civil proceedings. </w:t>
      </w:r>
    </w:p>
    <w:p w14:paraId="3C4A382A" w14:textId="78904E30" w:rsidR="00024697" w:rsidRDefault="00123AAE" w:rsidP="00024697">
      <w:pPr>
        <w:pStyle w:val="Heading3"/>
      </w:pPr>
      <w:r>
        <w:t>O</w:t>
      </w:r>
      <w:r w:rsidR="00024697">
        <w:t>ptions for reform</w:t>
      </w:r>
    </w:p>
    <w:p w14:paraId="0659753C" w14:textId="77777777" w:rsidR="00024697" w:rsidRPr="00073FE1" w:rsidRDefault="00024697" w:rsidP="009F4F6E">
      <w:pPr>
        <w:pStyle w:val="BodyText"/>
        <w:rPr>
          <w:i/>
          <w:iCs/>
        </w:rPr>
      </w:pPr>
      <w:r>
        <w:t xml:space="preserve">We have identified two possible options for reform. Either Option 1 alone or both options could be adopted (adopting Option 2 alone would not resolve the issue relating to admissibility of unchallenged hearsay statements). </w:t>
      </w:r>
    </w:p>
    <w:p w14:paraId="30F32756" w14:textId="77777777" w:rsidR="00024697" w:rsidRPr="0095238B" w:rsidRDefault="00024697" w:rsidP="00024697">
      <w:pPr>
        <w:pStyle w:val="Heading4"/>
        <w:rPr>
          <w:i w:val="0"/>
        </w:rPr>
      </w:pPr>
      <w:r>
        <w:t xml:space="preserve">Option 1: Limit the operation of section 17 in civil proceedings </w:t>
      </w:r>
    </w:p>
    <w:p w14:paraId="7B38CBFB" w14:textId="0E14A865" w:rsidR="00024697" w:rsidRDefault="00024697" w:rsidP="009F4F6E">
      <w:pPr>
        <w:pStyle w:val="BodyText"/>
      </w:pPr>
      <w:r>
        <w:t xml:space="preserve">Option 1 is to amend the Act to limit the operation of section 17 (the rule against hearsay) to apply in civil proceedings </w:t>
      </w:r>
      <w:r w:rsidRPr="0028129D">
        <w:rPr>
          <w:i/>
          <w:iCs/>
        </w:rPr>
        <w:t>only</w:t>
      </w:r>
      <w:r>
        <w:t xml:space="preserve"> if a party challenges the admissibility of a hearsay statement in accordance with the relevant rules of court (unless the </w:t>
      </w:r>
      <w:r w:rsidR="005C3C3C">
        <w:t>j</w:t>
      </w:r>
      <w:r>
        <w:t xml:space="preserve">udge dispenses with this requirement). </w:t>
      </w:r>
    </w:p>
    <w:p w14:paraId="4CF64FCC" w14:textId="56BED102" w:rsidR="00024697" w:rsidRDefault="00024697" w:rsidP="009F4F6E">
      <w:pPr>
        <w:pStyle w:val="BodyText"/>
      </w:pPr>
      <w:r>
        <w:t xml:space="preserve">The effect of this option would be to adopt a presumption or starting point that a hearsay statement is admissible to prove the truth of its contents in civil proceedings. That presumption would be rebutted whenever a party challenges the admissibility of the hearsay statement. The </w:t>
      </w:r>
      <w:r w:rsidR="003C3051">
        <w:t>c</w:t>
      </w:r>
      <w:r>
        <w:t xml:space="preserve">ourt would then determine admissibility under the Act’s hearsay </w:t>
      </w:r>
      <w:r>
        <w:lastRenderedPageBreak/>
        <w:t>rules. If admissibility is not challenged, the reliability of the hearsay statement would be treated as a matter of weight by the fact-finder.</w:t>
      </w:r>
    </w:p>
    <w:p w14:paraId="20602971" w14:textId="77777777" w:rsidR="00024697" w:rsidRDefault="00024697" w:rsidP="009F4F6E">
      <w:pPr>
        <w:pStyle w:val="BodyText"/>
      </w:pPr>
      <w:r>
        <w:t>This option would avoid the need for the court to address admissibility issues with hearsay statements when no challenge has been made. We do not anticipate that this would result in any significant change in civil litigation practice. As noted above, this appears to be consistent with what the HCRs already envisage.</w:t>
      </w:r>
    </w:p>
    <w:p w14:paraId="24228FD8" w14:textId="510DAC6B" w:rsidR="00024697" w:rsidRDefault="00024697" w:rsidP="009F4F6E">
      <w:pPr>
        <w:pStyle w:val="BodyText"/>
      </w:pPr>
      <w:r>
        <w:t xml:space="preserve">This option would also encourage objections to hearsay to be made in accordance with </w:t>
      </w:r>
      <w:r w:rsidRPr="00EA621D">
        <w:t>the</w:t>
      </w:r>
      <w:r>
        <w:t xml:space="preserve"> HCRs, responding to the problem of late objections discussed above. The </w:t>
      </w:r>
      <w:r w:rsidR="003C3051">
        <w:t>c</w:t>
      </w:r>
      <w:r>
        <w:t>ourt should, however, be able to dispense with the requirement that any objection comply with the relevant rules of court. There will be situations where evidence is not known to be hearsay until the trial (for example, if a late decision is made not to call a witness), or where the significance of a hearsay statement is not clear until the trial. A discretion to hear a late challenge would also address the concern that requiring objections to comply with the rules of court could unintentionally increase cost and delay in the pre-trial stage, by incentivising parties to make unnecessary challenges in order to protect their position. Grounds for dispensing with this requirement could be similar to those in section 22(5), which prescribes the permitted reasons for dispensing with the requirement to give notice of hearsay in criminal proceedings.</w:t>
      </w:r>
    </w:p>
    <w:p w14:paraId="5CF5295C" w14:textId="76C4C8A4" w:rsidR="00024697" w:rsidRDefault="00024697" w:rsidP="009F4F6E">
      <w:pPr>
        <w:pStyle w:val="BodyText"/>
      </w:pPr>
      <w:r>
        <w:t xml:space="preserve">This </w:t>
      </w:r>
      <w:r w:rsidRPr="00EA621D">
        <w:t>option</w:t>
      </w:r>
      <w:r>
        <w:t xml:space="preserve"> could be limited to documents in the common bundle (section 132). This would recognise the significance of documentary evidence in civil proceedings</w:t>
      </w:r>
      <w:r>
        <w:rPr>
          <w:rStyle w:val="FootnoteReference"/>
        </w:rPr>
        <w:footnoteReference w:id="232"/>
      </w:r>
      <w:r>
        <w:t xml:space="preserve"> and reflect the fact that documents in the common bundle are potentially more at risk of infringing the hearsay rules because they do not need to be produced by a witness.</w:t>
      </w:r>
      <w:r>
        <w:rPr>
          <w:rStyle w:val="FootnoteReference"/>
        </w:rPr>
        <w:footnoteReference w:id="233"/>
      </w:r>
      <w:r>
        <w:t xml:space="preserve"> Te Komiti Mō Ngā Tikanga Kooti </w:t>
      </w:r>
      <w:r w:rsidR="009575E7">
        <w:t xml:space="preserve">| The Rules Committee </w:t>
      </w:r>
      <w:r>
        <w:t xml:space="preserve">(Rules Committee) made a similar recommendation in its report, </w:t>
      </w:r>
      <w:r>
        <w:rPr>
          <w:i/>
          <w:iCs/>
        </w:rPr>
        <w:t>Improving Access to Civil Justice.</w:t>
      </w:r>
      <w:r>
        <w:rPr>
          <w:rStyle w:val="FootnoteReference"/>
        </w:rPr>
        <w:footnoteReference w:id="234"/>
      </w:r>
      <w:r>
        <w:rPr>
          <w:i/>
          <w:iCs/>
        </w:rPr>
        <w:t xml:space="preserve"> </w:t>
      </w:r>
      <w:r>
        <w:t>It recommended that the Act and the HCRs be amended to allow documents in the common bundle to be admissible as to the truth of their contents.</w:t>
      </w:r>
      <w:r>
        <w:rPr>
          <w:rStyle w:val="FootnoteReference"/>
        </w:rPr>
        <w:footnoteReference w:id="235"/>
      </w:r>
      <w:r>
        <w:t xml:space="preserve"> It explained that this would “remove the artificial recitation of documents in the briefs of evidence”</w:t>
      </w:r>
      <w:r w:rsidRPr="001E698D">
        <w:rPr>
          <w:rStyle w:val="FootnoteReference"/>
        </w:rPr>
        <w:t xml:space="preserve"> </w:t>
      </w:r>
      <w:r>
        <w:t xml:space="preserve">to avoid infringing the </w:t>
      </w:r>
      <w:r w:rsidR="003A5E1B">
        <w:t>rule against</w:t>
      </w:r>
      <w:r>
        <w:t xml:space="preserve"> hearsay.</w:t>
      </w:r>
      <w:r>
        <w:rPr>
          <w:rStyle w:val="FootnoteReference"/>
        </w:rPr>
        <w:footnoteReference w:id="236"/>
      </w:r>
      <w:r>
        <w:t xml:space="preserve"> It further explained that “presumptive admissibility of documentary evidence” would not mean its truth cannot be challenged, or that admissible documents will be given any weight by a trial judge.</w:t>
      </w:r>
      <w:r>
        <w:rPr>
          <w:rStyle w:val="FootnoteReference"/>
        </w:rPr>
        <w:footnoteReference w:id="237"/>
      </w:r>
      <w:r>
        <w:t xml:space="preserve"> Rather, “it merely puts the onus on a party seeking to dispute the narrative of events that emerges from contemporaneous documents to identify the documents it wishes to challenge, so that this can be addressed in the course of the trial itself if it becomes relevant to do so”.</w:t>
      </w:r>
      <w:r>
        <w:rPr>
          <w:rStyle w:val="FootnoteReference"/>
        </w:rPr>
        <w:footnoteReference w:id="238"/>
      </w:r>
      <w:r>
        <w:t xml:space="preserve"> </w:t>
      </w:r>
    </w:p>
    <w:p w14:paraId="44408ABC" w14:textId="77777777" w:rsidR="00024697" w:rsidRDefault="00024697" w:rsidP="009F4F6E">
      <w:pPr>
        <w:pStyle w:val="BodyText"/>
      </w:pPr>
      <w:r>
        <w:t>For the same reasons, we think a presumptive admissibility approach can be extended to briefs and oral evidence. Several of the cases identified above (</w:t>
      </w:r>
      <w:r>
        <w:rPr>
          <w:i/>
          <w:iCs/>
        </w:rPr>
        <w:t>Zespri</w:t>
      </w:r>
      <w:r w:rsidR="00E17AA6" w:rsidRPr="00E17AA6">
        <w:t>,</w:t>
      </w:r>
      <w:r>
        <w:rPr>
          <w:i/>
          <w:iCs/>
        </w:rPr>
        <w:t xml:space="preserve"> Matvin </w:t>
      </w:r>
      <w:r>
        <w:t xml:space="preserve">and </w:t>
      </w:r>
      <w:r>
        <w:rPr>
          <w:i/>
          <w:iCs/>
        </w:rPr>
        <w:t>Apollo</w:t>
      </w:r>
      <w:r>
        <w:t>)</w:t>
      </w:r>
      <w:r>
        <w:rPr>
          <w:i/>
          <w:iCs/>
        </w:rPr>
        <w:t xml:space="preserve"> </w:t>
      </w:r>
      <w:r>
        <w:lastRenderedPageBreak/>
        <w:t xml:space="preserve">involved hearsay statements in witness briefs. </w:t>
      </w:r>
      <w:r w:rsidRPr="00EA621D">
        <w:t>Limiting</w:t>
      </w:r>
      <w:r>
        <w:t xml:space="preserve"> a presumption of admissibility to documents in the common bundle would not, therefore, wholly address the issue of unchallenged hearsay statements.</w:t>
      </w:r>
    </w:p>
    <w:p w14:paraId="7B171FBE" w14:textId="77777777" w:rsidR="00024697" w:rsidRDefault="00024697" w:rsidP="009F4F6E">
      <w:pPr>
        <w:pStyle w:val="BodyText"/>
      </w:pPr>
      <w:r>
        <w:t>This option, regardless of whether it is limited to documentary evidence, would result in different approaches to hearsay in criminal and civil proceedings. However, we think there are good reasons to distinguish civil and criminal proceedings in this context. The consideration of protecting a defendant’s fair trial rights does not arise in civil proceedings. In addition, civil proceedings are typically heard by a judge rather than a jury, so the concern about a jury’s “supposed inability to make a proper assessment of evidence which has not been tested by cross-examination” does not arise.</w:t>
      </w:r>
      <w:r>
        <w:rPr>
          <w:rStyle w:val="FootnoteReference"/>
        </w:rPr>
        <w:footnoteReference w:id="239"/>
      </w:r>
      <w:r>
        <w:t xml:space="preserve"> Rather, judges “are expected to have the skills to sift the wheat from the chaff and assess whatever evidence is available in accordance with its true significance”.</w:t>
      </w:r>
      <w:r>
        <w:rPr>
          <w:rStyle w:val="FootnoteReference"/>
        </w:rPr>
        <w:footnoteReference w:id="240"/>
      </w:r>
      <w:r>
        <w:t xml:space="preserve"> For these reasons, there has long been debate about applying the same strict approach to hearsay in civil proceedings.</w:t>
      </w:r>
      <w:r>
        <w:rPr>
          <w:rStyle w:val="FootnoteReference"/>
        </w:rPr>
        <w:footnoteReference w:id="241"/>
      </w:r>
    </w:p>
    <w:p w14:paraId="4129A6DF" w14:textId="0450A5B0" w:rsidR="00024697" w:rsidRDefault="00024697" w:rsidP="009F4F6E">
      <w:pPr>
        <w:pStyle w:val="BodyText"/>
      </w:pPr>
      <w:r>
        <w:t xml:space="preserve">This option does not go as far as to exclude the operation of the </w:t>
      </w:r>
      <w:r w:rsidR="003A5E1B">
        <w:t>rule against</w:t>
      </w:r>
      <w:r>
        <w:t xml:space="preserve"> hearsay in civil proceedings. Some comparable jurisdictions, including England and Wales, Scotland and Australia, have moved to limit or abolish the rule against hearsay in civil proceedings.</w:t>
      </w:r>
      <w:r>
        <w:rPr>
          <w:rStyle w:val="FootnoteReference"/>
        </w:rPr>
        <w:footnoteReference w:id="242"/>
      </w:r>
      <w:r>
        <w:t xml:space="preserve"> Such fundamental change is beyond the scope of this operational review. Parliament clearly intended, when passing the Act, to continue to apply the rule against hearsay to all proceedings in Aotearoa New Zealand. We are instead focused on improving the operation of the hearsay provisions in civil proceedings to better achieve the objectives in section 6 of the Act, which include avoiding unjustifiable expense and delay.</w:t>
      </w:r>
      <w:r>
        <w:rPr>
          <w:rStyle w:val="FootnoteReference"/>
        </w:rPr>
        <w:footnoteReference w:id="243"/>
      </w:r>
    </w:p>
    <w:p w14:paraId="75F393BF" w14:textId="77777777" w:rsidR="00024697" w:rsidRDefault="00024697" w:rsidP="00024697">
      <w:pPr>
        <w:pStyle w:val="Heading4"/>
      </w:pPr>
      <w:r>
        <w:t>Option 2: Introduce a notice procedure for hearsay in civil proceedings</w:t>
      </w:r>
    </w:p>
    <w:p w14:paraId="1C780551" w14:textId="3B4DF3A4" w:rsidR="00024697" w:rsidRDefault="00024697" w:rsidP="009F4F6E">
      <w:pPr>
        <w:pStyle w:val="BodyText"/>
      </w:pPr>
      <w:r>
        <w:t>Unlike in criminal proceedings,</w:t>
      </w:r>
      <w:r>
        <w:rPr>
          <w:rStyle w:val="FootnoteReference"/>
        </w:rPr>
        <w:footnoteReference w:id="244"/>
      </w:r>
      <w:r>
        <w:t xml:space="preserve"> there is no requirement on a party seeking to offer a hearsay statement in evidence in a civil proceeding to give notice of their intention to do so. In criminal proceedings, this information enables the other party to decide whether to object and assists the </w:t>
      </w:r>
      <w:r w:rsidR="005C3C3C">
        <w:t>j</w:t>
      </w:r>
      <w:r>
        <w:t>udge in determining whether to admit the evidence.</w:t>
      </w:r>
      <w:r>
        <w:rPr>
          <w:rStyle w:val="FootnoteReference"/>
        </w:rPr>
        <w:footnoteReference w:id="245"/>
      </w:r>
      <w:r>
        <w:t xml:space="preserve"> Similar notice procedures apply to civil proceedings in England and Wales.</w:t>
      </w:r>
      <w:r>
        <w:rPr>
          <w:rStyle w:val="FootnoteReference"/>
        </w:rPr>
        <w:footnoteReference w:id="246"/>
      </w:r>
    </w:p>
    <w:p w14:paraId="4370C2E0" w14:textId="77777777" w:rsidR="00024697" w:rsidRDefault="00024697" w:rsidP="009F4F6E">
      <w:pPr>
        <w:pStyle w:val="BodyText"/>
      </w:pPr>
      <w:r>
        <w:lastRenderedPageBreak/>
        <w:t>When developing the Evidence Code, the Commission did not consider that notice was necessary in civil proceedings, explaining:</w:t>
      </w:r>
      <w:r>
        <w:rPr>
          <w:rStyle w:val="FootnoteReference"/>
          <w:rFonts w:cstheme="minorHAnsi"/>
        </w:rPr>
        <w:footnoteReference w:id="247"/>
      </w:r>
    </w:p>
    <w:p w14:paraId="57F0EC08" w14:textId="77777777" w:rsidR="00024697" w:rsidRDefault="00024697" w:rsidP="00024697">
      <w:pPr>
        <w:pStyle w:val="Quote"/>
      </w:pPr>
      <w:r w:rsidRPr="00C51E74">
        <w:t>After evaluating the experience in other jurisdictions, the Commission remains of the view that an informal notice procedure will evolve as part of the discovery process in civil proceedings and there is no need for legislative intervention. It will be in the parties’ best interest to give notice of their intention to call hearsay evidence so that any objections may be dealt with pre-trial. Cost sanctions would be likely to follow if a proceeding has to be adjourned to allow rebuttal evidence to be called, or abandoned and recommenced.</w:t>
      </w:r>
    </w:p>
    <w:p w14:paraId="509BD4E2" w14:textId="77777777" w:rsidR="00024697" w:rsidRDefault="00024697" w:rsidP="009F4F6E">
      <w:pPr>
        <w:pStyle w:val="BodyText"/>
      </w:pPr>
      <w:r>
        <w:t>The cases discussed above call into question whether the Commission’s expectations have been realised in practice.</w:t>
      </w:r>
    </w:p>
    <w:p w14:paraId="0542C41D" w14:textId="77777777" w:rsidR="00024697" w:rsidRDefault="00024697" w:rsidP="009F4F6E">
      <w:pPr>
        <w:pStyle w:val="BodyText"/>
      </w:pPr>
      <w:r>
        <w:t>Introducing a notice procedure would be consistent with the existing “substantial pre-trial obligation” on each party to ensure that evidence they intend to produce in court is admissible.</w:t>
      </w:r>
      <w:r>
        <w:rPr>
          <w:rStyle w:val="FootnoteReference"/>
        </w:rPr>
        <w:footnoteReference w:id="248"/>
      </w:r>
      <w:r>
        <w:t xml:space="preserve"> It would encourage the parties to focus, in advance, on hearsay matters. It could also mitigate the risk that Option 1 has the undesired effect of incentivising undisciplined filing practices, such as including large numbers of inadmissible documents in the common bundle, thereby placing a significant burden on the opposing parties (and the court). </w:t>
      </w:r>
    </w:p>
    <w:p w14:paraId="6D6A3020" w14:textId="77777777" w:rsidR="00024697" w:rsidRDefault="00024697" w:rsidP="009F4F6E">
      <w:pPr>
        <w:pStyle w:val="BodyText"/>
      </w:pPr>
      <w:r>
        <w:t>This option would, however, increase the cost of pre-trial procedures, especially in complex cases with voluminous briefs and common bundles. The party proposing to offer hearsay statements in evidence would need to identify those statements and the reasons why they are admissible under the Act, in advance of knowing whether a challenge to that evidence will be made. This might also increase the risk of tactical challenges to the proposed admission of what may be reliable and uncontroversial hearsay.</w:t>
      </w:r>
    </w:p>
    <w:p w14:paraId="1DC5202E" w14:textId="28AD30A3" w:rsidR="00B14943" w:rsidRDefault="00024697" w:rsidP="009F4F6E">
      <w:pPr>
        <w:pStyle w:val="BodyText"/>
        <w:tabs>
          <w:tab w:val="num" w:pos="709"/>
        </w:tabs>
      </w:pPr>
      <w:r>
        <w:t xml:space="preserve">Such a requirement may also be unnecessary if the Act is amended to address the status of unchallenged hearsay and require objections to be made in accordance with the relevant rules of court. Further, it has been noted that cases including </w:t>
      </w:r>
      <w:r w:rsidRPr="0058614A">
        <w:rPr>
          <w:i/>
          <w:iCs/>
        </w:rPr>
        <w:t xml:space="preserve">Zespri </w:t>
      </w:r>
      <w:r>
        <w:t>“demonstrate the increased readiness of the courts to enforce the rules of evidence”, which “in turn will encourage greater discipline on the part of lawyers in preparing briefs”.</w:t>
      </w:r>
      <w:r>
        <w:rPr>
          <w:rStyle w:val="FootnoteReference"/>
        </w:rPr>
        <w:footnoteReference w:id="249"/>
      </w:r>
    </w:p>
    <w:p w14:paraId="6DE59083" w14:textId="77777777" w:rsidR="00B14943" w:rsidRDefault="00B14943">
      <w:pPr>
        <w:widowControl w:val="0"/>
        <w:spacing w:after="200" w:line="276" w:lineRule="auto"/>
        <w:rPr>
          <w:rFonts w:eastAsia="Times New Roman" w:cs="Times New Roman"/>
          <w:color w:val="000000" w:themeColor="text1"/>
          <w:szCs w:val="24"/>
          <w:lang w:eastAsia="en-AU"/>
        </w:rPr>
      </w:pPr>
      <w:r>
        <w:br w:type="page"/>
      </w:r>
    </w:p>
    <w:p w14:paraId="23D68E95" w14:textId="57866736" w:rsidR="00B14943" w:rsidRDefault="00B14943" w:rsidP="00B14943">
      <w:r>
        <w:rPr>
          <w:noProof/>
        </w:rPr>
        <w:lastRenderedPageBreak/>
        <mc:AlternateContent>
          <mc:Choice Requires="wpg">
            <w:drawing>
              <wp:anchor distT="0" distB="0" distL="114300" distR="114300" simplePos="0" relativeHeight="251658284" behindDoc="1" locked="0" layoutInCell="1" allowOverlap="1" wp14:anchorId="695F2418" wp14:editId="751879E0">
                <wp:simplePos x="0" y="0"/>
                <wp:positionH relativeFrom="column">
                  <wp:posOffset>3810</wp:posOffset>
                </wp:positionH>
                <wp:positionV relativeFrom="paragraph">
                  <wp:posOffset>-24908</wp:posOffset>
                </wp:positionV>
                <wp:extent cx="5760085" cy="2625090"/>
                <wp:effectExtent l="0" t="0" r="0" b="3810"/>
                <wp:wrapNone/>
                <wp:docPr id="1939361335" name="Group 1939361335" descr="Question"/>
                <wp:cNvGraphicFramePr/>
                <a:graphic xmlns:a="http://schemas.openxmlformats.org/drawingml/2006/main">
                  <a:graphicData uri="http://schemas.microsoft.com/office/word/2010/wordprocessingGroup">
                    <wpg:wgp>
                      <wpg:cNvGrpSpPr/>
                      <wpg:grpSpPr>
                        <a:xfrm>
                          <a:off x="0" y="0"/>
                          <a:ext cx="5760085" cy="2625090"/>
                          <a:chOff x="0" y="62865"/>
                          <a:chExt cx="5760085" cy="2626635"/>
                        </a:xfrm>
                      </wpg:grpSpPr>
                      <wps:wsp>
                        <wps:cNvPr id="16967496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C3A50A" w14:textId="77777777" w:rsidR="00B14943" w:rsidRDefault="00B14943" w:rsidP="00B14943">
                              <w:pPr>
                                <w:pStyle w:val="BoxTitle"/>
                                <w:spacing w:before="0" w:beforeAutospacing="0"/>
                              </w:pPr>
                              <w:r w:rsidRPr="007F6876">
                                <w:t>QUESTION</w:t>
                              </w:r>
                            </w:p>
                          </w:txbxContent>
                        </wps:txbx>
                        <wps:bodyPr rot="0" vert="horz" wrap="square" lIns="91440" tIns="0" rIns="0" bIns="45720" anchor="ctr" anchorCtr="0" upright="1">
                          <a:noAutofit/>
                        </wps:bodyPr>
                      </wps:wsp>
                      <wpg:grpSp>
                        <wpg:cNvPr id="2071809664" name="Group 53"/>
                        <wpg:cNvGrpSpPr>
                          <a:grpSpLocks/>
                        </wpg:cNvGrpSpPr>
                        <wpg:grpSpPr bwMode="auto">
                          <a:xfrm>
                            <a:off x="0" y="316170"/>
                            <a:ext cx="5760085" cy="2373330"/>
                            <a:chOff x="1837" y="1791"/>
                            <a:chExt cx="9302" cy="25636"/>
                          </a:xfrm>
                        </wpg:grpSpPr>
                        <wps:wsp>
                          <wps:cNvPr id="1986409970" name="Freeform 54"/>
                          <wps:cNvSpPr>
                            <a:spLocks/>
                          </wps:cNvSpPr>
                          <wps:spPr bwMode="auto">
                            <a:xfrm>
                              <a:off x="1837" y="1791"/>
                              <a:ext cx="9302" cy="2563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020857" name="Group 1792020857"/>
                        <wpg:cNvGrpSpPr/>
                        <wpg:grpSpPr>
                          <a:xfrm>
                            <a:off x="0" y="494036"/>
                            <a:ext cx="1443794" cy="252000"/>
                            <a:chOff x="-15880" y="0"/>
                            <a:chExt cx="1444379" cy="252068"/>
                          </a:xfrm>
                        </wpg:grpSpPr>
                        <wps:wsp>
                          <wps:cNvPr id="123026253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4389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CB5A3A" w14:textId="77777777" w:rsidR="00B14943" w:rsidRPr="00E90B8A" w:rsidRDefault="00B14943" w:rsidP="00B14943">
                                <w:pPr>
                                  <w:pStyle w:val="BoxTitle"/>
                                  <w:spacing w:before="0" w:beforeAutospacing="0"/>
                                  <w:rPr>
                                    <w:sz w:val="18"/>
                                    <w:szCs w:val="18"/>
                                  </w:rPr>
                                </w:pPr>
                                <w:r w:rsidRPr="00E90B8A">
                                  <w:rPr>
                                    <w:sz w:val="18"/>
                                    <w:szCs w:val="18"/>
                                  </w:rPr>
                                  <w:t>Q</w:t>
                                </w:r>
                                <w:r>
                                  <w:rPr>
                                    <w:sz w:val="18"/>
                                    <w:szCs w:val="18"/>
                                  </w:rP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95F2418" id="Group 1939361335" o:spid="_x0000_s1080" alt="Question" style="position:absolute;margin-left:.3pt;margin-top:-1.95pt;width:453.55pt;height:206.7pt;z-index:-251658196;mso-height-relative:margin" coordorigin=",628" coordsize="57600,2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">
                <v:shape id="Freeform 52" o:spid="_x0000_s108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4C3A50A" w14:textId="77777777" w:rsidR="00B14943" w:rsidRDefault="00B14943" w:rsidP="00B14943">
                        <w:pPr>
                          <w:pStyle w:val="BoxTitle"/>
                          <w:spacing w:before="0" w:beforeAutospacing="0"/>
                        </w:pPr>
                        <w:r w:rsidRPr="007F6876">
                          <w:t>QUESTION</w:t>
                        </w:r>
                      </w:p>
                    </w:txbxContent>
                  </v:textbox>
                </v:shape>
                <v:group id="Group 53" o:spid="_x0000_s1082" style="position:absolute;top:3161;width:57600;height:23734" coordorigin="1837,1791" coordsize="9302,2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">
                  <v:shape id="Freeform 54" o:spid="_x0000_s1083" style="position:absolute;left:1837;top:1791;width:9302;height:2563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" path="m,l9354,r,7809l,7809,,e" fillcolor="#edf2ea" stroked="f">
                    <v:path arrowok="t" o:connecttype="custom" o:connectlocs="0,3283;9302,3283;9302,28919;0,28919;0,3283" o:connectangles="0,0,0,0,0"/>
                  </v:shape>
                </v:group>
                <v:group id="Group 1792020857" o:spid="_x0000_s108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">
                  <v:shape id="Freeform 58" o:spid="_x0000_s108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" path="m,l1815,e" filled="f" strokecolor="#72ab6a" strokeweight=".5pt">
                    <v:path arrowok="t" o:connecttype="custom" o:connectlocs="0,0;1073495,0" o:connectangles="0,0"/>
                  </v:shape>
                  <v:shape id="Freeform 66" o:spid="_x0000_s108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6CB5A3A" w14:textId="77777777" w:rsidR="00B14943" w:rsidRPr="00E90B8A" w:rsidRDefault="00B14943" w:rsidP="00B14943">
                          <w:pPr>
                            <w:pStyle w:val="BoxTitle"/>
                            <w:spacing w:before="0" w:beforeAutospacing="0"/>
                            <w:rPr>
                              <w:sz w:val="18"/>
                              <w:szCs w:val="18"/>
                            </w:rPr>
                          </w:pPr>
                          <w:r w:rsidRPr="00E90B8A">
                            <w:rPr>
                              <w:sz w:val="18"/>
                              <w:szCs w:val="18"/>
                            </w:rPr>
                            <w:t>Q</w:t>
                          </w:r>
                          <w:r>
                            <w:rPr>
                              <w:sz w:val="18"/>
                              <w:szCs w:val="18"/>
                            </w:rPr>
                            <w:t>8</w:t>
                          </w:r>
                        </w:p>
                      </w:txbxContent>
                    </v:textbox>
                  </v:shape>
                </v:group>
              </v:group>
            </w:pict>
          </mc:Fallback>
        </mc:AlternateContent>
      </w:r>
    </w:p>
    <w:p w14:paraId="64D0326C" w14:textId="77777777" w:rsidR="00B14943" w:rsidRPr="00E73576" w:rsidRDefault="00B14943" w:rsidP="00B14943">
      <w:pPr>
        <w:pStyle w:val="ListNumber"/>
        <w:numPr>
          <w:ilvl w:val="0"/>
          <w:numId w:val="0"/>
        </w:numPr>
        <w:ind w:left="360" w:hanging="360"/>
      </w:pPr>
    </w:p>
    <w:p w14:paraId="222B56F7" w14:textId="65465DB9" w:rsidR="00B14943" w:rsidRDefault="00B14943" w:rsidP="00B14943">
      <w:pPr>
        <w:pStyle w:val="QuestionBox"/>
      </w:pPr>
      <w:r>
        <w:t>Should the Act be amended to address inconsistencies between the hearsay provisions in the Act and the High Court Rules? If so, should the Act be amended to:</w:t>
      </w:r>
    </w:p>
    <w:p w14:paraId="73B413A0" w14:textId="77777777" w:rsidR="00B14943" w:rsidRDefault="00B14943" w:rsidP="0029778E">
      <w:pPr>
        <w:pStyle w:val="Questionabc"/>
        <w:numPr>
          <w:ilvl w:val="0"/>
          <w:numId w:val="89"/>
        </w:numPr>
        <w:ind w:left="1418" w:hanging="425"/>
      </w:pPr>
      <w:r>
        <w:t>limit the operation of section 17 in civil proceedings so that it only applies where a party challenges the admissibility of a hearsay statement in accordance with the relevant rules of court (with the court retaining a residual discretion to dispense with this requirement); and/or</w:t>
      </w:r>
    </w:p>
    <w:p w14:paraId="5E61CF6B" w14:textId="77777777" w:rsidR="00B14943" w:rsidRDefault="00B14943" w:rsidP="00B14943">
      <w:pPr>
        <w:pStyle w:val="Questionabc"/>
        <w:ind w:left="1418"/>
      </w:pPr>
      <w:r>
        <w:t>require a party to give notice of their intention to offer a hearsay statement in evidence in a civil proceeding?</w:t>
      </w:r>
    </w:p>
    <w:p w14:paraId="1371F129" w14:textId="7C59AC39" w:rsidR="00024697" w:rsidRDefault="00024697" w:rsidP="00B14943">
      <w:pPr>
        <w:pStyle w:val="BodyText"/>
        <w:numPr>
          <w:ilvl w:val="0"/>
          <w:numId w:val="0"/>
        </w:numPr>
        <w:tabs>
          <w:tab w:val="clear" w:pos="709"/>
        </w:tabs>
        <w:ind w:left="709" w:hanging="709"/>
      </w:pPr>
    </w:p>
    <w:p w14:paraId="06AEA407" w14:textId="77777777" w:rsidR="00024697" w:rsidRDefault="00024697" w:rsidP="00024697">
      <w:pPr>
        <w:pStyle w:val="Heading3"/>
      </w:pPr>
      <w:r>
        <w:t>Do the issues discussed above have broader application?</w:t>
      </w:r>
    </w:p>
    <w:p w14:paraId="74D74687" w14:textId="537BB2E7" w:rsidR="00024697" w:rsidRDefault="005C39B9" w:rsidP="009F4F6E">
      <w:pPr>
        <w:pStyle w:val="BodyText"/>
      </w:pPr>
      <w:r>
        <w:rPr>
          <w:noProof/>
        </w:rPr>
        <mc:AlternateContent>
          <mc:Choice Requires="wpg">
            <w:drawing>
              <wp:anchor distT="0" distB="0" distL="114300" distR="114300" simplePos="0" relativeHeight="251658285" behindDoc="1" locked="0" layoutInCell="1" allowOverlap="1" wp14:anchorId="46B05D8B" wp14:editId="32F70885">
                <wp:simplePos x="0" y="0"/>
                <wp:positionH relativeFrom="column">
                  <wp:posOffset>3810</wp:posOffset>
                </wp:positionH>
                <wp:positionV relativeFrom="paragraph">
                  <wp:posOffset>1202690</wp:posOffset>
                </wp:positionV>
                <wp:extent cx="5760085" cy="1279525"/>
                <wp:effectExtent l="0" t="0" r="0" b="0"/>
                <wp:wrapNone/>
                <wp:docPr id="519" name="Group 519" descr="Ques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60085" cy="1279525"/>
                          <a:chOff x="0" y="62865"/>
                          <a:chExt cx="5760085" cy="1280272"/>
                        </a:xfrm>
                      </wpg:grpSpPr>
                      <wps:wsp>
                        <wps:cNvPr id="52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416165" w14:textId="77777777" w:rsidR="005C39B9" w:rsidRDefault="005C39B9" w:rsidP="005C39B9">
                              <w:pPr>
                                <w:pStyle w:val="BoxTitle"/>
                                <w:spacing w:before="0" w:beforeAutospacing="0"/>
                              </w:pPr>
                              <w:r w:rsidRPr="007F6876">
                                <w:t>QUESTION</w:t>
                              </w:r>
                            </w:p>
                          </w:txbxContent>
                        </wps:txbx>
                        <wps:bodyPr rot="0" vert="horz" wrap="square" lIns="91440" tIns="0" rIns="0" bIns="45720" anchor="ctr" anchorCtr="0" upright="1">
                          <a:noAutofit/>
                        </wps:bodyPr>
                      </wps:wsp>
                      <wpg:grpSp>
                        <wpg:cNvPr id="521" name="Group 53"/>
                        <wpg:cNvGrpSpPr>
                          <a:grpSpLocks/>
                        </wpg:cNvGrpSpPr>
                        <wpg:grpSpPr bwMode="auto">
                          <a:xfrm>
                            <a:off x="0" y="316077"/>
                            <a:ext cx="5760085" cy="1027060"/>
                            <a:chOff x="1837" y="1790"/>
                            <a:chExt cx="9302" cy="11094"/>
                          </a:xfrm>
                        </wpg:grpSpPr>
                        <wps:wsp>
                          <wps:cNvPr id="522" name="Freeform 54"/>
                          <wps:cNvSpPr>
                            <a:spLocks/>
                          </wps:cNvSpPr>
                          <wps:spPr bwMode="auto">
                            <a:xfrm>
                              <a:off x="1837" y="1790"/>
                              <a:ext cx="9302" cy="1109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523"/>
                        <wpg:cNvGrpSpPr/>
                        <wpg:grpSpPr>
                          <a:xfrm>
                            <a:off x="0" y="494036"/>
                            <a:ext cx="1443794" cy="252000"/>
                            <a:chOff x="-15880" y="0"/>
                            <a:chExt cx="1444379" cy="252068"/>
                          </a:xfrm>
                        </wpg:grpSpPr>
                        <wps:wsp>
                          <wps:cNvPr id="52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420B14" w14:textId="77777777" w:rsidR="005C39B9" w:rsidRPr="00E90B8A" w:rsidRDefault="005C39B9" w:rsidP="005C39B9">
                                <w:pPr>
                                  <w:pStyle w:val="BoxTitle"/>
                                  <w:spacing w:before="0" w:beforeAutospacing="0"/>
                                  <w:rPr>
                                    <w:sz w:val="18"/>
                                    <w:szCs w:val="18"/>
                                  </w:rPr>
                                </w:pPr>
                                <w:r w:rsidRPr="00E90B8A">
                                  <w:rPr>
                                    <w:sz w:val="18"/>
                                    <w:szCs w:val="18"/>
                                  </w:rPr>
                                  <w:t>Q</w:t>
                                </w:r>
                                <w:r>
                                  <w:rPr>
                                    <w:sz w:val="18"/>
                                    <w:szCs w:val="18"/>
                                  </w:rPr>
                                  <w:t>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6B05D8B" id="Group 519" o:spid="_x0000_s1087" alt="Question" style="position:absolute;left:0;text-align:left;margin-left:.3pt;margin-top:94.7pt;width:453.55pt;height:100.75pt;z-index:-251658195;mso-height-relative:margin" coordorigin=",628" coordsize="57600,1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">
                <v:shape id="Freeform 52" o:spid="_x0000_s108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1416165" w14:textId="77777777" w:rsidR="005C39B9" w:rsidRDefault="005C39B9" w:rsidP="005C39B9">
                        <w:pPr>
                          <w:pStyle w:val="BoxTitle"/>
                          <w:spacing w:before="0" w:beforeAutospacing="0"/>
                        </w:pPr>
                        <w:r w:rsidRPr="007F6876">
                          <w:t>QUESTION</w:t>
                        </w:r>
                      </w:p>
                    </w:txbxContent>
                  </v:textbox>
                </v:shape>
                <v:group id="Group 53" o:spid="_x0000_s1089" style="position:absolute;top:3160;width:57600;height:10271" coordorigin="1837,1790" coordsize="9302,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4" o:spid="_x0000_s1090" style="position:absolute;left:1837;top:1790;width:9302;height:1109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" path="m,l9354,r,7809l,7809,,e" fillcolor="#edf2ea" stroked="f">
                    <v:path arrowok="t" o:connecttype="custom" o:connectlocs="0,1421;9302,1421;9302,12515;0,12515;0,1421" o:connectangles="0,0,0,0,0"/>
                  </v:shape>
                </v:group>
                <v:group id="Group 523" o:spid="_x0000_s109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8" o:spid="_x0000_s109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" path="m,l1815,e" filled="f" strokecolor="#72ab6a" strokeweight=".5pt">
                    <v:path arrowok="t" o:connecttype="custom" o:connectlocs="0,0;1073495,0" o:connectangles="0,0"/>
                  </v:shape>
                  <v:shape id="Freeform 66" o:spid="_x0000_s109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4420B14" w14:textId="77777777" w:rsidR="005C39B9" w:rsidRPr="00E90B8A" w:rsidRDefault="005C39B9" w:rsidP="005C39B9">
                          <w:pPr>
                            <w:pStyle w:val="BoxTitle"/>
                            <w:spacing w:before="0" w:beforeAutospacing="0"/>
                            <w:rPr>
                              <w:sz w:val="18"/>
                              <w:szCs w:val="18"/>
                            </w:rPr>
                          </w:pPr>
                          <w:r w:rsidRPr="00E90B8A">
                            <w:rPr>
                              <w:sz w:val="18"/>
                              <w:szCs w:val="18"/>
                            </w:rPr>
                            <w:t>Q</w:t>
                          </w:r>
                          <w:r>
                            <w:rPr>
                              <w:sz w:val="18"/>
                              <w:szCs w:val="18"/>
                            </w:rPr>
                            <w:t>9</w:t>
                          </w:r>
                        </w:p>
                      </w:txbxContent>
                    </v:textbox>
                  </v:shape>
                </v:group>
              </v:group>
            </w:pict>
          </mc:Fallback>
        </mc:AlternateContent>
      </w:r>
      <w:r w:rsidR="00024697">
        <w:t>The discussion above is focused on hearsay statements. These issues, however, may arise in other contexts where inadmissible evidence is offered in civil proceedings, such as opinion evidence (inadmissible under section 23) and irrelevant evidence (inadmissible under section 7). We have focused only on hearsay statements given the cases and commentary discussed above suggest the issues relate primarily to hearsay. We invite submissions, however, on whether these issues arise in other contexts.</w:t>
      </w:r>
    </w:p>
    <w:p w14:paraId="44AFB843" w14:textId="4F0D7CDB" w:rsidR="005C39B9" w:rsidRDefault="005C39B9" w:rsidP="005C39B9"/>
    <w:p w14:paraId="216D826B" w14:textId="77777777" w:rsidR="005C39B9" w:rsidRDefault="005C39B9" w:rsidP="005C39B9">
      <w:pPr>
        <w:pStyle w:val="QuestionBox"/>
      </w:pPr>
    </w:p>
    <w:p w14:paraId="243CAC72" w14:textId="1A9D590A" w:rsidR="005C39B9" w:rsidRDefault="005C39B9" w:rsidP="005C39B9">
      <w:pPr>
        <w:pStyle w:val="QuestionBox"/>
      </w:pPr>
      <w:r>
        <w:t>Do the inconsistencies between the Act and the High Court Rules create problems in respect of the operation of other admissibility rules in civil proceedings (such as sections 7 and 23)?</w:t>
      </w:r>
    </w:p>
    <w:p w14:paraId="1D75944B" w14:textId="77777777" w:rsidR="005C39B9" w:rsidRDefault="005C39B9" w:rsidP="005C39B9">
      <w:pPr>
        <w:pStyle w:val="BodyText"/>
        <w:numPr>
          <w:ilvl w:val="0"/>
          <w:numId w:val="0"/>
        </w:numPr>
      </w:pPr>
    </w:p>
    <w:p w14:paraId="5F112909" w14:textId="1412F4BE" w:rsidR="00024697" w:rsidRDefault="00024697" w:rsidP="005C39B9">
      <w:pPr>
        <w:pStyle w:val="BodyText"/>
        <w:numPr>
          <w:ilvl w:val="0"/>
          <w:numId w:val="0"/>
        </w:numPr>
        <w:ind w:left="709" w:hanging="709"/>
        <w:rPr>
          <w:rFonts w:eastAsia="Metropolis"/>
          <w:noProof/>
        </w:rPr>
      </w:pPr>
    </w:p>
    <w:p w14:paraId="7DA28AD8" w14:textId="77777777" w:rsidR="00024697" w:rsidRDefault="00024697" w:rsidP="009F4F6E">
      <w:pPr>
        <w:pStyle w:val="ListBullet"/>
        <w:numPr>
          <w:ilvl w:val="0"/>
          <w:numId w:val="0"/>
        </w:numPr>
        <w:ind w:left="425" w:hanging="425"/>
        <w:rPr>
          <w:rFonts w:eastAsia="Metropolis"/>
          <w:noProof/>
        </w:rPr>
      </w:pPr>
    </w:p>
    <w:p w14:paraId="55251976" w14:textId="77777777" w:rsidR="00C023EF" w:rsidRPr="008F3DB2" w:rsidRDefault="00C023EF" w:rsidP="009F4F6E">
      <w:pPr>
        <w:pStyle w:val="ListBullet"/>
        <w:numPr>
          <w:ilvl w:val="0"/>
          <w:numId w:val="0"/>
        </w:numPr>
        <w:ind w:left="425" w:hanging="425"/>
        <w:rPr>
          <w:rFonts w:eastAsia="Metropolis"/>
        </w:rPr>
      </w:pPr>
    </w:p>
    <w:p w14:paraId="1F003DF8" w14:textId="333709A0" w:rsidR="00CD6EA6" w:rsidRDefault="00CD6EA6" w:rsidP="0008133E">
      <w:pPr>
        <w:pStyle w:val="BodyText"/>
        <w:numPr>
          <w:ilvl w:val="0"/>
          <w:numId w:val="0"/>
        </w:numPr>
        <w:ind w:left="709"/>
        <w:sectPr w:rsidR="00CD6EA6" w:rsidSect="00FD6721">
          <w:headerReference w:type="default" r:id="rId37"/>
          <w:footerReference w:type="even" r:id="rId38"/>
          <w:footnotePr>
            <w:numRestart w:val="eachSect"/>
          </w:footnotePr>
          <w:type w:val="nextColumn"/>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8263" behindDoc="1" locked="0" layoutInCell="1" allowOverlap="1" wp14:anchorId="6179040F" wp14:editId="7A9D917B">
                <wp:simplePos x="0" y="0"/>
                <wp:positionH relativeFrom="page">
                  <wp:posOffset>1080135</wp:posOffset>
                </wp:positionH>
                <wp:positionV relativeFrom="paragraph">
                  <wp:posOffset>-248285</wp:posOffset>
                </wp:positionV>
                <wp:extent cx="2411730" cy="1270"/>
                <wp:effectExtent l="0" t="19050" r="26670" b="1778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41"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BAABB" id="Group 37" o:spid="_x0000_s1026" style="position:absolute;margin-left:85.05pt;margin-top:-19.55pt;width:189.9pt;height:.1pt;z-index:-25165821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xb+wIAANw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" path="m,l2097,e" filled="f" strokecolor="#72ab6a" strokeweight="3pt">
                  <v:path arrowok="t" o:connecttype="custom" o:connectlocs="0,0;2097,0" o:connectangles="0,0"/>
                </v:shape>
                <w10:wrap anchorx="page"/>
              </v:group>
            </w:pict>
          </mc:Fallback>
        </mc:AlternateContent>
      </w:r>
    </w:p>
    <w:p w14:paraId="576CE664" w14:textId="77777777" w:rsidR="008319CB" w:rsidRPr="00D37FCE" w:rsidRDefault="008319CB" w:rsidP="00634007">
      <w:pPr>
        <w:pStyle w:val="HEADING2topchapter-notinTOC"/>
        <w:rPr>
          <w:sz w:val="21"/>
          <w:szCs w:val="21"/>
        </w:rPr>
      </w:pPr>
      <w:r w:rsidRPr="00D37FCE">
        <w:lastRenderedPageBreak/>
        <w:t xml:space="preserve">CHAPTER </w:t>
      </w:r>
      <w:r w:rsidR="006E2256" w:rsidRPr="00D37FCE">
        <w:t>4</w:t>
      </w:r>
    </w:p>
    <w:p w14:paraId="07CF696A" w14:textId="77777777" w:rsidR="008319CB" w:rsidRPr="00D37FCE" w:rsidRDefault="008319CB" w:rsidP="008319CB">
      <w:pPr>
        <w:spacing w:line="200" w:lineRule="exact"/>
        <w:rPr>
          <w:szCs w:val="20"/>
        </w:rPr>
      </w:pPr>
      <w:r w:rsidRPr="00D37FCE">
        <w:rPr>
          <w:noProof/>
          <w:lang w:eastAsia="en-NZ"/>
        </w:rPr>
        <mc:AlternateContent>
          <mc:Choice Requires="wpg">
            <w:drawing>
              <wp:anchor distT="0" distB="0" distL="114300" distR="114300" simplePos="0" relativeHeight="251658251" behindDoc="1" locked="0" layoutInCell="1" allowOverlap="1" wp14:anchorId="254C9B8A" wp14:editId="75164429">
                <wp:simplePos x="0" y="0"/>
                <wp:positionH relativeFrom="page">
                  <wp:posOffset>1076653</wp:posOffset>
                </wp:positionH>
                <wp:positionV relativeFrom="paragraph">
                  <wp:posOffset>53975</wp:posOffset>
                </wp:positionV>
                <wp:extent cx="1332230" cy="1270"/>
                <wp:effectExtent l="0" t="19050" r="1270" b="1778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6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CBE6F" id="Group 466" o:spid="_x0000_s1026" style="position:absolute;margin-left:84.8pt;margin-top:4.25pt;width:104.9pt;height:.1pt;z-index:-25165822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Aa9wIAANk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2FFF723B" w14:textId="77777777" w:rsidR="00F45137" w:rsidRPr="001E0948" w:rsidRDefault="00F45137" w:rsidP="00F45137">
      <w:pPr>
        <w:pStyle w:val="Heading1"/>
        <w:rPr>
          <w:rFonts w:eastAsia="Consolas"/>
        </w:rPr>
      </w:pPr>
      <w:bookmarkStart w:id="74" w:name="_Toc126330112"/>
      <w:bookmarkStart w:id="75" w:name="_Toc132962552"/>
      <w:r>
        <w:rPr>
          <w:rFonts w:eastAsia="Consolas"/>
          <w:color w:val="FFFFFF" w:themeColor="background1"/>
          <w:sz w:val="2"/>
          <w:szCs w:val="2"/>
        </w:rPr>
        <w:t>4</w:t>
      </w:r>
      <w:r w:rsidRPr="001E0948">
        <w:rPr>
          <w:rFonts w:eastAsia="Consolas"/>
          <w:color w:val="FFFFFF" w:themeColor="background1"/>
          <w:sz w:val="2"/>
          <w:szCs w:val="2"/>
        </w:rPr>
        <w:t xml:space="preserve"> </w:t>
      </w:r>
      <w:r>
        <w:rPr>
          <w:rFonts w:eastAsia="Consolas"/>
        </w:rPr>
        <w:t>Defendants’ and co-defendants’ statements</w:t>
      </w:r>
      <w:bookmarkEnd w:id="74"/>
      <w:bookmarkEnd w:id="75"/>
    </w:p>
    <w:p w14:paraId="4EF3E5FB" w14:textId="77777777" w:rsidR="008319CB" w:rsidRPr="00D37FCE" w:rsidRDefault="008319CB" w:rsidP="008319CB">
      <w:pPr>
        <w:spacing w:line="200" w:lineRule="exact"/>
        <w:rPr>
          <w:szCs w:val="20"/>
        </w:rPr>
      </w:pPr>
      <w:r w:rsidRPr="00D37FCE">
        <w:rPr>
          <w:noProof/>
          <w:lang w:eastAsia="en-NZ"/>
        </w:rPr>
        <mc:AlternateContent>
          <mc:Choice Requires="wpg">
            <w:drawing>
              <wp:anchor distT="0" distB="0" distL="114300" distR="114300" simplePos="0" relativeHeight="251658250" behindDoc="1" locked="0" layoutInCell="1" allowOverlap="1" wp14:anchorId="6802998C" wp14:editId="7241BC3F">
                <wp:simplePos x="0" y="0"/>
                <wp:positionH relativeFrom="page">
                  <wp:posOffset>1087427</wp:posOffset>
                </wp:positionH>
                <wp:positionV relativeFrom="paragraph">
                  <wp:posOffset>71755</wp:posOffset>
                </wp:positionV>
                <wp:extent cx="1332230" cy="1270"/>
                <wp:effectExtent l="0" t="19050" r="1270" b="1778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2F863" id="Group 48" o:spid="_x0000_s1026" style="position:absolute;margin-left:85.6pt;margin-top:5.65pt;width:104.9pt;height:.1pt;z-index:-25165823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v9Q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DCAB6A1" w14:textId="1CD74A9D" w:rsidR="008319CB" w:rsidRPr="00D37FCE" w:rsidRDefault="008319CB" w:rsidP="00866891">
      <w:pPr>
        <w:pStyle w:val="ListParagraph"/>
        <w:numPr>
          <w:ilvl w:val="0"/>
          <w:numId w:val="23"/>
        </w:numPr>
        <w:spacing w:after="80"/>
        <w:contextualSpacing w:val="0"/>
        <w:jc w:val="both"/>
        <w:rPr>
          <w:vanish/>
          <w:color w:val="262626" w:themeColor="text1" w:themeTint="D9"/>
          <w:sz w:val="20"/>
        </w:rPr>
      </w:pPr>
    </w:p>
    <w:p w14:paraId="021FB4C8" w14:textId="77777777" w:rsidR="00EB02C8" w:rsidRDefault="00EB02C8" w:rsidP="00EB02C8">
      <w:bookmarkStart w:id="76" w:name="_Hlk55985511"/>
    </w:p>
    <w:p w14:paraId="23B9569B" w14:textId="1291E58B" w:rsidR="00C8797E" w:rsidRDefault="00A518D1" w:rsidP="00C8797E">
      <w:r w:rsidRPr="00D37FCE">
        <w:rPr>
          <w:rFonts w:eastAsia="Metropolis"/>
          <w:noProof/>
        </w:rPr>
        <mc:AlternateContent>
          <mc:Choice Requires="wpg">
            <w:drawing>
              <wp:anchor distT="0" distB="0" distL="114300" distR="114300" simplePos="0" relativeHeight="251658270" behindDoc="1" locked="0" layoutInCell="1" allowOverlap="1" wp14:anchorId="28B1CCBF" wp14:editId="6CB660F0">
                <wp:simplePos x="0" y="0"/>
                <wp:positionH relativeFrom="column">
                  <wp:posOffset>-6350</wp:posOffset>
                </wp:positionH>
                <wp:positionV relativeFrom="paragraph">
                  <wp:posOffset>251460</wp:posOffset>
                </wp:positionV>
                <wp:extent cx="5792470" cy="1870710"/>
                <wp:effectExtent l="0" t="0" r="0" b="0"/>
                <wp:wrapNone/>
                <wp:docPr id="764518302" name="Group 764518302"/>
                <wp:cNvGraphicFramePr/>
                <a:graphic xmlns:a="http://schemas.openxmlformats.org/drawingml/2006/main">
                  <a:graphicData uri="http://schemas.microsoft.com/office/word/2010/wordprocessingGroup">
                    <wpg:wgp>
                      <wpg:cNvGrpSpPr/>
                      <wpg:grpSpPr>
                        <a:xfrm>
                          <a:off x="0" y="0"/>
                          <a:ext cx="5792470" cy="1870710"/>
                          <a:chOff x="0" y="-4768"/>
                          <a:chExt cx="5793105" cy="1873011"/>
                        </a:xfrm>
                      </wpg:grpSpPr>
                      <wpg:grpSp>
                        <wpg:cNvPr id="764518303" name="Group 53"/>
                        <wpg:cNvGrpSpPr>
                          <a:grpSpLocks/>
                        </wpg:cNvGrpSpPr>
                        <wpg:grpSpPr bwMode="auto">
                          <a:xfrm>
                            <a:off x="0" y="314275"/>
                            <a:ext cx="5793105" cy="1553968"/>
                            <a:chOff x="1837" y="1792"/>
                            <a:chExt cx="9354" cy="16778"/>
                          </a:xfrm>
                        </wpg:grpSpPr>
                        <wps:wsp>
                          <wps:cNvPr id="764518305" name="Freeform 54"/>
                          <wps:cNvSpPr>
                            <a:spLocks/>
                          </wps:cNvSpPr>
                          <wps:spPr bwMode="auto">
                            <a:xfrm>
                              <a:off x="1837" y="1792"/>
                              <a:ext cx="9354" cy="1677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06"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E5E1F6" w14:textId="77777777" w:rsidR="00C8797E" w:rsidRDefault="00C8797E" w:rsidP="00C8797E">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28B1CCBF" id="Group 764518302" o:spid="_x0000_s1094" style="position:absolute;margin-left:-.5pt;margin-top:19.8pt;width:456.1pt;height:147.3pt;z-index:-251658210;mso-height-relative:margin" coordorigin=",-47" coordsize="57931,1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">
                <v:group id="Group 53" o:spid="_x0000_s1095" style="position:absolute;top:3142;width:57931;height:15540" coordorigin="1837,1792" coordsize="9354,1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">
                  <v:shape id="Freeform 54" o:spid="_x0000_s1096" style="position:absolute;left:1837;top:1792;width:9354;height:1677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" path="m,l9354,r,7809l,7809,,e" fillcolor="#edf2ea" stroked="f">
                    <v:path arrowok="t" o:connecttype="custom" o:connectlocs="0,2149;9354,2149;9354,18927;0,18927;0,2149" o:connectangles="0,0,0,0,0"/>
                  </v:shape>
                </v:group>
                <v:shape id="Freeform 52" o:spid="_x0000_s1097"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0FE5E1F6" w14:textId="77777777" w:rsidR="00C8797E" w:rsidRDefault="00C8797E" w:rsidP="00C8797E">
                        <w:pPr>
                          <w:pStyle w:val="BoxTitle"/>
                          <w:spacing w:before="60" w:beforeAutospacing="0"/>
                        </w:pPr>
                        <w:r>
                          <w:t>INTRODUCTION</w:t>
                        </w:r>
                      </w:p>
                    </w:txbxContent>
                  </v:textbox>
                </v:shape>
              </v:group>
            </w:pict>
          </mc:Fallback>
        </mc:AlternateContent>
      </w:r>
    </w:p>
    <w:p w14:paraId="183C41F7" w14:textId="77777777" w:rsidR="00C8797E" w:rsidRDefault="00C8797E" w:rsidP="00C8797E">
      <w:pPr>
        <w:pStyle w:val="QuestionBox"/>
        <w:tabs>
          <w:tab w:val="clear" w:pos="709"/>
        </w:tabs>
        <w:ind w:left="0"/>
        <w:rPr>
          <w:rFonts w:eastAsia="Metropolis"/>
          <w:noProof/>
        </w:rPr>
      </w:pPr>
    </w:p>
    <w:p w14:paraId="2BAC7381" w14:textId="77777777" w:rsidR="009F4F6E" w:rsidRDefault="009F4F6E" w:rsidP="00A6234C">
      <w:pPr>
        <w:pStyle w:val="QuestionBox"/>
        <w:tabs>
          <w:tab w:val="clear" w:pos="709"/>
        </w:tabs>
        <w:ind w:left="0" w:firstLine="284"/>
        <w:rPr>
          <w:rFonts w:eastAsia="Metropolis"/>
          <w:noProof/>
        </w:rPr>
      </w:pPr>
    </w:p>
    <w:p w14:paraId="5ABB6969" w14:textId="15670160" w:rsidR="00C8797E" w:rsidRDefault="00DE57A5" w:rsidP="00A6234C">
      <w:pPr>
        <w:pStyle w:val="QuestionBox"/>
        <w:tabs>
          <w:tab w:val="clear" w:pos="709"/>
        </w:tabs>
        <w:ind w:left="0" w:firstLine="284"/>
        <w:rPr>
          <w:rFonts w:eastAsia="Metropolis"/>
          <w:noProof/>
        </w:rPr>
      </w:pPr>
      <w:r w:rsidRPr="00DE57A5">
        <w:rPr>
          <w:rFonts w:eastAsia="Metropolis"/>
          <w:noProof/>
        </w:rPr>
        <w:t>In this chapter, we consider and seek feedback on issues relating to:</w:t>
      </w:r>
      <w:r w:rsidR="00C8797E" w:rsidRPr="001922C6">
        <w:rPr>
          <w:rFonts w:eastAsia="Metropolis"/>
          <w:noProof/>
        </w:rPr>
        <w:t xml:space="preserve"> </w:t>
      </w:r>
    </w:p>
    <w:p w14:paraId="08ECB798" w14:textId="77777777" w:rsidR="00F37091" w:rsidRDefault="00F37091" w:rsidP="00866891">
      <w:pPr>
        <w:pStyle w:val="ListBullet"/>
        <w:numPr>
          <w:ilvl w:val="0"/>
          <w:numId w:val="20"/>
        </w:numPr>
        <w:ind w:left="709" w:hanging="425"/>
      </w:pPr>
      <w:r>
        <w:t>defendants’ exculpatory statements (sections 21 and 27);</w:t>
      </w:r>
    </w:p>
    <w:p w14:paraId="7C4BE6C8" w14:textId="77777777" w:rsidR="00F37091" w:rsidRDefault="00F37091" w:rsidP="00866891">
      <w:pPr>
        <w:pStyle w:val="ListBullet"/>
        <w:numPr>
          <w:ilvl w:val="0"/>
          <w:numId w:val="20"/>
        </w:numPr>
        <w:ind w:left="709" w:hanging="425"/>
      </w:pPr>
      <w:r>
        <w:t>defendants’ statements that are contained within a hearsay statement (section 27(3)); and</w:t>
      </w:r>
    </w:p>
    <w:p w14:paraId="06E17913" w14:textId="77777777" w:rsidR="00F37091" w:rsidRDefault="00F37091" w:rsidP="00866891">
      <w:pPr>
        <w:pStyle w:val="ListBullet"/>
        <w:numPr>
          <w:ilvl w:val="0"/>
          <w:numId w:val="20"/>
        </w:numPr>
        <w:ind w:left="709" w:hanging="425"/>
      </w:pPr>
      <w:r>
        <w:t>co-defendants’ non-hearsay statements (sections 27 and 22A).</w:t>
      </w:r>
    </w:p>
    <w:p w14:paraId="2D6F3233" w14:textId="77777777" w:rsidR="00A518D1" w:rsidRDefault="00A518D1" w:rsidP="00A518D1">
      <w:pPr>
        <w:pStyle w:val="ListBullet"/>
        <w:numPr>
          <w:ilvl w:val="0"/>
          <w:numId w:val="0"/>
        </w:numPr>
        <w:ind w:left="709"/>
      </w:pPr>
    </w:p>
    <w:p w14:paraId="12EE8F78" w14:textId="77777777" w:rsidR="00F37091" w:rsidRDefault="00F37091" w:rsidP="00F37091">
      <w:pPr>
        <w:pStyle w:val="Heading2"/>
      </w:pPr>
      <w:bookmarkStart w:id="77" w:name="_Toc126330113"/>
      <w:bookmarkStart w:id="78" w:name="_Toc132962553"/>
      <w:r w:rsidRPr="00C64781">
        <w:t>Defendants’</w:t>
      </w:r>
      <w:r>
        <w:t xml:space="preserve"> exculpatory statements</w:t>
      </w:r>
      <w:bookmarkEnd w:id="77"/>
      <w:bookmarkEnd w:id="78"/>
      <w:r>
        <w:t xml:space="preserve"> </w:t>
      </w:r>
    </w:p>
    <w:p w14:paraId="65029F98" w14:textId="533F1402" w:rsidR="00F37091" w:rsidRDefault="00F37091" w:rsidP="00F37091">
      <w:pPr>
        <w:pStyle w:val="BodyText"/>
      </w:pPr>
      <w:r>
        <w:t xml:space="preserve">In a criminal proceeding, if a defendant elects not to give evidence, section 21 </w:t>
      </w:r>
      <w:r w:rsidR="00F47EBF">
        <w:t xml:space="preserve">of the Evidence Act 2006 </w:t>
      </w:r>
      <w:r>
        <w:t>prevents them from offering their own hearsay statement</w:t>
      </w:r>
      <w:r w:rsidR="00F47EBF">
        <w:t>.</w:t>
      </w:r>
      <w:r w:rsidRPr="00D256ED">
        <w:rPr>
          <w:rStyle w:val="FootnoteReference"/>
        </w:rPr>
        <w:footnoteReference w:id="250"/>
      </w:r>
      <w:r>
        <w:t xml:space="preserve"> The prosecution can, however, offer a defendant’s statement </w:t>
      </w:r>
      <w:r w:rsidRPr="009755AD">
        <w:t>“against” that defendant</w:t>
      </w:r>
      <w:r>
        <w:t xml:space="preserve"> under section 27</w:t>
      </w:r>
      <w:r w:rsidRPr="009755AD" w:rsidDel="002A0102">
        <w:t>.</w:t>
      </w:r>
      <w:r w:rsidRPr="00D256ED">
        <w:rPr>
          <w:rStyle w:val="FootnoteReference"/>
        </w:rPr>
        <w:footnoteReference w:id="251"/>
      </w:r>
      <w:r>
        <w:t xml:space="preserve"> Case law establishes that “against” does not mean the statement must be wholly inculpatory to be admitted by the prosecution. Statements that contain both inculpatory and exculpatory statements (mixed statements) can be </w:t>
      </w:r>
      <w:r w:rsidR="007A77EF">
        <w:t>offrered</w:t>
      </w:r>
      <w:r>
        <w:t xml:space="preserve"> in their entirety.</w:t>
      </w:r>
      <w:r w:rsidRPr="00D256ED">
        <w:rPr>
          <w:rStyle w:val="FootnoteReference"/>
        </w:rPr>
        <w:footnoteReference w:id="252"/>
      </w:r>
      <w:r>
        <w:t xml:space="preserve"> </w:t>
      </w:r>
    </w:p>
    <w:p w14:paraId="30B1827B" w14:textId="2159577B" w:rsidR="00F37091" w:rsidRDefault="00F37091" w:rsidP="00F37091">
      <w:pPr>
        <w:pStyle w:val="BodyText"/>
      </w:pPr>
      <w:r>
        <w:t xml:space="preserve">The Act does not require the prosecution to offer defendants’ statements. However, the courts have nevertheless held (based on the inherent powers of judges to control criminal </w:t>
      </w:r>
      <w:r w:rsidR="0005608E">
        <w:t>proc</w:t>
      </w:r>
      <w:r w:rsidR="00776E54">
        <w:t>eedings</w:t>
      </w:r>
      <w:r>
        <w:t xml:space="preserve">) that the prosecution </w:t>
      </w:r>
      <w:r w:rsidRPr="008D735F">
        <w:rPr>
          <w:i/>
        </w:rPr>
        <w:t>may</w:t>
      </w:r>
      <w:r>
        <w:t xml:space="preserve"> be required to offer evidence of a defendant’s </w:t>
      </w:r>
      <w:r>
        <w:lastRenderedPageBreak/>
        <w:t>exculpatory statement where it is necessary to ensure trial fairness.</w:t>
      </w:r>
      <w:r w:rsidRPr="00D256ED">
        <w:rPr>
          <w:rStyle w:val="FootnoteReference"/>
        </w:rPr>
        <w:footnoteReference w:id="253"/>
      </w:r>
      <w:r>
        <w:t xml:space="preserve"> T</w:t>
      </w:r>
      <w:r w:rsidR="000D65CD">
        <w:t>e Kōti P</w:t>
      </w:r>
      <w:r w:rsidR="00623AF2">
        <w:t>ī</w:t>
      </w:r>
      <w:r w:rsidR="000D65CD">
        <w:t xml:space="preserve">ra | </w:t>
      </w:r>
      <w:r>
        <w:t>Court of Appeal has recently suggested this will only occur in “exceptional cases”.</w:t>
      </w:r>
      <w:r w:rsidRPr="00D256ED">
        <w:rPr>
          <w:rStyle w:val="FootnoteReference"/>
        </w:rPr>
        <w:footnoteReference w:id="254"/>
      </w:r>
      <w:r>
        <w:t xml:space="preserve"> As we discuss below, this has mainly occurred where the prosecution wishes to rely on part of a mixed statement. In such cases the court may require the prosecution to admit the entirety of the statement, including any exculpatory parts. In other instances, whether a defendant’s exculpatory statement is offered in evidence is a matter of prosecutorial discretion.</w:t>
      </w:r>
    </w:p>
    <w:p w14:paraId="24E7709E" w14:textId="77777777" w:rsidR="00F37091" w:rsidRDefault="00F37091" w:rsidP="00F37091">
      <w:pPr>
        <w:pStyle w:val="Heading3"/>
      </w:pPr>
      <w:r>
        <w:t>What are the issues?</w:t>
      </w:r>
    </w:p>
    <w:p w14:paraId="5DD81F42" w14:textId="7190892F" w:rsidR="00F37091" w:rsidRDefault="00F37091" w:rsidP="00F37091">
      <w:pPr>
        <w:pStyle w:val="BodyText"/>
      </w:pPr>
      <w:r>
        <w:t xml:space="preserve">Our initial research and </w:t>
      </w:r>
      <w:r w:rsidR="0014076A">
        <w:t>preliminary feedback</w:t>
      </w:r>
      <w:r>
        <w:t xml:space="preserve"> identified dissatisfaction with the current approach among </w:t>
      </w:r>
      <w:r w:rsidR="00754F81">
        <w:t xml:space="preserve">some </w:t>
      </w:r>
      <w:r>
        <w:t>defence counsel and a commentator.</w:t>
      </w:r>
      <w:r>
        <w:rPr>
          <w:rStyle w:val="FootnoteReference"/>
        </w:rPr>
        <w:footnoteReference w:id="255"/>
      </w:r>
      <w:r>
        <w:t xml:space="preserve"> They raised two separate but related issues:</w:t>
      </w:r>
    </w:p>
    <w:p w14:paraId="47341A37" w14:textId="32C30FB6" w:rsidR="00F37091" w:rsidRDefault="00F37091" w:rsidP="00866891">
      <w:pPr>
        <w:pStyle w:val="BodyTextnonum"/>
        <w:numPr>
          <w:ilvl w:val="3"/>
          <w:numId w:val="28"/>
        </w:numPr>
      </w:pPr>
      <w:r>
        <w:t>First, t</w:t>
      </w:r>
      <w:r w:rsidRPr="00116273">
        <w:t xml:space="preserve">here may be inconsistency regarding when prosecutors </w:t>
      </w:r>
      <w:r w:rsidR="004108AC">
        <w:t xml:space="preserve">offer </w:t>
      </w:r>
      <w:r w:rsidRPr="00116273">
        <w:t xml:space="preserve">evidence of a defendant’s mixed or exculpatory statement. Defence counsel told us that the approach taken by prosecutors varies between regions, </w:t>
      </w:r>
      <w:r>
        <w:t>with</w:t>
      </w:r>
      <w:r w:rsidRPr="00116273">
        <w:t xml:space="preserve"> some choosing to </w:t>
      </w:r>
      <w:r w:rsidR="00D84E12">
        <w:t>offer</w:t>
      </w:r>
      <w:r w:rsidRPr="00116273">
        <w:t xml:space="preserve"> wholly exculpatory statements and others not. We also note that</w:t>
      </w:r>
      <w:r w:rsidR="00D84E12">
        <w:t>,</w:t>
      </w:r>
      <w:r w:rsidRPr="00116273">
        <w:t xml:space="preserve"> while the case law on mixed statements appears reasonably settled, it continues to be argued in court, which may suggest continued uncertainty among counsel.</w:t>
      </w:r>
    </w:p>
    <w:p w14:paraId="34DE97C2" w14:textId="3617C1B7" w:rsidR="00F37091" w:rsidRPr="00116273" w:rsidRDefault="00F37091" w:rsidP="00866891">
      <w:pPr>
        <w:pStyle w:val="BodyText2"/>
        <w:numPr>
          <w:ilvl w:val="3"/>
          <w:numId w:val="28"/>
        </w:numPr>
      </w:pPr>
      <w:r>
        <w:t>Second, t</w:t>
      </w:r>
      <w:r w:rsidRPr="00116273">
        <w:t xml:space="preserve">here is some concern about the underlying policy reflected in section 21. Defence counsel </w:t>
      </w:r>
      <w:r>
        <w:t xml:space="preserve">from whom </w:t>
      </w:r>
      <w:r w:rsidRPr="00116273">
        <w:t xml:space="preserve">we received feedback and </w:t>
      </w:r>
      <w:r>
        <w:t>a</w:t>
      </w:r>
      <w:r w:rsidRPr="00116273">
        <w:t xml:space="preserve"> commentator</w:t>
      </w:r>
      <w:r>
        <w:rPr>
          <w:rStyle w:val="FootnoteReference"/>
        </w:rPr>
        <w:footnoteReference w:id="256"/>
      </w:r>
      <w:r w:rsidRPr="00116273">
        <w:t xml:space="preserve"> suggested that formal statements made by defendants (for example, to police) are relevant evidence that should be placed before the </w:t>
      </w:r>
      <w:r w:rsidR="00354B11">
        <w:t>fact-finder</w:t>
      </w:r>
      <w:r w:rsidRPr="00116273">
        <w:t xml:space="preserve"> as a matter of course. Otherwise, the </w:t>
      </w:r>
      <w:r w:rsidR="003106BC">
        <w:t>fact-finder</w:t>
      </w:r>
      <w:r w:rsidRPr="00116273">
        <w:t xml:space="preserve"> may assume the defendant has made no statement and draw adverse inferences from that, resulting in unfairness.</w:t>
      </w:r>
    </w:p>
    <w:p w14:paraId="5A70B6E8" w14:textId="77777777" w:rsidR="00F37091" w:rsidRDefault="00F37091" w:rsidP="00F37091">
      <w:pPr>
        <w:pStyle w:val="BodyText"/>
      </w:pPr>
      <w:r>
        <w:t>To facilitate feedback on these issues, it is necessary to briefly explain the background to sections 21 and 27 and how the case law has developed.</w:t>
      </w:r>
    </w:p>
    <w:p w14:paraId="3125BC6C" w14:textId="77777777" w:rsidR="00F37091" w:rsidRPr="00D87C69" w:rsidRDefault="00F37091" w:rsidP="00F37091">
      <w:pPr>
        <w:pStyle w:val="Heading4"/>
      </w:pPr>
      <w:r>
        <w:t>History of sections 21 and 27</w:t>
      </w:r>
    </w:p>
    <w:p w14:paraId="0FBA426B" w14:textId="636C4914" w:rsidR="00F37091" w:rsidRDefault="00F37091" w:rsidP="00F37091">
      <w:pPr>
        <w:pStyle w:val="BodyText"/>
      </w:pPr>
      <w:r>
        <w:t>At common law, a defendant’s out-of-court statement was treated as hearsay and was therefore inadmissible if it was relied on to prove the truth of its contents.</w:t>
      </w:r>
      <w:r>
        <w:rPr>
          <w:rStyle w:val="FootnoteReference"/>
        </w:rPr>
        <w:footnoteReference w:id="257"/>
      </w:r>
      <w:r>
        <w:t xml:space="preserve"> However, statements against the defendant’s interests such as a confession or admission were admissible (either as an exception to the </w:t>
      </w:r>
      <w:r w:rsidR="003A5E1B">
        <w:t xml:space="preserve">rule against </w:t>
      </w:r>
      <w:r>
        <w:t>hearsay or on the basis that they fell outside it).</w:t>
      </w:r>
      <w:r>
        <w:rPr>
          <w:rStyle w:val="FootnoteReference"/>
        </w:rPr>
        <w:footnoteReference w:id="258"/>
      </w:r>
      <w:r>
        <w:t xml:space="preserve"> Where the prosecution wished to rely on such a statement, the whole </w:t>
      </w:r>
      <w:r>
        <w:lastRenderedPageBreak/>
        <w:t>statement had to be offered, including any exculpatory parts.</w:t>
      </w:r>
      <w:r>
        <w:rPr>
          <w:rStyle w:val="FootnoteReference"/>
        </w:rPr>
        <w:footnoteReference w:id="259"/>
      </w:r>
      <w:r>
        <w:t xml:space="preserve"> Wholly exculpatory hearsay statements were inadmissible.</w:t>
      </w:r>
      <w:r>
        <w:rPr>
          <w:rStyle w:val="FootnoteReference"/>
        </w:rPr>
        <w:footnoteReference w:id="260"/>
      </w:r>
    </w:p>
    <w:p w14:paraId="7792CBC6" w14:textId="24FF0672" w:rsidR="00F37091" w:rsidRDefault="00F37091" w:rsidP="00F37091">
      <w:pPr>
        <w:pStyle w:val="BodyText"/>
      </w:pPr>
      <w:r>
        <w:t xml:space="preserve">Section 27 is based on </w:t>
      </w:r>
      <w:r w:rsidR="008F4F33">
        <w:t>Te Aka Matua o te Ture | Law</w:t>
      </w:r>
      <w:r>
        <w:t xml:space="preserve"> Commission’s Evidence Code. The </w:t>
      </w:r>
      <w:r w:rsidR="000D77F3">
        <w:t xml:space="preserve">Evidence </w:t>
      </w:r>
      <w:r>
        <w:t>Code sought to largely codify the existing law on admissions and confessions but extended the rules to all statements made by the defendants, including exculpatory ones.</w:t>
      </w:r>
      <w:r>
        <w:rPr>
          <w:rStyle w:val="FootnoteReference"/>
        </w:rPr>
        <w:footnoteReference w:id="261"/>
      </w:r>
    </w:p>
    <w:p w14:paraId="55A06104" w14:textId="2A3D1ECA" w:rsidR="00F37091" w:rsidRDefault="00F37091" w:rsidP="00F37091">
      <w:pPr>
        <w:pStyle w:val="BodyText"/>
      </w:pPr>
      <w:r>
        <w:t>Section 21 (preventing a defendant who does not give evidence from offering their own statement) did not appear in the Commission’s Evidence Code. The Commission intended that</w:t>
      </w:r>
      <w:r w:rsidR="00284C9D">
        <w:t>,</w:t>
      </w:r>
      <w:r>
        <w:t xml:space="preserve"> where a defendant elected not to give evidence, they could rely on evidence of their own out-of-court statements if they satisfied the exception to the rule against hearsay.</w:t>
      </w:r>
      <w:r>
        <w:rPr>
          <w:rStyle w:val="FootnoteReference"/>
        </w:rPr>
        <w:footnoteReference w:id="262"/>
      </w:r>
      <w:r>
        <w:t xml:space="preserve"> This requires the judge to be satisfied that the circumstances relating to the hearsay statement provide reasonable assurance that the statement is reliable (section 18). Because a defendant is not compellable, they would be “unavailable” as a witness for the purposes of the hearsay rules. This would have been a departure from the common law position under which defendants could not offer evidence of their own hearsay statements. Cabinet disagreed with the Commission’s proposed approach and inserted section 21 into the Evidence Bill on the basis that defendants are not, in reality, “unavailable” to themselves.</w:t>
      </w:r>
      <w:r>
        <w:rPr>
          <w:rStyle w:val="FootnoteReference"/>
        </w:rPr>
        <w:footnoteReference w:id="263"/>
      </w:r>
    </w:p>
    <w:p w14:paraId="04B6BA7D" w14:textId="77777777" w:rsidR="00F37091" w:rsidRDefault="00F37091" w:rsidP="00F37091">
      <w:pPr>
        <w:pStyle w:val="Heading4"/>
      </w:pPr>
      <w:r>
        <w:t>How have sections 21 and 27 been interpreted?</w:t>
      </w:r>
    </w:p>
    <w:p w14:paraId="711CED54" w14:textId="52EF3012" w:rsidR="00F37091" w:rsidRDefault="00F37091" w:rsidP="00F37091">
      <w:pPr>
        <w:pStyle w:val="BodyText"/>
      </w:pPr>
      <w:r>
        <w:t xml:space="preserve">In </w:t>
      </w:r>
      <w:r w:rsidRPr="00342D0D">
        <w:rPr>
          <w:i/>
          <w:iCs/>
        </w:rPr>
        <w:t>R v King</w:t>
      </w:r>
      <w:r w:rsidR="003F339D">
        <w:t>,</w:t>
      </w:r>
      <w:r w:rsidRPr="00342D0D">
        <w:rPr>
          <w:i/>
          <w:iCs/>
        </w:rPr>
        <w:t xml:space="preserve"> </w:t>
      </w:r>
      <w:r>
        <w:t>the Court of Appeal considered section 21 and said that</w:t>
      </w:r>
      <w:r w:rsidR="003F339D">
        <w:t>,</w:t>
      </w:r>
      <w:r>
        <w:t xml:space="preserve"> while it “means what it says”,</w:t>
      </w:r>
      <w:r>
        <w:rPr>
          <w:rStyle w:val="FootnoteReference"/>
        </w:rPr>
        <w:footnoteReference w:id="264"/>
      </w:r>
      <w:r>
        <w:t xml:space="preserve"> it was nonetheless open to the court to require the prosecutor to offer evidence of a defendant’s statement where it would be unfair not to do so (based on the powers of trial judges to control the criminal</w:t>
      </w:r>
      <w:r w:rsidR="003F339D">
        <w:t xml:space="preserve"> proceedings</w:t>
      </w:r>
      <w:r>
        <w:t>).</w:t>
      </w:r>
      <w:r>
        <w:rPr>
          <w:rStyle w:val="FootnoteReference"/>
        </w:rPr>
        <w:footnoteReference w:id="265"/>
      </w:r>
      <w:r>
        <w:t xml:space="preserve"> T</w:t>
      </w:r>
      <w:r w:rsidR="002E7CBD">
        <w:t xml:space="preserve">e Kōti Matua | </w:t>
      </w:r>
      <w:r>
        <w:t xml:space="preserve">High Court reached a similar conclusion in </w:t>
      </w:r>
      <w:r>
        <w:rPr>
          <w:i/>
          <w:iCs/>
        </w:rPr>
        <w:t>R v Felise.</w:t>
      </w:r>
      <w:r w:rsidRPr="00B731C8">
        <w:rPr>
          <w:rStyle w:val="FootnoteReference"/>
        </w:rPr>
        <w:footnoteReference w:id="266"/>
      </w:r>
      <w:r>
        <w:rPr>
          <w:i/>
          <w:iCs/>
        </w:rPr>
        <w:t xml:space="preserve"> </w:t>
      </w:r>
      <w:r>
        <w:t>In that case, the Court permitted defence counsel to cross-examine two witnesses about statements made to them by one of the defendants. Because the prosecution had chosen to question the witnesses about some aspects of the discussion but not others, fairness required that the defendants be allowed to elicit the full import of the discussion.</w:t>
      </w:r>
    </w:p>
    <w:p w14:paraId="7DC997E3" w14:textId="1C18691C" w:rsidR="00F37091" w:rsidRDefault="00F37091" w:rsidP="00F37091">
      <w:pPr>
        <w:pStyle w:val="BodyText"/>
      </w:pPr>
      <w:r>
        <w:t xml:space="preserve">The Commission considered these cases in its 2013 </w:t>
      </w:r>
      <w:r w:rsidR="00EC532F">
        <w:t>R</w:t>
      </w:r>
      <w:r>
        <w:t>eview of the Act, in response to a concern th</w:t>
      </w:r>
      <w:r w:rsidR="003F13A9">
        <w:t xml:space="preserve">ese cases </w:t>
      </w:r>
      <w:r>
        <w:t>may have confused the application of section 21.</w:t>
      </w:r>
      <w:r>
        <w:rPr>
          <w:rStyle w:val="FootnoteReference"/>
        </w:rPr>
        <w:footnoteReference w:id="267"/>
      </w:r>
      <w:r>
        <w:t xml:space="preserve"> The Commission concluded that, while the Act should be the “first port of call” in determining admissibility </w:t>
      </w:r>
      <w:r>
        <w:lastRenderedPageBreak/>
        <w:t>issues, trial judges retained their ability to control the criminal</w:t>
      </w:r>
      <w:r w:rsidR="0003231B">
        <w:t xml:space="preserve"> proceedings</w:t>
      </w:r>
      <w:r>
        <w:t>.</w:t>
      </w:r>
      <w:r>
        <w:rPr>
          <w:rStyle w:val="FootnoteReference"/>
        </w:rPr>
        <w:footnoteReference w:id="268"/>
      </w:r>
      <w:r>
        <w:t xml:space="preserve"> The Act also needed to be interpreted consistently with the New Zealand Bill of Rights Act 1990 where possible. However, the Commission indicated that the approach in </w:t>
      </w:r>
      <w:r w:rsidRPr="003479BB">
        <w:rPr>
          <w:i/>
          <w:iCs/>
        </w:rPr>
        <w:t xml:space="preserve">King </w:t>
      </w:r>
      <w:r>
        <w:t xml:space="preserve">and </w:t>
      </w:r>
      <w:r w:rsidRPr="003479BB">
        <w:rPr>
          <w:i/>
          <w:iCs/>
        </w:rPr>
        <w:t xml:space="preserve">Felise </w:t>
      </w:r>
      <w:r>
        <w:t>“</w:t>
      </w:r>
      <w:r w:rsidRPr="004C72FD">
        <w:t>will only be appropriate in rare circumstances where the resulting unfairness to the defendant impacts on his or her right to a fair trial</w:t>
      </w:r>
      <w:r w:rsidR="00834A42">
        <w:t>”.</w:t>
      </w:r>
      <w:r>
        <w:rPr>
          <w:rStyle w:val="FootnoteReference"/>
        </w:rPr>
        <w:footnoteReference w:id="269"/>
      </w:r>
      <w:r>
        <w:t xml:space="preserve"> The Commission considered it unnecessary to amend section 21, because the concerns expressed by submitters were not about the drafting of that section but rather the use of other powers of the court.</w:t>
      </w:r>
      <w:r>
        <w:rPr>
          <w:rStyle w:val="FootnoteReference"/>
        </w:rPr>
        <w:footnoteReference w:id="270"/>
      </w:r>
    </w:p>
    <w:p w14:paraId="39D4E0B8" w14:textId="6D171A37" w:rsidR="00F37091" w:rsidRPr="009F34E7" w:rsidRDefault="00F37091" w:rsidP="00F37091">
      <w:pPr>
        <w:pStyle w:val="BodyText"/>
      </w:pPr>
      <w:r>
        <w:rPr>
          <w:lang w:val="en-GB"/>
        </w:rPr>
        <w:t>The</w:t>
      </w:r>
      <w:r w:rsidRPr="00A449E2">
        <w:rPr>
          <w:lang w:val="en-GB"/>
        </w:rPr>
        <w:t xml:space="preserve"> courts have been reluctant to find that the interests of fairness override the statutory purpose of section 21 in relation to wholly exculpatory statements.</w:t>
      </w:r>
      <w:r>
        <w:rPr>
          <w:rStyle w:val="FootnoteReference"/>
          <w:lang w:val="en-GB"/>
        </w:rPr>
        <w:footnoteReference w:id="271"/>
      </w:r>
      <w:r>
        <w:t xml:space="preserve"> </w:t>
      </w:r>
      <w:r w:rsidRPr="00A449E2">
        <w:rPr>
          <w:lang w:val="en-GB"/>
        </w:rPr>
        <w:t xml:space="preserve">Since </w:t>
      </w:r>
      <w:r w:rsidRPr="00A449E2">
        <w:rPr>
          <w:i/>
          <w:iCs/>
          <w:lang w:val="en-GB"/>
        </w:rPr>
        <w:t>Felise</w:t>
      </w:r>
      <w:r w:rsidRPr="00A449E2">
        <w:rPr>
          <w:lang w:val="en-GB"/>
        </w:rPr>
        <w:t xml:space="preserve">, four High Court decisions have considered </w:t>
      </w:r>
      <w:r>
        <w:rPr>
          <w:lang w:val="en-GB"/>
        </w:rPr>
        <w:t>whether the prosecution was required to admit</w:t>
      </w:r>
      <w:r w:rsidRPr="00A449E2">
        <w:rPr>
          <w:lang w:val="en-GB"/>
        </w:rPr>
        <w:t xml:space="preserve"> a defendant’s </w:t>
      </w:r>
      <w:r>
        <w:rPr>
          <w:lang w:val="en-GB"/>
        </w:rPr>
        <w:t xml:space="preserve">wholly exculpatory </w:t>
      </w:r>
      <w:r w:rsidRPr="00A449E2">
        <w:rPr>
          <w:lang w:val="en-GB"/>
        </w:rPr>
        <w:t>statement to police.</w:t>
      </w:r>
      <w:r>
        <w:rPr>
          <w:rStyle w:val="FootnoteReference"/>
          <w:lang w:val="en-GB"/>
        </w:rPr>
        <w:footnoteReference w:id="272"/>
      </w:r>
      <w:r w:rsidRPr="00A449E2">
        <w:rPr>
          <w:lang w:val="en-GB"/>
        </w:rPr>
        <w:t xml:space="preserve"> In all instances the </w:t>
      </w:r>
      <w:r w:rsidR="005C3C3C">
        <w:rPr>
          <w:lang w:val="en-GB"/>
        </w:rPr>
        <w:t>J</w:t>
      </w:r>
      <w:r w:rsidRPr="00A449E2">
        <w:rPr>
          <w:lang w:val="en-GB"/>
        </w:rPr>
        <w:t xml:space="preserve">udge declined to </w:t>
      </w:r>
      <w:r>
        <w:rPr>
          <w:lang w:val="en-GB"/>
        </w:rPr>
        <w:t>make such an order</w:t>
      </w:r>
      <w:r w:rsidRPr="00A449E2">
        <w:rPr>
          <w:lang w:val="en-GB"/>
        </w:rPr>
        <w:t xml:space="preserve">, finding that the fairness rationale for the exception in </w:t>
      </w:r>
      <w:r w:rsidRPr="00A449E2">
        <w:rPr>
          <w:i/>
          <w:iCs/>
          <w:lang w:val="en-GB"/>
        </w:rPr>
        <w:t xml:space="preserve">Felise </w:t>
      </w:r>
      <w:r w:rsidRPr="00A449E2">
        <w:rPr>
          <w:lang w:val="en-GB"/>
        </w:rPr>
        <w:t>was not engaged. Rather, admitting the evidence would simply allow the defendant to put forward their version of events without being subject to cross-examination.</w:t>
      </w:r>
      <w:r>
        <w:rPr>
          <w:rStyle w:val="FootnoteReference"/>
          <w:lang w:val="en-GB"/>
        </w:rPr>
        <w:footnoteReference w:id="273"/>
      </w:r>
    </w:p>
    <w:p w14:paraId="36BDB30F" w14:textId="2D375275" w:rsidR="00F37091" w:rsidRPr="0070677C" w:rsidRDefault="00F37091" w:rsidP="00F37091">
      <w:pPr>
        <w:pStyle w:val="BodyText"/>
      </w:pPr>
      <w:r>
        <w:rPr>
          <w:lang w:val="en-GB"/>
        </w:rPr>
        <w:t>In 2021, the issue was raised in an application to t</w:t>
      </w:r>
      <w:r w:rsidR="00A80EA0">
        <w:rPr>
          <w:lang w:val="en-GB"/>
        </w:rPr>
        <w:t>e Kōti Mana Nui |</w:t>
      </w:r>
      <w:r>
        <w:rPr>
          <w:lang w:val="en-GB"/>
        </w:rPr>
        <w:t xml:space="preserve"> Supreme Court for leave to appeal in </w:t>
      </w:r>
      <w:r w:rsidRPr="0031103C">
        <w:rPr>
          <w:i/>
          <w:iCs/>
          <w:lang w:val="en-GB"/>
        </w:rPr>
        <w:t>Foster v R</w:t>
      </w:r>
      <w:r>
        <w:rPr>
          <w:lang w:val="en-GB"/>
        </w:rPr>
        <w:t>.</w:t>
      </w:r>
      <w:r>
        <w:rPr>
          <w:rStyle w:val="FootnoteReference"/>
          <w:lang w:val="en-GB"/>
        </w:rPr>
        <w:footnoteReference w:id="274"/>
      </w:r>
      <w:r>
        <w:rPr>
          <w:lang w:val="en-GB"/>
        </w:rPr>
        <w:t xml:space="preserve"> At trial, defence counsel sought leave to question a Crown witness about an exculpatory statement allegedly made to him by the defendant. The prosecution had not asked the witness any questions about the exchange. The defence argued, relying on </w:t>
      </w:r>
      <w:r>
        <w:rPr>
          <w:i/>
          <w:iCs/>
          <w:lang w:val="en-GB"/>
        </w:rPr>
        <w:t>King</w:t>
      </w:r>
      <w:r>
        <w:rPr>
          <w:lang w:val="en-GB"/>
        </w:rPr>
        <w:t>, that it would be unfair to apply section 21. The trial judge and the Court of Appeal rejected that argument, finding that section 21 prevented the defence from questioning the witness about the defendant’s statement.</w:t>
      </w:r>
    </w:p>
    <w:p w14:paraId="268B137A" w14:textId="1239EDDB" w:rsidR="00F37091" w:rsidRPr="001E1A5F" w:rsidRDefault="00F37091" w:rsidP="00F37091">
      <w:pPr>
        <w:pStyle w:val="BodyText"/>
      </w:pPr>
      <w:r>
        <w:rPr>
          <w:lang w:val="en-GB"/>
        </w:rPr>
        <w:t xml:space="preserve">The Supreme Court declined leave to appeal. The </w:t>
      </w:r>
      <w:r w:rsidR="005C3C3C">
        <w:rPr>
          <w:lang w:val="en-GB"/>
        </w:rPr>
        <w:t>J</w:t>
      </w:r>
      <w:r>
        <w:rPr>
          <w:lang w:val="en-GB"/>
        </w:rPr>
        <w:t xml:space="preserve">udges </w:t>
      </w:r>
      <w:r w:rsidR="00D62AD3">
        <w:rPr>
          <w:lang w:val="en-GB"/>
        </w:rPr>
        <w:t>who</w:t>
      </w:r>
      <w:r>
        <w:rPr>
          <w:lang w:val="en-GB"/>
        </w:rPr>
        <w:t xml:space="preserve"> considered the leave application agreed with the Court of Appeal that there was a distinction between the evidence the defendant sought to </w:t>
      </w:r>
      <w:r w:rsidR="000D2FF3">
        <w:rPr>
          <w:lang w:val="en-GB"/>
        </w:rPr>
        <w:t>offer</w:t>
      </w:r>
      <w:r>
        <w:rPr>
          <w:lang w:val="en-GB"/>
        </w:rPr>
        <w:t xml:space="preserve">, which was of a </w:t>
      </w:r>
      <w:r w:rsidRPr="00251C1F">
        <w:rPr>
          <w:i/>
          <w:iCs/>
          <w:lang w:val="en-GB"/>
        </w:rPr>
        <w:t>wholly</w:t>
      </w:r>
      <w:r>
        <w:rPr>
          <w:lang w:val="en-GB"/>
        </w:rPr>
        <w:t xml:space="preserve"> exculpatory character, and mixed inculpatory and exculpatory exchanges between the defendant and other Crown witnesses, about which the prosecution had examined the witnesses. In the latter case, fairness required t</w:t>
      </w:r>
      <w:r w:rsidRPr="001A71B0">
        <w:rPr>
          <w:lang w:val="en-GB"/>
        </w:rPr>
        <w:t xml:space="preserve">he </w:t>
      </w:r>
      <w:r>
        <w:rPr>
          <w:lang w:val="en-GB"/>
        </w:rPr>
        <w:t xml:space="preserve">prosecution </w:t>
      </w:r>
      <w:r w:rsidRPr="001A71B0">
        <w:rPr>
          <w:lang w:val="en-GB"/>
        </w:rPr>
        <w:t xml:space="preserve">to </w:t>
      </w:r>
      <w:r>
        <w:rPr>
          <w:lang w:val="en-GB"/>
        </w:rPr>
        <w:t>offer</w:t>
      </w:r>
      <w:r w:rsidRPr="001A71B0">
        <w:rPr>
          <w:lang w:val="en-GB"/>
        </w:rPr>
        <w:t xml:space="preserve"> both the inculpatory and exculpatory aspects of the</w:t>
      </w:r>
      <w:r>
        <w:rPr>
          <w:lang w:val="en-GB"/>
        </w:rPr>
        <w:t xml:space="preserve"> witnes</w:t>
      </w:r>
      <w:r w:rsidR="00F735B1">
        <w:rPr>
          <w:lang w:val="en-GB"/>
        </w:rPr>
        <w:t>s’</w:t>
      </w:r>
      <w:r>
        <w:rPr>
          <w:lang w:val="en-GB"/>
        </w:rPr>
        <w:t xml:space="preserve"> </w:t>
      </w:r>
      <w:r w:rsidRPr="001A71B0">
        <w:rPr>
          <w:lang w:val="en-GB"/>
        </w:rPr>
        <w:t>accounts</w:t>
      </w:r>
      <w:r>
        <w:rPr>
          <w:lang w:val="en-GB"/>
        </w:rPr>
        <w:t>.</w:t>
      </w:r>
      <w:r>
        <w:rPr>
          <w:rStyle w:val="FootnoteReference"/>
          <w:lang w:val="en-GB"/>
        </w:rPr>
        <w:footnoteReference w:id="275"/>
      </w:r>
      <w:r>
        <w:rPr>
          <w:lang w:val="en-GB"/>
        </w:rPr>
        <w:t xml:space="preserve"> The same argument did not apply to the wholly exculpatory statement. The Court said:</w:t>
      </w:r>
      <w:r>
        <w:rPr>
          <w:rStyle w:val="FootnoteReference"/>
          <w:lang w:val="en-GB"/>
        </w:rPr>
        <w:footnoteReference w:id="276"/>
      </w:r>
    </w:p>
    <w:p w14:paraId="4076FEAB" w14:textId="77777777" w:rsidR="00F37091" w:rsidRPr="0070677C" w:rsidRDefault="00F37091" w:rsidP="00F37091">
      <w:pPr>
        <w:pStyle w:val="Quote"/>
      </w:pPr>
      <w:r>
        <w:rPr>
          <w:shd w:val="clear" w:color="auto" w:fill="FFFFFF"/>
        </w:rPr>
        <w:t>As the Court of Appeal pointed out, the obvious solution for the applicant if he wanted to give evidence of the alleged exchange … was to give evidence himself.</w:t>
      </w:r>
    </w:p>
    <w:p w14:paraId="3014CDAC" w14:textId="75BB4B33" w:rsidR="00F37091" w:rsidRPr="005D4B59" w:rsidRDefault="00F37091" w:rsidP="00F37091">
      <w:pPr>
        <w:pStyle w:val="BodyText"/>
      </w:pPr>
      <w:r w:rsidRPr="00D750F8">
        <w:rPr>
          <w:i/>
          <w:iCs/>
        </w:rPr>
        <w:t xml:space="preserve">Foster </w:t>
      </w:r>
      <w:r w:rsidRPr="00D750F8">
        <w:rPr>
          <w:iCs/>
        </w:rPr>
        <w:t xml:space="preserve">(although only a leave decision) </w:t>
      </w:r>
      <w:r>
        <w:t>tends to suggest</w:t>
      </w:r>
      <w:r w:rsidRPr="005D4B59">
        <w:t xml:space="preserve"> that</w:t>
      </w:r>
      <w:r w:rsidR="007E1B00">
        <w:t>,</w:t>
      </w:r>
      <w:r w:rsidRPr="005D4B59">
        <w:t xml:space="preserve"> where the prosecution wishes to offer evidence of inculpatory parts of a mixed statement, the interests of fairness will generally require that exculpatory parts of the statement are also offered. </w:t>
      </w:r>
      <w:r w:rsidRPr="005D4B59">
        <w:lastRenderedPageBreak/>
        <w:t xml:space="preserve">On the other hand, the prosecution usually will </w:t>
      </w:r>
      <w:r w:rsidRPr="005D4B59">
        <w:rPr>
          <w:i/>
          <w:iCs/>
        </w:rPr>
        <w:t>not</w:t>
      </w:r>
      <w:r w:rsidRPr="005D4B59">
        <w:t xml:space="preserve"> be required to offer evidence of wholly exculpatory statements by the defendant. This approach has been taken in subsequent cases.</w:t>
      </w:r>
      <w:r w:rsidRPr="005D4B59">
        <w:rPr>
          <w:rStyle w:val="FootnoteReference"/>
        </w:rPr>
        <w:footnoteReference w:id="277"/>
      </w:r>
      <w:r w:rsidRPr="005D4B59">
        <w:t xml:space="preserve"> However, the fact that the prosecution in one recent case sought to “cherry pick” the inculpatory parts of a “mixed” statement suggests some confusion may remain among counsel.</w:t>
      </w:r>
      <w:r w:rsidRPr="005D4B59">
        <w:rPr>
          <w:rStyle w:val="FootnoteReference"/>
        </w:rPr>
        <w:footnoteReference w:id="278"/>
      </w:r>
    </w:p>
    <w:p w14:paraId="29231A60" w14:textId="5C9313D4" w:rsidR="00F37091" w:rsidRPr="005D4B59" w:rsidRDefault="00F37091" w:rsidP="00F37091">
      <w:pPr>
        <w:pStyle w:val="BodyText"/>
        <w:tabs>
          <w:tab w:val="num" w:pos="709"/>
        </w:tabs>
      </w:pPr>
      <w:r w:rsidRPr="005D4B59">
        <w:t xml:space="preserve">The higher courts have not determined whether the prosecution would be required to </w:t>
      </w:r>
      <w:r w:rsidR="007E1B00">
        <w:t>offer</w:t>
      </w:r>
      <w:r w:rsidRPr="005D4B59">
        <w:t xml:space="preserve"> a mixed statement where it does not wish to rely on any part of it. </w:t>
      </w:r>
      <w:r w:rsidRPr="005D4B59">
        <w:rPr>
          <w:i/>
          <w:iCs/>
        </w:rPr>
        <w:t xml:space="preserve">Foster </w:t>
      </w:r>
      <w:r w:rsidRPr="005D4B59">
        <w:t>tends to suggest it would not.</w:t>
      </w:r>
      <w:r>
        <w:t xml:space="preserve"> </w:t>
      </w:r>
      <w:r w:rsidRPr="005D4B59">
        <w:rPr>
          <w:lang w:val="en-GB"/>
        </w:rPr>
        <w:t>In one pre-</w:t>
      </w:r>
      <w:r w:rsidRPr="005D4B59">
        <w:rPr>
          <w:i/>
          <w:iCs/>
          <w:lang w:val="en-GB"/>
        </w:rPr>
        <w:t xml:space="preserve">Foster </w:t>
      </w:r>
      <w:r w:rsidRPr="005D4B59">
        <w:rPr>
          <w:lang w:val="en-GB"/>
        </w:rPr>
        <w:t xml:space="preserve">case, </w:t>
      </w:r>
      <w:r w:rsidRPr="005D4B59">
        <w:rPr>
          <w:i/>
          <w:iCs/>
          <w:lang w:val="en-GB"/>
        </w:rPr>
        <w:t>R v Singh</w:t>
      </w:r>
      <w:r w:rsidRPr="005D4B59">
        <w:rPr>
          <w:lang w:val="en-GB"/>
        </w:rPr>
        <w:t>,</w:t>
      </w:r>
      <w:r w:rsidRPr="005D4B59">
        <w:rPr>
          <w:i/>
          <w:iCs/>
          <w:lang w:val="en-GB"/>
        </w:rPr>
        <w:t xml:space="preserve"> </w:t>
      </w:r>
      <w:r w:rsidRPr="005D4B59">
        <w:rPr>
          <w:lang w:val="en-GB"/>
        </w:rPr>
        <w:t>t</w:t>
      </w:r>
      <w:r w:rsidR="001C12DA">
        <w:rPr>
          <w:lang w:val="en-GB"/>
        </w:rPr>
        <w:t xml:space="preserve">e Kōti-ā-Rohe | </w:t>
      </w:r>
      <w:r w:rsidRPr="005D4B59">
        <w:rPr>
          <w:lang w:val="en-GB"/>
        </w:rPr>
        <w:t>District Court ordered the prosecution to offer evidence of a mixed statement relevant to the issue of self-defence, even though the prosecution did not intend to rely on any part of the statement.</w:t>
      </w:r>
      <w:r w:rsidRPr="005D4B59">
        <w:rPr>
          <w:rStyle w:val="FootnoteReference"/>
          <w:lang w:val="en-GB"/>
        </w:rPr>
        <w:footnoteReference w:id="279"/>
      </w:r>
      <w:r w:rsidRPr="005D4B59">
        <w:rPr>
          <w:lang w:val="en-GB"/>
        </w:rPr>
        <w:t xml:space="preserve"> The Judge reasoned that:</w:t>
      </w:r>
      <w:r w:rsidRPr="005D4B59">
        <w:rPr>
          <w:rStyle w:val="FootnoteReference"/>
          <w:lang w:val="en-GB"/>
        </w:rPr>
        <w:footnoteReference w:id="280"/>
      </w:r>
    </w:p>
    <w:p w14:paraId="42B79504" w14:textId="77777777" w:rsidR="00F37091" w:rsidRPr="005D4B59" w:rsidRDefault="00F37091" w:rsidP="00F37091">
      <w:pPr>
        <w:pStyle w:val="Quote"/>
      </w:pPr>
      <w:r w:rsidRPr="005D4B59">
        <w:t>… the conclusion I am inevitably led to is that the Crown does not wish the statement in because it contains some material which might be of assistance to the defence, while adding nothing material to the Crown case. I do not accept that in the present circumstances, is an appropriate tactic. The result of allowing that would, in my view, provide unfairness to the accused, and would not be in the interests of justice.</w:t>
      </w:r>
    </w:p>
    <w:p w14:paraId="17DC8084" w14:textId="77777777" w:rsidR="00F37091" w:rsidRPr="005D4B59" w:rsidRDefault="00F37091" w:rsidP="00F37091">
      <w:pPr>
        <w:pStyle w:val="BodyText"/>
      </w:pPr>
      <w:r w:rsidRPr="005D4B59">
        <w:rPr>
          <w:lang w:val="en-GB"/>
        </w:rPr>
        <w:t xml:space="preserve">Similar reasoning was later relied on by the High Court of Australia in </w:t>
      </w:r>
      <w:r w:rsidRPr="005D4B59">
        <w:rPr>
          <w:i/>
          <w:iCs/>
          <w:lang w:val="en-GB"/>
        </w:rPr>
        <w:t>Nguyen v R</w:t>
      </w:r>
      <w:r w:rsidR="00E17AA6" w:rsidRPr="00E17AA6">
        <w:rPr>
          <w:lang w:val="en-GB"/>
        </w:rPr>
        <w:t>,</w:t>
      </w:r>
      <w:r w:rsidRPr="005D4B59">
        <w:rPr>
          <w:rStyle w:val="FootnoteReference"/>
        </w:rPr>
        <w:footnoteReference w:id="281"/>
      </w:r>
      <w:r w:rsidRPr="005D4B59">
        <w:rPr>
          <w:lang w:val="en-GB"/>
        </w:rPr>
        <w:t xml:space="preserve"> which we discuss below. </w:t>
      </w:r>
    </w:p>
    <w:p w14:paraId="013AF510" w14:textId="77777777" w:rsidR="00F37091" w:rsidRPr="00363E1A" w:rsidRDefault="00F37091" w:rsidP="00F37091">
      <w:pPr>
        <w:pStyle w:val="Heading4"/>
        <w:rPr>
          <w:iCs/>
        </w:rPr>
      </w:pPr>
      <w:r>
        <w:t xml:space="preserve">Developments in Australia: </w:t>
      </w:r>
      <w:r w:rsidRPr="00CB6CF7">
        <w:t>Nguyen v R</w:t>
      </w:r>
    </w:p>
    <w:p w14:paraId="4DD827A0" w14:textId="77777777" w:rsidR="00F37091" w:rsidRDefault="00F37091" w:rsidP="00F37091">
      <w:pPr>
        <w:pStyle w:val="BodyText"/>
      </w:pPr>
      <w:r>
        <w:t xml:space="preserve">The admissibility of defendants’ mixed statements was addressed by the High Court of Australia in </w:t>
      </w:r>
      <w:r>
        <w:rPr>
          <w:i/>
          <w:iCs/>
        </w:rPr>
        <w:t xml:space="preserve">Nguyen v R. </w:t>
      </w:r>
      <w:r>
        <w:t xml:space="preserve">The case concerned the admissibility of the defendant’s police interview, which raised the issue of self-defence. The prosecutor decided not to offer any part of the statement in evidence for tactical reasons. The Northern Territory legislation at issue permitted the admission of mixed statements but did not address whether the prosecution was </w:t>
      </w:r>
      <w:r w:rsidRPr="002C394A">
        <w:t>required</w:t>
      </w:r>
      <w:r>
        <w:rPr>
          <w:i/>
          <w:iCs/>
        </w:rPr>
        <w:t xml:space="preserve"> </w:t>
      </w:r>
      <w:r>
        <w:t>to admit them.</w:t>
      </w:r>
      <w:r>
        <w:rPr>
          <w:rStyle w:val="FootnoteReference"/>
        </w:rPr>
        <w:footnoteReference w:id="282"/>
      </w:r>
    </w:p>
    <w:p w14:paraId="78750388" w14:textId="6B710551" w:rsidR="00F37091" w:rsidRDefault="00F37091" w:rsidP="00F37091">
      <w:pPr>
        <w:pStyle w:val="BodyText"/>
      </w:pPr>
      <w:r>
        <w:t xml:space="preserve">The majority considered that a prosecutor’s failure to </w:t>
      </w:r>
      <w:r w:rsidR="007904E2">
        <w:t>offer</w:t>
      </w:r>
      <w:r>
        <w:t xml:space="preserve"> a mixed statement in evidence could create unfairness by encouraging </w:t>
      </w:r>
      <w:r w:rsidR="007904E2">
        <w:t>the fact-finder</w:t>
      </w:r>
      <w:r>
        <w:t xml:space="preserve"> to speculate about whether the defendant had provided an account of their actions when challenged by police.</w:t>
      </w:r>
      <w:r>
        <w:rPr>
          <w:rStyle w:val="FootnoteReference"/>
        </w:rPr>
        <w:footnoteReference w:id="283"/>
      </w:r>
      <w:r>
        <w:t xml:space="preserve"> They therefore found that statements to investigating officers containing both inculpatory and exculpatory aspects should be tendered in evidence unless there is good reason not to do so (for example, where the defendant has refused to comment</w:t>
      </w:r>
      <w:r>
        <w:rPr>
          <w:rStyle w:val="FootnoteReference"/>
        </w:rPr>
        <w:footnoteReference w:id="284"/>
      </w:r>
      <w:r>
        <w:t xml:space="preserve"> or in rare cases where the reliability or credibility of the evidence is demonstrably lacking</w:t>
      </w:r>
      <w:r>
        <w:rPr>
          <w:rStyle w:val="FootnoteReference"/>
        </w:rPr>
        <w:footnoteReference w:id="285"/>
      </w:r>
      <w:r>
        <w:t xml:space="preserve">). They said it was </w:t>
      </w:r>
      <w:r>
        <w:lastRenderedPageBreak/>
        <w:t>inappropriate for prosecutors to decline to admit such statements for tactical reasons, such as to force the defendant to give evidence.</w:t>
      </w:r>
      <w:r>
        <w:rPr>
          <w:rStyle w:val="FootnoteReference"/>
        </w:rPr>
        <w:footnoteReference w:id="286"/>
      </w:r>
      <w:r>
        <w:t xml:space="preserve"> The lower Court’s decision that the prosecutor did not need to tender the statement was set aside.</w:t>
      </w:r>
    </w:p>
    <w:p w14:paraId="3C157EFA" w14:textId="581B998D" w:rsidR="00F37091" w:rsidRDefault="00F37091" w:rsidP="00F37091">
      <w:pPr>
        <w:pStyle w:val="BodyText"/>
      </w:pPr>
      <w:r>
        <w:rPr>
          <w:i/>
          <w:iCs/>
        </w:rPr>
        <w:t xml:space="preserve">Nguyen </w:t>
      </w:r>
      <w:r>
        <w:t xml:space="preserve">only addressed mixed statements in police interviews because of the factual and statutory context. However, it is notable that the prosecutor was not seeking to rely on any part of the statement (unlike in </w:t>
      </w:r>
      <w:r>
        <w:rPr>
          <w:i/>
          <w:iCs/>
        </w:rPr>
        <w:t>Felise</w:t>
      </w:r>
      <w:r>
        <w:t xml:space="preserve">). The majority’s reasoning did not turn on unfairness associated with allowing the prosecution to offer parts of the statement and not others. Rather, it reflected a general concern to ensure that all available, cogent and admissible evidence is placed before the </w:t>
      </w:r>
      <w:r w:rsidR="00AC32DB">
        <w:t>fact-finder</w:t>
      </w:r>
      <w:r>
        <w:rPr>
          <w:rStyle w:val="FootnoteReference"/>
        </w:rPr>
        <w:footnoteReference w:id="287"/>
      </w:r>
      <w:r>
        <w:t xml:space="preserve"> and to avoid unfairness to the defendant.</w:t>
      </w:r>
      <w:r>
        <w:rPr>
          <w:rStyle w:val="FootnoteReference"/>
        </w:rPr>
        <w:footnoteReference w:id="288"/>
      </w:r>
      <w:r>
        <w:t xml:space="preserve"> Similar reasoning could arguably apply to wholly exculpatory statements, although the Court did not consider that point.</w:t>
      </w:r>
    </w:p>
    <w:p w14:paraId="1FB51F5A" w14:textId="77777777" w:rsidR="00F37091" w:rsidRDefault="00F37091" w:rsidP="00F37091">
      <w:pPr>
        <w:pStyle w:val="Heading3"/>
      </w:pPr>
      <w:r>
        <w:t>Is legislative reform necessary or desirable?</w:t>
      </w:r>
    </w:p>
    <w:p w14:paraId="02809412" w14:textId="4BD22E8D" w:rsidR="00F37091" w:rsidRDefault="00F37091" w:rsidP="00F37091">
      <w:pPr>
        <w:pStyle w:val="BodyText"/>
      </w:pPr>
      <w:r>
        <w:t xml:space="preserve">We seek feedback on whether sections 21 and 27, combined with the case law requiring prosecutors to </w:t>
      </w:r>
      <w:r w:rsidR="00914135">
        <w:t>offer</w:t>
      </w:r>
      <w:r>
        <w:t xml:space="preserve"> defendants’ statements in certain circumstances, are causing problems in practice. We are particularly interested in views on: </w:t>
      </w:r>
    </w:p>
    <w:p w14:paraId="19BD17E3" w14:textId="62E0D496" w:rsidR="00F37091" w:rsidRDefault="00F37091" w:rsidP="00866891">
      <w:pPr>
        <w:pStyle w:val="BodyTextnonum"/>
        <w:numPr>
          <w:ilvl w:val="3"/>
          <w:numId w:val="28"/>
        </w:numPr>
      </w:pPr>
      <w:r>
        <w:t xml:space="preserve">whether there are inconsistent approaches by prosecutors and/or uncertainty among counsel regarding when defendants’ mixed or exculpatory statements should be </w:t>
      </w:r>
      <w:r w:rsidR="00914135">
        <w:t>offered</w:t>
      </w:r>
      <w:r>
        <w:t>; and</w:t>
      </w:r>
    </w:p>
    <w:p w14:paraId="064A0C6E" w14:textId="54065A35" w:rsidR="00F37091" w:rsidRDefault="00F37091" w:rsidP="00866891">
      <w:pPr>
        <w:pStyle w:val="BodyTextnonum"/>
        <w:numPr>
          <w:ilvl w:val="3"/>
          <w:numId w:val="28"/>
        </w:numPr>
      </w:pPr>
      <w:r>
        <w:t xml:space="preserve">whether (and in what circumstances) failure to </w:t>
      </w:r>
      <w:r w:rsidR="00914135">
        <w:t>offer</w:t>
      </w:r>
      <w:r>
        <w:t xml:space="preserve"> such statements may be causing unfairness to defendants or contributing to miscarriages of justice.</w:t>
      </w:r>
    </w:p>
    <w:p w14:paraId="61CB7B7A" w14:textId="77777777" w:rsidR="00F37091" w:rsidRDefault="00F37091" w:rsidP="00F37091">
      <w:pPr>
        <w:pStyle w:val="BodyText"/>
      </w:pPr>
      <w:r>
        <w:t>If</w:t>
      </w:r>
      <w:r w:rsidDel="00601D69">
        <w:t xml:space="preserve"> </w:t>
      </w:r>
      <w:r>
        <w:t>the current approach is causing problems in practice, we invite submissions on how that should be addressed.</w:t>
      </w:r>
    </w:p>
    <w:p w14:paraId="564CD4E8" w14:textId="77777777" w:rsidR="00F37091" w:rsidRDefault="00F37091" w:rsidP="00F37091">
      <w:pPr>
        <w:pStyle w:val="Heading4"/>
      </w:pPr>
      <w:r>
        <w:t xml:space="preserve">Inconsistency in prosecution practices </w:t>
      </w:r>
    </w:p>
    <w:p w14:paraId="5C909D19" w14:textId="2A3DF3AC" w:rsidR="00F37091" w:rsidRDefault="00F37091" w:rsidP="00F37091">
      <w:pPr>
        <w:pStyle w:val="BodyText"/>
      </w:pPr>
      <w:r>
        <w:t>Case law establishes that</w:t>
      </w:r>
      <w:r w:rsidR="001E0688">
        <w:t>,</w:t>
      </w:r>
      <w:r>
        <w:t xml:space="preserve"> if the prosecution wishes to rely on parts of a mixed statement, the statement should generally be </w:t>
      </w:r>
      <w:r w:rsidR="005758CA">
        <w:t>offered</w:t>
      </w:r>
      <w:r>
        <w:t xml:space="preserve"> in its entirety. Despite this, the matter continues to be argued in court. This may suggest there is uncertainty among counsel. The courts have not generally required the prosecution to </w:t>
      </w:r>
      <w:r w:rsidR="0034265A">
        <w:t>offer</w:t>
      </w:r>
      <w:r>
        <w:t xml:space="preserve"> wholly exculpatory statements, but we were told prosecutors sometimes choose to do so as a matter of discretion. This may be resulting in inconsistent approaches and regional variation.</w:t>
      </w:r>
    </w:p>
    <w:p w14:paraId="32E7B999" w14:textId="01CC7816" w:rsidR="00F37091" w:rsidRDefault="00F37091" w:rsidP="00F37091">
      <w:pPr>
        <w:pStyle w:val="BodyText"/>
      </w:pPr>
      <w:r>
        <w:t>If the law is considered sufficiently clear but there is an issue with inconsistency in prosecution practice, legislative reform may not be necessary to address this. For example, prosecution guidelines could specify when prosecutors should offer in evidence (or consider offering) mixed or wholly exculpatory statements. Since prosecutors are not generally required to</w:t>
      </w:r>
      <w:r w:rsidR="0034265A">
        <w:t xml:space="preserve"> offer</w:t>
      </w:r>
      <w:r>
        <w:t xml:space="preserve"> wholly exculpatory statements, guidelines may be more appropriate than legislative amendment to ensure a consistent approach.</w:t>
      </w:r>
      <w:r>
        <w:rPr>
          <w:rStyle w:val="FootnoteReference"/>
        </w:rPr>
        <w:footnoteReference w:id="289"/>
      </w:r>
    </w:p>
    <w:p w14:paraId="7EC80389" w14:textId="17100FC9" w:rsidR="00F37091" w:rsidRDefault="00F37091" w:rsidP="00F37091">
      <w:pPr>
        <w:pStyle w:val="BodyText"/>
      </w:pPr>
      <w:r>
        <w:lastRenderedPageBreak/>
        <w:t>Alternatively</w:t>
      </w:r>
      <w:r w:rsidR="00890145">
        <w:t xml:space="preserve">, </w:t>
      </w:r>
      <w:r>
        <w:t>or in addition</w:t>
      </w:r>
      <w:r w:rsidR="00890145">
        <w:t>,</w:t>
      </w:r>
      <w:r>
        <w:t xml:space="preserve"> the Act could be amended to require mixed statements relied on by the prosecution to be</w:t>
      </w:r>
      <w:r w:rsidR="0087090F">
        <w:t xml:space="preserve"> offered</w:t>
      </w:r>
      <w:r>
        <w:t xml:space="preserve"> in their entirety to avoid further unnecessary litigation on this issue. This would reflect the well-settled approach in the case law.</w:t>
      </w:r>
    </w:p>
    <w:p w14:paraId="5A3CA09E" w14:textId="77777777" w:rsidR="00F37091" w:rsidRDefault="00F37091" w:rsidP="00F37091">
      <w:pPr>
        <w:pStyle w:val="Heading4"/>
      </w:pPr>
      <w:r>
        <w:t>Unfairness to defendants</w:t>
      </w:r>
    </w:p>
    <w:p w14:paraId="62EAC55B" w14:textId="0ABF3C7A" w:rsidR="00F37091" w:rsidRDefault="00F37091" w:rsidP="00F37091">
      <w:pPr>
        <w:pStyle w:val="BodyText"/>
      </w:pPr>
      <w:r>
        <w:t xml:space="preserve">Commentator Bernard Robertson has argued in support of the reasoning in </w:t>
      </w:r>
      <w:r>
        <w:rPr>
          <w:i/>
          <w:iCs/>
        </w:rPr>
        <w:t>Nguyen</w:t>
      </w:r>
      <w:r>
        <w:t>.</w:t>
      </w:r>
      <w:r>
        <w:rPr>
          <w:rStyle w:val="FootnoteReference"/>
        </w:rPr>
        <w:footnoteReference w:id="290"/>
      </w:r>
      <w:r>
        <w:t xml:space="preserve"> He suggests prosecutors should be required to </w:t>
      </w:r>
      <w:r w:rsidR="00F47041">
        <w:t>offer</w:t>
      </w:r>
      <w:r>
        <w:t xml:space="preserve"> defendants’ statements to police as a matter of course unless there is good reason not to or the parties agree otherwise. Defence counsel made similar comments to us </w:t>
      </w:r>
      <w:r w:rsidR="0014076A">
        <w:t>through preliminary feedback</w:t>
      </w:r>
      <w:r>
        <w:t xml:space="preserve">, emphasising the relevance of formal statements to the matters in issue and the risk that the </w:t>
      </w:r>
      <w:r w:rsidR="00F47041">
        <w:t>fact-finder</w:t>
      </w:r>
      <w:r>
        <w:t xml:space="preserve"> will draw adverse inferences if they believe the defendant has not made a statement.</w:t>
      </w:r>
    </w:p>
    <w:p w14:paraId="63A22CD7" w14:textId="2AA09F91" w:rsidR="00F37091" w:rsidRDefault="00F37091" w:rsidP="00F37091">
      <w:pPr>
        <w:pStyle w:val="BodyText"/>
      </w:pPr>
      <w:r>
        <w:t xml:space="preserve">The policy behind section 21 is that defendants should not be able to rely on hearsay to place a factual scenario before the </w:t>
      </w:r>
      <w:r w:rsidR="00F47041">
        <w:t>fact-finder</w:t>
      </w:r>
      <w:r>
        <w:t xml:space="preserve"> rather than giving evidence at trial and facing cross-examination.</w:t>
      </w:r>
      <w:r>
        <w:rPr>
          <w:rStyle w:val="FootnoteReference"/>
        </w:rPr>
        <w:footnoteReference w:id="291"/>
      </w:r>
      <w:r>
        <w:t xml:space="preserve"> The contrary argument is that, as the majority of the High Court of Australia found in </w:t>
      </w:r>
      <w:r>
        <w:rPr>
          <w:i/>
          <w:iCs/>
        </w:rPr>
        <w:t>Nguyen</w:t>
      </w:r>
      <w:r>
        <w:t xml:space="preserve">, failure to place all relevant evidence before a </w:t>
      </w:r>
      <w:r w:rsidR="00605B93">
        <w:t>fact-finder</w:t>
      </w:r>
      <w:r>
        <w:t xml:space="preserve"> (including exculpatory statements) may result in unfairness. For example, the </w:t>
      </w:r>
      <w:r w:rsidR="00605B93">
        <w:t xml:space="preserve">fact-finder </w:t>
      </w:r>
      <w:r>
        <w:t>may presume the defendant has not made a statement maintaining their innocence and draw adverse inferences from that,</w:t>
      </w:r>
      <w:r>
        <w:rPr>
          <w:rStyle w:val="FootnoteReference"/>
        </w:rPr>
        <w:footnoteReference w:id="292"/>
      </w:r>
      <w:r>
        <w:t xml:space="preserve"> or the defendant may be unable to present an effective defence unless they give evidence at trial (which they may elect not to do for a variety of reasons).</w:t>
      </w:r>
    </w:p>
    <w:p w14:paraId="5F9F2CD0" w14:textId="77777777" w:rsidR="00F37091" w:rsidRDefault="00F37091" w:rsidP="00F37091">
      <w:pPr>
        <w:pStyle w:val="BodyText"/>
      </w:pPr>
      <w:r>
        <w:t>If there is widespread concern that the policy approach in New Zealand is causing unfairness, legislative reform could be considered. For example, the Act could be amended to:</w:t>
      </w:r>
    </w:p>
    <w:p w14:paraId="7887194D" w14:textId="77777777" w:rsidR="00F37091" w:rsidRDefault="00F37091" w:rsidP="00866891">
      <w:pPr>
        <w:pStyle w:val="BodyTextnonum"/>
        <w:numPr>
          <w:ilvl w:val="3"/>
          <w:numId w:val="28"/>
        </w:numPr>
      </w:pPr>
      <w:r>
        <w:t>give the court discretion to admit a defendant’s statement where it is necessary to avoid unfairness; and/or</w:t>
      </w:r>
    </w:p>
    <w:p w14:paraId="71E294D5" w14:textId="77777777" w:rsidR="00F37091" w:rsidRDefault="00F37091" w:rsidP="00866891">
      <w:pPr>
        <w:pStyle w:val="BodyTextnonum"/>
        <w:numPr>
          <w:ilvl w:val="3"/>
          <w:numId w:val="28"/>
        </w:numPr>
      </w:pPr>
      <w:r>
        <w:t>make defendants’ statements in response to official questioning admissible as a matter of course.</w:t>
      </w:r>
    </w:p>
    <w:p w14:paraId="1C74A4F2" w14:textId="59F5E237" w:rsidR="00F37091" w:rsidRDefault="00F37091" w:rsidP="00F37091">
      <w:pPr>
        <w:pStyle w:val="BodyText"/>
        <w:tabs>
          <w:tab w:val="num" w:pos="709"/>
        </w:tabs>
      </w:pPr>
      <w:r>
        <w:t xml:space="preserve">Any such amendment would, however, allow a defendant (in certain circumstances) to put their own version of events before the </w:t>
      </w:r>
      <w:r w:rsidR="00605B93">
        <w:t>fact-finder</w:t>
      </w:r>
      <w:r>
        <w:t xml:space="preserve"> without having to submit to cross-examination. That may be considered unfair to complainants and other prosecution witnesses who are subject to cross-examination and contrary to the overall interests of justice. It could also, potentially, act as a disincentive for defendants to give evidence. These considerations must be balanced against any potential unfairness to defendants when deciding whether a policy change is justified.</w:t>
      </w:r>
    </w:p>
    <w:p w14:paraId="41E88B3D" w14:textId="2F64949E" w:rsidR="00F37091" w:rsidRDefault="00F37091" w:rsidP="00F37091">
      <w:pPr>
        <w:pStyle w:val="BodyText"/>
        <w:tabs>
          <w:tab w:val="num" w:pos="709"/>
        </w:tabs>
      </w:pPr>
      <w:r>
        <w:lastRenderedPageBreak/>
        <w:t>Allowing more defendants’ statements to be admitted could also increase the number of cases where defendants put their veracity in issue or challenge the veracity of a prosecution witness (through an out-of-court statement) without opening the door to challenges to their own veracity.</w:t>
      </w:r>
      <w:r>
        <w:rPr>
          <w:rStyle w:val="FootnoteReference"/>
        </w:rPr>
        <w:footnoteReference w:id="293"/>
      </w:r>
      <w:r>
        <w:t xml:space="preserve"> We discuss that issue and possible amendments to address it in </w:t>
      </w:r>
      <w:r w:rsidRPr="00795CFD">
        <w:t xml:space="preserve">Chapter </w:t>
      </w:r>
      <w:r w:rsidR="009B4FCD">
        <w:t>9</w:t>
      </w:r>
      <w:r>
        <w:t>.</w:t>
      </w:r>
    </w:p>
    <w:p w14:paraId="11328D43" w14:textId="17FB7823" w:rsidR="00F37091" w:rsidRDefault="005C39B9" w:rsidP="00F37091">
      <w:pPr>
        <w:pStyle w:val="BodyText"/>
        <w:tabs>
          <w:tab w:val="num" w:pos="709"/>
        </w:tabs>
      </w:pPr>
      <w:r>
        <w:rPr>
          <w:noProof/>
        </w:rPr>
        <mc:AlternateContent>
          <mc:Choice Requires="wpg">
            <w:drawing>
              <wp:anchor distT="0" distB="0" distL="114300" distR="114300" simplePos="0" relativeHeight="251658286" behindDoc="1" locked="0" layoutInCell="1" allowOverlap="1" wp14:anchorId="6F901C22" wp14:editId="14319EA0">
                <wp:simplePos x="0" y="0"/>
                <wp:positionH relativeFrom="column">
                  <wp:posOffset>0</wp:posOffset>
                </wp:positionH>
                <wp:positionV relativeFrom="paragraph">
                  <wp:posOffset>617077</wp:posOffset>
                </wp:positionV>
                <wp:extent cx="5760085" cy="1070610"/>
                <wp:effectExtent l="0" t="0" r="0" b="0"/>
                <wp:wrapNone/>
                <wp:docPr id="528" name="Group 528" descr="Question"/>
                <wp:cNvGraphicFramePr/>
                <a:graphic xmlns:a="http://schemas.openxmlformats.org/drawingml/2006/main">
                  <a:graphicData uri="http://schemas.microsoft.com/office/word/2010/wordprocessingGroup">
                    <wpg:wgp>
                      <wpg:cNvGrpSpPr/>
                      <wpg:grpSpPr>
                        <a:xfrm>
                          <a:off x="0" y="0"/>
                          <a:ext cx="5760085" cy="1070610"/>
                          <a:chOff x="0" y="62865"/>
                          <a:chExt cx="5760085" cy="1071786"/>
                        </a:xfrm>
                      </wpg:grpSpPr>
                      <wps:wsp>
                        <wps:cNvPr id="52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86BC71" w14:textId="77777777" w:rsidR="005C39B9" w:rsidRDefault="005C39B9" w:rsidP="005C39B9">
                              <w:pPr>
                                <w:pStyle w:val="BoxTitle"/>
                                <w:spacing w:before="0" w:beforeAutospacing="0"/>
                              </w:pPr>
                              <w:r w:rsidRPr="007F6876">
                                <w:t>QUESTION</w:t>
                              </w:r>
                            </w:p>
                          </w:txbxContent>
                        </wps:txbx>
                        <wps:bodyPr rot="0" vert="horz" wrap="square" lIns="91440" tIns="0" rIns="0" bIns="45720" anchor="ctr" anchorCtr="0" upright="1">
                          <a:noAutofit/>
                        </wps:bodyPr>
                      </wps:wsp>
                      <wpg:grpSp>
                        <wpg:cNvPr id="530" name="Group 53"/>
                        <wpg:cNvGrpSpPr>
                          <a:grpSpLocks/>
                        </wpg:cNvGrpSpPr>
                        <wpg:grpSpPr bwMode="auto">
                          <a:xfrm>
                            <a:off x="0" y="316077"/>
                            <a:ext cx="5760085" cy="818574"/>
                            <a:chOff x="1837" y="1790"/>
                            <a:chExt cx="9302" cy="8842"/>
                          </a:xfrm>
                        </wpg:grpSpPr>
                        <wps:wsp>
                          <wps:cNvPr id="531" name="Freeform 54"/>
                          <wps:cNvSpPr>
                            <a:spLocks/>
                          </wps:cNvSpPr>
                          <wps:spPr bwMode="auto">
                            <a:xfrm>
                              <a:off x="1837" y="1790"/>
                              <a:ext cx="9302" cy="884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32"/>
                        <wpg:cNvGrpSpPr/>
                        <wpg:grpSpPr>
                          <a:xfrm>
                            <a:off x="0" y="494036"/>
                            <a:ext cx="1443794" cy="252000"/>
                            <a:chOff x="-15880" y="0"/>
                            <a:chExt cx="1444379" cy="252068"/>
                          </a:xfrm>
                        </wpg:grpSpPr>
                        <wps:wsp>
                          <wps:cNvPr id="53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F83723" w14:textId="77777777" w:rsidR="005C39B9" w:rsidRPr="00E90B8A" w:rsidRDefault="005C39B9" w:rsidP="005C39B9">
                                <w:pPr>
                                  <w:pStyle w:val="BoxTitle"/>
                                  <w:spacing w:before="0" w:beforeAutospacing="0"/>
                                  <w:rPr>
                                    <w:sz w:val="18"/>
                                    <w:szCs w:val="18"/>
                                  </w:rPr>
                                </w:pPr>
                                <w:r w:rsidRPr="00E90B8A">
                                  <w:rPr>
                                    <w:sz w:val="18"/>
                                    <w:szCs w:val="18"/>
                                  </w:rPr>
                                  <w:t>Q</w:t>
                                </w:r>
                                <w:r>
                                  <w:rPr>
                                    <w:sz w:val="18"/>
                                    <w:szCs w:val="18"/>
                                  </w:rPr>
                                  <w:t>10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F901C22" id="Group 528" o:spid="_x0000_s1098" alt="Question" style="position:absolute;left:0;text-align:left;margin-left:0;margin-top:48.6pt;width:453.55pt;height:84.3pt;z-index:-251658194;mso-height-relative:margin" coordorigin=",628" coordsize="57600,1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">
                <v:shape id="Freeform 52" o:spid="_x0000_s109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186BC71" w14:textId="77777777" w:rsidR="005C39B9" w:rsidRDefault="005C39B9" w:rsidP="005C39B9">
                        <w:pPr>
                          <w:pStyle w:val="BoxTitle"/>
                          <w:spacing w:before="0" w:beforeAutospacing="0"/>
                        </w:pPr>
                        <w:r w:rsidRPr="007F6876">
                          <w:t>QUESTION</w:t>
                        </w:r>
                      </w:p>
                    </w:txbxContent>
                  </v:textbox>
                </v:shape>
                <v:group id="Group 53" o:spid="_x0000_s1100" style="position:absolute;top:3160;width:57600;height:8186" coordorigin="1837,1790" coordsize="930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4" o:spid="_x0000_s1101" style="position:absolute;left:1837;top:1790;width:9302;height:884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" path="m,l9354,r,7809l,7809,,e" fillcolor="#edf2ea" stroked="f">
                    <v:path arrowok="t" o:connecttype="custom" o:connectlocs="0,1132;9302,1132;9302,9974;0,9974;0,1132" o:connectangles="0,0,0,0,0"/>
                  </v:shape>
                </v:group>
                <v:group id="Group 532" o:spid="_x0000_s110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8" o:spid="_x0000_s110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" path="m,l1815,e" filled="f" strokecolor="#72ab6a" strokeweight=".5pt">
                    <v:path arrowok="t" o:connecttype="custom" o:connectlocs="0,0;1073495,0" o:connectangles="0,0"/>
                  </v:shape>
                  <v:shape id="Freeform 66" o:spid="_x0000_s110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8F83723" w14:textId="77777777" w:rsidR="005C39B9" w:rsidRPr="00E90B8A" w:rsidRDefault="005C39B9" w:rsidP="005C39B9">
                          <w:pPr>
                            <w:pStyle w:val="BoxTitle"/>
                            <w:spacing w:before="0" w:beforeAutospacing="0"/>
                            <w:rPr>
                              <w:sz w:val="18"/>
                              <w:szCs w:val="18"/>
                            </w:rPr>
                          </w:pPr>
                          <w:r w:rsidRPr="00E90B8A">
                            <w:rPr>
                              <w:sz w:val="18"/>
                              <w:szCs w:val="18"/>
                            </w:rPr>
                            <w:t>Q</w:t>
                          </w:r>
                          <w:r>
                            <w:rPr>
                              <w:sz w:val="18"/>
                              <w:szCs w:val="18"/>
                            </w:rPr>
                            <w:t>10</w:t>
                          </w:r>
                        </w:p>
                      </w:txbxContent>
                    </v:textbox>
                  </v:shape>
                </v:group>
              </v:group>
            </w:pict>
          </mc:Fallback>
        </mc:AlternateContent>
      </w:r>
      <w:r w:rsidR="00F37091">
        <w:t>We note that, if the Act was amended in the manner described above, amendments to section 35 (previous consistent statements rule) may be required to reflect the same policy approach when the defendant gives evidence at trial.</w:t>
      </w:r>
    </w:p>
    <w:p w14:paraId="7874D2CA" w14:textId="3DC3B4CA" w:rsidR="005C39B9" w:rsidRDefault="005C39B9" w:rsidP="005C39B9"/>
    <w:p w14:paraId="36B32BC8" w14:textId="77777777" w:rsidR="005C39B9" w:rsidRDefault="005C39B9" w:rsidP="005C39B9">
      <w:pPr>
        <w:pStyle w:val="ListNumber"/>
        <w:numPr>
          <w:ilvl w:val="0"/>
          <w:numId w:val="0"/>
        </w:numPr>
        <w:ind w:left="360" w:hanging="360"/>
      </w:pPr>
    </w:p>
    <w:p w14:paraId="12A35912" w14:textId="77777777" w:rsidR="005C39B9" w:rsidRDefault="005C39B9" w:rsidP="005C39B9">
      <w:pPr>
        <w:pStyle w:val="QuestionBox"/>
      </w:pPr>
      <w:r>
        <w:t>Is the current approach to defendants’ mixed or exculpatory statements causing problems in practice? If so, how should this be addressed?</w:t>
      </w:r>
    </w:p>
    <w:p w14:paraId="3D971C9D" w14:textId="77777777" w:rsidR="005C39B9" w:rsidRDefault="005C39B9" w:rsidP="005C39B9">
      <w:pPr>
        <w:pStyle w:val="BodyText"/>
        <w:numPr>
          <w:ilvl w:val="0"/>
          <w:numId w:val="0"/>
        </w:numPr>
        <w:tabs>
          <w:tab w:val="clear" w:pos="709"/>
        </w:tabs>
      </w:pPr>
    </w:p>
    <w:p w14:paraId="59717426" w14:textId="77777777" w:rsidR="00F37091" w:rsidRPr="001E0948" w:rsidRDefault="00F37091" w:rsidP="00F37091">
      <w:pPr>
        <w:pStyle w:val="Heading2"/>
      </w:pPr>
      <w:bookmarkStart w:id="79" w:name="_Toc126330114"/>
      <w:bookmarkStart w:id="80" w:name="_Toc132962554"/>
      <w:r>
        <w:t>Defendants’ statements contained in hearsay</w:t>
      </w:r>
      <w:bookmarkEnd w:id="79"/>
      <w:bookmarkEnd w:id="80"/>
      <w:r>
        <w:t xml:space="preserve"> </w:t>
      </w:r>
    </w:p>
    <w:p w14:paraId="7081A899" w14:textId="675EA3CC" w:rsidR="00F37091" w:rsidRDefault="00F37091" w:rsidP="00F37091">
      <w:pPr>
        <w:pStyle w:val="BodyText"/>
      </w:pPr>
      <w:r>
        <w:t>Section 27(3) states that the hearsay rules do not apply to defendants’ statements offered by the prosecution in a criminal proceeding. This allows the prosecution to offer evidence of statements made by the defendant out</w:t>
      </w:r>
      <w:r w:rsidR="0064364F">
        <w:t>-</w:t>
      </w:r>
      <w:r>
        <w:t>of</w:t>
      </w:r>
      <w:r w:rsidR="0064364F">
        <w:t>-</w:t>
      </w:r>
      <w:r>
        <w:t xml:space="preserve">court (such as a written or video statement made to </w:t>
      </w:r>
      <w:r w:rsidR="008A58B6">
        <w:t>p</w:t>
      </w:r>
      <w:r>
        <w:t>olice or a statement allegedly made by the defendant to a prosecution witness) without having to establish that the exception to the rule against hearsay in section 18 applies. Under section 18, hearsay statements are only admissible if the circumstances relating to the statement “provide reasonable assurance that the statement is reliable”.</w:t>
      </w:r>
      <w:r>
        <w:rPr>
          <w:rStyle w:val="FootnoteReference"/>
        </w:rPr>
        <w:footnoteReference w:id="294"/>
      </w:r>
    </w:p>
    <w:p w14:paraId="392DEAC5" w14:textId="77777777" w:rsidR="00F37091" w:rsidRDefault="00F37091" w:rsidP="00F37091">
      <w:pPr>
        <w:pStyle w:val="Heading3"/>
      </w:pPr>
      <w:r>
        <w:t>What is the issue?</w:t>
      </w:r>
    </w:p>
    <w:p w14:paraId="319464B4" w14:textId="38002816" w:rsidR="00F37091" w:rsidRDefault="00F37091" w:rsidP="00F37091">
      <w:pPr>
        <w:pStyle w:val="BodyText"/>
      </w:pPr>
      <w:r w:rsidRPr="00BF5CF2">
        <w:t>It is</w:t>
      </w:r>
      <w:r>
        <w:t xml:space="preserve"> </w:t>
      </w:r>
      <w:r w:rsidRPr="00BF5CF2">
        <w:t>unclear how section 27(3) was intended to operate when a defendant’s statement is contained within a hearsay statement. This is sometimes referred to as “double hearsay” or “second-hand hearsay” because both the maker of the statement (the defendant) and the person with first-hand knowledge of that statement are unavailable as witnesses.</w:t>
      </w:r>
    </w:p>
    <w:p w14:paraId="24E81EC4" w14:textId="6594050A" w:rsidR="00F37091" w:rsidRDefault="00F37091" w:rsidP="00F37091">
      <w:pPr>
        <w:pStyle w:val="BodyText"/>
      </w:pPr>
      <w:r>
        <w:t>This issue arose in the Red Fox Tavern case, with the High Court and Court of Appeal reaching different views. In 1987, the Red Fox Tavern was robbed at gun point and its publican was shot dead. Thirty years later, t</w:t>
      </w:r>
      <w:r w:rsidRPr="00D34AD4">
        <w:t>wo people were charged with the robbery and murder</w:t>
      </w:r>
      <w:r>
        <w:t xml:space="preserve">. Several evidential issues had to be resolved pre-trial, including the admissibility of statements given by two people to police </w:t>
      </w:r>
      <w:r w:rsidR="0061603D">
        <w:t>that</w:t>
      </w:r>
      <w:r>
        <w:t xml:space="preserve"> recounted various admissions by, or conversations with, the defendants around the time of the robbery.</w:t>
      </w:r>
      <w:r>
        <w:rPr>
          <w:rStyle w:val="FootnoteReference"/>
        </w:rPr>
        <w:footnoteReference w:id="295"/>
      </w:r>
      <w:r>
        <w:t xml:space="preserve"> These two people had died since the robbery, so the statements were hearsay.</w:t>
      </w:r>
      <w:r>
        <w:rPr>
          <w:rStyle w:val="FootnoteReference"/>
        </w:rPr>
        <w:footnoteReference w:id="296"/>
      </w:r>
    </w:p>
    <w:p w14:paraId="77F102B7" w14:textId="77777777" w:rsidR="00F37091" w:rsidRDefault="00F37091" w:rsidP="00F37091">
      <w:pPr>
        <w:pStyle w:val="BodyText"/>
      </w:pPr>
      <w:r>
        <w:lastRenderedPageBreak/>
        <w:t>The High Court determined that the portions of the hearsay statements that contained statements made by the defendants were exempt from the hearsay rules by virtue of section 27(3).</w:t>
      </w:r>
      <w:r>
        <w:rPr>
          <w:rStyle w:val="FootnoteReference"/>
        </w:rPr>
        <w:footnoteReference w:id="297"/>
      </w:r>
    </w:p>
    <w:p w14:paraId="74022B8D" w14:textId="77777777" w:rsidR="00F37091" w:rsidRDefault="00F37091" w:rsidP="00F37091">
      <w:pPr>
        <w:pStyle w:val="BodyText"/>
      </w:pPr>
      <w:r>
        <w:t xml:space="preserve">The Court of Appeal in </w:t>
      </w:r>
      <w:r>
        <w:rPr>
          <w:i/>
          <w:iCs/>
        </w:rPr>
        <w:t xml:space="preserve">R v Hoggart </w:t>
      </w:r>
      <w:r>
        <w:t>reached a different view, that section 27 does not apply to a defendant’s statement contained in a statement that is itself hearsay, and in such cases admissibility should be determined under the general exception to the rule against hearsay in section 18.</w:t>
      </w:r>
      <w:r>
        <w:rPr>
          <w:rStyle w:val="FootnoteReference"/>
        </w:rPr>
        <w:footnoteReference w:id="298"/>
      </w:r>
      <w:r>
        <w:t xml:space="preserve"> </w:t>
      </w:r>
      <w:r w:rsidDel="009620E5">
        <w:t xml:space="preserve">The Court </w:t>
      </w:r>
      <w:r>
        <w:t>observed that:</w:t>
      </w:r>
      <w:r>
        <w:rPr>
          <w:rStyle w:val="FootnoteReference"/>
        </w:rPr>
        <w:footnoteReference w:id="299"/>
      </w:r>
    </w:p>
    <w:p w14:paraId="124DB0D8" w14:textId="77777777" w:rsidR="00F37091" w:rsidRDefault="00F37091" w:rsidP="00F37091">
      <w:pPr>
        <w:pStyle w:val="Quote"/>
      </w:pPr>
      <w:r>
        <w:t xml:space="preserve">[A’s] </w:t>
      </w:r>
      <w:r w:rsidRPr="00C5377D">
        <w:t xml:space="preserve">statement is itself hearsay, being a statement intended to be offered in evidence as proof of its contents, including that W and Mr Hoggart made these statements to him. Because the safeguard of cross-examination is removed, the reliability threshold for the admission of the hearsay statement of </w:t>
      </w:r>
      <w:r>
        <w:t xml:space="preserve">[A] </w:t>
      </w:r>
      <w:r w:rsidRPr="00C5377D">
        <w:t>(as distinct from the defendants) under s 18 must be met.</w:t>
      </w:r>
    </w:p>
    <w:p w14:paraId="4986023E" w14:textId="77777777" w:rsidR="00F37091" w:rsidRDefault="00F37091" w:rsidP="00F37091">
      <w:pPr>
        <w:pStyle w:val="Heading3"/>
      </w:pPr>
      <w:r>
        <w:t>Is legislative reform necessary or desirable?</w:t>
      </w:r>
    </w:p>
    <w:p w14:paraId="3510F212" w14:textId="77777777" w:rsidR="00F37091" w:rsidRDefault="00F37091" w:rsidP="00F37091">
      <w:pPr>
        <w:pStyle w:val="BodyText"/>
      </w:pPr>
      <w:r>
        <w:rPr>
          <w:i/>
          <w:iCs/>
        </w:rPr>
        <w:t xml:space="preserve">Hoggart </w:t>
      </w:r>
      <w:r>
        <w:t>provides appellate authority on how section 27 is to be interpreted in relation to defendants’ statements contained within hearsay statements. The problem that commentators observe, however, is that this interpretation is difficult to reconcile with the plain words of section 27, which state clearly that the hearsay provisions (other than section 22A) do not apply to evidence of a defendant’s statement offered by the prosecution.</w:t>
      </w:r>
      <w:r>
        <w:rPr>
          <w:rStyle w:val="FootnoteReference"/>
        </w:rPr>
        <w:footnoteReference w:id="300"/>
      </w:r>
    </w:p>
    <w:p w14:paraId="66236571" w14:textId="77777777" w:rsidR="00F37091" w:rsidRDefault="00F37091" w:rsidP="00F37091">
      <w:pPr>
        <w:pStyle w:val="BodyText"/>
      </w:pPr>
      <w:r>
        <w:t>There are good policy reasons for not preferring a literal interpretation of section 27 and instead requiring defendants’ statements within hearsay statements to be subject to the hearsay provisions in the Act. It is generally recognised that more specific guarantees of reliability may be needed to justify admitting second-hand hearsay evidence.</w:t>
      </w:r>
      <w:r>
        <w:rPr>
          <w:rStyle w:val="FootnoteReference"/>
        </w:rPr>
        <w:footnoteReference w:id="301"/>
      </w:r>
      <w:r>
        <w:t xml:space="preserve"> In cases of multiple hearsay generally, the courts have observed that they must be concerned with the reliability of each statement in the chain.</w:t>
      </w:r>
      <w:r>
        <w:rPr>
          <w:rStyle w:val="FootnoteReference"/>
        </w:rPr>
        <w:footnoteReference w:id="302"/>
      </w:r>
      <w:r>
        <w:t xml:space="preserve"> This is because of the special significance accorded to cross-examination</w:t>
      </w:r>
      <w:r>
        <w:rPr>
          <w:rStyle w:val="FootnoteReference"/>
        </w:rPr>
        <w:footnoteReference w:id="303"/>
      </w:r>
      <w:r>
        <w:t xml:space="preserve"> and the reliance the adversarial system places on cross-examination as a way of testing the truth of the evidence.</w:t>
      </w:r>
      <w:r>
        <w:rPr>
          <w:rStyle w:val="FootnoteReference"/>
        </w:rPr>
        <w:footnoteReference w:id="304"/>
      </w:r>
      <w:r>
        <w:t xml:space="preserve"> If the person </w:t>
      </w:r>
      <w:r>
        <w:lastRenderedPageBreak/>
        <w:t>with first-hand knowledge of what the defendant said to them is unavailable, then the defendant:</w:t>
      </w:r>
      <w:r>
        <w:rPr>
          <w:rStyle w:val="FootnoteReference"/>
        </w:rPr>
        <w:footnoteReference w:id="305"/>
      </w:r>
    </w:p>
    <w:p w14:paraId="76F79622" w14:textId="77777777" w:rsidR="00F37091" w:rsidRDefault="00F37091" w:rsidP="00F37091">
      <w:pPr>
        <w:pStyle w:val="Quote"/>
      </w:pPr>
      <w:r>
        <w:t>… is denied the opportunity of exposing imperfections of perception, memory, communication and sincerity and challenging the person’s testimonial qualification of first-hand knowledge …</w:t>
      </w:r>
    </w:p>
    <w:p w14:paraId="1347A0BF" w14:textId="77777777" w:rsidR="00F37091" w:rsidRDefault="00F37091" w:rsidP="00F37091">
      <w:pPr>
        <w:pStyle w:val="BodyText"/>
      </w:pPr>
      <w:r>
        <w:t>In light of this, two concerns arise with a literal interpretation of section 27:</w:t>
      </w:r>
    </w:p>
    <w:p w14:paraId="3DEE85BF" w14:textId="77777777" w:rsidR="00F37091" w:rsidRDefault="00F37091" w:rsidP="00866891">
      <w:pPr>
        <w:pStyle w:val="BodyTextnonum"/>
        <w:numPr>
          <w:ilvl w:val="3"/>
          <w:numId w:val="28"/>
        </w:numPr>
      </w:pPr>
      <w:r>
        <w:t>First, if the person who has first-hand knowledge of the defendant’s statement is not available for cross-examination, it is important that the reliability of that statement is assessed. Section 18 provides for this. Section 27 does not. While reliability issues can be considered under section 8 (general exclusion), section 18 has been designed specifically to respond to the inherent concerns with hearsay statements.</w:t>
      </w:r>
    </w:p>
    <w:p w14:paraId="028DB95F" w14:textId="77777777" w:rsidR="00F37091" w:rsidRDefault="00F37091" w:rsidP="00866891">
      <w:pPr>
        <w:pStyle w:val="BodyTextnonum"/>
        <w:numPr>
          <w:ilvl w:val="3"/>
          <w:numId w:val="28"/>
        </w:numPr>
      </w:pPr>
      <w:r>
        <w:t>Second, if section 27 is interpreted as providing an independent route to admit a defendant’s statement contained within a hearsay statement, then the prosecution could offer evidence of a defendant’s statement made to a third party without ever calling that third party to give evidence in court, regardless of whether that witness is unavailable.</w:t>
      </w:r>
      <w:r>
        <w:rPr>
          <w:rStyle w:val="FootnoteReference"/>
        </w:rPr>
        <w:footnoteReference w:id="306"/>
      </w:r>
      <w:r>
        <w:t xml:space="preserve"> This interpretation is clearly at odds with the fair trial rights of the defendant and the principle of orality, upon which the Act is based.</w:t>
      </w:r>
      <w:r>
        <w:rPr>
          <w:rStyle w:val="FootnoteReference"/>
        </w:rPr>
        <w:footnoteReference w:id="307"/>
      </w:r>
    </w:p>
    <w:p w14:paraId="120D21D8" w14:textId="137DC017" w:rsidR="00F37091" w:rsidRDefault="00F37091" w:rsidP="00F37091">
      <w:pPr>
        <w:pStyle w:val="BodyText"/>
      </w:pPr>
      <w:r>
        <w:t>Commentator Bernard Robertson says that this issue seems to have been overlooked and that, if that is the case, it should be corrected by Parliament.</w:t>
      </w:r>
      <w:r>
        <w:rPr>
          <w:rStyle w:val="FootnoteReference"/>
        </w:rPr>
        <w:footnoteReference w:id="308"/>
      </w:r>
      <w:r>
        <w:t xml:space="preserve"> Our review of the policy and legislative history of the Act has not identified any basis for believing the intention was to exempt defendants’ statements within hearsay statements from the hearsay provisions.</w:t>
      </w:r>
      <w:r>
        <w:rPr>
          <w:rStyle w:val="FootnoteReference"/>
        </w:rPr>
        <w:footnoteReference w:id="309"/>
      </w:r>
    </w:p>
    <w:p w14:paraId="1CD81505" w14:textId="77777777" w:rsidR="00F37091" w:rsidRDefault="00F37091" w:rsidP="00F37091">
      <w:pPr>
        <w:pStyle w:val="BodyText"/>
      </w:pPr>
      <w:r>
        <w:t>We seek submissions on whether section</w:t>
      </w:r>
      <w:r>
        <w:rPr>
          <w:rFonts w:ascii="Calibri" w:hAnsi="Calibri" w:cs="Calibri"/>
        </w:rPr>
        <w:t> </w:t>
      </w:r>
      <w:r>
        <w:t xml:space="preserve">27 should be amended to clarify that, when a statement made by a defendant is contained within a hearsay statement, Subpart 1 (hearsay evidence) applies, consistent with the Court of Appeal’s interpretation in </w:t>
      </w:r>
      <w:r>
        <w:rPr>
          <w:i/>
          <w:iCs/>
        </w:rPr>
        <w:t>Hoggart</w:t>
      </w:r>
      <w:r>
        <w:t>.</w:t>
      </w:r>
    </w:p>
    <w:p w14:paraId="0A3B4801" w14:textId="77777777" w:rsidR="005C39B9" w:rsidRDefault="005C39B9" w:rsidP="005C39B9">
      <w:pPr>
        <w:pStyle w:val="BodyText"/>
        <w:numPr>
          <w:ilvl w:val="0"/>
          <w:numId w:val="0"/>
        </w:numPr>
        <w:ind w:left="709"/>
      </w:pPr>
    </w:p>
    <w:p w14:paraId="2DF96829" w14:textId="77777777" w:rsidR="005C39B9" w:rsidRDefault="005C39B9" w:rsidP="005C39B9">
      <w:pPr>
        <w:pStyle w:val="BodyText"/>
        <w:numPr>
          <w:ilvl w:val="0"/>
          <w:numId w:val="0"/>
        </w:numPr>
        <w:ind w:left="709"/>
      </w:pPr>
    </w:p>
    <w:p w14:paraId="149D54A3" w14:textId="77777777" w:rsidR="005C39B9" w:rsidRDefault="005C39B9" w:rsidP="005C39B9">
      <w:pPr>
        <w:pStyle w:val="BodyText"/>
        <w:numPr>
          <w:ilvl w:val="0"/>
          <w:numId w:val="0"/>
        </w:numPr>
        <w:ind w:left="709"/>
      </w:pPr>
    </w:p>
    <w:p w14:paraId="582F3889" w14:textId="728C56FE" w:rsidR="005C39B9" w:rsidRDefault="005C39B9" w:rsidP="005C39B9">
      <w:pPr>
        <w:pStyle w:val="QuestionBox"/>
      </w:pPr>
      <w:r>
        <w:rPr>
          <w:noProof/>
        </w:rPr>
        <w:lastRenderedPageBreak/>
        <mc:AlternateContent>
          <mc:Choice Requires="wpg">
            <w:drawing>
              <wp:anchor distT="0" distB="0" distL="114300" distR="114300" simplePos="0" relativeHeight="251658287" behindDoc="1" locked="0" layoutInCell="1" allowOverlap="1" wp14:anchorId="0CF24E1B" wp14:editId="46AB10CA">
                <wp:simplePos x="0" y="0"/>
                <wp:positionH relativeFrom="column">
                  <wp:posOffset>0</wp:posOffset>
                </wp:positionH>
                <wp:positionV relativeFrom="paragraph">
                  <wp:posOffset>-635</wp:posOffset>
                </wp:positionV>
                <wp:extent cx="5760085" cy="1071161"/>
                <wp:effectExtent l="0" t="0" r="0" b="0"/>
                <wp:wrapNone/>
                <wp:docPr id="301169048" name="Group 301169048" descr="Question"/>
                <wp:cNvGraphicFramePr/>
                <a:graphic xmlns:a="http://schemas.openxmlformats.org/drawingml/2006/main">
                  <a:graphicData uri="http://schemas.microsoft.com/office/word/2010/wordprocessingGroup">
                    <wpg:wgp>
                      <wpg:cNvGrpSpPr/>
                      <wpg:grpSpPr>
                        <a:xfrm>
                          <a:off x="0" y="0"/>
                          <a:ext cx="5760085" cy="1071161"/>
                          <a:chOff x="0" y="62865"/>
                          <a:chExt cx="5760085" cy="1071786"/>
                        </a:xfrm>
                      </wpg:grpSpPr>
                      <wps:wsp>
                        <wps:cNvPr id="51545610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ADFFEE" w14:textId="77777777" w:rsidR="005C39B9" w:rsidRDefault="005C39B9" w:rsidP="005C39B9">
                              <w:pPr>
                                <w:pStyle w:val="BoxTitle"/>
                                <w:spacing w:before="0" w:beforeAutospacing="0"/>
                              </w:pPr>
                              <w:r w:rsidRPr="007F6876">
                                <w:t>QUESTION</w:t>
                              </w:r>
                            </w:p>
                          </w:txbxContent>
                        </wps:txbx>
                        <wps:bodyPr rot="0" vert="horz" wrap="square" lIns="91440" tIns="0" rIns="0" bIns="45720" anchor="ctr" anchorCtr="0" upright="1">
                          <a:noAutofit/>
                        </wps:bodyPr>
                      </wps:wsp>
                      <wpg:grpSp>
                        <wpg:cNvPr id="724529132" name="Group 53"/>
                        <wpg:cNvGrpSpPr>
                          <a:grpSpLocks/>
                        </wpg:cNvGrpSpPr>
                        <wpg:grpSpPr bwMode="auto">
                          <a:xfrm>
                            <a:off x="0" y="316077"/>
                            <a:ext cx="5760085" cy="818574"/>
                            <a:chOff x="1837" y="1790"/>
                            <a:chExt cx="9302" cy="8842"/>
                          </a:xfrm>
                        </wpg:grpSpPr>
                        <wps:wsp>
                          <wps:cNvPr id="246669390" name="Freeform 54"/>
                          <wps:cNvSpPr>
                            <a:spLocks/>
                          </wps:cNvSpPr>
                          <wps:spPr bwMode="auto">
                            <a:xfrm>
                              <a:off x="1837" y="1790"/>
                              <a:ext cx="9302" cy="884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70247" name="Group 69870247"/>
                        <wpg:cNvGrpSpPr/>
                        <wpg:grpSpPr>
                          <a:xfrm>
                            <a:off x="0" y="494036"/>
                            <a:ext cx="1443794" cy="252000"/>
                            <a:chOff x="-15880" y="0"/>
                            <a:chExt cx="1444379" cy="252068"/>
                          </a:xfrm>
                        </wpg:grpSpPr>
                        <wps:wsp>
                          <wps:cNvPr id="163382237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64947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40305F" w14:textId="36C93872" w:rsidR="005C39B9" w:rsidRPr="00E90B8A" w:rsidRDefault="005C39B9" w:rsidP="005C39B9">
                                <w:pPr>
                                  <w:pStyle w:val="BoxTitle"/>
                                  <w:spacing w:before="0" w:beforeAutospacing="0"/>
                                  <w:rPr>
                                    <w:sz w:val="18"/>
                                    <w:szCs w:val="18"/>
                                  </w:rPr>
                                </w:pPr>
                                <w:r w:rsidRPr="00E90B8A">
                                  <w:rPr>
                                    <w:sz w:val="18"/>
                                    <w:szCs w:val="18"/>
                                  </w:rPr>
                                  <w:t>Q</w:t>
                                </w:r>
                                <w:r>
                                  <w:rPr>
                                    <w:sz w:val="18"/>
                                    <w:szCs w:val="18"/>
                                  </w:rPr>
                                  <w:t>1</w:t>
                                </w:r>
                                <w:r w:rsidR="008D15BA">
                                  <w:rPr>
                                    <w:sz w:val="18"/>
                                    <w:szCs w:val="18"/>
                                  </w:rPr>
                                  <w:t>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CF24E1B" id="Group 301169048" o:spid="_x0000_s1105" alt="Question" style="position:absolute;left:0;text-align:left;margin-left:0;margin-top:-.05pt;width:453.55pt;height:84.35pt;z-index:-251658193;mso-height-relative:margin" coordorigin=",628" coordsize="57600,1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">
                <v:shape id="Freeform 52" o:spid="_x0000_s110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BADFFEE" w14:textId="77777777" w:rsidR="005C39B9" w:rsidRDefault="005C39B9" w:rsidP="005C39B9">
                        <w:pPr>
                          <w:pStyle w:val="BoxTitle"/>
                          <w:spacing w:before="0" w:beforeAutospacing="0"/>
                        </w:pPr>
                        <w:r w:rsidRPr="007F6876">
                          <w:t>QUESTION</w:t>
                        </w:r>
                      </w:p>
                    </w:txbxContent>
                  </v:textbox>
                </v:shape>
                <v:group id="Group 53" o:spid="_x0000_s1107" style="position:absolute;top:3160;width:57600;height:8186" coordorigin="1837,1790" coordsize="930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">
                  <v:shape id="Freeform 54" o:spid="_x0000_s1108" style="position:absolute;left:1837;top:1790;width:9302;height:884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" path="m,l9354,r,7809l,7809,,e" fillcolor="#edf2ea" stroked="f">
                    <v:path arrowok="t" o:connecttype="custom" o:connectlocs="0,1132;9302,1132;9302,9974;0,9974;0,1132" o:connectangles="0,0,0,0,0"/>
                  </v:shape>
                </v:group>
                <v:group id="Group 69870247" o:spid="_x0000_s110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">
                  <v:shape id="Freeform 58" o:spid="_x0000_s111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" path="m,l1815,e" filled="f" strokecolor="#72ab6a" strokeweight=".5pt">
                    <v:path arrowok="t" o:connecttype="custom" o:connectlocs="0,0;1073495,0" o:connectangles="0,0"/>
                  </v:shape>
                  <v:shape id="Freeform 66" o:spid="_x0000_s111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D40305F" w14:textId="36C93872" w:rsidR="005C39B9" w:rsidRPr="00E90B8A" w:rsidRDefault="005C39B9" w:rsidP="005C39B9">
                          <w:pPr>
                            <w:pStyle w:val="BoxTitle"/>
                            <w:spacing w:before="0" w:beforeAutospacing="0"/>
                            <w:rPr>
                              <w:sz w:val="18"/>
                              <w:szCs w:val="18"/>
                            </w:rPr>
                          </w:pPr>
                          <w:r w:rsidRPr="00E90B8A">
                            <w:rPr>
                              <w:sz w:val="18"/>
                              <w:szCs w:val="18"/>
                            </w:rPr>
                            <w:t>Q</w:t>
                          </w:r>
                          <w:r>
                            <w:rPr>
                              <w:sz w:val="18"/>
                              <w:szCs w:val="18"/>
                            </w:rPr>
                            <w:t>1</w:t>
                          </w:r>
                          <w:r w:rsidR="008D15BA">
                            <w:rPr>
                              <w:sz w:val="18"/>
                              <w:szCs w:val="18"/>
                            </w:rPr>
                            <w:t>1</w:t>
                          </w:r>
                        </w:p>
                      </w:txbxContent>
                    </v:textbox>
                  </v:shape>
                </v:group>
              </v:group>
            </w:pict>
          </mc:Fallback>
        </mc:AlternateContent>
      </w:r>
    </w:p>
    <w:p w14:paraId="4F00C5B8" w14:textId="77777777" w:rsidR="005C39B9" w:rsidRDefault="005C39B9" w:rsidP="005C39B9">
      <w:pPr>
        <w:pStyle w:val="QuestionBox"/>
      </w:pPr>
    </w:p>
    <w:p w14:paraId="28AB181E" w14:textId="2698CD17" w:rsidR="00F37091" w:rsidRDefault="00F37091" w:rsidP="005C39B9">
      <w:pPr>
        <w:pStyle w:val="QuestionBox"/>
      </w:pPr>
      <w:r>
        <w:t>Should section 27 be amended to clarify that a defendant’s statement contained within a hearsay statement is subject to the Act’s hearsay provisions?</w:t>
      </w:r>
    </w:p>
    <w:p w14:paraId="57D213D3" w14:textId="77777777" w:rsidR="005C39B9" w:rsidRDefault="005C39B9" w:rsidP="005C39B9">
      <w:pPr>
        <w:pStyle w:val="QuestionBox"/>
      </w:pPr>
    </w:p>
    <w:p w14:paraId="46C8EC52" w14:textId="77777777" w:rsidR="00F37091" w:rsidRDefault="00F37091" w:rsidP="00F37091">
      <w:pPr>
        <w:pStyle w:val="Heading2"/>
      </w:pPr>
      <w:bookmarkStart w:id="81" w:name="_Toc126330115"/>
      <w:bookmarkStart w:id="82" w:name="_Toc132962555"/>
      <w:r>
        <w:t>Admissibility of co-defendants’ non-hearsay statements</w:t>
      </w:r>
      <w:bookmarkEnd w:id="81"/>
      <w:bookmarkEnd w:id="82"/>
    </w:p>
    <w:p w14:paraId="251EF330" w14:textId="77777777" w:rsidR="00F37091" w:rsidRDefault="00F37091" w:rsidP="00F37091">
      <w:pPr>
        <w:pStyle w:val="BodyText"/>
      </w:pPr>
      <w:r>
        <w:t xml:space="preserve">Section 27(1) states that a defendant’s statement offered by the prosecution is admissible against a co-defendant </w:t>
      </w:r>
      <w:r w:rsidRPr="00A71C10">
        <w:t>only if</w:t>
      </w:r>
      <w:r>
        <w:rPr>
          <w:i/>
          <w:iCs/>
        </w:rPr>
        <w:t xml:space="preserve"> </w:t>
      </w:r>
      <w:r>
        <w:t xml:space="preserve">it is admitted under section 22A. </w:t>
      </w:r>
    </w:p>
    <w:p w14:paraId="2F643368" w14:textId="77777777" w:rsidR="00F37091" w:rsidRDefault="00F37091" w:rsidP="00F37091">
      <w:pPr>
        <w:pStyle w:val="BodyText"/>
        <w:tabs>
          <w:tab w:val="num" w:pos="709"/>
        </w:tabs>
      </w:pPr>
      <w:r>
        <w:t>Section 22A preserves the common law “co-conspirators’ rule”, which provides an exception to the rule against hearsay for statements made in furtherance of a conspiracy or joint criminal enterprise. Section 22A therefore only applies to hearsay statements.</w:t>
      </w:r>
    </w:p>
    <w:p w14:paraId="3214F4C0" w14:textId="77777777" w:rsidR="00F37091" w:rsidRDefault="00F37091" w:rsidP="00F37091">
      <w:pPr>
        <w:pStyle w:val="BodyText"/>
      </w:pPr>
      <w:r>
        <w:t>A hearsay statement is defined in the Act as a statement made by a person “</w:t>
      </w:r>
      <w:r w:rsidRPr="00795CFD">
        <w:t>other than a witness</w:t>
      </w:r>
      <w:r>
        <w:rPr>
          <w:i/>
          <w:iCs/>
        </w:rPr>
        <w:t xml:space="preserve">” </w:t>
      </w:r>
      <w:r>
        <w:t xml:space="preserve">that is “offered in evidence to </w:t>
      </w:r>
      <w:r w:rsidRPr="00795CFD">
        <w:t>prove the truth of its contents</w:t>
      </w:r>
      <w:r>
        <w:rPr>
          <w:i/>
          <w:iCs/>
        </w:rPr>
        <w:t>”.</w:t>
      </w:r>
      <w:r w:rsidRPr="002915EF">
        <w:rPr>
          <w:rStyle w:val="FootnoteReference"/>
        </w:rPr>
        <w:footnoteReference w:id="310"/>
      </w:r>
      <w:r>
        <w:rPr>
          <w:i/>
          <w:iCs/>
        </w:rPr>
        <w:t xml:space="preserve"> </w:t>
      </w:r>
      <w:r>
        <w:t>A statement is not a hearsay statement if the person who made the statement gives evidence in court, or if the statement is offered for a purpose other than proving the truth of its contents (for example, to establish that the statement was made, or to provide context).</w:t>
      </w:r>
    </w:p>
    <w:p w14:paraId="68FE26AA" w14:textId="77777777" w:rsidR="00F37091" w:rsidRDefault="00F37091" w:rsidP="00F37091">
      <w:pPr>
        <w:pStyle w:val="Heading3"/>
      </w:pPr>
      <w:r>
        <w:t>What is the issue?</w:t>
      </w:r>
    </w:p>
    <w:p w14:paraId="791E3B72" w14:textId="5ABBF2B5" w:rsidR="00F37091" w:rsidRDefault="00F37091" w:rsidP="00F37091">
      <w:pPr>
        <w:pStyle w:val="BodyText"/>
      </w:pPr>
      <w:r>
        <w:t xml:space="preserve">The Act does not address the admissibility of co-defendants’ </w:t>
      </w:r>
      <w:r w:rsidRPr="00795CFD">
        <w:t>non-hearsay</w:t>
      </w:r>
      <w:r>
        <w:t xml:space="preserve"> statements. As the Supreme Court observed in </w:t>
      </w:r>
      <w:r w:rsidRPr="00FA4D79">
        <w:rPr>
          <w:i/>
          <w:iCs/>
        </w:rPr>
        <w:t>Winter v R</w:t>
      </w:r>
      <w:r>
        <w:t>, given the wording of section 27(1), non-hearsay statements “would arguably not be admissible at all”.</w:t>
      </w:r>
      <w:r>
        <w:rPr>
          <w:rStyle w:val="FootnoteReference"/>
        </w:rPr>
        <w:footnoteReference w:id="311"/>
      </w:r>
      <w:r>
        <w:t xml:space="preserve"> This issue has a long and complex history and was considered in the Commission’s Second Review</w:t>
      </w:r>
      <w:r w:rsidR="001C127B">
        <w:t xml:space="preserve"> of the Act</w:t>
      </w:r>
      <w:r>
        <w:t>.</w:t>
      </w:r>
      <w:r>
        <w:rPr>
          <w:rStyle w:val="FootnoteReference"/>
        </w:rPr>
        <w:footnoteReference w:id="312"/>
      </w:r>
      <w:r>
        <w:t xml:space="preserve"> Our </w:t>
      </w:r>
      <w:r w:rsidR="0014076A">
        <w:t xml:space="preserve">initial </w:t>
      </w:r>
      <w:r>
        <w:t xml:space="preserve">research and </w:t>
      </w:r>
      <w:r w:rsidR="0014076A">
        <w:t>preliminary feedback from stakeholders</w:t>
      </w:r>
      <w:r>
        <w:t xml:space="preserve"> has, however, identified a need to revisit the matter.</w:t>
      </w:r>
      <w:r w:rsidRPr="00FA4D79">
        <w:rPr>
          <w:rStyle w:val="CommentReference"/>
          <w:rFonts w:asciiTheme="minorHAnsi" w:eastAsiaTheme="minorHAnsi" w:hAnsiTheme="minorHAnsi" w:cstheme="minorBidi"/>
          <w:color w:val="auto"/>
          <w:lang w:eastAsia="en-US"/>
        </w:rPr>
        <w:t xml:space="preserve"> </w:t>
      </w:r>
    </w:p>
    <w:p w14:paraId="17DB6FA4" w14:textId="77777777" w:rsidR="00F37091" w:rsidRDefault="00F37091" w:rsidP="00F37091">
      <w:pPr>
        <w:pStyle w:val="Heading4"/>
      </w:pPr>
      <w:r>
        <w:t>The Commission’s Second Review</w:t>
      </w:r>
    </w:p>
    <w:p w14:paraId="5856975B" w14:textId="052CF637" w:rsidR="00F37091" w:rsidRDefault="00F37091" w:rsidP="00F37091">
      <w:pPr>
        <w:pStyle w:val="BodyText"/>
      </w:pPr>
      <w:r>
        <w:t xml:space="preserve">In its </w:t>
      </w:r>
      <w:r w:rsidR="004E4DB7">
        <w:t>S</w:t>
      </w:r>
      <w:r>
        <w:t xml:space="preserve">econd </w:t>
      </w:r>
      <w:r w:rsidR="004E4DB7">
        <w:t>R</w:t>
      </w:r>
      <w:r>
        <w:t>eview, the Commission identified that the combined effect of sections 27(1) and 22A is to impose greater restrictions on the admissibility of co-defendants’ statements than existed at common law.</w:t>
      </w:r>
      <w:r>
        <w:rPr>
          <w:rStyle w:val="FootnoteReference"/>
        </w:rPr>
        <w:footnoteReference w:id="313"/>
      </w:r>
    </w:p>
    <w:p w14:paraId="0CF9616B" w14:textId="416E913E" w:rsidR="00F37091" w:rsidRDefault="00F37091" w:rsidP="00F37091">
      <w:pPr>
        <w:pStyle w:val="BodyText"/>
      </w:pPr>
      <w:r>
        <w:t>That is because, even if the criteria in section 22A are satisfied, section 22A only applies to hearsay statements. Therefore, a defendant’s out</w:t>
      </w:r>
      <w:r w:rsidR="00516870">
        <w:t>-</w:t>
      </w:r>
      <w:r>
        <w:t>of</w:t>
      </w:r>
      <w:r w:rsidR="00516870">
        <w:t>-</w:t>
      </w:r>
      <w:r>
        <w:t>court statement will not be admissible against a co-defendant if:</w:t>
      </w:r>
      <w:r>
        <w:rPr>
          <w:rStyle w:val="FootnoteReference"/>
        </w:rPr>
        <w:footnoteReference w:id="314"/>
      </w:r>
    </w:p>
    <w:p w14:paraId="561AF3CD" w14:textId="77777777" w:rsidR="00F37091" w:rsidRDefault="00F37091" w:rsidP="00866891">
      <w:pPr>
        <w:pStyle w:val="BodyTextnonum"/>
        <w:numPr>
          <w:ilvl w:val="3"/>
          <w:numId w:val="28"/>
        </w:numPr>
      </w:pPr>
      <w:r>
        <w:lastRenderedPageBreak/>
        <w:t>the defendant elects to give evidence at trial (and does not adopt the statement in their testimony);</w:t>
      </w:r>
      <w:r>
        <w:rPr>
          <w:rStyle w:val="FootnoteReference"/>
        </w:rPr>
        <w:footnoteReference w:id="315"/>
      </w:r>
      <w:r>
        <w:t xml:space="preserve"> or</w:t>
      </w:r>
    </w:p>
    <w:p w14:paraId="6307E692" w14:textId="77777777" w:rsidR="00F37091" w:rsidRDefault="00F37091" w:rsidP="00866891">
      <w:pPr>
        <w:pStyle w:val="BodyTextnonum"/>
        <w:numPr>
          <w:ilvl w:val="3"/>
          <w:numId w:val="28"/>
        </w:numPr>
      </w:pPr>
      <w:r>
        <w:t>the prosecution intends to rely on the statement for a purpose other than proving the truth of its contents.</w:t>
      </w:r>
    </w:p>
    <w:p w14:paraId="41256CD8" w14:textId="77777777" w:rsidR="00F37091" w:rsidRDefault="00F37091" w:rsidP="00F37091">
      <w:pPr>
        <w:pStyle w:val="BodyText"/>
      </w:pPr>
      <w:r>
        <w:t xml:space="preserve">In contrast, at common law the co-conspirators’ rule </w:t>
      </w:r>
      <w:r w:rsidRPr="007965FA">
        <w:rPr>
          <w:i/>
          <w:iCs/>
        </w:rPr>
        <w:t>would</w:t>
      </w:r>
      <w:r>
        <w:t xml:space="preserve"> have allowed the prosecution to admit a defendant’s statement against a co-defendant regardless of whether the defendant gave evidence at trial.</w:t>
      </w:r>
      <w:r>
        <w:rPr>
          <w:rStyle w:val="FootnoteReference"/>
        </w:rPr>
        <w:footnoteReference w:id="316"/>
      </w:r>
      <w:r>
        <w:t xml:space="preserve"> Further, there was nothing at common law to prevent the prosecution from admitting a defendant’s statement against a co-defendant for purposes other than proving the truth of its contents.</w:t>
      </w:r>
      <w:r>
        <w:rPr>
          <w:rStyle w:val="FootnoteReference"/>
        </w:rPr>
        <w:footnoteReference w:id="317"/>
      </w:r>
      <w:r>
        <w:t xml:space="preserve"> In other words, there was no general rule against admitting defendants’ non-hearsay statements against a co-defendant, even if the co-conspirators’ rule did not apply.</w:t>
      </w:r>
    </w:p>
    <w:p w14:paraId="53CD7355" w14:textId="5DAFBF73" w:rsidR="00F37091" w:rsidRDefault="00F37091" w:rsidP="00F37091">
      <w:pPr>
        <w:pStyle w:val="BodyText"/>
      </w:pPr>
      <w:r>
        <w:t xml:space="preserve">The Commission concluded there was no principled basis for limiting section 22A to hearsay statements and recommended replacing section 22A with a new section 27AA </w:t>
      </w:r>
      <w:r w:rsidR="00165E70">
        <w:t>that</w:t>
      </w:r>
      <w:r>
        <w:t xml:space="preserve"> would provide as follows:</w:t>
      </w:r>
      <w:r>
        <w:rPr>
          <w:rStyle w:val="FootnoteReference"/>
        </w:rPr>
        <w:footnoteReference w:id="318"/>
      </w:r>
    </w:p>
    <w:p w14:paraId="0BCE6E0E" w14:textId="77777777" w:rsidR="00F37091" w:rsidRPr="005712C7" w:rsidRDefault="00F37091" w:rsidP="00F37091">
      <w:pPr>
        <w:pStyle w:val="Quote"/>
        <w:rPr>
          <w:b/>
          <w:bCs/>
        </w:rPr>
      </w:pPr>
      <w:r w:rsidRPr="005712C7">
        <w:rPr>
          <w:b/>
          <w:bCs/>
        </w:rPr>
        <w:t>27AA Admissibility of statement against co-defendant</w:t>
      </w:r>
    </w:p>
    <w:p w14:paraId="0960D154" w14:textId="77777777" w:rsidR="00F37091" w:rsidRDefault="00F37091" w:rsidP="00F37091">
      <w:pPr>
        <w:pStyle w:val="Quote"/>
      </w:pPr>
      <w:r>
        <w:t>In a criminal proceeding, a statement made by a defendant is admissible against a co-defendant if—</w:t>
      </w:r>
    </w:p>
    <w:p w14:paraId="624B2681" w14:textId="77777777" w:rsidR="00F37091" w:rsidRDefault="00F37091" w:rsidP="00F37091">
      <w:pPr>
        <w:pStyle w:val="Quote"/>
      </w:pPr>
      <w:r>
        <w:t>(a) there is reasonable evidence of a conspiracy or joint enterprise; and</w:t>
      </w:r>
    </w:p>
    <w:p w14:paraId="78111C65" w14:textId="77777777" w:rsidR="00F37091" w:rsidRDefault="00F37091" w:rsidP="00F37091">
      <w:pPr>
        <w:pStyle w:val="Quote"/>
      </w:pPr>
      <w:r>
        <w:t>(b) there is reasonable evidence that the defendant was a member of the conspiracy or joint enterprise; and</w:t>
      </w:r>
    </w:p>
    <w:p w14:paraId="437B405C" w14:textId="77777777" w:rsidR="00F37091" w:rsidRDefault="00F37091" w:rsidP="00F37091">
      <w:pPr>
        <w:pStyle w:val="Quote"/>
      </w:pPr>
      <w:r>
        <w:t>(c) the statement was made in furtherance of the conspiracy or joint enterprise.</w:t>
      </w:r>
    </w:p>
    <w:p w14:paraId="6A60D206" w14:textId="77777777" w:rsidR="00F37091" w:rsidRDefault="00F37091" w:rsidP="00F37091">
      <w:pPr>
        <w:pStyle w:val="BodyText"/>
      </w:pPr>
      <w:r>
        <w:t>The Commission briefly considered the suggestion of one submitter for a broader amendment to make all defendants’ non-hearsay statements admissible against a co-defendant.</w:t>
      </w:r>
      <w:r>
        <w:rPr>
          <w:rStyle w:val="FootnoteReference"/>
        </w:rPr>
        <w:footnoteReference w:id="319"/>
      </w:r>
      <w:r>
        <w:t xml:space="preserve"> It concluded that this would be a significant change in policy and that there was insufficient justification for recommending such a change at that time.</w:t>
      </w:r>
    </w:p>
    <w:p w14:paraId="1F6630C2" w14:textId="77777777" w:rsidR="00F37091" w:rsidRDefault="00F37091" w:rsidP="00F37091">
      <w:pPr>
        <w:pStyle w:val="Heading4"/>
      </w:pPr>
      <w:r>
        <w:t>Developments since the Commission’s Second Review</w:t>
      </w:r>
    </w:p>
    <w:p w14:paraId="2E6950A1" w14:textId="2CC26218" w:rsidR="00F37091" w:rsidRDefault="00F37091" w:rsidP="00F37091">
      <w:pPr>
        <w:pStyle w:val="BodyText"/>
      </w:pPr>
      <w:r>
        <w:t xml:space="preserve">The Supreme Court briefly commented on the operation of sections 27(1) and 22A and the Commission’s proposed section 27AA in </w:t>
      </w:r>
      <w:r w:rsidRPr="007941C5">
        <w:rPr>
          <w:i/>
          <w:iCs/>
        </w:rPr>
        <w:t>Winter v R.</w:t>
      </w:r>
      <w:r w:rsidRPr="00100EB6">
        <w:rPr>
          <w:rStyle w:val="FootnoteReference"/>
        </w:rPr>
        <w:footnoteReference w:id="320"/>
      </w:r>
      <w:r w:rsidRPr="007941C5">
        <w:rPr>
          <w:i/>
          <w:iCs/>
        </w:rPr>
        <w:t xml:space="preserve"> </w:t>
      </w:r>
      <w:r>
        <w:t xml:space="preserve">The Court observed that, while </w:t>
      </w:r>
      <w:r>
        <w:lastRenderedPageBreak/>
        <w:t>section 22A was intended to codify the common law, “the intention of codifying the common law was only partly achieved”.</w:t>
      </w:r>
      <w:r>
        <w:rPr>
          <w:rStyle w:val="FootnoteReference"/>
        </w:rPr>
        <w:footnoteReference w:id="321"/>
      </w:r>
    </w:p>
    <w:p w14:paraId="1946F546" w14:textId="77777777" w:rsidR="00F37091" w:rsidRDefault="00F37091" w:rsidP="00F37091">
      <w:pPr>
        <w:pStyle w:val="BodyText"/>
      </w:pPr>
      <w:r>
        <w:t xml:space="preserve">The Supreme Court noted the Commission’s proposed section 27AA but observed that “[o]n the face of it, however, that would still not replicate the common law as explained in </w:t>
      </w:r>
      <w:r>
        <w:rPr>
          <w:i/>
          <w:iCs/>
        </w:rPr>
        <w:t>Messenger”.</w:t>
      </w:r>
      <w:r w:rsidRPr="004F4BCB">
        <w:rPr>
          <w:rStyle w:val="FootnoteReference"/>
        </w:rPr>
        <w:footnoteReference w:id="322"/>
      </w:r>
      <w:r>
        <w:t xml:space="preserve"> The Court set out the following extract from </w:t>
      </w:r>
      <w:r>
        <w:rPr>
          <w:i/>
          <w:iCs/>
        </w:rPr>
        <w:t>Messenger</w:t>
      </w:r>
      <w:r w:rsidR="00E17AA6" w:rsidRPr="00E17AA6">
        <w:t>,</w:t>
      </w:r>
      <w:r>
        <w:rPr>
          <w:i/>
          <w:iCs/>
        </w:rPr>
        <w:t xml:space="preserve"> </w:t>
      </w:r>
      <w:r>
        <w:t>a Court of Appeal decision that articulated the common law co-conspirators’ rule on which section 22A is based:</w:t>
      </w:r>
      <w:r>
        <w:rPr>
          <w:rStyle w:val="FootnoteReference"/>
        </w:rPr>
        <w:footnoteReference w:id="323"/>
      </w:r>
    </w:p>
    <w:p w14:paraId="523C4E87" w14:textId="3693E8DE" w:rsidR="00F37091" w:rsidRDefault="00F37091" w:rsidP="00F37091">
      <w:pPr>
        <w:pStyle w:val="Quote"/>
      </w:pPr>
      <w:r>
        <w:t>… the existence of the conspiracy or joint enterprise must be shown to the requisite standard without the use of hearsay evidence. Statements made by other persons about what they are intending to do, against the background of their statements about what they have done, however, can be led as evidence of the state of mind of those other persons at the time of speaking. Such statements are led not to prove the truth of the participation of a person who is not a party to the conversation, but as facts from which the existence of the agreement or combination to engage in an illegal common enterprise may be inferred. The existence of a conspiracy can thus be shown by the statements of all alleged participants, including what they have said about the accused</w:t>
      </w:r>
      <w:r w:rsidR="00E91A55">
        <w:t xml:space="preserve"> …</w:t>
      </w:r>
    </w:p>
    <w:p w14:paraId="6E9D718C" w14:textId="77777777" w:rsidR="00F37091" w:rsidRDefault="00F37091" w:rsidP="00F37091">
      <w:pPr>
        <w:pStyle w:val="BodyText"/>
      </w:pPr>
      <w:r>
        <w:t xml:space="preserve">The concern the Supreme Court identified in </w:t>
      </w:r>
      <w:r>
        <w:rPr>
          <w:i/>
          <w:iCs/>
        </w:rPr>
        <w:t xml:space="preserve">Winter </w:t>
      </w:r>
      <w:r>
        <w:t xml:space="preserve">appears to be that, while the current law fails to reflect the common law position in relation to co-defendants’ statements offered for a purpose other than to prove the truth of their contents, so too does the Commission’s proposed section 27AA. This is because, as the passage from </w:t>
      </w:r>
      <w:r>
        <w:rPr>
          <w:i/>
          <w:iCs/>
        </w:rPr>
        <w:t xml:space="preserve">Messenger </w:t>
      </w:r>
      <w:r>
        <w:t>recognises, the common law provided for the admission of such statements without the need to satisfy the threshold criteria for the co-conspirators’ rule. At common law, the co-conspirators’ rule operated as an exception to the rule against hearsay. When a statement was not hearsay (because it wasn’t relied on to prove the truth of its contents), the rule against hearsay didn’t apply and, by extension, there was no need to engage the co-conspirators’ rule.</w:t>
      </w:r>
      <w:r>
        <w:rPr>
          <w:rStyle w:val="FootnoteReference"/>
        </w:rPr>
        <w:footnoteReference w:id="324"/>
      </w:r>
    </w:p>
    <w:p w14:paraId="291A0644" w14:textId="77777777" w:rsidR="00F37091" w:rsidRDefault="00F37091" w:rsidP="00F37091">
      <w:pPr>
        <w:pStyle w:val="Heading3"/>
      </w:pPr>
      <w:r>
        <w:t>Is legislative reform necessary or desirable?</w:t>
      </w:r>
    </w:p>
    <w:p w14:paraId="666F22A9" w14:textId="00416568" w:rsidR="00F37091" w:rsidRDefault="00F37091" w:rsidP="00F37091">
      <w:pPr>
        <w:pStyle w:val="BodyText"/>
      </w:pPr>
      <w:r>
        <w:t xml:space="preserve">We endorse the conclusion reached in the Second Review that legislative reform is desirable to address the admissibility of co-defendants’ non-hearsay statements. However, given subsequent observations in </w:t>
      </w:r>
      <w:r w:rsidR="00FF2028">
        <w:t>preliminary feedback</w:t>
      </w:r>
      <w:r>
        <w:t>, case law and commentary, we consider there are good reasons to revisit how this problem should be resolved. This is for several reasons:</w:t>
      </w:r>
    </w:p>
    <w:p w14:paraId="5091A3EE" w14:textId="77777777" w:rsidR="00F37091" w:rsidRDefault="00F37091" w:rsidP="00866891">
      <w:pPr>
        <w:pStyle w:val="BodyTextnonum"/>
        <w:numPr>
          <w:ilvl w:val="3"/>
          <w:numId w:val="28"/>
        </w:numPr>
      </w:pPr>
      <w:r>
        <w:t xml:space="preserve">First, it does not appear to have been Parliament’s intention when passing the Act (or when making subsequent amendments) to depart from the common law position on co-defendants’ statements. As the Commission has previously observed, in </w:t>
      </w:r>
      <w:r>
        <w:lastRenderedPageBreak/>
        <w:t>amending what would become section 27, “the Select Committee mistakenly believed it was maintaining the common law position”.</w:t>
      </w:r>
      <w:r>
        <w:rPr>
          <w:rStyle w:val="FootnoteReference"/>
        </w:rPr>
        <w:footnoteReference w:id="325"/>
      </w:r>
      <w:r>
        <w:t xml:space="preserve"> </w:t>
      </w:r>
    </w:p>
    <w:p w14:paraId="7E4AC8EF" w14:textId="33AFAA76" w:rsidR="00F37091" w:rsidRDefault="00F37091" w:rsidP="00866891">
      <w:pPr>
        <w:pStyle w:val="BodyTextnonum"/>
        <w:numPr>
          <w:ilvl w:val="3"/>
          <w:numId w:val="28"/>
        </w:numPr>
      </w:pPr>
      <w:r>
        <w:t xml:space="preserve">Second, </w:t>
      </w:r>
      <w:r w:rsidR="00E47120">
        <w:t xml:space="preserve">the </w:t>
      </w:r>
      <w:r>
        <w:t>proposed section 27AA would not restore the law to the common law position for the reasons discussed above. Instead, it would universally apply the same high threshold for co-conspirators’ statements to all co-defendants’ statements, whether or not the statement is hearsay.</w:t>
      </w:r>
    </w:p>
    <w:p w14:paraId="160B731C" w14:textId="22B0D461" w:rsidR="00F37091" w:rsidRDefault="00F37091" w:rsidP="00866891">
      <w:pPr>
        <w:pStyle w:val="BodyTextnonum"/>
        <w:numPr>
          <w:ilvl w:val="3"/>
          <w:numId w:val="28"/>
        </w:numPr>
      </w:pPr>
      <w:r>
        <w:t>Third, while there are good policy reasons for adopting a cautious approach to the admission of co-defendants’ hearsay statements,</w:t>
      </w:r>
      <w:r>
        <w:rPr>
          <w:rStyle w:val="FootnoteReference"/>
        </w:rPr>
        <w:footnoteReference w:id="326"/>
      </w:r>
      <w:r>
        <w:t xml:space="preserve"> these reasons are not applicable (or at least not to the same extent) to non-hearsay statements. The concern underlying the rule against the admissibility of co-defendants’ statements is the inherent unreliability of a statement blaming a co-defendant</w:t>
      </w:r>
      <w:r w:rsidR="00CA34C2">
        <w:t xml:space="preserve"> that </w:t>
      </w:r>
      <w:r>
        <w:t xml:space="preserve">was not made on oath and </w:t>
      </w:r>
      <w:r w:rsidR="003A31AD">
        <w:t xml:space="preserve">that </w:t>
      </w:r>
      <w:r>
        <w:t>is unable to be tested under cross-examination.</w:t>
      </w:r>
      <w:r>
        <w:rPr>
          <w:rStyle w:val="FootnoteReference"/>
        </w:rPr>
        <w:footnoteReference w:id="327"/>
      </w:r>
      <w:r>
        <w:t xml:space="preserve"> However, as the Commission identified in its </w:t>
      </w:r>
      <w:r w:rsidR="009D1890">
        <w:t>S</w:t>
      </w:r>
      <w:r>
        <w:t xml:space="preserve">econd </w:t>
      </w:r>
      <w:r w:rsidR="009D1890">
        <w:t>R</w:t>
      </w:r>
      <w:r>
        <w:t>eview</w:t>
      </w:r>
      <w:r w:rsidR="008044D0">
        <w:t>:</w:t>
      </w:r>
      <w:r>
        <w:rPr>
          <w:rStyle w:val="FootnoteReference"/>
        </w:rPr>
        <w:footnoteReference w:id="328"/>
      </w:r>
    </w:p>
    <w:p w14:paraId="504BBD6E" w14:textId="77777777" w:rsidR="00F37091" w:rsidRDefault="00F37091" w:rsidP="00866891">
      <w:pPr>
        <w:pStyle w:val="BodyTextnonum"/>
        <w:numPr>
          <w:ilvl w:val="5"/>
          <w:numId w:val="28"/>
        </w:numPr>
      </w:pPr>
      <w:r>
        <w:t>If a co-defendant’s statement is not hearsay because the co-defendant elects to give evidence at trial, the defendant will be able to test the reliability of the statement by cross-examining the co-defendant.</w:t>
      </w:r>
    </w:p>
    <w:p w14:paraId="04AF1103" w14:textId="079BEB4E" w:rsidR="00F37091" w:rsidRDefault="00F37091" w:rsidP="00866891">
      <w:pPr>
        <w:pStyle w:val="BodyTextnonum"/>
        <w:numPr>
          <w:ilvl w:val="5"/>
          <w:numId w:val="28"/>
        </w:numPr>
      </w:pPr>
      <w:r>
        <w:t>If a co-defendant’s statement is not hearsay because the prosecution intends to rely on it for a purpose other than proving the truth of its contents, unreliability is less likely to be a significant concern. We add that it is not clear to us that, just because a non-hearsay statement is made by a co-defendant, it should be subject to stricter rules than other non-hearsay statements.</w:t>
      </w:r>
    </w:p>
    <w:p w14:paraId="4B2C50B8" w14:textId="77777777" w:rsidR="00F37091" w:rsidRDefault="00F37091" w:rsidP="00866891">
      <w:pPr>
        <w:pStyle w:val="BodyTextnonum"/>
        <w:numPr>
          <w:ilvl w:val="3"/>
          <w:numId w:val="27"/>
        </w:numPr>
      </w:pPr>
      <w:r>
        <w:t>Fourth, there is some evidence that the current law is not consistent with expectations or practice. In some cases, a co-defendant’s non-hearsay statement is simply admitted without addressing the basis for doing so under the Act.</w:t>
      </w:r>
      <w:r>
        <w:rPr>
          <w:rStyle w:val="FootnoteReference"/>
          <w:iCs/>
        </w:rPr>
        <w:footnoteReference w:id="329"/>
      </w:r>
      <w:r>
        <w:t xml:space="preserve"> Other cases have relied on “fine linguistic distinctions”,</w:t>
      </w:r>
      <w:r>
        <w:rPr>
          <w:rStyle w:val="FootnoteReference"/>
        </w:rPr>
        <w:footnoteReference w:id="330"/>
      </w:r>
      <w:r>
        <w:t xml:space="preserve"> suggesting a </w:t>
      </w:r>
      <w:r w:rsidRPr="00E00E56">
        <w:t>co-defendant</w:t>
      </w:r>
      <w:r>
        <w:t>’</w:t>
      </w:r>
      <w:r w:rsidRPr="00E00E56">
        <w:t>s non-hearsay statement</w:t>
      </w:r>
      <w:r>
        <w:t xml:space="preserve"> is a </w:t>
      </w:r>
      <w:r w:rsidRPr="00E00E56">
        <w:t>“verbal act” rather than a “statement” that</w:t>
      </w:r>
      <w:r>
        <w:t xml:space="preserve"> would be</w:t>
      </w:r>
      <w:r w:rsidRPr="00E00E56">
        <w:t xml:space="preserve"> captured by section 27(1)</w:t>
      </w:r>
      <w:r>
        <w:t>.</w:t>
      </w:r>
      <w:r w:rsidRPr="00E00E56">
        <w:rPr>
          <w:rStyle w:val="FootnoteReference"/>
        </w:rPr>
        <w:footnoteReference w:id="331"/>
      </w:r>
      <w:r>
        <w:t xml:space="preserve"> It has been suggested that these cases indicate that the current wording of the Act “doesn’t let the legal system take an approach to the law that they thought was permitted”.</w:t>
      </w:r>
      <w:r>
        <w:rPr>
          <w:rStyle w:val="FootnoteReference"/>
        </w:rPr>
        <w:footnoteReference w:id="332"/>
      </w:r>
    </w:p>
    <w:p w14:paraId="7E217842" w14:textId="77777777" w:rsidR="00F37091" w:rsidRDefault="00F37091" w:rsidP="00866891">
      <w:pPr>
        <w:pStyle w:val="BodyTextnonum"/>
        <w:numPr>
          <w:ilvl w:val="3"/>
          <w:numId w:val="27"/>
        </w:numPr>
      </w:pPr>
      <w:r w:rsidRPr="005D516B">
        <w:t xml:space="preserve">Fifth, </w:t>
      </w:r>
      <w:r>
        <w:t>it</w:t>
      </w:r>
      <w:r w:rsidRPr="005D516B">
        <w:t xml:space="preserve"> is unclear how the section 22A assessment would work in practice if all co-defendants’ statements required the same treatment.</w:t>
      </w:r>
      <w:r>
        <w:t xml:space="preserve"> A</w:t>
      </w:r>
      <w:r w:rsidRPr="005D516B">
        <w:t xml:space="preserve">s the Supreme Court pointed out in </w:t>
      </w:r>
      <w:r w:rsidRPr="005D516B">
        <w:rPr>
          <w:i/>
          <w:iCs/>
        </w:rPr>
        <w:t>Winter</w:t>
      </w:r>
      <w:r w:rsidR="00E17AA6" w:rsidRPr="00E17AA6">
        <w:t>,</w:t>
      </w:r>
      <w:r w:rsidRPr="005D516B">
        <w:rPr>
          <w:i/>
          <w:iCs/>
        </w:rPr>
        <w:t xml:space="preserve"> </w:t>
      </w:r>
      <w:r>
        <w:t xml:space="preserve">the court currently looks to non-hearsay co-defendants’ statements </w:t>
      </w:r>
      <w:r w:rsidRPr="005D516B">
        <w:t xml:space="preserve">when determining whether </w:t>
      </w:r>
      <w:r>
        <w:t xml:space="preserve">the </w:t>
      </w:r>
      <w:r w:rsidRPr="005D516B">
        <w:t xml:space="preserve">threshold criteria are met to allow the prosecution to </w:t>
      </w:r>
      <w:r w:rsidRPr="005D516B">
        <w:lastRenderedPageBreak/>
        <w:t>admit a co-defendant</w:t>
      </w:r>
      <w:r>
        <w:t>’</w:t>
      </w:r>
      <w:r w:rsidRPr="005D516B">
        <w:t>s statement to prove the truth of its contents</w:t>
      </w:r>
      <w:r>
        <w:t>. How would this test operate if all co-defendants’ statements had to go through the same assessment?</w:t>
      </w:r>
    </w:p>
    <w:p w14:paraId="650F7EE0" w14:textId="77777777" w:rsidR="00F37091" w:rsidRDefault="00F37091" w:rsidP="00F37091">
      <w:pPr>
        <w:pStyle w:val="BodyText"/>
      </w:pPr>
      <w:r>
        <w:t>We seek submissions on whether it would be preferable to retain section 22A in its current form and amend section 27 to clarify that a defendant’s non-hearsay statement is admissible against a co-defendant, but that if the statement is hearsay, it is only admissible against a co-defendant if it is admitted under section 22A.</w:t>
      </w:r>
    </w:p>
    <w:p w14:paraId="0C50398F" w14:textId="77777777" w:rsidR="008C4A9E" w:rsidRDefault="008C4A9E" w:rsidP="008C4A9E">
      <w:pPr>
        <w:pStyle w:val="ListNumber"/>
        <w:numPr>
          <w:ilvl w:val="0"/>
          <w:numId w:val="0"/>
        </w:numPr>
        <w:ind w:left="360" w:hanging="360"/>
      </w:pPr>
      <w:r>
        <w:rPr>
          <w:noProof/>
        </w:rPr>
        <mc:AlternateContent>
          <mc:Choice Requires="wpg">
            <w:drawing>
              <wp:anchor distT="0" distB="0" distL="114300" distR="114300" simplePos="0" relativeHeight="251658288" behindDoc="1" locked="0" layoutInCell="1" allowOverlap="1" wp14:anchorId="627ABF0C" wp14:editId="1A001557">
                <wp:simplePos x="0" y="0"/>
                <wp:positionH relativeFrom="column">
                  <wp:posOffset>3598</wp:posOffset>
                </wp:positionH>
                <wp:positionV relativeFrom="paragraph">
                  <wp:posOffset>2117</wp:posOffset>
                </wp:positionV>
                <wp:extent cx="5760085" cy="1227657"/>
                <wp:effectExtent l="0" t="0" r="0" b="0"/>
                <wp:wrapNone/>
                <wp:docPr id="542" name="Group 542" descr="Question"/>
                <wp:cNvGraphicFramePr/>
                <a:graphic xmlns:a="http://schemas.openxmlformats.org/drawingml/2006/main">
                  <a:graphicData uri="http://schemas.microsoft.com/office/word/2010/wordprocessingGroup">
                    <wpg:wgp>
                      <wpg:cNvGrpSpPr/>
                      <wpg:grpSpPr>
                        <a:xfrm>
                          <a:off x="0" y="0"/>
                          <a:ext cx="5760085" cy="1227657"/>
                          <a:chOff x="0" y="62865"/>
                          <a:chExt cx="5760085" cy="1227781"/>
                        </a:xfrm>
                      </wpg:grpSpPr>
                      <wps:wsp>
                        <wps:cNvPr id="54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E5A24D" w14:textId="77777777" w:rsidR="008C4A9E" w:rsidRDefault="008C4A9E" w:rsidP="008C4A9E">
                              <w:pPr>
                                <w:pStyle w:val="BoxTitle"/>
                                <w:spacing w:before="0" w:beforeAutospacing="0"/>
                              </w:pPr>
                              <w:r w:rsidRPr="007F6876">
                                <w:t>QUESTION</w:t>
                              </w:r>
                            </w:p>
                          </w:txbxContent>
                        </wps:txbx>
                        <wps:bodyPr rot="0" vert="horz" wrap="square" lIns="91440" tIns="0" rIns="0" bIns="45720" anchor="ctr" anchorCtr="0" upright="1">
                          <a:noAutofit/>
                        </wps:bodyPr>
                      </wps:wsp>
                      <wpg:grpSp>
                        <wpg:cNvPr id="544" name="Group 53"/>
                        <wpg:cNvGrpSpPr>
                          <a:grpSpLocks/>
                        </wpg:cNvGrpSpPr>
                        <wpg:grpSpPr bwMode="auto">
                          <a:xfrm>
                            <a:off x="0" y="315892"/>
                            <a:ext cx="5760085" cy="974754"/>
                            <a:chOff x="1837" y="1788"/>
                            <a:chExt cx="9302" cy="10529"/>
                          </a:xfrm>
                        </wpg:grpSpPr>
                        <wps:wsp>
                          <wps:cNvPr id="545" name="Freeform 54"/>
                          <wps:cNvSpPr>
                            <a:spLocks/>
                          </wps:cNvSpPr>
                          <wps:spPr bwMode="auto">
                            <a:xfrm>
                              <a:off x="1837" y="1788"/>
                              <a:ext cx="9302" cy="1052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46"/>
                        <wpg:cNvGrpSpPr/>
                        <wpg:grpSpPr>
                          <a:xfrm>
                            <a:off x="0" y="494036"/>
                            <a:ext cx="1443794" cy="252000"/>
                            <a:chOff x="-15880" y="0"/>
                            <a:chExt cx="1444379" cy="252068"/>
                          </a:xfrm>
                        </wpg:grpSpPr>
                        <wps:wsp>
                          <wps:cNvPr id="54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DBAA0B" w14:textId="77777777" w:rsidR="008C4A9E" w:rsidRPr="00E90B8A" w:rsidRDefault="008C4A9E" w:rsidP="008C4A9E">
                                <w:pPr>
                                  <w:pStyle w:val="BoxTitle"/>
                                  <w:spacing w:before="0" w:beforeAutospacing="0"/>
                                  <w:rPr>
                                    <w:sz w:val="18"/>
                                    <w:szCs w:val="18"/>
                                  </w:rPr>
                                </w:pPr>
                                <w:r w:rsidRPr="00E90B8A">
                                  <w:rPr>
                                    <w:sz w:val="18"/>
                                    <w:szCs w:val="18"/>
                                  </w:rPr>
                                  <w:t>Q</w:t>
                                </w:r>
                                <w:r>
                                  <w:rPr>
                                    <w:sz w:val="18"/>
                                    <w:szCs w:val="18"/>
                                  </w:rPr>
                                  <w:t>12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27ABF0C" id="Group 542" o:spid="_x0000_s1112" alt="Question" style="position:absolute;left:0;text-align:left;margin-left:.3pt;margin-top:.15pt;width:453.55pt;height:96.65pt;z-index:-251658192;mso-height-relative:margin" coordorigin=",628" coordsize="57600,1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">
                <v:shape id="Freeform 52" o:spid="_x0000_s111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9E5A24D" w14:textId="77777777" w:rsidR="008C4A9E" w:rsidRDefault="008C4A9E" w:rsidP="008C4A9E">
                        <w:pPr>
                          <w:pStyle w:val="BoxTitle"/>
                          <w:spacing w:before="0" w:beforeAutospacing="0"/>
                        </w:pPr>
                        <w:r w:rsidRPr="007F6876">
                          <w:t>QUESTION</w:t>
                        </w:r>
                      </w:p>
                    </w:txbxContent>
                  </v:textbox>
                </v:shape>
                <v:group id="Group 53" o:spid="_x0000_s1114" style="position:absolute;top:3158;width:57600;height:9748" coordorigin="1837,1788" coordsize="9302,1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4" o:spid="_x0000_s1115" style="position:absolute;left:1837;top:1788;width:9302;height:1052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" path="m,l9354,r,7809l,7809,,e" fillcolor="#edf2ea" stroked="f">
                    <v:path arrowok="t" o:connecttype="custom" o:connectlocs="0,1348;9302,1348;9302,11877;0,11877;0,1348" o:connectangles="0,0,0,0,0"/>
                  </v:shape>
                </v:group>
                <v:group id="Group 546" o:spid="_x0000_s111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8" o:spid="_x0000_s111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" path="m,l1815,e" filled="f" strokecolor="#72ab6a" strokeweight=".5pt">
                    <v:path arrowok="t" o:connecttype="custom" o:connectlocs="0,0;1073495,0" o:connectangles="0,0"/>
                  </v:shape>
                  <v:shape id="Freeform 66" o:spid="_x0000_s111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2DBAA0B" w14:textId="77777777" w:rsidR="008C4A9E" w:rsidRPr="00E90B8A" w:rsidRDefault="008C4A9E" w:rsidP="008C4A9E">
                          <w:pPr>
                            <w:pStyle w:val="BoxTitle"/>
                            <w:spacing w:before="0" w:beforeAutospacing="0"/>
                            <w:rPr>
                              <w:sz w:val="18"/>
                              <w:szCs w:val="18"/>
                            </w:rPr>
                          </w:pPr>
                          <w:r w:rsidRPr="00E90B8A">
                            <w:rPr>
                              <w:sz w:val="18"/>
                              <w:szCs w:val="18"/>
                            </w:rPr>
                            <w:t>Q</w:t>
                          </w:r>
                          <w:r>
                            <w:rPr>
                              <w:sz w:val="18"/>
                              <w:szCs w:val="18"/>
                            </w:rPr>
                            <w:t>12</w:t>
                          </w:r>
                        </w:p>
                      </w:txbxContent>
                    </v:textbox>
                  </v:shape>
                </v:group>
              </v:group>
            </w:pict>
          </mc:Fallback>
        </mc:AlternateContent>
      </w:r>
    </w:p>
    <w:p w14:paraId="7CBCE089" w14:textId="77777777" w:rsidR="008C4A9E" w:rsidRDefault="008C4A9E" w:rsidP="008C4A9E">
      <w:pPr>
        <w:pStyle w:val="QuestionBox"/>
      </w:pPr>
    </w:p>
    <w:p w14:paraId="74FEF3CF" w14:textId="77777777" w:rsidR="008C4A9E" w:rsidRDefault="008C4A9E" w:rsidP="008C4A9E">
      <w:pPr>
        <w:pStyle w:val="QuestionBox"/>
      </w:pPr>
      <w:r>
        <w:t xml:space="preserve">Should section </w:t>
      </w:r>
      <w:r w:rsidRPr="005B166D">
        <w:t xml:space="preserve">27 </w:t>
      </w:r>
      <w:r>
        <w:t xml:space="preserve">be amended </w:t>
      </w:r>
      <w:r w:rsidRPr="005B166D">
        <w:t>to clarify that a defendant’s</w:t>
      </w:r>
      <w:r>
        <w:t xml:space="preserve"> non-hearsay</w:t>
      </w:r>
      <w:r w:rsidRPr="005B166D">
        <w:t xml:space="preserve"> statement is admissible against a co-defendant</w:t>
      </w:r>
      <w:r>
        <w:t>,</w:t>
      </w:r>
      <w:r w:rsidRPr="005B166D">
        <w:t xml:space="preserve"> but that if the statement is hearsay it is only admissible against a co-defendant if it is admitted under section 22A</w:t>
      </w:r>
      <w:r>
        <w:t>?</w:t>
      </w:r>
    </w:p>
    <w:p w14:paraId="73DC38C4" w14:textId="77777777" w:rsidR="008C4A9E" w:rsidRPr="00F81A62" w:rsidRDefault="008C4A9E" w:rsidP="008C4A9E">
      <w:pPr>
        <w:pStyle w:val="QuestionBox"/>
        <w:rPr>
          <w:sz w:val="4"/>
          <w:szCs w:val="8"/>
        </w:rPr>
      </w:pPr>
    </w:p>
    <w:p w14:paraId="2EFD6D80" w14:textId="64ECC494" w:rsidR="00CD6EA6" w:rsidRPr="00D37FCE" w:rsidRDefault="005C39B9" w:rsidP="008C4A9E">
      <w:pPr>
        <w:pStyle w:val="BodyText"/>
        <w:numPr>
          <w:ilvl w:val="0"/>
          <w:numId w:val="0"/>
        </w:numPr>
        <w:ind w:left="709"/>
        <w:sectPr w:rsidR="00CD6EA6" w:rsidRPr="00D37FCE" w:rsidSect="00CB2992">
          <w:headerReference w:type="default" r:id="rId39"/>
          <w:footnotePr>
            <w:numRestart w:val="eachSect"/>
          </w:footnotePr>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8262" behindDoc="1" locked="0" layoutInCell="1" allowOverlap="1" wp14:anchorId="3BAB5AD7" wp14:editId="0F3600B0">
                <wp:simplePos x="0" y="0"/>
                <wp:positionH relativeFrom="page">
                  <wp:posOffset>1080135</wp:posOffset>
                </wp:positionH>
                <wp:positionV relativeFrom="paragraph">
                  <wp:posOffset>501793</wp:posOffset>
                </wp:positionV>
                <wp:extent cx="2411730" cy="1270"/>
                <wp:effectExtent l="0" t="19050" r="26670" b="177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2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493AF" id="Group 23" o:spid="_x0000_s1026" style="position:absolute;margin-left:85.05pt;margin-top:39.5pt;width:189.9pt;height:.1pt;z-index:-25165821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" path="m,l2097,e" filled="f" strokecolor="#72ab6a" strokeweight="3pt">
                  <v:path arrowok="t" o:connecttype="custom" o:connectlocs="0,0;2097,0" o:connectangles="0,0"/>
                </v:shape>
                <w10:wrap anchorx="page"/>
              </v:group>
            </w:pict>
          </mc:Fallback>
        </mc:AlternateContent>
      </w:r>
      <w:bookmarkEnd w:id="76"/>
    </w:p>
    <w:p w14:paraId="4B5E822B" w14:textId="21904C94" w:rsidR="003F7044" w:rsidRPr="00D37FCE" w:rsidRDefault="003F7044" w:rsidP="006E2256">
      <w:pPr>
        <w:pStyle w:val="HEADING2topchapter-notinTOC"/>
      </w:pPr>
      <w:bookmarkStart w:id="83" w:name="_Hlk55052252"/>
      <w:bookmarkStart w:id="84" w:name="_Hlk130981962"/>
      <w:r w:rsidRPr="00D37FCE">
        <w:lastRenderedPageBreak/>
        <w:t xml:space="preserve">CHAPTER </w:t>
      </w:r>
      <w:r w:rsidR="00634007" w:rsidRPr="00D37FCE">
        <w:t>5</w:t>
      </w:r>
    </w:p>
    <w:p w14:paraId="03B48E15" w14:textId="77777777" w:rsidR="003F7044" w:rsidRPr="00D37FCE" w:rsidRDefault="003F7044" w:rsidP="003F7044">
      <w:pPr>
        <w:spacing w:line="200" w:lineRule="exact"/>
        <w:rPr>
          <w:szCs w:val="20"/>
        </w:rPr>
      </w:pPr>
      <w:r w:rsidRPr="00D37FCE">
        <w:rPr>
          <w:noProof/>
          <w:lang w:eastAsia="en-NZ"/>
        </w:rPr>
        <mc:AlternateContent>
          <mc:Choice Requires="wpg">
            <w:drawing>
              <wp:anchor distT="0" distB="0" distL="114300" distR="114300" simplePos="0" relativeHeight="251658245" behindDoc="1" locked="0" layoutInCell="1" allowOverlap="1" wp14:anchorId="4C7D4A28" wp14:editId="07DAED68">
                <wp:simplePos x="0" y="0"/>
                <wp:positionH relativeFrom="page">
                  <wp:posOffset>1076653</wp:posOffset>
                </wp:positionH>
                <wp:positionV relativeFrom="paragraph">
                  <wp:posOffset>53975</wp:posOffset>
                </wp:positionV>
                <wp:extent cx="1332230" cy="1270"/>
                <wp:effectExtent l="0" t="19050" r="1270" b="1778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4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128B9" id="Group 244" o:spid="_x0000_s1026" style="position:absolute;margin-left:84.8pt;margin-top:4.25pt;width:104.9pt;height:.1pt;z-index:-25165823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ju9wIAANk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" path="m,l2098,e" filled="f" strokecolor="#73ab6e" strokeweight="3pt">
                  <v:path arrowok="t" o:connecttype="custom" o:connectlocs="0,0;2098,0" o:connectangles="0,0"/>
                </v:shape>
                <w10:wrap anchorx="page"/>
              </v:group>
            </w:pict>
          </mc:Fallback>
        </mc:AlternateContent>
      </w:r>
    </w:p>
    <w:p w14:paraId="796E2361" w14:textId="77777777" w:rsidR="0099329C" w:rsidRPr="001E0948" w:rsidRDefault="0099329C" w:rsidP="0099329C">
      <w:pPr>
        <w:pStyle w:val="Heading1"/>
        <w:rPr>
          <w:rFonts w:eastAsia="Consolas"/>
        </w:rPr>
      </w:pPr>
      <w:bookmarkStart w:id="85" w:name="_Toc126330121"/>
      <w:bookmarkStart w:id="86" w:name="_Toc132962556"/>
      <w:r>
        <w:rPr>
          <w:rFonts w:eastAsia="Consolas"/>
          <w:color w:val="FFFFFF" w:themeColor="background1"/>
          <w:sz w:val="2"/>
          <w:szCs w:val="2"/>
        </w:rPr>
        <w:t xml:space="preserve">5 </w:t>
      </w:r>
      <w:r>
        <w:rPr>
          <w:rFonts w:eastAsia="Consolas"/>
        </w:rPr>
        <w:t>Unreliable statements</w:t>
      </w:r>
      <w:bookmarkEnd w:id="85"/>
      <w:bookmarkEnd w:id="86"/>
    </w:p>
    <w:p w14:paraId="6FC505F2" w14:textId="77777777" w:rsidR="003F7044" w:rsidRPr="00D37FCE" w:rsidRDefault="003F7044" w:rsidP="003F7044">
      <w:pPr>
        <w:spacing w:line="200" w:lineRule="exact"/>
        <w:rPr>
          <w:szCs w:val="20"/>
        </w:rPr>
      </w:pPr>
      <w:r w:rsidRPr="00D37FCE">
        <w:rPr>
          <w:noProof/>
          <w:lang w:eastAsia="en-NZ"/>
        </w:rPr>
        <mc:AlternateContent>
          <mc:Choice Requires="wpg">
            <w:drawing>
              <wp:anchor distT="0" distB="0" distL="114300" distR="114300" simplePos="0" relativeHeight="251658246" behindDoc="1" locked="0" layoutInCell="1" allowOverlap="1" wp14:anchorId="012FBE3F" wp14:editId="74D26746">
                <wp:simplePos x="0" y="0"/>
                <wp:positionH relativeFrom="page">
                  <wp:posOffset>1087427</wp:posOffset>
                </wp:positionH>
                <wp:positionV relativeFrom="paragraph">
                  <wp:posOffset>71755</wp:posOffset>
                </wp:positionV>
                <wp:extent cx="1332230" cy="1270"/>
                <wp:effectExtent l="0" t="19050" r="1270" b="1778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4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CE2E3" id="Group 246" o:spid="_x0000_s1026" style="position:absolute;margin-left:85.6pt;margin-top:5.65pt;width:104.9pt;height:.1pt;z-index:-25165823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k29gIAANk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4820E38" w14:textId="4A3C92FD" w:rsidR="00634007" w:rsidRPr="00D37FCE" w:rsidRDefault="00634007" w:rsidP="00866891">
      <w:pPr>
        <w:pStyle w:val="ListParagraph"/>
        <w:numPr>
          <w:ilvl w:val="0"/>
          <w:numId w:val="23"/>
        </w:numPr>
        <w:contextualSpacing w:val="0"/>
        <w:jc w:val="both"/>
        <w:rPr>
          <w:vanish/>
          <w:sz w:val="20"/>
        </w:rPr>
      </w:pPr>
    </w:p>
    <w:bookmarkEnd w:id="83"/>
    <w:p w14:paraId="3C687D8B" w14:textId="5FD2BC5B" w:rsidR="003708BC" w:rsidRDefault="003708BC" w:rsidP="003708BC">
      <w:pPr>
        <w:rPr>
          <w:lang w:eastAsia="zh-TW"/>
        </w:rPr>
      </w:pPr>
    </w:p>
    <w:p w14:paraId="3290C839" w14:textId="430BC8B2" w:rsidR="002D4453" w:rsidRDefault="002D4453" w:rsidP="003708BC">
      <w:pPr>
        <w:rPr>
          <w:lang w:eastAsia="zh-TW"/>
        </w:rPr>
      </w:pPr>
    </w:p>
    <w:p w14:paraId="57466E7C" w14:textId="361F2716" w:rsidR="002D4453" w:rsidRDefault="006B26F6" w:rsidP="002D4453">
      <w:r w:rsidRPr="00D37FCE">
        <w:rPr>
          <w:rFonts w:eastAsia="Metropolis"/>
          <w:noProof/>
        </w:rPr>
        <mc:AlternateContent>
          <mc:Choice Requires="wpg">
            <w:drawing>
              <wp:anchor distT="0" distB="0" distL="114300" distR="114300" simplePos="0" relativeHeight="251658271" behindDoc="1" locked="0" layoutInCell="1" allowOverlap="1" wp14:anchorId="3708BAA0" wp14:editId="420A67A1">
                <wp:simplePos x="0" y="0"/>
                <wp:positionH relativeFrom="column">
                  <wp:posOffset>1242</wp:posOffset>
                </wp:positionH>
                <wp:positionV relativeFrom="paragraph">
                  <wp:posOffset>24655</wp:posOffset>
                </wp:positionV>
                <wp:extent cx="5792470" cy="1630000"/>
                <wp:effectExtent l="0" t="0" r="0" b="8890"/>
                <wp:wrapNone/>
                <wp:docPr id="764518307" name="Group 764518307"/>
                <wp:cNvGraphicFramePr/>
                <a:graphic xmlns:a="http://schemas.openxmlformats.org/drawingml/2006/main">
                  <a:graphicData uri="http://schemas.microsoft.com/office/word/2010/wordprocessingGroup">
                    <wpg:wgp>
                      <wpg:cNvGrpSpPr/>
                      <wpg:grpSpPr>
                        <a:xfrm>
                          <a:off x="0" y="0"/>
                          <a:ext cx="5792470" cy="1630000"/>
                          <a:chOff x="0" y="-4768"/>
                          <a:chExt cx="5793105" cy="1631553"/>
                        </a:xfrm>
                      </wpg:grpSpPr>
                      <wpg:grpSp>
                        <wpg:cNvPr id="764518308" name="Group 53"/>
                        <wpg:cNvGrpSpPr>
                          <a:grpSpLocks/>
                        </wpg:cNvGrpSpPr>
                        <wpg:grpSpPr bwMode="auto">
                          <a:xfrm>
                            <a:off x="0" y="314275"/>
                            <a:ext cx="5793105" cy="1312510"/>
                            <a:chOff x="1837" y="1792"/>
                            <a:chExt cx="9354" cy="14171"/>
                          </a:xfrm>
                        </wpg:grpSpPr>
                        <wps:wsp>
                          <wps:cNvPr id="764518309" name="Freeform 54"/>
                          <wps:cNvSpPr>
                            <a:spLocks/>
                          </wps:cNvSpPr>
                          <wps:spPr bwMode="auto">
                            <a:xfrm>
                              <a:off x="1837" y="1792"/>
                              <a:ext cx="9354" cy="141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10"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8EDE2B" w14:textId="77777777" w:rsidR="002D4453" w:rsidRDefault="002D4453" w:rsidP="002D4453">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3708BAA0" id="Group 764518307" o:spid="_x0000_s1119" style="position:absolute;margin-left:.1pt;margin-top:1.95pt;width:456.1pt;height:128.35pt;z-index:-251658209;mso-height-relative:margin" coordorigin=",-47" coordsize="57931,1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">
                <v:group id="Group 53" o:spid="_x0000_s1120" style="position:absolute;top:3142;width:57931;height:13125" coordorigin="1837,1792" coordsize="9354,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">
                  <v:shape id="Freeform 54" o:spid="_x0000_s1121" style="position:absolute;left:1837;top:1792;width:9354;height:141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" path="m,l9354,r,7809l,7809,,e" fillcolor="#edf2ea" stroked="f">
                    <v:path arrowok="t" o:connecttype="custom" o:connectlocs="0,1815;9354,1815;9354,15986;0,15986;0,1815" o:connectangles="0,0,0,0,0"/>
                  </v:shape>
                </v:group>
                <v:shape id="Freeform 52" o:spid="_x0000_s1122"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568EDE2B" w14:textId="77777777" w:rsidR="002D4453" w:rsidRDefault="002D4453" w:rsidP="002D4453">
                        <w:pPr>
                          <w:pStyle w:val="BoxTitle"/>
                          <w:spacing w:before="60" w:beforeAutospacing="0"/>
                        </w:pPr>
                        <w:r>
                          <w:t>INTRODUCTION</w:t>
                        </w:r>
                      </w:p>
                    </w:txbxContent>
                  </v:textbox>
                </v:shape>
              </v:group>
            </w:pict>
          </mc:Fallback>
        </mc:AlternateContent>
      </w:r>
    </w:p>
    <w:p w14:paraId="440968EF" w14:textId="77777777" w:rsidR="002D4453" w:rsidRDefault="002D4453" w:rsidP="002D4453">
      <w:pPr>
        <w:pStyle w:val="QuestionBox"/>
        <w:tabs>
          <w:tab w:val="clear" w:pos="709"/>
        </w:tabs>
        <w:ind w:left="0"/>
        <w:rPr>
          <w:rFonts w:eastAsia="Metropolis"/>
          <w:noProof/>
        </w:rPr>
      </w:pPr>
    </w:p>
    <w:p w14:paraId="48984603" w14:textId="7353D942" w:rsidR="002D4453" w:rsidRPr="002D4453" w:rsidRDefault="002D4453" w:rsidP="006B26F6">
      <w:pPr>
        <w:pStyle w:val="QuestionBox"/>
        <w:ind w:left="284"/>
        <w:rPr>
          <w:rFonts w:eastAsia="Metropolis"/>
          <w:noProof/>
        </w:rPr>
      </w:pPr>
      <w:r w:rsidRPr="002D4453">
        <w:rPr>
          <w:rFonts w:eastAsia="Metropolis"/>
          <w:noProof/>
        </w:rPr>
        <w:t xml:space="preserve">In this chapter we consider </w:t>
      </w:r>
      <w:r w:rsidR="00590704">
        <w:rPr>
          <w:rFonts w:eastAsia="Metropolis"/>
          <w:noProof/>
        </w:rPr>
        <w:t>section 28 (</w:t>
      </w:r>
      <w:r w:rsidRPr="002D4453">
        <w:rPr>
          <w:rFonts w:eastAsia="Metropolis"/>
          <w:noProof/>
        </w:rPr>
        <w:t>the exclusion of unreliable statements</w:t>
      </w:r>
      <w:r w:rsidR="00590704">
        <w:rPr>
          <w:rFonts w:eastAsia="Metropolis"/>
          <w:noProof/>
        </w:rPr>
        <w:t xml:space="preserve">) </w:t>
      </w:r>
      <w:r w:rsidRPr="002D4453">
        <w:rPr>
          <w:rFonts w:eastAsia="Metropolis"/>
          <w:noProof/>
        </w:rPr>
        <w:t>and seek feedback on issues relating to:</w:t>
      </w:r>
    </w:p>
    <w:p w14:paraId="14C2CD24" w14:textId="4768F3C4" w:rsidR="002D4453" w:rsidRPr="002D4453" w:rsidRDefault="002D4453" w:rsidP="00866891">
      <w:pPr>
        <w:pStyle w:val="ListBullet"/>
        <w:numPr>
          <w:ilvl w:val="0"/>
          <w:numId w:val="20"/>
        </w:numPr>
        <w:ind w:left="709" w:hanging="425"/>
        <w:rPr>
          <w:rFonts w:eastAsia="Metropolis"/>
          <w:noProof/>
        </w:rPr>
      </w:pPr>
      <w:r w:rsidRPr="002D4453">
        <w:rPr>
          <w:rFonts w:eastAsia="Metropolis"/>
          <w:noProof/>
        </w:rPr>
        <w:t>the purpose and effect of section 28; and</w:t>
      </w:r>
    </w:p>
    <w:p w14:paraId="5E4A019B" w14:textId="77777777" w:rsidR="00116092" w:rsidRDefault="00116092" w:rsidP="00866891">
      <w:pPr>
        <w:pStyle w:val="ListBullet"/>
        <w:numPr>
          <w:ilvl w:val="0"/>
          <w:numId w:val="20"/>
        </w:numPr>
        <w:ind w:left="709" w:hanging="425"/>
      </w:pPr>
      <w:r w:rsidRPr="00116092">
        <w:rPr>
          <w:rFonts w:eastAsia="Metropolis"/>
          <w:noProof/>
        </w:rPr>
        <w:t>the</w:t>
      </w:r>
      <w:r>
        <w:t xml:space="preserve"> standard of proof for admitting a statement under section 28.</w:t>
      </w:r>
    </w:p>
    <w:p w14:paraId="4375FB77" w14:textId="77777777" w:rsidR="00116092" w:rsidRDefault="00116092" w:rsidP="00116092">
      <w:pPr>
        <w:pStyle w:val="ListBullet"/>
        <w:numPr>
          <w:ilvl w:val="0"/>
          <w:numId w:val="0"/>
        </w:numPr>
        <w:ind w:left="709"/>
      </w:pPr>
    </w:p>
    <w:p w14:paraId="582C769E" w14:textId="77777777" w:rsidR="00116092" w:rsidRPr="006E5987" w:rsidRDefault="00116092" w:rsidP="00116092">
      <w:pPr>
        <w:pStyle w:val="Heading2"/>
      </w:pPr>
      <w:bookmarkStart w:id="87" w:name="_Toc132962557"/>
      <w:r>
        <w:t>Background</w:t>
      </w:r>
      <w:bookmarkEnd w:id="87"/>
    </w:p>
    <w:p w14:paraId="3CCF6709" w14:textId="7CA86DE8" w:rsidR="00116092" w:rsidRDefault="00116092" w:rsidP="00116092">
      <w:pPr>
        <w:pStyle w:val="BodyText"/>
      </w:pPr>
      <w:r>
        <w:t>Sections 27–30</w:t>
      </w:r>
      <w:r w:rsidR="00852BC9">
        <w:t xml:space="preserve"> of the Evidence Act 2006</w:t>
      </w:r>
      <w:r>
        <w:t xml:space="preserve"> govern the admissibility in criminal proceedings of defendants’ statements offered by the prosecution. Section 27 (discussed in Chapter 4) establishes the general rule that the prosecution may offer evidence of a defendant’s statement unless the statement is excluded by the operation of section 28 (unreliable statements), section 29 (statements influenced by oppression) or section 30 (improperly obtained evidence).</w:t>
      </w:r>
    </w:p>
    <w:p w14:paraId="7BB0A3BA" w14:textId="77777777" w:rsidR="00116092" w:rsidRDefault="00116092" w:rsidP="00116092">
      <w:pPr>
        <w:pStyle w:val="BodyText"/>
      </w:pPr>
      <w:r>
        <w:t>Sections 28–30 were intended to operate alongside each other to perform the roles previously fulfilled by the common law voluntariness rule and fairness discretion. As a scheme, sections 28–30 were designed to ensure defendants’ statements are sufficiently reliable to be considered by the fact-finder and to control the methods used to obtain evidence against defendants. We discuss the background to sections 29 and 30 further in Chapters 6 and 7.</w:t>
      </w:r>
    </w:p>
    <w:p w14:paraId="42860025" w14:textId="77777777" w:rsidR="00116092" w:rsidRDefault="00116092" w:rsidP="00116092">
      <w:pPr>
        <w:pStyle w:val="BodyText"/>
      </w:pPr>
      <w:r>
        <w:t>The focus of this chapter is on section 28, which provides for the exclusion of</w:t>
      </w:r>
      <w:r w:rsidRPr="00135B13">
        <w:t xml:space="preserve"> </w:t>
      </w:r>
      <w:r>
        <w:t xml:space="preserve">unreliable </w:t>
      </w:r>
      <w:r w:rsidRPr="00135B13">
        <w:t>statements.</w:t>
      </w:r>
      <w:r>
        <w:t xml:space="preserve"> Reliability of evidence is generally a matter for the fact-finder. However, the Act recognises that certain types of evidence should be screened for a threshold level of reliability before they are considered by the fact-finder. </w:t>
      </w:r>
    </w:p>
    <w:p w14:paraId="29C062BC" w14:textId="77777777" w:rsidR="00116092" w:rsidRDefault="00116092" w:rsidP="00116092">
      <w:pPr>
        <w:pStyle w:val="BodyText"/>
      </w:pPr>
      <w:r>
        <w:lastRenderedPageBreak/>
        <w:t>Section 28 is one example.</w:t>
      </w:r>
      <w:r>
        <w:rPr>
          <w:rStyle w:val="FootnoteReference"/>
        </w:rPr>
        <w:footnoteReference w:id="333"/>
      </w:r>
      <w:r>
        <w:t xml:space="preserve"> It recognises the risk of wrongful convictions based on false confessions.</w:t>
      </w:r>
      <w:r w:rsidRPr="00F51653">
        <w:rPr>
          <w:rStyle w:val="FootnoteReference"/>
        </w:rPr>
        <w:footnoteReference w:id="334"/>
      </w:r>
      <w:r>
        <w:t xml:space="preserve"> It</w:t>
      </w:r>
      <w:r w:rsidRPr="00135B13">
        <w:t xml:space="preserve"> </w:t>
      </w:r>
      <w:r>
        <w:t>applies if the</w:t>
      </w:r>
      <w:r w:rsidRPr="00135B13">
        <w:t xml:space="preserve"> defendant or a co-defendant raise</w:t>
      </w:r>
      <w:r>
        <w:t>s</w:t>
      </w:r>
      <w:r w:rsidRPr="00135B13">
        <w:t xml:space="preserve"> the issue of reliability on </w:t>
      </w:r>
      <w:r>
        <w:t>“</w:t>
      </w:r>
      <w:r w:rsidRPr="00135B13">
        <w:t>the basis of an evidential foundation</w:t>
      </w:r>
      <w:r>
        <w:t>”,</w:t>
      </w:r>
      <w:r w:rsidRPr="00DA178D">
        <w:rPr>
          <w:rStyle w:val="FootnoteReference"/>
        </w:rPr>
        <w:footnoteReference w:id="335"/>
      </w:r>
      <w:r>
        <w:t xml:space="preserve"> or</w:t>
      </w:r>
      <w:r w:rsidRPr="008529B1">
        <w:rPr>
          <w:vertAlign w:val="superscript"/>
        </w:rPr>
        <w:t xml:space="preserve"> </w:t>
      </w:r>
      <w:r w:rsidRPr="007917ED">
        <w:t>if</w:t>
      </w:r>
      <w:r w:rsidRPr="00135B13">
        <w:t xml:space="preserve"> </w:t>
      </w:r>
      <w:r>
        <w:t xml:space="preserve">the </w:t>
      </w:r>
      <w:r w:rsidRPr="00135B13">
        <w:t>judge raise</w:t>
      </w:r>
      <w:r>
        <w:t>s</w:t>
      </w:r>
      <w:r w:rsidRPr="00135B13">
        <w:t xml:space="preserve"> the issue of reliability.</w:t>
      </w:r>
      <w:r w:rsidRPr="00DA178D">
        <w:rPr>
          <w:rStyle w:val="FootnoteReference"/>
        </w:rPr>
        <w:footnoteReference w:id="336"/>
      </w:r>
      <w:r>
        <w:t xml:space="preserve"> The</w:t>
      </w:r>
      <w:r w:rsidRPr="00135B13">
        <w:t xml:space="preserve"> judge </w:t>
      </w:r>
      <w:r>
        <w:t>must</w:t>
      </w:r>
      <w:r w:rsidRPr="00135B13">
        <w:t xml:space="preserve"> exclude the statement unless satisfied on the balance of probabilities that the circumstances in which the statement was made were not likely to have adversely affected its reliability.</w:t>
      </w:r>
      <w:r w:rsidRPr="00DA178D">
        <w:rPr>
          <w:rStyle w:val="FootnoteReference"/>
        </w:rPr>
        <w:footnoteReference w:id="337"/>
      </w:r>
      <w:r w:rsidRPr="00135B13">
        <w:t xml:space="preserve"> </w:t>
      </w:r>
    </w:p>
    <w:p w14:paraId="54989139" w14:textId="77777777" w:rsidR="00116092" w:rsidRPr="00A12D31" w:rsidRDefault="00116092" w:rsidP="00116092">
      <w:pPr>
        <w:pStyle w:val="Heading2"/>
      </w:pPr>
      <w:bookmarkStart w:id="88" w:name="_Toc132962558"/>
      <w:r>
        <w:t>The purpose and effect of section 28</w:t>
      </w:r>
      <w:bookmarkEnd w:id="88"/>
      <w:r>
        <w:t xml:space="preserve"> </w:t>
      </w:r>
    </w:p>
    <w:p w14:paraId="7C082A1F" w14:textId="45623792" w:rsidR="00116092" w:rsidRDefault="00116092" w:rsidP="00116092">
      <w:pPr>
        <w:pStyle w:val="BodyText"/>
      </w:pPr>
      <w:r>
        <w:t xml:space="preserve">A key question is whether section 28 is concerned only with the circumstances in which the statement was made or whether </w:t>
      </w:r>
      <w:r w:rsidRPr="00A12D31">
        <w:t>the actual reliability (or truth) of the statement</w:t>
      </w:r>
      <w:r>
        <w:t xml:space="preserve"> can also be considered. This has long been debated</w:t>
      </w:r>
      <w:r w:rsidRPr="00A12D31">
        <w:t>.</w:t>
      </w:r>
      <w:r w:rsidRPr="00654C3A">
        <w:rPr>
          <w:rStyle w:val="FootnoteReference"/>
          <w:color w:val="0D0D0D" w:themeColor="text1" w:themeTint="F2"/>
        </w:rPr>
        <w:footnoteReference w:id="338"/>
      </w:r>
      <w:r w:rsidRPr="00A12D31">
        <w:t xml:space="preserve"> In </w:t>
      </w:r>
      <w:r w:rsidRPr="00A12D31">
        <w:rPr>
          <w:i/>
          <w:iCs/>
        </w:rPr>
        <w:t>R v Wichman</w:t>
      </w:r>
      <w:r w:rsidRPr="00A12D31">
        <w:t xml:space="preserve">, </w:t>
      </w:r>
      <w:r>
        <w:t xml:space="preserve">however, </w:t>
      </w:r>
      <w:r w:rsidRPr="00A12D31">
        <w:t>the majority of t</w:t>
      </w:r>
      <w:r w:rsidR="00A80EA0">
        <w:t>e Kōti Mana Nui |</w:t>
      </w:r>
      <w:r w:rsidRPr="00A12D31">
        <w:t xml:space="preserve"> Supreme Court held that indications of actual reliability are relevant to the section 28 assessment.</w:t>
      </w:r>
      <w:r w:rsidRPr="00654C3A">
        <w:rPr>
          <w:rStyle w:val="FootnoteReference"/>
          <w:color w:val="0D0D0D" w:themeColor="text1" w:themeTint="F2"/>
          <w:lang w:val="en-GB"/>
        </w:rPr>
        <w:footnoteReference w:id="339"/>
      </w:r>
      <w:r>
        <w:t xml:space="preserve"> This raises an issue with</w:t>
      </w:r>
      <w:r w:rsidRPr="00A12D31">
        <w:t xml:space="preserve"> the wording of </w:t>
      </w:r>
      <w:r>
        <w:t>section 28, which reflects earlier expectations as to how the section should operate</w:t>
      </w:r>
      <w:r w:rsidRPr="00A12D31">
        <w:t xml:space="preserve">. We invite submissions on whether amendment is desirable to clarify the </w:t>
      </w:r>
      <w:r>
        <w:t xml:space="preserve">purpose and effect of </w:t>
      </w:r>
      <w:r w:rsidRPr="00A12D31">
        <w:t xml:space="preserve">section 28 </w:t>
      </w:r>
      <w:r>
        <w:t xml:space="preserve">to make it </w:t>
      </w:r>
      <w:r w:rsidRPr="00A12D31">
        <w:t>simpler to apply.</w:t>
      </w:r>
    </w:p>
    <w:p w14:paraId="6044CF1C" w14:textId="77777777" w:rsidR="00116092" w:rsidRDefault="00116092" w:rsidP="00116092">
      <w:pPr>
        <w:pStyle w:val="Heading3"/>
      </w:pPr>
      <w:r>
        <w:t>Policy and legislative history</w:t>
      </w:r>
    </w:p>
    <w:p w14:paraId="4ACA5C15" w14:textId="45BAF5BA" w:rsidR="00116092" w:rsidRDefault="00116092" w:rsidP="00116092">
      <w:pPr>
        <w:pStyle w:val="BodyText"/>
      </w:pPr>
      <w:r>
        <w:t xml:space="preserve">Section 28 largely reflects, with some amendments, </w:t>
      </w:r>
      <w:r w:rsidR="008F4F33">
        <w:t>Te Aka Matua o te Ture | Law</w:t>
      </w:r>
      <w:r>
        <w:t xml:space="preserve"> Commission’s proposed Evidence Code provision.</w:t>
      </w:r>
      <w:r>
        <w:rPr>
          <w:rStyle w:val="FootnoteReference"/>
        </w:rPr>
        <w:footnoteReference w:id="340"/>
      </w:r>
      <w:r>
        <w:t xml:space="preserve"> This provision encompassed aspects of the common law voluntariness rule as well as the fairness discretion. </w:t>
      </w:r>
    </w:p>
    <w:p w14:paraId="503B7595" w14:textId="77777777" w:rsidR="00116092" w:rsidRDefault="00116092" w:rsidP="00116092">
      <w:pPr>
        <w:pStyle w:val="BodyText"/>
      </w:pPr>
      <w:r>
        <w:t xml:space="preserve">Under the common law voluntariness rule, confessions obtained by a promise, threat or any other inducement by a person in authority were considered involuntary and were </w:t>
      </w:r>
      <w:r>
        <w:lastRenderedPageBreak/>
        <w:t>generally inadmissible.</w:t>
      </w:r>
      <w:r>
        <w:rPr>
          <w:rStyle w:val="FootnoteReference"/>
        </w:rPr>
        <w:footnoteReference w:id="341"/>
      </w:r>
      <w:r>
        <w:t xml:space="preserve"> Such confessions could only be admitted if the judge was satisfied that the means by which the confession was obtained were not likely to cause a false confession.</w:t>
      </w:r>
      <w:r>
        <w:rPr>
          <w:rStyle w:val="FootnoteReference"/>
        </w:rPr>
        <w:footnoteReference w:id="342"/>
      </w:r>
      <w:r>
        <w:t xml:space="preserve"> Under this test, the actual truth of a confession was irrelevant. The focus was on the </w:t>
      </w:r>
      <w:r w:rsidRPr="00FA5EF3">
        <w:t>tendency</w:t>
      </w:r>
      <w:r>
        <w:t xml:space="preserve"> of the inducement to affect the reliability of the statement rather than on the </w:t>
      </w:r>
      <w:r w:rsidRPr="00FA5EF3">
        <w:t>actual</w:t>
      </w:r>
      <w:r>
        <w:t xml:space="preserve"> result.</w:t>
      </w:r>
      <w:r>
        <w:rPr>
          <w:rStyle w:val="FootnoteReference"/>
          <w:lang w:val="en-GB"/>
        </w:rPr>
        <w:footnoteReference w:id="343"/>
      </w:r>
      <w:r>
        <w:t xml:space="preserve"> </w:t>
      </w:r>
    </w:p>
    <w:p w14:paraId="141ABACF" w14:textId="478E1ED4" w:rsidR="00116092" w:rsidRDefault="00116092" w:rsidP="00116092">
      <w:pPr>
        <w:pStyle w:val="BodyText"/>
      </w:pPr>
      <w:r>
        <w:rPr>
          <w:lang w:val="en-GB"/>
        </w:rPr>
        <w:t>While the voluntariness rule was focused on the actions of others,</w:t>
      </w:r>
      <w:r>
        <w:rPr>
          <w:rStyle w:val="FootnoteReference"/>
          <w:lang w:val="en-GB"/>
        </w:rPr>
        <w:footnoteReference w:id="344"/>
      </w:r>
      <w:r>
        <w:rPr>
          <w:lang w:val="en-GB"/>
        </w:rPr>
        <w:t xml:space="preserve"> at common law</w:t>
      </w:r>
      <w:r w:rsidR="0040189E">
        <w:rPr>
          <w:lang w:val="en-GB"/>
        </w:rPr>
        <w:t>,</w:t>
      </w:r>
      <w:r>
        <w:rPr>
          <w:lang w:val="en-GB"/>
        </w:rPr>
        <w:t xml:space="preserve"> factors </w:t>
      </w:r>
      <w:r>
        <w:t>internal to the defendant (such as fatigue, their psychological state or the influence of drugs or alcohol) could be taken into account under a separate discretion to exclude evidence that was obtained unfairly (the fairness discretion).</w:t>
      </w:r>
      <w:r>
        <w:rPr>
          <w:rStyle w:val="FootnoteReference"/>
          <w:lang w:val="en-GB"/>
        </w:rPr>
        <w:footnoteReference w:id="345"/>
      </w:r>
      <w:r>
        <w:t xml:space="preserve"> The fairness discretion is now primarily reflected in section 30.</w:t>
      </w:r>
      <w:r>
        <w:rPr>
          <w:rStyle w:val="FootnoteReference"/>
          <w:lang w:val="en-GB"/>
        </w:rPr>
        <w:footnoteReference w:id="346"/>
      </w:r>
      <w:r>
        <w:t xml:space="preserve"> Nevertheless, the Commission also incorporated aspects of the fairness discretion into its proposed Code provision on unreliability, by including </w:t>
      </w:r>
      <w:r w:rsidRPr="007B5053">
        <w:rPr>
          <w:lang w:val="en-GB"/>
        </w:rPr>
        <w:t>factors internal to the defendant that might impact reliability (such as a mental disability</w:t>
      </w:r>
      <w:r>
        <w:rPr>
          <w:lang w:val="en-GB"/>
        </w:rPr>
        <w:t xml:space="preserve"> or intoxication</w:t>
      </w:r>
      <w:r w:rsidRPr="007B5053">
        <w:rPr>
          <w:lang w:val="en-GB"/>
        </w:rPr>
        <w:t>) as well as external factors (such as police conduct).</w:t>
      </w:r>
      <w:r>
        <w:rPr>
          <w:rStyle w:val="FootnoteReference"/>
          <w:lang w:val="en-GB"/>
        </w:rPr>
        <w:footnoteReference w:id="347"/>
      </w:r>
      <w:r>
        <w:rPr>
          <w:lang w:val="en-GB"/>
        </w:rPr>
        <w:t xml:space="preserve"> </w:t>
      </w:r>
    </w:p>
    <w:p w14:paraId="607D5D55" w14:textId="4253D244" w:rsidR="00116092" w:rsidRDefault="00116092" w:rsidP="00116092">
      <w:pPr>
        <w:pStyle w:val="BodyText"/>
      </w:pPr>
      <w:r w:rsidRPr="006F5D78">
        <w:rPr>
          <w:lang w:val="en-GB"/>
        </w:rPr>
        <w:t xml:space="preserve">The Commission </w:t>
      </w:r>
      <w:r>
        <w:rPr>
          <w:lang w:val="en-GB"/>
        </w:rPr>
        <w:t xml:space="preserve">therefore </w:t>
      </w:r>
      <w:r w:rsidRPr="006F5D78">
        <w:rPr>
          <w:lang w:val="en-GB"/>
        </w:rPr>
        <w:t>originally intended</w:t>
      </w:r>
      <w:r>
        <w:rPr>
          <w:lang w:val="en-GB"/>
        </w:rPr>
        <w:t xml:space="preserve"> that</w:t>
      </w:r>
      <w:r w:rsidRPr="006F5D78">
        <w:rPr>
          <w:lang w:val="en-GB"/>
        </w:rPr>
        <w:t xml:space="preserve"> </w:t>
      </w:r>
      <w:r>
        <w:t xml:space="preserve">what became section 28 </w:t>
      </w:r>
      <w:r w:rsidRPr="006F5D78">
        <w:rPr>
          <w:lang w:val="en-GB"/>
        </w:rPr>
        <w:t>would serve dual purposes, depending on whether police conduct was a factor. While its primary purpose was to ensure statements were only admitted if they were sufficiently reliable</w:t>
      </w:r>
      <w:r>
        <w:rPr>
          <w:lang w:val="en-GB"/>
        </w:rPr>
        <w:t xml:space="preserve"> to be considered by the fact-finder (threshold reliability)</w:t>
      </w:r>
      <w:r w:rsidRPr="006F5D78">
        <w:rPr>
          <w:lang w:val="en-GB"/>
        </w:rPr>
        <w:t>,</w:t>
      </w:r>
      <w:r>
        <w:rPr>
          <w:rStyle w:val="FootnoteReference"/>
          <w:lang w:val="en-GB"/>
        </w:rPr>
        <w:footnoteReference w:id="348"/>
      </w:r>
      <w:r w:rsidRPr="006F5D78">
        <w:rPr>
          <w:lang w:val="en-GB"/>
        </w:rPr>
        <w:t xml:space="preserve"> it was also intended to deter unacceptable police questioning practices that created a </w:t>
      </w:r>
      <w:r w:rsidRPr="00B11689">
        <w:rPr>
          <w:lang w:val="en-GB"/>
        </w:rPr>
        <w:t>risk</w:t>
      </w:r>
      <w:r w:rsidRPr="006F5D78">
        <w:rPr>
          <w:lang w:val="en-GB"/>
        </w:rPr>
        <w:t xml:space="preserve"> of unreliability.</w:t>
      </w:r>
      <w:r>
        <w:rPr>
          <w:rStyle w:val="FootnoteReference"/>
          <w:lang w:val="en-GB"/>
        </w:rPr>
        <w:footnoteReference w:id="349"/>
      </w:r>
      <w:r>
        <w:t xml:space="preserve"> The Commission explained that the actual truth of the statement was not intended to be relevant, because </w:t>
      </w:r>
      <w:r w:rsidRPr="0019223D">
        <w:rPr>
          <w:lang w:val="en-GB"/>
        </w:rPr>
        <w:t>“[t]o require truth to be established at this preliminary stage would usurp the function of the jury”.</w:t>
      </w:r>
      <w:r w:rsidRPr="00E92B02">
        <w:rPr>
          <w:rStyle w:val="FootnoteReference"/>
          <w:lang w:val="en-GB"/>
        </w:rPr>
        <w:footnoteReference w:id="350"/>
      </w:r>
      <w:r w:rsidRPr="0019223D">
        <w:rPr>
          <w:lang w:val="en-GB"/>
        </w:rPr>
        <w:t xml:space="preserve"> </w:t>
      </w:r>
      <w:r>
        <w:rPr>
          <w:lang w:val="en-GB"/>
        </w:rPr>
        <w:t xml:space="preserve">Accordingly, the </w:t>
      </w:r>
      <w:r w:rsidR="000D77F3">
        <w:rPr>
          <w:lang w:val="en-GB"/>
        </w:rPr>
        <w:t xml:space="preserve">Evidence </w:t>
      </w:r>
      <w:r>
        <w:rPr>
          <w:lang w:val="en-GB"/>
        </w:rPr>
        <w:t>Code included a separate provision requiring that the truth or falsity of a defendant’s statement be disregarded.</w:t>
      </w:r>
      <w:r>
        <w:rPr>
          <w:rStyle w:val="FootnoteReference"/>
          <w:lang w:val="en-GB"/>
        </w:rPr>
        <w:footnoteReference w:id="351"/>
      </w:r>
      <w:r>
        <w:rPr>
          <w:lang w:val="en-GB"/>
        </w:rPr>
        <w:t xml:space="preserve"> </w:t>
      </w:r>
    </w:p>
    <w:p w14:paraId="44726051" w14:textId="77777777" w:rsidR="00116092" w:rsidRPr="001E07EB" w:rsidRDefault="00116092" w:rsidP="00116092">
      <w:pPr>
        <w:pStyle w:val="BodyText"/>
      </w:pPr>
      <w:r w:rsidRPr="006F5D78">
        <w:lastRenderedPageBreak/>
        <w:t>The Ministry of Justice appears to have taken a different view on the</w:t>
      </w:r>
      <w:r>
        <w:t xml:space="preserve"> intended</w:t>
      </w:r>
      <w:r w:rsidRPr="006F5D78">
        <w:t xml:space="preserve"> purpose of the unreliable statements </w:t>
      </w:r>
      <w:r>
        <w:t>provision</w:t>
      </w:r>
      <w:r w:rsidRPr="006F5D78">
        <w:t xml:space="preserve"> in the Evidence Bill. The Departmental Report emphasised that </w:t>
      </w:r>
      <w:r>
        <w:t>the provision</w:t>
      </w:r>
      <w:r w:rsidRPr="006F5D78">
        <w:t xml:space="preserve"> </w:t>
      </w:r>
      <w:r>
        <w:t>wa</w:t>
      </w:r>
      <w:r w:rsidRPr="006F5D78">
        <w:t xml:space="preserve">s concerned with the nature and reliability of the statement </w:t>
      </w:r>
      <w:r w:rsidRPr="0091239A">
        <w:t>rather than the manner in which it was obtained</w:t>
      </w:r>
      <w:r w:rsidRPr="00836314">
        <w:t>.</w:t>
      </w:r>
      <w:r>
        <w:rPr>
          <w:rStyle w:val="FootnoteReference"/>
        </w:rPr>
        <w:footnoteReference w:id="352"/>
      </w:r>
      <w:r w:rsidRPr="006F5D78">
        <w:t xml:space="preserve"> </w:t>
      </w:r>
      <w:r w:rsidRPr="00B24D10">
        <w:rPr>
          <w:lang w:val="en-GB"/>
        </w:rPr>
        <w:t>Contrary to the Commission’s recommendations, the Bill as introduced</w:t>
      </w:r>
      <w:r>
        <w:rPr>
          <w:lang w:val="en-GB"/>
        </w:rPr>
        <w:t xml:space="preserve"> also</w:t>
      </w:r>
      <w:r w:rsidRPr="00B24D10">
        <w:rPr>
          <w:lang w:val="en-GB"/>
        </w:rPr>
        <w:t xml:space="preserve"> provided for the admission of a statement under what became section 28 if the judge was satisfied that it was actually true.</w:t>
      </w:r>
      <w:r w:rsidRPr="00FE496B">
        <w:rPr>
          <w:rStyle w:val="FootnoteReference"/>
          <w:lang w:val="en-GB"/>
        </w:rPr>
        <w:footnoteReference w:id="353"/>
      </w:r>
      <w:r w:rsidRPr="00B24D10">
        <w:rPr>
          <w:lang w:val="en-GB"/>
        </w:rPr>
        <w:t xml:space="preserve"> </w:t>
      </w:r>
      <w:r>
        <w:rPr>
          <w:lang w:val="en-GB"/>
        </w:rPr>
        <w:t>T</w:t>
      </w:r>
      <w:r w:rsidRPr="00B24D10">
        <w:rPr>
          <w:lang w:val="en-GB"/>
        </w:rPr>
        <w:t xml:space="preserve">hat provision was removed on the recommendation of the </w:t>
      </w:r>
      <w:r>
        <w:rPr>
          <w:lang w:val="en-GB"/>
        </w:rPr>
        <w:t>s</w:t>
      </w:r>
      <w:r w:rsidRPr="00B24D10">
        <w:rPr>
          <w:lang w:val="en-GB"/>
        </w:rPr>
        <w:t xml:space="preserve">elect </w:t>
      </w:r>
      <w:r>
        <w:rPr>
          <w:lang w:val="en-GB"/>
        </w:rPr>
        <w:t>c</w:t>
      </w:r>
      <w:r w:rsidRPr="00B24D10">
        <w:rPr>
          <w:lang w:val="en-GB"/>
        </w:rPr>
        <w:t>ommittee, which considered the truth of a statement should not be used to justify its admissibility.</w:t>
      </w:r>
      <w:r w:rsidRPr="00FE496B">
        <w:rPr>
          <w:rStyle w:val="FootnoteReference"/>
          <w:lang w:val="en-GB"/>
        </w:rPr>
        <w:footnoteReference w:id="354"/>
      </w:r>
      <w:r>
        <w:rPr>
          <w:lang w:val="en-GB"/>
        </w:rPr>
        <w:t xml:space="preserve"> The Bill was not, however, amended to expressly require evidence of the truth of a statement to be disregarded under section 28, as the Law Commission had recommended.</w:t>
      </w:r>
      <w:r>
        <w:rPr>
          <w:rStyle w:val="FootnoteReference"/>
          <w:lang w:val="en-GB"/>
        </w:rPr>
        <w:footnoteReference w:id="355"/>
      </w:r>
    </w:p>
    <w:p w14:paraId="72E5E67A" w14:textId="77777777" w:rsidR="00116092" w:rsidRPr="001E07EB" w:rsidRDefault="00116092" w:rsidP="00116092">
      <w:pPr>
        <w:pStyle w:val="Heading3"/>
      </w:pPr>
      <w:r>
        <w:t>Previous Law Commission reviews</w:t>
      </w:r>
    </w:p>
    <w:p w14:paraId="78C7DB77" w14:textId="32E20761" w:rsidR="00116092" w:rsidRPr="008102B0" w:rsidRDefault="00116092" w:rsidP="00116092">
      <w:pPr>
        <w:pStyle w:val="BodyText"/>
      </w:pPr>
      <w:r w:rsidRPr="001E07EB">
        <w:rPr>
          <w:lang w:val="en-GB"/>
        </w:rPr>
        <w:t xml:space="preserve">In its 2013 </w:t>
      </w:r>
      <w:r w:rsidR="00415B5F">
        <w:rPr>
          <w:lang w:val="en-GB"/>
        </w:rPr>
        <w:t>R</w:t>
      </w:r>
      <w:r w:rsidRPr="001E07EB">
        <w:rPr>
          <w:lang w:val="en-GB"/>
        </w:rPr>
        <w:t>eview</w:t>
      </w:r>
      <w:r w:rsidR="00415B5F">
        <w:rPr>
          <w:lang w:val="en-GB"/>
        </w:rPr>
        <w:t xml:space="preserve"> of the Act</w:t>
      </w:r>
      <w:r w:rsidRPr="001E07EB">
        <w:rPr>
          <w:lang w:val="en-GB"/>
        </w:rPr>
        <w:t xml:space="preserve">, the Commission recommended that section 28 be amended to </w:t>
      </w:r>
      <w:r>
        <w:rPr>
          <w:lang w:val="en-GB"/>
        </w:rPr>
        <w:t>provide</w:t>
      </w:r>
      <w:r w:rsidRPr="001E07EB">
        <w:rPr>
          <w:lang w:val="en-GB"/>
        </w:rPr>
        <w:t xml:space="preserve"> that the actual truth of a statement is irrelevant.</w:t>
      </w:r>
      <w:r>
        <w:rPr>
          <w:rStyle w:val="FootnoteReference"/>
          <w:lang w:val="en-GB"/>
        </w:rPr>
        <w:footnoteReference w:id="356"/>
      </w:r>
      <w:r w:rsidRPr="001E07EB">
        <w:rPr>
          <w:lang w:val="en-GB"/>
        </w:rPr>
        <w:t xml:space="preserve"> This recommendation was rejected on the basis that a blanket rule would be too restrictive.</w:t>
      </w:r>
      <w:r>
        <w:rPr>
          <w:rStyle w:val="FootnoteReference"/>
          <w:lang w:val="en-GB"/>
        </w:rPr>
        <w:footnoteReference w:id="357"/>
      </w:r>
      <w:r w:rsidRPr="001E07EB">
        <w:rPr>
          <w:lang w:val="en-GB"/>
        </w:rPr>
        <w:t xml:space="preserve"> The Ministry of Justice’s advice noted that the apparent truth of the statement may be the only way to assess its reliability</w:t>
      </w:r>
      <w:r w:rsidR="00AE1772">
        <w:rPr>
          <w:lang w:val="en-GB"/>
        </w:rPr>
        <w:t xml:space="preserve">, </w:t>
      </w:r>
      <w:r w:rsidRPr="001E07EB">
        <w:rPr>
          <w:lang w:val="en-GB"/>
        </w:rPr>
        <w:t>for example, where it contains information only the offender could have known.</w:t>
      </w:r>
      <w:r>
        <w:rPr>
          <w:rStyle w:val="FootnoteReference"/>
          <w:lang w:val="en-GB"/>
        </w:rPr>
        <w:footnoteReference w:id="358"/>
      </w:r>
    </w:p>
    <w:p w14:paraId="263B5BE5" w14:textId="5924FE4D" w:rsidR="00116092" w:rsidRDefault="00116092" w:rsidP="00116092">
      <w:pPr>
        <w:pStyle w:val="BodyText"/>
      </w:pPr>
      <w:r w:rsidRPr="008102B0">
        <w:rPr>
          <w:lang w:val="en-GB"/>
        </w:rPr>
        <w:t xml:space="preserve">In its </w:t>
      </w:r>
      <w:r w:rsidR="00910744">
        <w:rPr>
          <w:lang w:val="en-GB"/>
        </w:rPr>
        <w:t>S</w:t>
      </w:r>
      <w:r w:rsidRPr="008102B0">
        <w:rPr>
          <w:lang w:val="en-GB"/>
        </w:rPr>
        <w:t xml:space="preserve">econd </w:t>
      </w:r>
      <w:r w:rsidR="00910744">
        <w:rPr>
          <w:lang w:val="en-GB"/>
        </w:rPr>
        <w:t>R</w:t>
      </w:r>
      <w:r w:rsidRPr="008102B0">
        <w:rPr>
          <w:lang w:val="en-GB"/>
        </w:rPr>
        <w:t>eview of the Act, the Commission considered the relevance of truth</w:t>
      </w:r>
      <w:r w:rsidR="00B4365A">
        <w:rPr>
          <w:lang w:val="en-GB"/>
        </w:rPr>
        <w:t>,</w:t>
      </w:r>
      <w:r w:rsidRPr="008102B0">
        <w:rPr>
          <w:lang w:val="en-GB"/>
        </w:rPr>
        <w:t xml:space="preserve"> again following the Supreme Court’s decision in </w:t>
      </w:r>
      <w:r w:rsidRPr="008102B0">
        <w:rPr>
          <w:i/>
          <w:iCs/>
          <w:lang w:val="en-GB"/>
        </w:rPr>
        <w:t>R v Wichman</w:t>
      </w:r>
      <w:r w:rsidRPr="008102B0">
        <w:rPr>
          <w:lang w:val="en-GB"/>
        </w:rPr>
        <w:t>.</w:t>
      </w:r>
      <w:r>
        <w:rPr>
          <w:rStyle w:val="FootnoteReference"/>
          <w:lang w:val="en-GB"/>
        </w:rPr>
        <w:footnoteReference w:id="359"/>
      </w:r>
      <w:r w:rsidRPr="008102B0">
        <w:rPr>
          <w:lang w:val="en-GB"/>
        </w:rPr>
        <w:t xml:space="preserve"> </w:t>
      </w:r>
      <w:r>
        <w:rPr>
          <w:lang w:val="en-GB"/>
        </w:rPr>
        <w:t>As noted above, the</w:t>
      </w:r>
      <w:r w:rsidRPr="008102B0">
        <w:rPr>
          <w:lang w:val="en-GB"/>
        </w:rPr>
        <w:t xml:space="preserve"> majority in </w:t>
      </w:r>
      <w:r w:rsidRPr="008102B0">
        <w:rPr>
          <w:i/>
          <w:iCs/>
          <w:lang w:val="en-GB"/>
        </w:rPr>
        <w:t xml:space="preserve">Wichman </w:t>
      </w:r>
      <w:r w:rsidRPr="008102B0">
        <w:rPr>
          <w:lang w:val="en-GB"/>
        </w:rPr>
        <w:t>found that indications of actual reliability — such as the degree of congruence between what is asserted in the statement and the known facts, and the general plausibility of the statement — are relevant to the section 28 assessment.</w:t>
      </w:r>
      <w:r>
        <w:rPr>
          <w:rStyle w:val="FootnoteReference"/>
          <w:lang w:val="en-GB"/>
        </w:rPr>
        <w:footnoteReference w:id="360"/>
      </w:r>
      <w:r>
        <w:t xml:space="preserve"> </w:t>
      </w:r>
      <w:r w:rsidRPr="008B1DEE">
        <w:rPr>
          <w:lang w:val="en-GB"/>
        </w:rPr>
        <w:t xml:space="preserve">The Commission endorsed the </w:t>
      </w:r>
      <w:r>
        <w:rPr>
          <w:lang w:val="en-GB"/>
        </w:rPr>
        <w:t xml:space="preserve">majority’s </w:t>
      </w:r>
      <w:r w:rsidRPr="008B1DEE">
        <w:rPr>
          <w:lang w:val="en-GB"/>
        </w:rPr>
        <w:t>approach.</w:t>
      </w:r>
      <w:r>
        <w:rPr>
          <w:rStyle w:val="FootnoteReference"/>
          <w:lang w:val="en-GB"/>
        </w:rPr>
        <w:footnoteReference w:id="361"/>
      </w:r>
      <w:r w:rsidRPr="008B1DEE">
        <w:rPr>
          <w:lang w:val="en-GB"/>
        </w:rPr>
        <w:t xml:space="preserve"> The Commission reasoned that:</w:t>
      </w:r>
      <w:r>
        <w:rPr>
          <w:rStyle w:val="FootnoteReference"/>
          <w:lang w:val="en-GB"/>
        </w:rPr>
        <w:footnoteReference w:id="362"/>
      </w:r>
    </w:p>
    <w:p w14:paraId="4E4116D0" w14:textId="77777777" w:rsidR="00116092" w:rsidRPr="008102B0" w:rsidRDefault="00116092" w:rsidP="00866891">
      <w:pPr>
        <w:pStyle w:val="BodyText2"/>
        <w:numPr>
          <w:ilvl w:val="3"/>
          <w:numId w:val="46"/>
        </w:numPr>
      </w:pPr>
      <w:r w:rsidRPr="00E620BF">
        <w:rPr>
          <w:lang w:val="en-GB"/>
        </w:rPr>
        <w:t>the policy underlying the section is to prevent a fact-finder from relying on a defendant’s statement where it would be unsafe to do so;</w:t>
      </w:r>
      <w:r>
        <w:rPr>
          <w:lang w:val="en-GB"/>
        </w:rPr>
        <w:t xml:space="preserve"> and</w:t>
      </w:r>
    </w:p>
    <w:p w14:paraId="3215135D" w14:textId="77777777" w:rsidR="00116092" w:rsidRPr="008102B0" w:rsidRDefault="00116092" w:rsidP="009F4F6E">
      <w:pPr>
        <w:pStyle w:val="BodyText2"/>
      </w:pPr>
      <w:r w:rsidRPr="00E41F96">
        <w:rPr>
          <w:lang w:val="en-GB"/>
        </w:rPr>
        <w:t xml:space="preserve">the section covers unreliability stemming from internal factors (such as the defendant’s mental condition) as well as external factors. </w:t>
      </w:r>
    </w:p>
    <w:p w14:paraId="6D949C8A" w14:textId="77777777" w:rsidR="00116092" w:rsidRDefault="00116092" w:rsidP="00116092">
      <w:pPr>
        <w:pStyle w:val="BodyText"/>
      </w:pPr>
      <w:r w:rsidRPr="008102B0">
        <w:rPr>
          <w:lang w:val="en-GB"/>
        </w:rPr>
        <w:lastRenderedPageBreak/>
        <w:t xml:space="preserve">The Commission </w:t>
      </w:r>
      <w:r>
        <w:rPr>
          <w:lang w:val="en-GB"/>
        </w:rPr>
        <w:t>suggested it may be</w:t>
      </w:r>
      <w:r w:rsidRPr="008102B0">
        <w:rPr>
          <w:lang w:val="en-GB"/>
        </w:rPr>
        <w:t xml:space="preserve"> undesirable to require the courts to ignore indications of the actual truth or falsity of a statement, particularly where the potential unreliability stems from internal factors.</w:t>
      </w:r>
      <w:r>
        <w:rPr>
          <w:rStyle w:val="FootnoteReference"/>
          <w:lang w:val="en-GB"/>
        </w:rPr>
        <w:footnoteReference w:id="363"/>
      </w:r>
      <w:r w:rsidRPr="008102B0">
        <w:rPr>
          <w:lang w:val="en-GB"/>
        </w:rPr>
        <w:t xml:space="preserve"> </w:t>
      </w:r>
      <w:r>
        <w:rPr>
          <w:lang w:val="en-GB"/>
        </w:rPr>
        <w:t>However,</w:t>
      </w:r>
      <w:r w:rsidRPr="008102B0">
        <w:rPr>
          <w:lang w:val="en-GB"/>
        </w:rPr>
        <w:t xml:space="preserve"> </w:t>
      </w:r>
      <w:r>
        <w:t>t</w:t>
      </w:r>
      <w:r w:rsidRPr="008102B0">
        <w:rPr>
          <w:lang w:val="en-GB"/>
        </w:rPr>
        <w:t>he Commission concluded it was unnecessary to amend section 28 to clarify that indications of actual truth can be considered. While submitters had mixed views on whether such an amendment was desirable,</w:t>
      </w:r>
      <w:r>
        <w:rPr>
          <w:rStyle w:val="FootnoteReference"/>
          <w:lang w:val="en-GB"/>
        </w:rPr>
        <w:footnoteReference w:id="364"/>
      </w:r>
      <w:r w:rsidRPr="008102B0">
        <w:rPr>
          <w:lang w:val="en-GB"/>
        </w:rPr>
        <w:t xml:space="preserve"> the Commission found that the guidance in </w:t>
      </w:r>
      <w:r w:rsidRPr="008102B0">
        <w:rPr>
          <w:i/>
          <w:iCs/>
          <w:lang w:val="en-GB"/>
        </w:rPr>
        <w:t xml:space="preserve">Wichman </w:t>
      </w:r>
      <w:r w:rsidRPr="008102B0">
        <w:rPr>
          <w:lang w:val="en-GB"/>
        </w:rPr>
        <w:t>was sufficiently clear.</w:t>
      </w:r>
      <w:r>
        <w:rPr>
          <w:rStyle w:val="FootnoteReference"/>
          <w:lang w:val="en-GB"/>
        </w:rPr>
        <w:footnoteReference w:id="365"/>
      </w:r>
    </w:p>
    <w:p w14:paraId="79465E74" w14:textId="77777777" w:rsidR="00116092" w:rsidRPr="00030074" w:rsidRDefault="00116092" w:rsidP="00116092">
      <w:pPr>
        <w:pStyle w:val="Heading3"/>
        <w:rPr>
          <w:i/>
        </w:rPr>
      </w:pPr>
      <w:r>
        <w:t>Is the wording of section 28 sufficiently clear</w:t>
      </w:r>
      <w:r>
        <w:rPr>
          <w:i/>
          <w:iCs/>
        </w:rPr>
        <w:t>?</w:t>
      </w:r>
    </w:p>
    <w:p w14:paraId="1BA27FF4" w14:textId="77777777" w:rsidR="00116092" w:rsidRPr="00A21584" w:rsidRDefault="00116092" w:rsidP="00116092">
      <w:pPr>
        <w:pStyle w:val="BodyText"/>
      </w:pPr>
      <w:r>
        <w:rPr>
          <w:lang w:val="en-GB"/>
        </w:rPr>
        <w:t xml:space="preserve">The way in which the courts now interpret and apply section 28 differs from how the Commission (and arguably the select committee) intended it to function and may be out of step with the wording of the section. We raise this issue for consideration again given that some time has now passed since </w:t>
      </w:r>
      <w:r>
        <w:rPr>
          <w:i/>
          <w:iCs/>
          <w:lang w:val="en-GB"/>
        </w:rPr>
        <w:t xml:space="preserve">Wichman </w:t>
      </w:r>
      <w:r>
        <w:rPr>
          <w:lang w:val="en-GB"/>
        </w:rPr>
        <w:t>and submitters may have new observations about how section 28 is applying in practice.</w:t>
      </w:r>
    </w:p>
    <w:p w14:paraId="44137833" w14:textId="77777777" w:rsidR="00116092" w:rsidRDefault="00116092" w:rsidP="00116092">
      <w:pPr>
        <w:pStyle w:val="BodyText"/>
      </w:pPr>
      <w:r w:rsidRPr="008D71D1">
        <w:t>Section 28 contains a two-step process:</w:t>
      </w:r>
    </w:p>
    <w:p w14:paraId="39F71E16" w14:textId="77777777" w:rsidR="00116092" w:rsidRPr="001C3A51" w:rsidRDefault="00116092" w:rsidP="00866891">
      <w:pPr>
        <w:pStyle w:val="BodyText2"/>
        <w:numPr>
          <w:ilvl w:val="3"/>
          <w:numId w:val="29"/>
        </w:numPr>
      </w:pPr>
      <w:r w:rsidRPr="001C3A51">
        <w:t>The defendant or the judge must raise “the issue of the reliability of the statement” (section 28(1)).</w:t>
      </w:r>
    </w:p>
    <w:p w14:paraId="5849F880" w14:textId="77777777" w:rsidR="00116092" w:rsidRPr="001C3A51" w:rsidRDefault="00116092" w:rsidP="009F4F6E">
      <w:pPr>
        <w:pStyle w:val="BodyText2"/>
      </w:pPr>
      <w:r w:rsidRPr="001C3A51">
        <w:t xml:space="preserve">Once the issue of reliability has been raised, the judge must exclude the statement “unless satisfied on the balance of probabilities that the </w:t>
      </w:r>
      <w:r w:rsidRPr="00E41F96">
        <w:rPr>
          <w:i/>
        </w:rPr>
        <w:t xml:space="preserve">circumstances in which the statement was made </w:t>
      </w:r>
      <w:r w:rsidRPr="001C3A51">
        <w:t xml:space="preserve">were not </w:t>
      </w:r>
      <w:r w:rsidRPr="00E41F96">
        <w:rPr>
          <w:i/>
        </w:rPr>
        <w:t>likely</w:t>
      </w:r>
      <w:r w:rsidRPr="001C3A51">
        <w:t xml:space="preserve"> to have adversely affected its reliability” (section 28(2)).</w:t>
      </w:r>
    </w:p>
    <w:p w14:paraId="28CF1D6B" w14:textId="77777777" w:rsidR="00116092" w:rsidRDefault="00116092" w:rsidP="00116092">
      <w:pPr>
        <w:pStyle w:val="BodyText"/>
      </w:pPr>
      <w:r>
        <w:t>On the face of the statute, i</w:t>
      </w:r>
      <w:r w:rsidRPr="000B01D8">
        <w:t xml:space="preserve">t is arguably unclear whether the “issue of reliability” in section 28(1) must be raised by reference to the circumstances in which the statement was made (as the section 28(2) assessment requires), or whether it is concerned with actual reliability or a mixture of both. </w:t>
      </w:r>
    </w:p>
    <w:p w14:paraId="2CA86053" w14:textId="7FDE3AB2" w:rsidR="00116092" w:rsidRDefault="00116092" w:rsidP="00116092">
      <w:pPr>
        <w:pStyle w:val="BodyText"/>
      </w:pPr>
      <w:r w:rsidRPr="009F7E9D">
        <w:t xml:space="preserve">Section 28(2) can also be interpreted in various ways. </w:t>
      </w:r>
      <w:r>
        <w:t xml:space="preserve">Commentator </w:t>
      </w:r>
      <w:r w:rsidRPr="009F7E9D">
        <w:t xml:space="preserve">Bernard Robertson has suggested that the approach in </w:t>
      </w:r>
      <w:r w:rsidRPr="009F7E9D">
        <w:rPr>
          <w:i/>
        </w:rPr>
        <w:t>Wichman</w:t>
      </w:r>
      <w:r w:rsidRPr="009F7E9D">
        <w:t xml:space="preserve"> is inconsistent with the wording of section 28.</w:t>
      </w:r>
      <w:r w:rsidRPr="000B01D8">
        <w:rPr>
          <w:rStyle w:val="FootnoteReference"/>
          <w:color w:val="0D0D0D" w:themeColor="text1" w:themeTint="F2"/>
        </w:rPr>
        <w:footnoteReference w:id="366"/>
      </w:r>
      <w:r w:rsidRPr="009F7E9D">
        <w:t xml:space="preserve"> The majority in </w:t>
      </w:r>
      <w:r w:rsidRPr="009F7E9D">
        <w:rPr>
          <w:i/>
        </w:rPr>
        <w:t xml:space="preserve">Wichman </w:t>
      </w:r>
      <w:r w:rsidRPr="009F7E9D">
        <w:t>itself acknowledged that section 28(2) “is not an entirely easy provision and its language gives rise to a range of possible interpretations</w:t>
      </w:r>
      <w:r w:rsidR="00834A42">
        <w:t>”.</w:t>
      </w:r>
      <w:r w:rsidRPr="000B01D8">
        <w:rPr>
          <w:rStyle w:val="FootnoteReference"/>
          <w:color w:val="0D0D0D" w:themeColor="text1" w:themeTint="F2"/>
        </w:rPr>
        <w:footnoteReference w:id="367"/>
      </w:r>
      <w:r>
        <w:t xml:space="preserve"> This indicates there may be a lack of clarity about how the section is intended to function.</w:t>
      </w:r>
    </w:p>
    <w:p w14:paraId="52840A72" w14:textId="2D3475AB" w:rsidR="00116092" w:rsidRDefault="00116092" w:rsidP="00116092">
      <w:pPr>
        <w:pStyle w:val="BodyText"/>
      </w:pPr>
      <w:r>
        <w:rPr>
          <w:lang w:val="en-GB"/>
        </w:rPr>
        <w:t xml:space="preserve">As discussed above, the Commission originally intended the provision to serve two purposes. In addition to ensuring threshold reliability, the provision was intended to have a secondary purpose of deterring unacceptable police questioning practices. </w:t>
      </w:r>
      <w:r>
        <w:t>This</w:t>
      </w:r>
      <w:r w:rsidRPr="00A64B3F">
        <w:t xml:space="preserve"> is arguably reflected in the wording of section 28, which largely adopt</w:t>
      </w:r>
      <w:r>
        <w:t>ed</w:t>
      </w:r>
      <w:r w:rsidRPr="00A64B3F">
        <w:t xml:space="preserve"> the Commission’s Evidence Code provision. </w:t>
      </w:r>
      <w:r>
        <w:t>C</w:t>
      </w:r>
      <w:r w:rsidRPr="00FD62AE">
        <w:rPr>
          <w:lang w:val="en-GB"/>
        </w:rPr>
        <w:t xml:space="preserve">onsistent with the </w:t>
      </w:r>
      <w:r>
        <w:rPr>
          <w:lang w:val="en-GB"/>
        </w:rPr>
        <w:t>approach</w:t>
      </w:r>
      <w:r w:rsidRPr="00FD62AE">
        <w:rPr>
          <w:lang w:val="en-GB"/>
        </w:rPr>
        <w:t xml:space="preserve"> </w:t>
      </w:r>
      <w:r>
        <w:rPr>
          <w:lang w:val="en-GB"/>
        </w:rPr>
        <w:t>under the</w:t>
      </w:r>
      <w:r w:rsidRPr="00FD62AE">
        <w:rPr>
          <w:lang w:val="en-GB"/>
        </w:rPr>
        <w:t xml:space="preserve"> common law voluntariness rule</w:t>
      </w:r>
      <w:r>
        <w:rPr>
          <w:lang w:val="en-GB"/>
        </w:rPr>
        <w:t xml:space="preserve">, the plain wording of section 28(2) appears to focus on the tendency </w:t>
      </w:r>
      <w:r>
        <w:rPr>
          <w:lang w:val="en-GB"/>
        </w:rPr>
        <w:lastRenderedPageBreak/>
        <w:t>of the circumstances to affect the reliability of the statement rather on the actual result</w:t>
      </w:r>
      <w:r w:rsidRPr="00FD62AE">
        <w:rPr>
          <w:lang w:val="en-GB"/>
        </w:rPr>
        <w:t>.</w:t>
      </w:r>
      <w:r>
        <w:rPr>
          <w:rStyle w:val="FootnoteReference"/>
          <w:lang w:val="en-GB"/>
        </w:rPr>
        <w:footnoteReference w:id="368"/>
      </w:r>
      <w:r>
        <w:rPr>
          <w:lang w:val="en-GB"/>
        </w:rPr>
        <w:t xml:space="preserve"> </w:t>
      </w:r>
      <w:r w:rsidRPr="009F7E9D">
        <w:t xml:space="preserve">Indications of the actual truth or falsity of the statement such as other available evidence or general plausibility, are arguably not part of the “circumstances in which the statement was made” and may therefore be </w:t>
      </w:r>
      <w:r>
        <w:t>considered</w:t>
      </w:r>
      <w:r w:rsidRPr="009F7E9D">
        <w:t xml:space="preserve"> irrelevant.</w:t>
      </w:r>
    </w:p>
    <w:p w14:paraId="2E919D65" w14:textId="09E1CA45" w:rsidR="00116092" w:rsidRPr="00B13033" w:rsidRDefault="00116092" w:rsidP="00116092">
      <w:pPr>
        <w:pStyle w:val="BodyText"/>
      </w:pPr>
      <w:r>
        <w:t>The</w:t>
      </w:r>
      <w:r w:rsidRPr="008D71D1">
        <w:t xml:space="preserve"> majority in</w:t>
      </w:r>
      <w:r>
        <w:t xml:space="preserve"> </w:t>
      </w:r>
      <w:r>
        <w:rPr>
          <w:i/>
          <w:iCs/>
        </w:rPr>
        <w:t>Wichman</w:t>
      </w:r>
      <w:r>
        <w:t xml:space="preserve">, however, reached a different view. </w:t>
      </w:r>
      <w:r>
        <w:rPr>
          <w:iCs/>
        </w:rPr>
        <w:t>They interpreted</w:t>
      </w:r>
      <w:r w:rsidRPr="008D71D1">
        <w:t xml:space="preserve"> the “circumstances in which the statement was made” as encompassing </w:t>
      </w:r>
      <w:r>
        <w:t>“</w:t>
      </w:r>
      <w:r w:rsidRPr="008D71D1">
        <w:t>the nature and content of the statement and the extent to which those circumstances affected the defendant”.</w:t>
      </w:r>
      <w:r w:rsidRPr="000B01D8">
        <w:rPr>
          <w:rStyle w:val="FootnoteReference"/>
          <w:color w:val="0D0D0D" w:themeColor="text1" w:themeTint="F2"/>
        </w:rPr>
        <w:footnoteReference w:id="369"/>
      </w:r>
      <w:r w:rsidRPr="008D71D1">
        <w:t xml:space="preserve"> On this approach, if there are clear indications that the statement is in fact true, a court may conclude that the circumstances are not “likely”</w:t>
      </w:r>
      <w:r w:rsidRPr="001722D6">
        <w:rPr>
          <w:i/>
        </w:rPr>
        <w:t xml:space="preserve"> </w:t>
      </w:r>
      <w:r w:rsidRPr="008D71D1">
        <w:t>to have affected its reliability.</w:t>
      </w:r>
      <w:r>
        <w:t xml:space="preserve"> </w:t>
      </w:r>
      <w:r>
        <w:rPr>
          <w:lang w:val="en-GB"/>
        </w:rPr>
        <w:t xml:space="preserve">In reaching this view, the majority noted the position was complicated by the fact that section 28 </w:t>
      </w:r>
      <w:r w:rsidRPr="003503A5">
        <w:rPr>
          <w:lang w:val="en-GB"/>
        </w:rPr>
        <w:t>combined aspects of two separate common law rules: the voluntariness rule and the fairness discretion.</w:t>
      </w:r>
      <w:r w:rsidRPr="00654C3A">
        <w:rPr>
          <w:rStyle w:val="FootnoteReference"/>
          <w:color w:val="0D0D0D" w:themeColor="text1" w:themeTint="F2"/>
          <w:lang w:val="en-GB"/>
        </w:rPr>
        <w:footnoteReference w:id="370"/>
      </w:r>
      <w:r w:rsidRPr="003503A5">
        <w:rPr>
          <w:lang w:val="en-GB"/>
        </w:rPr>
        <w:t xml:space="preserve"> The section addresses unreliability caused by factors </w:t>
      </w:r>
      <w:r w:rsidRPr="003503A5">
        <w:rPr>
          <w:i/>
          <w:lang w:val="en-GB"/>
        </w:rPr>
        <w:t>internal</w:t>
      </w:r>
      <w:r w:rsidRPr="003503A5">
        <w:rPr>
          <w:lang w:val="en-GB"/>
        </w:rPr>
        <w:t xml:space="preserve"> to the defendant (such as mental impairment) as well as </w:t>
      </w:r>
      <w:r w:rsidRPr="003503A5">
        <w:rPr>
          <w:i/>
          <w:lang w:val="en-GB"/>
        </w:rPr>
        <w:t>external</w:t>
      </w:r>
      <w:r w:rsidRPr="003503A5">
        <w:rPr>
          <w:lang w:val="en-GB"/>
        </w:rPr>
        <w:t xml:space="preserve"> factors (such as police conduct). </w:t>
      </w:r>
    </w:p>
    <w:p w14:paraId="234FE756" w14:textId="0AF3C99C" w:rsidR="00116092" w:rsidRPr="00F54958" w:rsidRDefault="00116092" w:rsidP="00116092">
      <w:pPr>
        <w:pStyle w:val="BodyText"/>
      </w:pPr>
      <w:r>
        <w:rPr>
          <w:lang w:val="en-GB"/>
        </w:rPr>
        <w:t>It appears that this combining of both internal and external factors in section 28 may have led to a lack of clarity about</w:t>
      </w:r>
      <w:r w:rsidRPr="003503A5">
        <w:rPr>
          <w:lang w:val="en-GB"/>
        </w:rPr>
        <w:t xml:space="preserve"> the </w:t>
      </w:r>
      <w:r>
        <w:rPr>
          <w:lang w:val="en-GB"/>
        </w:rPr>
        <w:t>intent</w:t>
      </w:r>
      <w:r w:rsidRPr="003503A5">
        <w:rPr>
          <w:lang w:val="en-GB"/>
        </w:rPr>
        <w:t xml:space="preserve"> of the provision</w:t>
      </w:r>
      <w:r>
        <w:rPr>
          <w:lang w:val="en-GB"/>
        </w:rPr>
        <w:t xml:space="preserve">, as different policy considerations apply to each. A deterrent approach </w:t>
      </w:r>
      <w:r w:rsidRPr="00733A3B">
        <w:rPr>
          <w:lang w:val="en-GB"/>
        </w:rPr>
        <w:t xml:space="preserve">is only relevant where the reliability concerns arise from the conduct of law enforcement officers. Where that is the case, it may make sense to disregard the actual reliability of the statement </w:t>
      </w:r>
      <w:r>
        <w:rPr>
          <w:lang w:val="en-GB"/>
        </w:rPr>
        <w:t>to avoid endorsing</w:t>
      </w:r>
      <w:r w:rsidRPr="00733A3B">
        <w:rPr>
          <w:lang w:val="en-GB"/>
        </w:rPr>
        <w:t xml:space="preserve"> an “ends justifies the means” approach</w:t>
      </w:r>
      <w:r>
        <w:rPr>
          <w:lang w:val="en-GB"/>
        </w:rPr>
        <w:t xml:space="preserve"> (as the select committee appeared to recognise). </w:t>
      </w:r>
      <w:r w:rsidRPr="00B819B4">
        <w:rPr>
          <w:lang w:val="en-GB"/>
        </w:rPr>
        <w:t xml:space="preserve">Where the reliability concerns stem from internal factors, the sole issue is whether the statement is sufficiently reliable to be considered by the fact-finder. In that situation, there </w:t>
      </w:r>
      <w:r>
        <w:rPr>
          <w:lang w:val="en-GB"/>
        </w:rPr>
        <w:t xml:space="preserve">may be a better </w:t>
      </w:r>
      <w:r w:rsidRPr="00B819B4">
        <w:rPr>
          <w:lang w:val="en-GB"/>
        </w:rPr>
        <w:t>argument for considering indications of actual reliability (such as consistency with other evidence)</w:t>
      </w:r>
      <w:r>
        <w:rPr>
          <w:lang w:val="en-GB"/>
        </w:rPr>
        <w:t xml:space="preserve"> to avoid depriving the fact-finder of relevant evidence if there is a reasonable assurance that it is reliable in fact</w:t>
      </w:r>
      <w:r w:rsidRPr="00B819B4">
        <w:rPr>
          <w:lang w:val="en-GB"/>
        </w:rPr>
        <w:t xml:space="preserve">. </w:t>
      </w:r>
    </w:p>
    <w:p w14:paraId="4B6A9832" w14:textId="1A7B61F6" w:rsidR="00116092" w:rsidRPr="008D71D1" w:rsidRDefault="00116092" w:rsidP="00116092">
      <w:pPr>
        <w:pStyle w:val="Heading3"/>
      </w:pPr>
      <w:r>
        <w:t xml:space="preserve">Is </w:t>
      </w:r>
      <w:r w:rsidR="009764BD">
        <w:t xml:space="preserve">legislative </w:t>
      </w:r>
      <w:r>
        <w:t>reform necessary or desirable?</w:t>
      </w:r>
    </w:p>
    <w:p w14:paraId="535D9AB8" w14:textId="77777777" w:rsidR="00116092" w:rsidRDefault="00116092" w:rsidP="00116092">
      <w:pPr>
        <w:pStyle w:val="BodyText"/>
      </w:pPr>
      <w:r>
        <w:rPr>
          <w:iCs/>
          <w:lang w:val="en-GB"/>
        </w:rPr>
        <w:t xml:space="preserve">The majority decision in </w:t>
      </w:r>
      <w:r>
        <w:rPr>
          <w:i/>
          <w:lang w:val="en-GB"/>
        </w:rPr>
        <w:t>Wichman</w:t>
      </w:r>
      <w:r>
        <w:rPr>
          <w:iCs/>
          <w:lang w:val="en-GB"/>
        </w:rPr>
        <w:t xml:space="preserve"> </w:t>
      </w:r>
      <w:r>
        <w:t>suggests</w:t>
      </w:r>
      <w:r w:rsidRPr="00C60136">
        <w:t xml:space="preserve"> that section 28 is</w:t>
      </w:r>
      <w:r>
        <w:t xml:space="preserve"> now</w:t>
      </w:r>
      <w:r w:rsidRPr="00C60136">
        <w:t xml:space="preserve"> solely concerned with threshold reliability</w:t>
      </w:r>
      <w:r>
        <w:t xml:space="preserve"> (assessed by considering both the circumstances in which the statement was made </w:t>
      </w:r>
      <w:r w:rsidRPr="00B13033">
        <w:t>and</w:t>
      </w:r>
      <w:r>
        <w:rPr>
          <w:i/>
          <w:iCs/>
        </w:rPr>
        <w:t xml:space="preserve"> </w:t>
      </w:r>
      <w:r>
        <w:t>indications of actual reliability)</w:t>
      </w:r>
      <w:r w:rsidRPr="00C60136">
        <w:t>.</w:t>
      </w:r>
      <w:r>
        <w:t xml:space="preserve"> Evidence will not be excluded for deterrent purposes if it is likely to be reliable in fact. </w:t>
      </w:r>
    </w:p>
    <w:p w14:paraId="4905558B" w14:textId="36196606" w:rsidR="00116092" w:rsidRDefault="00116092" w:rsidP="00116092">
      <w:pPr>
        <w:pStyle w:val="BodyText"/>
      </w:pPr>
      <w:r>
        <w:t xml:space="preserve">This means that the </w:t>
      </w:r>
      <w:r w:rsidRPr="0000003B">
        <w:rPr>
          <w:lang w:val="en-GB"/>
        </w:rPr>
        <w:t>purpose of section</w:t>
      </w:r>
      <w:r w:rsidRPr="0000003B">
        <w:rPr>
          <w:rFonts w:ascii="Calibri" w:hAnsi="Calibri" w:cs="Calibri"/>
          <w:lang w:val="en-GB"/>
        </w:rPr>
        <w:t> </w:t>
      </w:r>
      <w:r w:rsidRPr="0000003B">
        <w:rPr>
          <w:lang w:val="en-GB"/>
        </w:rPr>
        <w:t xml:space="preserve">28 </w:t>
      </w:r>
      <w:r>
        <w:rPr>
          <w:lang w:val="en-GB"/>
        </w:rPr>
        <w:t xml:space="preserve">(as it is now understood) </w:t>
      </w:r>
      <w:r w:rsidRPr="0000003B">
        <w:rPr>
          <w:lang w:val="en-GB"/>
        </w:rPr>
        <w:t xml:space="preserve">is narrower than that of the </w:t>
      </w:r>
      <w:r>
        <w:rPr>
          <w:lang w:val="en-GB"/>
        </w:rPr>
        <w:t xml:space="preserve">common law </w:t>
      </w:r>
      <w:r w:rsidRPr="0000003B">
        <w:rPr>
          <w:lang w:val="en-GB"/>
        </w:rPr>
        <w:t xml:space="preserve">voluntariness rule and, to some degree, the Commission’s original intention. </w:t>
      </w:r>
      <w:r>
        <w:rPr>
          <w:lang w:val="en-GB"/>
        </w:rPr>
        <w:t>I</w:t>
      </w:r>
      <w:r w:rsidRPr="008B6D98">
        <w:rPr>
          <w:lang w:val="en-GB"/>
        </w:rPr>
        <w:t xml:space="preserve">n Chapter </w:t>
      </w:r>
      <w:r>
        <w:rPr>
          <w:lang w:val="en-GB"/>
        </w:rPr>
        <w:t>6</w:t>
      </w:r>
      <w:r w:rsidRPr="008B6D98">
        <w:rPr>
          <w:lang w:val="en-GB"/>
        </w:rPr>
        <w:t xml:space="preserve">, </w:t>
      </w:r>
      <w:r>
        <w:rPr>
          <w:lang w:val="en-GB"/>
        </w:rPr>
        <w:t xml:space="preserve">we suggest this may be addressed in part by ensuring that </w:t>
      </w:r>
      <w:r w:rsidRPr="008B6D98">
        <w:rPr>
          <w:lang w:val="en-GB"/>
        </w:rPr>
        <w:t>concern</w:t>
      </w:r>
      <w:r>
        <w:rPr>
          <w:lang w:val="en-GB"/>
        </w:rPr>
        <w:t>s</w:t>
      </w:r>
      <w:r w:rsidRPr="008B6D98">
        <w:rPr>
          <w:lang w:val="en-GB"/>
        </w:rPr>
        <w:t xml:space="preserve"> </w:t>
      </w:r>
      <w:r>
        <w:rPr>
          <w:lang w:val="en-GB"/>
        </w:rPr>
        <w:t>about</w:t>
      </w:r>
      <w:r w:rsidRPr="008B6D98">
        <w:rPr>
          <w:lang w:val="en-GB"/>
        </w:rPr>
        <w:t xml:space="preserve"> the investigatory techniques used</w:t>
      </w:r>
      <w:r>
        <w:rPr>
          <w:lang w:val="en-GB"/>
        </w:rPr>
        <w:t xml:space="preserve"> to obtain a defendant’s statement</w:t>
      </w:r>
      <w:r w:rsidRPr="008B6D98">
        <w:rPr>
          <w:lang w:val="en-GB"/>
        </w:rPr>
        <w:t xml:space="preserve"> </w:t>
      </w:r>
      <w:r>
        <w:rPr>
          <w:lang w:val="en-GB"/>
        </w:rPr>
        <w:t>can be</w:t>
      </w:r>
      <w:r w:rsidRPr="008B6D98">
        <w:rPr>
          <w:lang w:val="en-GB"/>
        </w:rPr>
        <w:t xml:space="preserve"> addressed under section 30.</w:t>
      </w:r>
      <w:r>
        <w:rPr>
          <w:rStyle w:val="FootnoteReference"/>
          <w:lang w:val="en-GB"/>
        </w:rPr>
        <w:footnoteReference w:id="371"/>
      </w:r>
      <w:r w:rsidRPr="008B6D98">
        <w:rPr>
          <w:lang w:val="en-GB"/>
        </w:rPr>
        <w:t xml:space="preserve"> </w:t>
      </w:r>
      <w:r>
        <w:t xml:space="preserve">We note, however, that exclusion under section 30 depends on the application of a balancing test. By contrast, under section 28 exclusion is </w:t>
      </w:r>
      <w:r>
        <w:lastRenderedPageBreak/>
        <w:t xml:space="preserve">required unless the </w:t>
      </w:r>
      <w:r w:rsidRPr="00135B13">
        <w:t>circumstances in which the statement was made were not likely to have adversely affected its reliability</w:t>
      </w:r>
      <w:r>
        <w:t>. This means section 30 should not be used as a substitute for section</w:t>
      </w:r>
      <w:r>
        <w:rPr>
          <w:rFonts w:ascii="Calibri" w:hAnsi="Calibri" w:cs="Calibri"/>
        </w:rPr>
        <w:t> </w:t>
      </w:r>
      <w:r>
        <w:t xml:space="preserve">28. Caution should be exercised before declining to exclude evidence under section 28 based on indications of actual reliability. </w:t>
      </w:r>
    </w:p>
    <w:p w14:paraId="6CAF8105" w14:textId="77777777" w:rsidR="00116092" w:rsidRDefault="00116092" w:rsidP="00116092">
      <w:pPr>
        <w:pStyle w:val="BodyText"/>
      </w:pPr>
      <w:r>
        <w:t xml:space="preserve">We identified four cases applying the approach in </w:t>
      </w:r>
      <w:r>
        <w:rPr>
          <w:i/>
          <w:iCs/>
        </w:rPr>
        <w:t>Wichman</w:t>
      </w:r>
      <w:r w:rsidRPr="00C60136">
        <w:rPr>
          <w:i/>
        </w:rPr>
        <w:t>.</w:t>
      </w:r>
      <w:r w:rsidRPr="00654C3A">
        <w:rPr>
          <w:rStyle w:val="FootnoteReference"/>
          <w:color w:val="0D0D0D" w:themeColor="text1" w:themeTint="F2"/>
          <w:lang w:val="en-GB"/>
        </w:rPr>
        <w:footnoteReference w:id="372"/>
      </w:r>
      <w:r w:rsidRPr="00C60136">
        <w:t xml:space="preserve"> </w:t>
      </w:r>
      <w:r w:rsidRPr="00C60136">
        <w:rPr>
          <w:lang w:val="en-GB"/>
        </w:rPr>
        <w:t xml:space="preserve">These cases </w:t>
      </w:r>
      <w:r>
        <w:rPr>
          <w:lang w:val="en-GB"/>
        </w:rPr>
        <w:t>indicate</w:t>
      </w:r>
      <w:r w:rsidRPr="00C60136">
        <w:rPr>
          <w:lang w:val="en-GB"/>
        </w:rPr>
        <w:t xml:space="preserve"> that, despite now considering indications of actual reliability, the courts are continuing to take a relatively cautious approach to admitting defendants’ statements when reliability concerns are raised. They also demonstrate that the approach in </w:t>
      </w:r>
      <w:r w:rsidRPr="00C60136">
        <w:rPr>
          <w:i/>
          <w:lang w:val="en-GB"/>
        </w:rPr>
        <w:t xml:space="preserve">Wichman </w:t>
      </w:r>
      <w:r w:rsidRPr="00C60136">
        <w:rPr>
          <w:lang w:val="en-GB"/>
        </w:rPr>
        <w:t xml:space="preserve">does not necessarily favour admission of the evidence — it may also favour exclusion where </w:t>
      </w:r>
      <w:r>
        <w:rPr>
          <w:lang w:val="en-GB"/>
        </w:rPr>
        <w:t>other evidence</w:t>
      </w:r>
      <w:r w:rsidRPr="00C60136">
        <w:rPr>
          <w:lang w:val="en-GB"/>
        </w:rPr>
        <w:t xml:space="preserve"> </w:t>
      </w:r>
      <w:r>
        <w:rPr>
          <w:lang w:val="en-GB"/>
        </w:rPr>
        <w:t xml:space="preserve">or the content of the statement </w:t>
      </w:r>
      <w:r w:rsidRPr="00C60136">
        <w:rPr>
          <w:lang w:val="en-GB"/>
        </w:rPr>
        <w:t xml:space="preserve">suggest </w:t>
      </w:r>
      <w:r>
        <w:rPr>
          <w:lang w:val="en-GB"/>
        </w:rPr>
        <w:t xml:space="preserve">it </w:t>
      </w:r>
      <w:r w:rsidRPr="00C60136">
        <w:rPr>
          <w:lang w:val="en-GB"/>
        </w:rPr>
        <w:t xml:space="preserve">is in fact </w:t>
      </w:r>
      <w:r w:rsidRPr="00705B13">
        <w:rPr>
          <w:lang w:val="en-GB"/>
        </w:rPr>
        <w:t>unreliable</w:t>
      </w:r>
      <w:r w:rsidRPr="00C60136">
        <w:rPr>
          <w:lang w:val="en-GB"/>
        </w:rPr>
        <w:t>.</w:t>
      </w:r>
      <w:r w:rsidRPr="00654C3A">
        <w:rPr>
          <w:rStyle w:val="FootnoteReference"/>
          <w:color w:val="0D0D0D" w:themeColor="text1" w:themeTint="F2"/>
          <w:lang w:val="en-GB"/>
        </w:rPr>
        <w:footnoteReference w:id="373"/>
      </w:r>
      <w:r w:rsidRPr="00C60136">
        <w:t xml:space="preserve"> </w:t>
      </w:r>
    </w:p>
    <w:p w14:paraId="23F5A09E" w14:textId="77777777" w:rsidR="00116092" w:rsidRDefault="00116092" w:rsidP="00116092">
      <w:pPr>
        <w:pStyle w:val="BodyText"/>
      </w:pPr>
      <w:r w:rsidRPr="00F54958">
        <w:rPr>
          <w:lang w:val="en-GB"/>
        </w:rPr>
        <w:t xml:space="preserve">It is arguable, however, that the </w:t>
      </w:r>
      <w:r>
        <w:rPr>
          <w:lang w:val="en-GB"/>
        </w:rPr>
        <w:t xml:space="preserve">case law does not reflect the </w:t>
      </w:r>
      <w:r w:rsidRPr="00F54958">
        <w:rPr>
          <w:lang w:val="en-GB"/>
        </w:rPr>
        <w:t>wording of section</w:t>
      </w:r>
      <w:r>
        <w:rPr>
          <w:rFonts w:ascii="Calibri" w:hAnsi="Calibri" w:cs="Calibri"/>
          <w:lang w:val="en-GB"/>
        </w:rPr>
        <w:t> </w:t>
      </w:r>
      <w:r w:rsidRPr="00F54958">
        <w:rPr>
          <w:lang w:val="en-GB"/>
        </w:rPr>
        <w:t xml:space="preserve">28. </w:t>
      </w:r>
      <w:r>
        <w:rPr>
          <w:lang w:val="en-GB"/>
        </w:rPr>
        <w:t>We seek feedback on</w:t>
      </w:r>
      <w:r w:rsidRPr="00F54958">
        <w:rPr>
          <w:lang w:val="en-GB"/>
        </w:rPr>
        <w:t xml:space="preserve"> whether </w:t>
      </w:r>
      <w:r>
        <w:rPr>
          <w:lang w:val="en-GB"/>
        </w:rPr>
        <w:t xml:space="preserve">this is causing confusion in practice and whether </w:t>
      </w:r>
      <w:r w:rsidRPr="00F54958">
        <w:rPr>
          <w:lang w:val="en-GB"/>
        </w:rPr>
        <w:t>amendment is desirable to make the section easier to understand and apply.</w:t>
      </w:r>
      <w:r>
        <w:rPr>
          <w:lang w:val="en-GB"/>
        </w:rPr>
        <w:t xml:space="preserve"> Reform could also help to ensure that only </w:t>
      </w:r>
      <w:r w:rsidRPr="002D4DF1">
        <w:rPr>
          <w:lang w:val="en-GB"/>
        </w:rPr>
        <w:t>clear</w:t>
      </w:r>
      <w:r>
        <w:rPr>
          <w:i/>
          <w:iCs/>
          <w:lang w:val="en-GB"/>
        </w:rPr>
        <w:t xml:space="preserve"> </w:t>
      </w:r>
      <w:r>
        <w:rPr>
          <w:lang w:val="en-GB"/>
        </w:rPr>
        <w:t>indications of actual reliability are taken into account. On the other hand, r</w:t>
      </w:r>
      <w:r>
        <w:t xml:space="preserve">eform may be unnecessary if submitters consider the decision in </w:t>
      </w:r>
      <w:r>
        <w:rPr>
          <w:i/>
          <w:iCs/>
        </w:rPr>
        <w:t xml:space="preserve">Wichman </w:t>
      </w:r>
      <w:r>
        <w:t>and subsequent case law provide sufficient guidance.</w:t>
      </w:r>
    </w:p>
    <w:p w14:paraId="211F945C" w14:textId="77777777" w:rsidR="00116092" w:rsidRDefault="00116092" w:rsidP="00116092">
      <w:pPr>
        <w:pStyle w:val="Heading3"/>
      </w:pPr>
      <w:r>
        <w:t xml:space="preserve">Options for reform </w:t>
      </w:r>
    </w:p>
    <w:p w14:paraId="538B416C" w14:textId="021BD1CD" w:rsidR="00116092" w:rsidRDefault="00116092" w:rsidP="00116092">
      <w:pPr>
        <w:pStyle w:val="BodyText"/>
      </w:pPr>
      <w:r>
        <w:t xml:space="preserve">Should reform be considered necessary or desirable, we have identified </w:t>
      </w:r>
      <w:r w:rsidRPr="00B86312">
        <w:t>three options for reform</w:t>
      </w:r>
      <w:r>
        <w:t>.</w:t>
      </w:r>
      <w:r w:rsidRPr="00B86312">
        <w:t xml:space="preserve"> </w:t>
      </w:r>
      <w:r>
        <w:t>These</w:t>
      </w:r>
      <w:r w:rsidRPr="00B86312">
        <w:t xml:space="preserve"> could be implemented in combination or alone. </w:t>
      </w:r>
      <w:r>
        <w:t xml:space="preserve">They </w:t>
      </w:r>
      <w:r w:rsidRPr="00B86312">
        <w:t xml:space="preserve">would retain the current focus of section 28 on the circumstances in which the statement was made, while making it clear that any obvious indications of actual reliability can also be considered. We see this approach as consistent with </w:t>
      </w:r>
      <w:r w:rsidRPr="00B86312">
        <w:rPr>
          <w:i/>
        </w:rPr>
        <w:t>Wichman.</w:t>
      </w:r>
      <w:r w:rsidRPr="000B01D8">
        <w:rPr>
          <w:rStyle w:val="FootnoteReference"/>
          <w:color w:val="0D0D0D" w:themeColor="text1" w:themeTint="F2"/>
        </w:rPr>
        <w:footnoteReference w:id="374"/>
      </w:r>
      <w:r w:rsidRPr="00B86312">
        <w:rPr>
          <w:i/>
        </w:rPr>
        <w:t xml:space="preserve"> </w:t>
      </w:r>
      <w:r w:rsidRPr="00B86312">
        <w:t xml:space="preserve">We suggest it remains appropriate to focus on the circumstances in which the statement was made, rather than referring </w:t>
      </w:r>
      <w:r>
        <w:t>solely</w:t>
      </w:r>
      <w:r w:rsidRPr="00B86312">
        <w:t xml:space="preserve"> to actual reliability. That is because:</w:t>
      </w:r>
    </w:p>
    <w:p w14:paraId="2059A853" w14:textId="022DBC8F" w:rsidR="00116092" w:rsidRPr="00BD49CE" w:rsidRDefault="00116092" w:rsidP="00866891">
      <w:pPr>
        <w:pStyle w:val="BodyText2"/>
        <w:numPr>
          <w:ilvl w:val="3"/>
          <w:numId w:val="30"/>
        </w:numPr>
      </w:pPr>
      <w:r w:rsidRPr="00BD49CE">
        <w:t>Given the difficulties in</w:t>
      </w:r>
      <w:r>
        <w:t xml:space="preserve"> accurately</w:t>
      </w:r>
      <w:r w:rsidRPr="00BD49CE">
        <w:t xml:space="preserve"> assessing the truth of confession evidence, which we discuss </w:t>
      </w:r>
      <w:r>
        <w:t>later in this chapter</w:t>
      </w:r>
      <w:r w:rsidRPr="00BD49CE">
        <w:t xml:space="preserve">, if the circumstances indicate that the reliability of a statement </w:t>
      </w:r>
      <w:r>
        <w:t>is likely to</w:t>
      </w:r>
      <w:r w:rsidRPr="00BD49CE">
        <w:t xml:space="preserve"> have been compromised</w:t>
      </w:r>
      <w:r w:rsidR="000E583E">
        <w:t>,</w:t>
      </w:r>
      <w:r w:rsidRPr="00BD49CE">
        <w:t xml:space="preserve"> then exclusion should be presumed unless there are clear indications that the statement is </w:t>
      </w:r>
      <w:r>
        <w:t>likely to be</w:t>
      </w:r>
      <w:r w:rsidRPr="00BD49CE">
        <w:t xml:space="preserve"> true.</w:t>
      </w:r>
    </w:p>
    <w:p w14:paraId="2A9B34B2" w14:textId="77777777" w:rsidR="00116092" w:rsidRDefault="00116092" w:rsidP="009F4F6E">
      <w:pPr>
        <w:pStyle w:val="BodyText2"/>
      </w:pPr>
      <w:r>
        <w:t>The fact that aspects of a statement are untrue should not always engage section 28. T</w:t>
      </w:r>
      <w:r w:rsidRPr="00BD49CE">
        <w:t xml:space="preserve">he defendant </w:t>
      </w:r>
      <w:r>
        <w:t>may, for example, be</w:t>
      </w:r>
      <w:r w:rsidRPr="00BD49CE">
        <w:t xml:space="preserve"> mistaken about something or </w:t>
      </w:r>
      <w:r>
        <w:t>choose to lie of their own volition</w:t>
      </w:r>
      <w:r w:rsidRPr="00BD49CE">
        <w:t>.</w:t>
      </w:r>
      <w:r w:rsidRPr="000B01D8">
        <w:rPr>
          <w:rStyle w:val="FootnoteReference"/>
          <w:color w:val="0D0D0D" w:themeColor="text1" w:themeTint="F2"/>
        </w:rPr>
        <w:footnoteReference w:id="375"/>
      </w:r>
      <w:r w:rsidRPr="00BD49CE">
        <w:t xml:space="preserve"> Juries are routinely trusted to assess such evidence. </w:t>
      </w:r>
      <w:r>
        <w:t>If the defendant</w:t>
      </w:r>
      <w:r w:rsidRPr="00BD49CE">
        <w:t xml:space="preserve"> make</w:t>
      </w:r>
      <w:r>
        <w:t>s</w:t>
      </w:r>
      <w:r w:rsidRPr="00BD49CE">
        <w:t xml:space="preserve"> a free and informed choice about whether to make a statement </w:t>
      </w:r>
      <w:r>
        <w:t>and</w:t>
      </w:r>
      <w:r w:rsidRPr="00BD49CE">
        <w:t xml:space="preserve"> what to say, </w:t>
      </w:r>
      <w:r>
        <w:t xml:space="preserve">but it proves to be incorrect, </w:t>
      </w:r>
      <w:r w:rsidRPr="00BD49CE">
        <w:t>we do not think this engage</w:t>
      </w:r>
      <w:r>
        <w:t xml:space="preserve">s the policy concerns underlying </w:t>
      </w:r>
      <w:r w:rsidRPr="00BD49CE">
        <w:t>section 28.</w:t>
      </w:r>
    </w:p>
    <w:p w14:paraId="1F416184" w14:textId="43B39091" w:rsidR="00116092" w:rsidRDefault="00116092" w:rsidP="00116092">
      <w:pPr>
        <w:pStyle w:val="Heading4"/>
      </w:pPr>
      <w:r>
        <w:lastRenderedPageBreak/>
        <w:t xml:space="preserve">Option 1: </w:t>
      </w:r>
      <w:r w:rsidR="000E583E">
        <w:t>C</w:t>
      </w:r>
      <w:r>
        <w:t>larify the meaning of “reliability” in section 28(1)</w:t>
      </w:r>
    </w:p>
    <w:p w14:paraId="2A46B80E" w14:textId="77777777" w:rsidR="00116092" w:rsidRPr="00051721" w:rsidRDefault="00116092" w:rsidP="00116092">
      <w:pPr>
        <w:pStyle w:val="BodyText"/>
      </w:pPr>
      <w:r w:rsidRPr="00051721">
        <w:t xml:space="preserve">Section 28(1) could be amended to provide that the section applies where the defendant (on the basis of an evidential foundation) or the judge raises the issue of </w:t>
      </w:r>
      <w:r w:rsidRPr="00051721">
        <w:rPr>
          <w:i/>
        </w:rPr>
        <w:t>whether the circumstances in which the statement was made may have adversely affected its reliability.</w:t>
      </w:r>
    </w:p>
    <w:p w14:paraId="760FC647" w14:textId="1BF5DB91" w:rsidR="00116092" w:rsidRDefault="00116092" w:rsidP="00116092">
      <w:pPr>
        <w:pStyle w:val="BodyText"/>
      </w:pPr>
      <w:r w:rsidRPr="00051721">
        <w:t xml:space="preserve">This would clarify that the circumstances in which the statement was made are the primary concern under section 28(1), as </w:t>
      </w:r>
      <w:r>
        <w:t xml:space="preserve">they are </w:t>
      </w:r>
      <w:r w:rsidRPr="00051721">
        <w:t>under section 28(2). We suggest that</w:t>
      </w:r>
      <w:r w:rsidR="00354A50">
        <w:t>,</w:t>
      </w:r>
      <w:r w:rsidRPr="00051721">
        <w:t xml:space="preserve"> when raising an evidential foundation, it should be sufficient for the defendant to point to circumstances that, objectively assessed, may </w:t>
      </w:r>
      <w:r>
        <w:t>tend to</w:t>
      </w:r>
      <w:r w:rsidRPr="00051721">
        <w:t xml:space="preserve"> affect the reliability of a statement. It should not be necessary to point to evidence that the statement in question is (in whole or part) untrue. Equally, the fact that a statement is implausible or inconsistent with other evidence should not be enough on its own to engage section 28 in the absence of any relevant surrounding circumstances (for the reasons noted above).</w:t>
      </w:r>
    </w:p>
    <w:p w14:paraId="56367FC9" w14:textId="42A9857A" w:rsidR="00116092" w:rsidRDefault="00116092" w:rsidP="00116092">
      <w:pPr>
        <w:pStyle w:val="Heading4"/>
      </w:pPr>
      <w:r>
        <w:t xml:space="preserve">Option 2: </w:t>
      </w:r>
      <w:r w:rsidR="000E583E">
        <w:t>C</w:t>
      </w:r>
      <w:r>
        <w:t>larify the relevance of actual reliability under section 28(2)</w:t>
      </w:r>
    </w:p>
    <w:p w14:paraId="03D134BD" w14:textId="77777777" w:rsidR="00116092" w:rsidRDefault="00116092" w:rsidP="00116092">
      <w:pPr>
        <w:pStyle w:val="BodyText"/>
      </w:pPr>
      <w:r w:rsidRPr="00051721">
        <w:t xml:space="preserve">Section 28(2) could be amended to provide that the judge may admit the statement if satisfied that the circumstances in which the statement was made were not likely to have, </w:t>
      </w:r>
      <w:r w:rsidRPr="00051721">
        <w:rPr>
          <w:i/>
        </w:rPr>
        <w:t>or did not in fact</w:t>
      </w:r>
      <w:r w:rsidRPr="00051721">
        <w:t>, adversely affect the reliability of the statement.</w:t>
      </w:r>
    </w:p>
    <w:p w14:paraId="0BE0EDA9" w14:textId="6C0CAC54" w:rsidR="00116092" w:rsidRDefault="00116092" w:rsidP="00116092">
      <w:pPr>
        <w:pStyle w:val="BodyText"/>
      </w:pPr>
      <w:r w:rsidRPr="00051721">
        <w:t xml:space="preserve">This amendment could occur alongside </w:t>
      </w:r>
      <w:r>
        <w:t>O</w:t>
      </w:r>
      <w:r w:rsidRPr="00051721">
        <w:t>ption 1</w:t>
      </w:r>
      <w:r>
        <w:t xml:space="preserve"> or separately</w:t>
      </w:r>
      <w:r w:rsidRPr="00051721">
        <w:t xml:space="preserve">. It would confirm that the judge may have regard to whether the circumstances </w:t>
      </w:r>
      <w:r w:rsidRPr="00051721">
        <w:rPr>
          <w:i/>
        </w:rPr>
        <w:t>actually</w:t>
      </w:r>
      <w:r w:rsidRPr="00051721">
        <w:t xml:space="preserve"> </w:t>
      </w:r>
      <w:r w:rsidRPr="00051721">
        <w:rPr>
          <w:i/>
        </w:rPr>
        <w:t>affected</w:t>
      </w:r>
      <w:r w:rsidRPr="00051721">
        <w:t xml:space="preserve"> the reliability of the statement when determining whether to admit </w:t>
      </w:r>
      <w:r>
        <w:t>it</w:t>
      </w:r>
      <w:r w:rsidRPr="00051721">
        <w:t xml:space="preserve">, consistent with the approach in </w:t>
      </w:r>
      <w:r w:rsidRPr="00051721">
        <w:rPr>
          <w:i/>
        </w:rPr>
        <w:t>Wichman</w:t>
      </w:r>
      <w:r w:rsidRPr="00051721">
        <w:t>. However, it would also retain the reference to likelihood given that there will not always be clear evidence of actual reliability or unreliability. In such cases</w:t>
      </w:r>
      <w:r w:rsidR="00CB74C1">
        <w:t>,</w:t>
      </w:r>
      <w:r w:rsidRPr="00051721">
        <w:t xml:space="preserve"> the section 28(2) assessment would be based on an objective assessment of the circumstances alone.</w:t>
      </w:r>
    </w:p>
    <w:p w14:paraId="4F0A2C4F" w14:textId="32A05DAC" w:rsidR="00116092" w:rsidRDefault="00116092" w:rsidP="00116092">
      <w:pPr>
        <w:pStyle w:val="BodyText"/>
      </w:pPr>
      <w:r w:rsidRPr="00051721">
        <w:t>There is a risk that this approach may over-emphasise actual reliability, with the result that insufficient weight is given to the circumstances</w:t>
      </w:r>
      <w:r>
        <w:t xml:space="preserve"> in which the statement was made</w:t>
      </w:r>
      <w:r w:rsidRPr="00051721">
        <w:t xml:space="preserve">. </w:t>
      </w:r>
      <w:r w:rsidR="00B26735">
        <w:t>However,</w:t>
      </w:r>
      <w:r w:rsidRPr="00051721">
        <w:t xml:space="preserve"> the cautious approach taken by the courts since </w:t>
      </w:r>
      <w:r w:rsidRPr="00051721">
        <w:rPr>
          <w:i/>
        </w:rPr>
        <w:t xml:space="preserve">Wichman </w:t>
      </w:r>
      <w:r w:rsidRPr="00051721">
        <w:t>tend</w:t>
      </w:r>
      <w:r>
        <w:t>s</w:t>
      </w:r>
      <w:r w:rsidRPr="00051721">
        <w:t xml:space="preserve"> to suggest that is unlikely. We also note this risk would be reduced if the standard for admitting evidence under section 28(2) is raised to beyond a reasonable doubt, which we discuss below.</w:t>
      </w:r>
    </w:p>
    <w:p w14:paraId="5452AA37" w14:textId="6466753E" w:rsidR="00116092" w:rsidRDefault="00116092" w:rsidP="00116092">
      <w:pPr>
        <w:pStyle w:val="Heading4"/>
      </w:pPr>
      <w:r>
        <w:t>Option 3:</w:t>
      </w:r>
      <w:r w:rsidR="00311201">
        <w:t xml:space="preserve"> I</w:t>
      </w:r>
      <w:r>
        <w:t>nsert a new provision specifying optional considerations</w:t>
      </w:r>
    </w:p>
    <w:p w14:paraId="0258DFD1" w14:textId="77777777" w:rsidR="00116092" w:rsidRDefault="00116092" w:rsidP="00116092">
      <w:pPr>
        <w:pStyle w:val="BodyText"/>
      </w:pPr>
      <w:r w:rsidRPr="00051721">
        <w:t xml:space="preserve">A new subsection could be inserted providing that, in applying section 28(2), the judge </w:t>
      </w:r>
      <w:r w:rsidRPr="005C3FCB">
        <w:rPr>
          <w:iCs/>
        </w:rPr>
        <w:t>may</w:t>
      </w:r>
      <w:r w:rsidRPr="00051721">
        <w:t xml:space="preserve"> have regard to:</w:t>
      </w:r>
    </w:p>
    <w:p w14:paraId="268F149E" w14:textId="77777777" w:rsidR="00116092" w:rsidRPr="00051721" w:rsidRDefault="00116092" w:rsidP="00866891">
      <w:pPr>
        <w:pStyle w:val="BodyText2"/>
        <w:numPr>
          <w:ilvl w:val="3"/>
          <w:numId w:val="31"/>
        </w:numPr>
      </w:pPr>
      <w:r w:rsidRPr="00051721">
        <w:t>the contents of the statement; and/or</w:t>
      </w:r>
    </w:p>
    <w:p w14:paraId="5A16B403" w14:textId="77777777" w:rsidR="00116092" w:rsidRPr="00051721" w:rsidRDefault="00116092" w:rsidP="009F4F6E">
      <w:pPr>
        <w:pStyle w:val="BodyText2"/>
      </w:pPr>
      <w:r w:rsidRPr="00051721">
        <w:t>the extent to which the statement is clearly consistent or inconsistent with other evidence.</w:t>
      </w:r>
    </w:p>
    <w:p w14:paraId="3404B3ED" w14:textId="77777777" w:rsidR="00116092" w:rsidRDefault="00116092" w:rsidP="00116092">
      <w:pPr>
        <w:pStyle w:val="BodyText"/>
      </w:pPr>
      <w:r w:rsidRPr="00051721">
        <w:t xml:space="preserve">This option would specifically permit the judge to consider the contents of the statement (for example, if it is inherently implausible or internally inconsistent) and any </w:t>
      </w:r>
      <w:r w:rsidRPr="00051721">
        <w:rPr>
          <w:i/>
        </w:rPr>
        <w:t>clear</w:t>
      </w:r>
      <w:r w:rsidRPr="00051721">
        <w:t xml:space="preserve"> consistencies or inconsistencies with other available evidence.</w:t>
      </w:r>
      <w:r>
        <w:t xml:space="preserve"> </w:t>
      </w:r>
    </w:p>
    <w:p w14:paraId="337766F6" w14:textId="09B3A9E2" w:rsidR="00116092" w:rsidRDefault="00116092" w:rsidP="00116092">
      <w:pPr>
        <w:pStyle w:val="BodyText"/>
      </w:pPr>
      <w:r w:rsidRPr="00051721">
        <w:t xml:space="preserve">If a new provision along these lines was inserted </w:t>
      </w:r>
      <w:r w:rsidRPr="00051721">
        <w:rPr>
          <w:i/>
        </w:rPr>
        <w:t xml:space="preserve">without </w:t>
      </w:r>
      <w:r>
        <w:t>O</w:t>
      </w:r>
      <w:r w:rsidRPr="00051721">
        <w:t xml:space="preserve">ption 2, it could clarify that </w:t>
      </w:r>
      <w:r>
        <w:t>clear</w:t>
      </w:r>
      <w:r w:rsidRPr="00051721">
        <w:t xml:space="preserve"> indications of actual reliability or unreliability may be considered while potentially reducing the risk that these considerations would be given undue weight (as section 28(2) would still focus on whether the circumstances were </w:t>
      </w:r>
      <w:r w:rsidRPr="00051721">
        <w:rPr>
          <w:i/>
        </w:rPr>
        <w:t>likely</w:t>
      </w:r>
      <w:r w:rsidRPr="00051721">
        <w:t xml:space="preserve"> to have affected the reliability </w:t>
      </w:r>
      <w:r w:rsidRPr="00051721">
        <w:lastRenderedPageBreak/>
        <w:t>of the statement). However, this approach would not directly resolve the issues with the language of section 28(2).</w:t>
      </w:r>
    </w:p>
    <w:p w14:paraId="06B5B95F" w14:textId="77777777" w:rsidR="00116092" w:rsidRDefault="00116092" w:rsidP="00116092">
      <w:pPr>
        <w:pStyle w:val="BodyText"/>
      </w:pPr>
      <w:r w:rsidRPr="00051721">
        <w:t xml:space="preserve">If </w:t>
      </w:r>
      <w:r>
        <w:t>O</w:t>
      </w:r>
      <w:r w:rsidRPr="00051721">
        <w:t>ption 2 were implemented, this additional provision may still provide useful guidance on how actual reliability is to be assessed. It would also emphasise that consistencies or inconsistencies with other evidence should only be considered where they are clear</w:t>
      </w:r>
      <w:r>
        <w:t>, in recognition of the difficulties in accurately assessing the truth of confession evidence.</w:t>
      </w:r>
    </w:p>
    <w:p w14:paraId="0495285D" w14:textId="3D6F057A" w:rsidR="00116092" w:rsidRDefault="00116092" w:rsidP="00116092">
      <w:pPr>
        <w:pStyle w:val="BodyText"/>
      </w:pPr>
      <w:r w:rsidRPr="00051721">
        <w:t xml:space="preserve">The risk of including such a provision is that it may encourage close analysis of the other evidence in the case, lengthening pre-trial hearings. </w:t>
      </w:r>
      <w:r>
        <w:t>We note</w:t>
      </w:r>
      <w:r w:rsidRPr="00051721">
        <w:t xml:space="preserve"> this already occurs under the approach in </w:t>
      </w:r>
      <w:r w:rsidRPr="00051721">
        <w:rPr>
          <w:i/>
        </w:rPr>
        <w:t>Wichman.</w:t>
      </w:r>
      <w:r w:rsidRPr="000B01D8">
        <w:rPr>
          <w:rStyle w:val="FootnoteReference"/>
          <w:color w:val="0D0D0D" w:themeColor="text1" w:themeTint="F2"/>
        </w:rPr>
        <w:footnoteReference w:id="376"/>
      </w:r>
      <w:r w:rsidRPr="00051721">
        <w:rPr>
          <w:i/>
        </w:rPr>
        <w:t xml:space="preserve"> </w:t>
      </w:r>
      <w:r>
        <w:t xml:space="preserve">It could also (like </w:t>
      </w:r>
      <w:r w:rsidR="000C7472">
        <w:t>O</w:t>
      </w:r>
      <w:r>
        <w:t>ption 2) result in too much emphasis being placed on these factors.</w:t>
      </w:r>
    </w:p>
    <w:p w14:paraId="52B253CD" w14:textId="77777777" w:rsidR="008C4A9E" w:rsidRDefault="008C4A9E" w:rsidP="008C4A9E">
      <w:pPr>
        <w:pStyle w:val="ListNumber"/>
        <w:numPr>
          <w:ilvl w:val="0"/>
          <w:numId w:val="0"/>
        </w:numPr>
        <w:ind w:left="360" w:hanging="360"/>
      </w:pPr>
      <w:r>
        <w:rPr>
          <w:noProof/>
        </w:rPr>
        <mc:AlternateContent>
          <mc:Choice Requires="wpg">
            <w:drawing>
              <wp:anchor distT="0" distB="0" distL="114300" distR="114300" simplePos="0" relativeHeight="251658289" behindDoc="1" locked="0" layoutInCell="1" allowOverlap="1" wp14:anchorId="36BBFDDD" wp14:editId="69648D89">
                <wp:simplePos x="0" y="0"/>
                <wp:positionH relativeFrom="column">
                  <wp:posOffset>-3503</wp:posOffset>
                </wp:positionH>
                <wp:positionV relativeFrom="paragraph">
                  <wp:posOffset>-3790</wp:posOffset>
                </wp:positionV>
                <wp:extent cx="5760085" cy="3613429"/>
                <wp:effectExtent l="0" t="0" r="0" b="6350"/>
                <wp:wrapNone/>
                <wp:docPr id="549" name="Group 549" descr="Question"/>
                <wp:cNvGraphicFramePr/>
                <a:graphic xmlns:a="http://schemas.openxmlformats.org/drawingml/2006/main">
                  <a:graphicData uri="http://schemas.microsoft.com/office/word/2010/wordprocessingGroup">
                    <wpg:wgp>
                      <wpg:cNvGrpSpPr/>
                      <wpg:grpSpPr>
                        <a:xfrm>
                          <a:off x="0" y="0"/>
                          <a:ext cx="5760085" cy="3613429"/>
                          <a:chOff x="0" y="62865"/>
                          <a:chExt cx="5760085" cy="3613794"/>
                        </a:xfrm>
                      </wpg:grpSpPr>
                      <wps:wsp>
                        <wps:cNvPr id="55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2C8FBC" w14:textId="77777777" w:rsidR="008C4A9E" w:rsidRDefault="008C4A9E" w:rsidP="008C4A9E">
                              <w:pPr>
                                <w:pStyle w:val="BoxTitle"/>
                                <w:spacing w:before="0" w:beforeAutospacing="0"/>
                              </w:pPr>
                              <w:r w:rsidRPr="007F6876">
                                <w:t>QUESTION</w:t>
                              </w:r>
                            </w:p>
                          </w:txbxContent>
                        </wps:txbx>
                        <wps:bodyPr rot="0" vert="horz" wrap="square" lIns="91440" tIns="0" rIns="0" bIns="45720" anchor="ctr" anchorCtr="0" upright="1">
                          <a:noAutofit/>
                        </wps:bodyPr>
                      </wps:wsp>
                      <wpg:grpSp>
                        <wpg:cNvPr id="551" name="Group 53"/>
                        <wpg:cNvGrpSpPr>
                          <a:grpSpLocks/>
                        </wpg:cNvGrpSpPr>
                        <wpg:grpSpPr bwMode="auto">
                          <a:xfrm>
                            <a:off x="0" y="315892"/>
                            <a:ext cx="5760085" cy="3360767"/>
                            <a:chOff x="1837" y="1788"/>
                            <a:chExt cx="9302" cy="36302"/>
                          </a:xfrm>
                        </wpg:grpSpPr>
                        <wps:wsp>
                          <wps:cNvPr id="552" name="Freeform 54"/>
                          <wps:cNvSpPr>
                            <a:spLocks/>
                          </wps:cNvSpPr>
                          <wps:spPr bwMode="auto">
                            <a:xfrm>
                              <a:off x="1837" y="1788"/>
                              <a:ext cx="9302" cy="3630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53"/>
                        <wpg:cNvGrpSpPr/>
                        <wpg:grpSpPr>
                          <a:xfrm>
                            <a:off x="0" y="494036"/>
                            <a:ext cx="1443794" cy="252000"/>
                            <a:chOff x="-15880" y="0"/>
                            <a:chExt cx="1444379" cy="252068"/>
                          </a:xfrm>
                        </wpg:grpSpPr>
                        <wps:wsp>
                          <wps:cNvPr id="55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92CD14" w14:textId="77777777" w:rsidR="008C4A9E" w:rsidRPr="00E90B8A" w:rsidRDefault="008C4A9E" w:rsidP="008C4A9E">
                                <w:pPr>
                                  <w:pStyle w:val="BoxTitle"/>
                                  <w:spacing w:before="0" w:beforeAutospacing="0"/>
                                  <w:rPr>
                                    <w:sz w:val="18"/>
                                    <w:szCs w:val="18"/>
                                  </w:rPr>
                                </w:pPr>
                                <w:r w:rsidRPr="00E90B8A">
                                  <w:rPr>
                                    <w:sz w:val="18"/>
                                    <w:szCs w:val="18"/>
                                  </w:rPr>
                                  <w:t>Q</w:t>
                                </w:r>
                                <w:r>
                                  <w:rPr>
                                    <w:sz w:val="18"/>
                                    <w:szCs w:val="18"/>
                                  </w:rPr>
                                  <w:t>13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6BBFDDD" id="Group 549" o:spid="_x0000_s1123" alt="Question" style="position:absolute;left:0;text-align:left;margin-left:-.3pt;margin-top:-.3pt;width:453.55pt;height:284.5pt;z-index:-251658191;mso-height-relative:margin" coordorigin=",628" coordsize="57600,3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">
                <v:shape id="Freeform 52" o:spid="_x0000_s112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B2C8FBC" w14:textId="77777777" w:rsidR="008C4A9E" w:rsidRDefault="008C4A9E" w:rsidP="008C4A9E">
                        <w:pPr>
                          <w:pStyle w:val="BoxTitle"/>
                          <w:spacing w:before="0" w:beforeAutospacing="0"/>
                        </w:pPr>
                        <w:r w:rsidRPr="007F6876">
                          <w:t>QUESTION</w:t>
                        </w:r>
                      </w:p>
                    </w:txbxContent>
                  </v:textbox>
                </v:shape>
                <v:group id="Group 53" o:spid="_x0000_s1125" style="position:absolute;top:3158;width:57600;height:33608" coordorigin="1837,1788" coordsize="9302,3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4" o:spid="_x0000_s1126" style="position:absolute;left:1837;top:1788;width:9302;height:3630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" path="m,l9354,r,7809l,7809,,e" fillcolor="#edf2ea" stroked="f">
                    <v:path arrowok="t" o:connecttype="custom" o:connectlocs="0,4649;9302,4649;9302,40951;0,40951;0,4649" o:connectangles="0,0,0,0,0"/>
                  </v:shape>
                </v:group>
                <v:group id="Group 553" o:spid="_x0000_s112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8" o:spid="_x0000_s112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" path="m,l1815,e" filled="f" strokecolor="#72ab6a" strokeweight=".5pt">
                    <v:path arrowok="t" o:connecttype="custom" o:connectlocs="0,0;1073495,0" o:connectangles="0,0"/>
                  </v:shape>
                  <v:shape id="Freeform 66" o:spid="_x0000_s112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792CD14" w14:textId="77777777" w:rsidR="008C4A9E" w:rsidRPr="00E90B8A" w:rsidRDefault="008C4A9E" w:rsidP="008C4A9E">
                          <w:pPr>
                            <w:pStyle w:val="BoxTitle"/>
                            <w:spacing w:before="0" w:beforeAutospacing="0"/>
                            <w:rPr>
                              <w:sz w:val="18"/>
                              <w:szCs w:val="18"/>
                            </w:rPr>
                          </w:pPr>
                          <w:r w:rsidRPr="00E90B8A">
                            <w:rPr>
                              <w:sz w:val="18"/>
                              <w:szCs w:val="18"/>
                            </w:rPr>
                            <w:t>Q</w:t>
                          </w:r>
                          <w:r>
                            <w:rPr>
                              <w:sz w:val="18"/>
                              <w:szCs w:val="18"/>
                            </w:rPr>
                            <w:t>13</w:t>
                          </w:r>
                        </w:p>
                      </w:txbxContent>
                    </v:textbox>
                  </v:shape>
                </v:group>
              </v:group>
            </w:pict>
          </mc:Fallback>
        </mc:AlternateContent>
      </w:r>
    </w:p>
    <w:p w14:paraId="1E45C3E1" w14:textId="77777777" w:rsidR="008C4A9E" w:rsidRDefault="008C4A9E" w:rsidP="008C4A9E">
      <w:pPr>
        <w:pStyle w:val="QuestionBox"/>
      </w:pPr>
    </w:p>
    <w:p w14:paraId="7578517F" w14:textId="77777777" w:rsidR="008C4A9E" w:rsidRPr="005125EF" w:rsidRDefault="008C4A9E" w:rsidP="008C4A9E">
      <w:pPr>
        <w:pStyle w:val="QuestionBox"/>
        <w:rPr>
          <w:rStyle w:val="ssit"/>
        </w:rPr>
      </w:pPr>
      <w:r w:rsidRPr="00254D4D">
        <w:t>Should</w:t>
      </w:r>
      <w:r>
        <w:rPr>
          <w:rStyle w:val="ssit"/>
        </w:rPr>
        <w:t xml:space="preserve"> section 28 be amended to clarify its purpose and the relevance of actual reliability in light of </w:t>
      </w:r>
      <w:r>
        <w:rPr>
          <w:rStyle w:val="ssit"/>
          <w:i/>
          <w:iCs/>
        </w:rPr>
        <w:t>Wichman</w:t>
      </w:r>
      <w:r>
        <w:rPr>
          <w:rStyle w:val="ssit"/>
        </w:rPr>
        <w:t xml:space="preserve">? </w:t>
      </w:r>
      <w:r w:rsidRPr="005125EF">
        <w:rPr>
          <w:rStyle w:val="ssit"/>
        </w:rPr>
        <w:t xml:space="preserve">If so, should </w:t>
      </w:r>
      <w:r>
        <w:rPr>
          <w:rStyle w:val="ssit"/>
        </w:rPr>
        <w:t>it</w:t>
      </w:r>
      <w:r w:rsidRPr="005125EF">
        <w:rPr>
          <w:rStyle w:val="ssit"/>
        </w:rPr>
        <w:t xml:space="preserve"> be amended to:</w:t>
      </w:r>
    </w:p>
    <w:p w14:paraId="23DB6F46" w14:textId="77777777" w:rsidR="008C4A9E" w:rsidRDefault="008C4A9E" w:rsidP="00866891">
      <w:pPr>
        <w:pStyle w:val="Questionabc"/>
        <w:numPr>
          <w:ilvl w:val="0"/>
          <w:numId w:val="58"/>
        </w:numPr>
        <w:ind w:left="1417" w:hanging="425"/>
        <w:rPr>
          <w:rStyle w:val="ssit"/>
        </w:rPr>
      </w:pPr>
      <w:r>
        <w:rPr>
          <w:rStyle w:val="ssit"/>
        </w:rPr>
        <w:t>c</w:t>
      </w:r>
      <w:r w:rsidRPr="005125EF">
        <w:rPr>
          <w:rStyle w:val="ssit"/>
        </w:rPr>
        <w:t xml:space="preserve">larify that the </w:t>
      </w:r>
      <w:r>
        <w:rPr>
          <w:rStyle w:val="ssit"/>
        </w:rPr>
        <w:t>“</w:t>
      </w:r>
      <w:r w:rsidRPr="005125EF">
        <w:rPr>
          <w:rStyle w:val="ssit"/>
        </w:rPr>
        <w:t xml:space="preserve">the issue of </w:t>
      </w:r>
      <w:r>
        <w:rPr>
          <w:rStyle w:val="ssit"/>
        </w:rPr>
        <w:t xml:space="preserve">the </w:t>
      </w:r>
      <w:r w:rsidRPr="005125EF">
        <w:rPr>
          <w:rStyle w:val="ssit"/>
        </w:rPr>
        <w:t>reliability</w:t>
      </w:r>
      <w:r>
        <w:rPr>
          <w:rStyle w:val="ssit"/>
        </w:rPr>
        <w:t xml:space="preserve"> of a defendant’s statement</w:t>
      </w:r>
      <w:r w:rsidRPr="005125EF">
        <w:rPr>
          <w:rStyle w:val="ssit"/>
        </w:rPr>
        <w:t xml:space="preserve">” </w:t>
      </w:r>
      <w:r>
        <w:rPr>
          <w:rStyle w:val="ssit"/>
        </w:rPr>
        <w:t>must be raised</w:t>
      </w:r>
      <w:r w:rsidRPr="005125EF">
        <w:rPr>
          <w:rStyle w:val="ssit"/>
        </w:rPr>
        <w:t xml:space="preserve"> under section 28(1) by reference to the circumstances in which the statement was made</w:t>
      </w:r>
      <w:r>
        <w:rPr>
          <w:rStyle w:val="ssit"/>
        </w:rPr>
        <w:t xml:space="preserve">; and/or </w:t>
      </w:r>
    </w:p>
    <w:p w14:paraId="344886E7" w14:textId="77777777" w:rsidR="008C4A9E" w:rsidRDefault="008C4A9E" w:rsidP="008C4A9E">
      <w:pPr>
        <w:pStyle w:val="Questionabc"/>
        <w:ind w:left="1418"/>
        <w:rPr>
          <w:rStyle w:val="ssit"/>
        </w:rPr>
      </w:pPr>
      <w:r>
        <w:rPr>
          <w:rStyle w:val="ssit"/>
        </w:rPr>
        <w:t>p</w:t>
      </w:r>
      <w:r w:rsidRPr="005125EF">
        <w:rPr>
          <w:rStyle w:val="ssit"/>
        </w:rPr>
        <w:t xml:space="preserve">rovide that the judge may admit the statement under section 28(2) if satisfied that the circumstances in which the statement was made were not likely to have, </w:t>
      </w:r>
      <w:r w:rsidRPr="00F44946">
        <w:rPr>
          <w:rStyle w:val="ssit"/>
          <w:i/>
        </w:rPr>
        <w:t>or did not in fact</w:t>
      </w:r>
      <w:r w:rsidRPr="005125EF">
        <w:rPr>
          <w:rStyle w:val="ssit"/>
        </w:rPr>
        <w:t>, adversely affect the reliability of the statement</w:t>
      </w:r>
      <w:r>
        <w:rPr>
          <w:rStyle w:val="ssit"/>
        </w:rPr>
        <w:t>; and/or</w:t>
      </w:r>
    </w:p>
    <w:p w14:paraId="5D6C27C7" w14:textId="77777777" w:rsidR="008C4A9E" w:rsidRDefault="008C4A9E" w:rsidP="008C4A9E">
      <w:pPr>
        <w:pStyle w:val="Questionabc"/>
        <w:ind w:left="1418"/>
        <w:rPr>
          <w:rStyle w:val="ssit"/>
        </w:rPr>
      </w:pPr>
      <w:r>
        <w:rPr>
          <w:rStyle w:val="ssit"/>
        </w:rPr>
        <w:t>i</w:t>
      </w:r>
      <w:r w:rsidRPr="005125EF">
        <w:rPr>
          <w:rStyle w:val="ssit"/>
        </w:rPr>
        <w:t xml:space="preserve">nsert a new subsection providing that, in applying section 28(2), the judge may have regard to: </w:t>
      </w:r>
    </w:p>
    <w:p w14:paraId="193EF1A9" w14:textId="77777777" w:rsidR="008C4A9E" w:rsidRPr="005125EF" w:rsidRDefault="008C4A9E" w:rsidP="00866891">
      <w:pPr>
        <w:pStyle w:val="Questionabc"/>
        <w:numPr>
          <w:ilvl w:val="0"/>
          <w:numId w:val="57"/>
        </w:numPr>
        <w:ind w:left="1843" w:hanging="283"/>
        <w:rPr>
          <w:rStyle w:val="ssit"/>
        </w:rPr>
      </w:pPr>
      <w:r w:rsidRPr="005125EF">
        <w:rPr>
          <w:rStyle w:val="ssit"/>
        </w:rPr>
        <w:t xml:space="preserve">the contents of the statement; and/or </w:t>
      </w:r>
    </w:p>
    <w:p w14:paraId="1EC9973F" w14:textId="77777777" w:rsidR="008C4A9E" w:rsidRDefault="008C4A9E" w:rsidP="00866891">
      <w:pPr>
        <w:pStyle w:val="Questionabc"/>
        <w:numPr>
          <w:ilvl w:val="0"/>
          <w:numId w:val="57"/>
        </w:numPr>
        <w:ind w:left="1843" w:hanging="283"/>
        <w:rPr>
          <w:rStyle w:val="ssit"/>
        </w:rPr>
      </w:pPr>
      <w:r w:rsidRPr="005125EF">
        <w:rPr>
          <w:rStyle w:val="ssit"/>
        </w:rPr>
        <w:t>the extent to which the statement is clearly consistent or inconsistent with other available evidence?</w:t>
      </w:r>
    </w:p>
    <w:p w14:paraId="4EE5FE69" w14:textId="77777777" w:rsidR="008C4A9E" w:rsidRPr="008C4A9E" w:rsidRDefault="008C4A9E" w:rsidP="008C4A9E">
      <w:pPr>
        <w:pStyle w:val="QuestionBox"/>
        <w:rPr>
          <w:lang w:eastAsia="en-US"/>
        </w:rPr>
      </w:pPr>
    </w:p>
    <w:p w14:paraId="7923FEE6" w14:textId="77777777" w:rsidR="00116092" w:rsidRDefault="00116092" w:rsidP="00116092">
      <w:pPr>
        <w:pStyle w:val="Heading2"/>
      </w:pPr>
      <w:bookmarkStart w:id="89" w:name="_Toc126330123"/>
      <w:bookmarkStart w:id="90" w:name="_Toc132962559"/>
      <w:r>
        <w:t xml:space="preserve">The standard of proof for </w:t>
      </w:r>
      <w:bookmarkEnd w:id="89"/>
      <w:r>
        <w:t>admissibility</w:t>
      </w:r>
      <w:bookmarkEnd w:id="90"/>
    </w:p>
    <w:p w14:paraId="74F6BBCE" w14:textId="77777777" w:rsidR="00116092" w:rsidRDefault="00116092" w:rsidP="00116092">
      <w:pPr>
        <w:pStyle w:val="BodyText"/>
      </w:pPr>
      <w:r>
        <w:t>As noted above, section 28 provides for a reliability assessment in relation to defendants’ statements in recognition of the risk of wrongful convictions based on false confessions.</w:t>
      </w:r>
      <w:r w:rsidRPr="00F51653">
        <w:rPr>
          <w:rStyle w:val="FootnoteReference"/>
        </w:rPr>
        <w:footnoteReference w:id="377"/>
      </w:r>
      <w:r>
        <w:t xml:space="preserve"> </w:t>
      </w:r>
      <w:r w:rsidRPr="00683F4A">
        <w:t xml:space="preserve">Once the issue of </w:t>
      </w:r>
      <w:r>
        <w:t xml:space="preserve">the </w:t>
      </w:r>
      <w:r w:rsidRPr="00683F4A">
        <w:t>reliability</w:t>
      </w:r>
      <w:r>
        <w:t xml:space="preserve"> of a statement</w:t>
      </w:r>
      <w:r w:rsidRPr="00683F4A">
        <w:t xml:space="preserve"> is raised, the judge must exclude the evidence unless satisfied on the “balance of probabilities” that its reliability is not likely to have been affected.</w:t>
      </w:r>
      <w:r w:rsidRPr="000B01D8">
        <w:rPr>
          <w:rStyle w:val="FootnoteReference"/>
          <w:color w:val="0D0D0D" w:themeColor="text1" w:themeTint="F2"/>
        </w:rPr>
        <w:footnoteReference w:id="378"/>
      </w:r>
      <w:r w:rsidRPr="00683F4A">
        <w:t xml:space="preserve"> </w:t>
      </w:r>
    </w:p>
    <w:p w14:paraId="388FD096" w14:textId="77777777" w:rsidR="00116092" w:rsidRDefault="00116092" w:rsidP="00116092">
      <w:pPr>
        <w:pStyle w:val="Heading3"/>
      </w:pPr>
      <w:r>
        <w:lastRenderedPageBreak/>
        <w:t>Does the “balance of probabilities” standard provide adequate protection against the risk of conviction based on false confessions?</w:t>
      </w:r>
    </w:p>
    <w:p w14:paraId="0041E2FD" w14:textId="687BB765" w:rsidR="00116092" w:rsidRDefault="00116092" w:rsidP="00116092">
      <w:pPr>
        <w:pStyle w:val="BodyText"/>
      </w:pPr>
      <w:r w:rsidRPr="00C83407">
        <w:t>The Commission</w:t>
      </w:r>
      <w:r>
        <w:t xml:space="preserve"> in its </w:t>
      </w:r>
      <w:r w:rsidRPr="00C83407">
        <w:t xml:space="preserve">Evidence Code </w:t>
      </w:r>
      <w:r>
        <w:t>had originally proposed</w:t>
      </w:r>
      <w:r w:rsidRPr="00C83407">
        <w:t xml:space="preserve"> a “beyond reasonable doubt” </w:t>
      </w:r>
      <w:r>
        <w:t>standard</w:t>
      </w:r>
      <w:r w:rsidRPr="00C83407">
        <w:t xml:space="preserve"> for </w:t>
      </w:r>
      <w:r>
        <w:t>establishing the reliability of a defendant’s statement</w:t>
      </w:r>
      <w:r w:rsidRPr="00C83407">
        <w:t>.</w:t>
      </w:r>
      <w:r w:rsidRPr="000B01D8">
        <w:rPr>
          <w:rStyle w:val="FootnoteReference"/>
          <w:color w:val="0D0D0D" w:themeColor="text1" w:themeTint="F2"/>
        </w:rPr>
        <w:footnoteReference w:id="379"/>
      </w:r>
      <w:r w:rsidRPr="00C83407">
        <w:t xml:space="preserve"> </w:t>
      </w:r>
      <w:r>
        <w:t xml:space="preserve">This is the </w:t>
      </w:r>
      <w:r w:rsidRPr="00C83407">
        <w:t xml:space="preserve">standard that applied </w:t>
      </w:r>
      <w:r>
        <w:t xml:space="preserve">under the common law </w:t>
      </w:r>
      <w:r w:rsidRPr="00C83407">
        <w:t xml:space="preserve">voluntariness </w:t>
      </w:r>
      <w:r>
        <w:t>rule</w:t>
      </w:r>
      <w:r w:rsidRPr="000B01D8">
        <w:rPr>
          <w:rStyle w:val="FootnoteReference"/>
          <w:color w:val="0D0D0D" w:themeColor="text1" w:themeTint="F2"/>
        </w:rPr>
        <w:footnoteReference w:id="380"/>
      </w:r>
      <w:r>
        <w:t xml:space="preserve"> and still applies under</w:t>
      </w:r>
      <w:r w:rsidRPr="00C83407">
        <w:t xml:space="preserve"> section 29 (statements influenced by oppression)</w:t>
      </w:r>
      <w:r>
        <w:t xml:space="preserve">. When the Evidence Bill was introduced, clause 24 (now section 28) contained the lower </w:t>
      </w:r>
      <w:r w:rsidRPr="00C83407">
        <w:t>“balance of probabilities”</w:t>
      </w:r>
      <w:r>
        <w:t xml:space="preserve"> standard. This appears to have been preferred </w:t>
      </w:r>
      <w:r w:rsidRPr="00C83407">
        <w:t xml:space="preserve">on the basis that the evidence would still need to be assessed by </w:t>
      </w:r>
      <w:r w:rsidR="00E07CCB">
        <w:t>the fact-finder</w:t>
      </w:r>
      <w:r w:rsidRPr="00C83407">
        <w:t xml:space="preserve"> if admitted.</w:t>
      </w:r>
      <w:r w:rsidRPr="000B01D8">
        <w:rPr>
          <w:rStyle w:val="FootnoteReference"/>
          <w:color w:val="0D0D0D" w:themeColor="text1" w:themeTint="F2"/>
        </w:rPr>
        <w:footnoteReference w:id="381"/>
      </w:r>
      <w:r w:rsidRPr="00C83407">
        <w:t xml:space="preserve"> </w:t>
      </w:r>
    </w:p>
    <w:p w14:paraId="7AADA4E0" w14:textId="77777777" w:rsidR="00116092" w:rsidRPr="00EF0845" w:rsidRDefault="00116092" w:rsidP="00116092">
      <w:pPr>
        <w:pStyle w:val="BodyText"/>
      </w:pPr>
      <w:r>
        <w:t>Preliminary feedback</w:t>
      </w:r>
      <w:r w:rsidRPr="00683F4A">
        <w:t xml:space="preserve"> identified concerns </w:t>
      </w:r>
      <w:r>
        <w:t xml:space="preserve">among defence counsel </w:t>
      </w:r>
      <w:r w:rsidRPr="00683F4A">
        <w:t xml:space="preserve">that section 28 may </w:t>
      </w:r>
      <w:r>
        <w:t>provide inadequate protection</w:t>
      </w:r>
      <w:r w:rsidRPr="00683F4A">
        <w:t xml:space="preserve"> against the risk of false confessions being admitted in evidence. </w:t>
      </w:r>
      <w:r>
        <w:t>Concerns related principally to the relatively recent adoption in New Zealand of “Mr Big” undercover operations</w:t>
      </w:r>
      <w:r>
        <w:rPr>
          <w:rStyle w:val="FootnoteReference"/>
        </w:rPr>
        <w:footnoteReference w:id="382"/>
      </w:r>
      <w:r>
        <w:t xml:space="preserve"> and the </w:t>
      </w:r>
      <w:r w:rsidRPr="00620B6C">
        <w:t>Complex Investigation Phased Engagement Model (CIPEM)</w:t>
      </w:r>
      <w:r>
        <w:t xml:space="preserve"> for questioning suspects.</w:t>
      </w:r>
      <w:r>
        <w:rPr>
          <w:rStyle w:val="FootnoteReference"/>
        </w:rPr>
        <w:footnoteReference w:id="383"/>
      </w:r>
      <w:r>
        <w:t xml:space="preserve"> These techniques </w:t>
      </w:r>
      <w:r w:rsidRPr="00EF0845">
        <w:t xml:space="preserve">have been the subject of considerable </w:t>
      </w:r>
      <w:r>
        <w:t>media scrutiny</w:t>
      </w:r>
      <w:r w:rsidRPr="00EF0845">
        <w:rPr>
          <w:vertAlign w:val="superscript"/>
        </w:rPr>
        <w:footnoteReference w:id="384"/>
      </w:r>
      <w:r>
        <w:t xml:space="preserve"> and have been found by the courts to have produced </w:t>
      </w:r>
      <w:r>
        <w:lastRenderedPageBreak/>
        <w:t>unreliable statements in two cases.</w:t>
      </w:r>
      <w:r>
        <w:rPr>
          <w:rStyle w:val="FootnoteReference"/>
        </w:rPr>
        <w:footnoteReference w:id="385"/>
      </w:r>
      <w:r w:rsidRPr="00EF0845">
        <w:t xml:space="preserve"> The Independent Police Conduct Authority is currently investigating two complaints</w:t>
      </w:r>
      <w:r>
        <w:t xml:space="preserve"> related to the use of CIPEM</w:t>
      </w:r>
      <w:r w:rsidRPr="00EF0845">
        <w:t>.</w:t>
      </w:r>
      <w:r w:rsidRPr="00EF0845">
        <w:rPr>
          <w:vertAlign w:val="superscript"/>
        </w:rPr>
        <w:footnoteReference w:id="386"/>
      </w:r>
      <w:r w:rsidRPr="00EF0845">
        <w:t xml:space="preserve"> </w:t>
      </w:r>
    </w:p>
    <w:p w14:paraId="729B2294" w14:textId="77777777" w:rsidR="00116092" w:rsidRDefault="00116092" w:rsidP="00116092">
      <w:pPr>
        <w:pStyle w:val="BodyText"/>
      </w:pPr>
      <w:r w:rsidRPr="006750C9">
        <w:t xml:space="preserve">In Chapter </w:t>
      </w:r>
      <w:r>
        <w:t xml:space="preserve">6 we suggest that concerns about the propriety of these </w:t>
      </w:r>
      <w:r>
        <w:rPr>
          <w:lang w:val="en-GB"/>
        </w:rPr>
        <w:t xml:space="preserve">techniques </w:t>
      </w:r>
      <w:r>
        <w:t xml:space="preserve">could be addressed in part under section 30 (improperly obtained evidence). However, where the primary issue is the reliability of the defendant’s statement, section 28 will apply. We invite submissions on whether the “balance of probabilities” standard for admitting evidence under section 28 remains appropriate. </w:t>
      </w:r>
    </w:p>
    <w:p w14:paraId="448A8412" w14:textId="0E5F4577" w:rsidR="00116092" w:rsidRDefault="00116092" w:rsidP="00116092">
      <w:pPr>
        <w:pStyle w:val="BodyText"/>
      </w:pPr>
      <w:r>
        <w:t>We have not yet formed a preliminary view on this issue. On the one hand, t</w:t>
      </w:r>
      <w:r w:rsidR="000D65CD">
        <w:t xml:space="preserve">e Kōti </w:t>
      </w:r>
      <w:r w:rsidR="00BA3F6F">
        <w:t>Pīra</w:t>
      </w:r>
      <w:r w:rsidR="000D65CD">
        <w:t xml:space="preserve"> |</w:t>
      </w:r>
      <w:r>
        <w:t xml:space="preserve"> Court of Appeal has allowed appeals on the basis that defendants’ statements should not have been admitted under section 28 in </w:t>
      </w:r>
      <w:r w:rsidRPr="006619A2">
        <w:rPr>
          <w:i/>
          <w:iCs/>
        </w:rPr>
        <w:t>Lyttle v R</w:t>
      </w:r>
      <w:r w:rsidRPr="00BC7211">
        <w:rPr>
          <w:rStyle w:val="FootnoteReference"/>
        </w:rPr>
        <w:footnoteReference w:id="387"/>
      </w:r>
      <w:r>
        <w:t xml:space="preserve"> (a Mr Big case) and </w:t>
      </w:r>
      <w:r w:rsidRPr="006619A2">
        <w:rPr>
          <w:i/>
          <w:iCs/>
        </w:rPr>
        <w:t>Gebhardt v R.</w:t>
      </w:r>
      <w:r w:rsidRPr="001956DC">
        <w:rPr>
          <w:rStyle w:val="FootnoteReference"/>
        </w:rPr>
        <w:footnoteReference w:id="388"/>
      </w:r>
      <w:r>
        <w:t xml:space="preserve"> This may suggest that section 28 is functioning as intended. On the other hand, in both </w:t>
      </w:r>
      <w:r w:rsidRPr="006619A2">
        <w:rPr>
          <w:i/>
          <w:iCs/>
        </w:rPr>
        <w:t xml:space="preserve">Lyttle </w:t>
      </w:r>
      <w:r>
        <w:t xml:space="preserve">and </w:t>
      </w:r>
      <w:r w:rsidRPr="006619A2">
        <w:rPr>
          <w:i/>
          <w:iCs/>
        </w:rPr>
        <w:t>Gebhardt</w:t>
      </w:r>
      <w:r w:rsidR="009366A2">
        <w:t>,</w:t>
      </w:r>
      <w:r>
        <w:t xml:space="preserve"> the Court of Appeal found clear indications that the statements were in fact unreliable.</w:t>
      </w:r>
      <w:r>
        <w:rPr>
          <w:rStyle w:val="FootnoteReference"/>
        </w:rPr>
        <w:footnoteReference w:id="389"/>
      </w:r>
      <w:r>
        <w:t xml:space="preserve"> In cases where the other available evidence is less clear, there may be a higher risk of a false confession being admitted under section 28. </w:t>
      </w:r>
    </w:p>
    <w:p w14:paraId="10F98D92" w14:textId="77777777" w:rsidR="00116092" w:rsidRPr="00D82EDB" w:rsidRDefault="00116092" w:rsidP="00116092">
      <w:pPr>
        <w:pStyle w:val="BodyText"/>
      </w:pPr>
      <w:r>
        <w:t>Whether the current standard is resulting in the admission of false confessions in practice is difficult to assess on the case law. While there are instances where convictions based in part on a defendant’s statement have been overturned due to reliability concerns, these either involved events pre-Act</w:t>
      </w:r>
      <w:r>
        <w:rPr>
          <w:rStyle w:val="FootnoteReference"/>
        </w:rPr>
        <w:footnoteReference w:id="390"/>
      </w:r>
      <w:r>
        <w:t xml:space="preserve"> or challenges to the reliability of the statement based on new information obtained after the original trial.</w:t>
      </w:r>
      <w:r>
        <w:rPr>
          <w:rStyle w:val="FootnoteReference"/>
        </w:rPr>
        <w:footnoteReference w:id="391"/>
      </w:r>
      <w:r>
        <w:t xml:space="preserve"> The absence of case examples to date does not, however, mean that false confessions have not been admitted under section 28 (as there may be no way to prove this on appeal) or that this will not occur in future.</w:t>
      </w:r>
    </w:p>
    <w:p w14:paraId="50B8C426" w14:textId="77777777" w:rsidR="00116092" w:rsidRDefault="00116092" w:rsidP="00116092">
      <w:pPr>
        <w:pStyle w:val="BodyText"/>
      </w:pPr>
      <w:r w:rsidRPr="00C83407">
        <w:t>There have</w:t>
      </w:r>
      <w:r>
        <w:t xml:space="preserve"> </w:t>
      </w:r>
      <w:r w:rsidRPr="00C83407">
        <w:t>been several developments since the Act was enacted that</w:t>
      </w:r>
      <w:r>
        <w:t xml:space="preserve"> may affect the assessment of whether the “balance of probabilities” standard is appropriate</w:t>
      </w:r>
      <w:r w:rsidRPr="00C83407">
        <w:t>.</w:t>
      </w:r>
    </w:p>
    <w:p w14:paraId="5B49C2CA" w14:textId="00373C6F" w:rsidR="00116092" w:rsidRDefault="00116092" w:rsidP="00866891">
      <w:pPr>
        <w:pStyle w:val="BodyTextnonum"/>
        <w:numPr>
          <w:ilvl w:val="3"/>
          <w:numId w:val="25"/>
        </w:numPr>
      </w:pPr>
      <w:r w:rsidRPr="00C83407">
        <w:t xml:space="preserve">First, there is increasing </w:t>
      </w:r>
      <w:r w:rsidRPr="000B01D8">
        <w:t xml:space="preserve">recognition of the reliability risks associated with confessions and a growing body of evidence indicating </w:t>
      </w:r>
      <w:r>
        <w:t>they</w:t>
      </w:r>
      <w:r w:rsidRPr="000B01D8">
        <w:t xml:space="preserve"> may be given undue weight by </w:t>
      </w:r>
      <w:r w:rsidR="00AF7BF7">
        <w:t>the fact-finder</w:t>
      </w:r>
      <w:r w:rsidRPr="000B01D8">
        <w:t>.</w:t>
      </w:r>
      <w:r w:rsidRPr="000B01D8">
        <w:rPr>
          <w:rStyle w:val="FootnoteReference"/>
          <w:color w:val="0D0D0D" w:themeColor="text1" w:themeTint="F2"/>
        </w:rPr>
        <w:footnoteReference w:id="392"/>
      </w:r>
      <w:r>
        <w:t xml:space="preserve"> The prevalence of false confessions has been established by overseas </w:t>
      </w:r>
      <w:r>
        <w:lastRenderedPageBreak/>
        <w:t>case studies (including cases involving DNA exonerations) and scientific studies.</w:t>
      </w:r>
      <w:r>
        <w:rPr>
          <w:rStyle w:val="FootnoteReference"/>
        </w:rPr>
        <w:footnoteReference w:id="393"/>
      </w:r>
      <w:r>
        <w:t xml:space="preserve"> There have been recent cases in New Zealand where people who confessed to a crime later had their convictions overturned.</w:t>
      </w:r>
      <w:r>
        <w:rPr>
          <w:rStyle w:val="FootnoteReference"/>
        </w:rPr>
        <w:footnoteReference w:id="394"/>
      </w:r>
      <w:r>
        <w:t xml:space="preserve"> False confessions may be influenced by a variety of factors, including situational factors (such as interrogation techniques) and dispositional factors (such as youth, poor mental health or cognitive impairment).</w:t>
      </w:r>
      <w:r>
        <w:rPr>
          <w:rStyle w:val="FootnoteReference"/>
        </w:rPr>
        <w:footnoteReference w:id="395"/>
      </w:r>
      <w:r>
        <w:t xml:space="preserve"> Research suggests false confessions can be convincing, containing details that it seems only the offender would know.</w:t>
      </w:r>
      <w:r>
        <w:rPr>
          <w:rStyle w:val="FootnoteReference"/>
        </w:rPr>
        <w:footnoteReference w:id="396"/>
      </w:r>
      <w:r>
        <w:t xml:space="preserve"> These details may be inadvertently disclosed to a suspect by law enforcement officers during an investigation (sometimes referred to as contamination).</w:t>
      </w:r>
      <w:r>
        <w:rPr>
          <w:rStyle w:val="FootnoteReference"/>
        </w:rPr>
        <w:footnoteReference w:id="397"/>
      </w:r>
      <w:r>
        <w:t xml:space="preserve"> Because of this, it can be difficult to accurately assess whether confessions are true.</w:t>
      </w:r>
      <w:r>
        <w:rPr>
          <w:rStyle w:val="FootnoteReference"/>
        </w:rPr>
        <w:footnoteReference w:id="398"/>
      </w:r>
      <w:r>
        <w:t xml:space="preserve"> They are, however, likely to be given significant weight by </w:t>
      </w:r>
      <w:r w:rsidR="003B0685">
        <w:t>the</w:t>
      </w:r>
      <w:r>
        <w:t xml:space="preserve"> </w:t>
      </w:r>
      <w:r w:rsidR="003B0685">
        <w:t>fact-finder</w:t>
      </w:r>
      <w:r>
        <w:t>.</w:t>
      </w:r>
      <w:r>
        <w:rPr>
          <w:rStyle w:val="FootnoteReference"/>
        </w:rPr>
        <w:footnoteReference w:id="399"/>
      </w:r>
      <w:r>
        <w:t xml:space="preserve"> </w:t>
      </w:r>
    </w:p>
    <w:p w14:paraId="37C2A92F" w14:textId="55D7DFB6" w:rsidR="00116092" w:rsidRDefault="00116092" w:rsidP="00866891">
      <w:pPr>
        <w:pStyle w:val="BodyTextnonum"/>
        <w:numPr>
          <w:ilvl w:val="3"/>
          <w:numId w:val="25"/>
        </w:numPr>
      </w:pPr>
      <w:r>
        <w:t>Second, the relatively recent use of techniques such as</w:t>
      </w:r>
      <w:r w:rsidRPr="00267046">
        <w:t xml:space="preserve"> Mr Big undercover operations and the </w:t>
      </w:r>
      <w:r>
        <w:t>CIPEM</w:t>
      </w:r>
      <w:r w:rsidRPr="00267046">
        <w:t xml:space="preserve"> </w:t>
      </w:r>
      <w:r>
        <w:t xml:space="preserve">for </w:t>
      </w:r>
      <w:r w:rsidRPr="00267046">
        <w:t xml:space="preserve">questioning </w:t>
      </w:r>
      <w:r>
        <w:t>suspects may make it more difficult to accurately assess the reliability of confessions</w:t>
      </w:r>
      <w:r w:rsidRPr="00267046">
        <w:t xml:space="preserve">. These </w:t>
      </w:r>
      <w:r>
        <w:rPr>
          <w:lang w:val="en-GB"/>
        </w:rPr>
        <w:t xml:space="preserve">techniques </w:t>
      </w:r>
      <w:r w:rsidRPr="00267046">
        <w:t xml:space="preserve">can involve significant </w:t>
      </w:r>
      <w:r>
        <w:t>interaction</w:t>
      </w:r>
      <w:r w:rsidRPr="00267046">
        <w:t xml:space="preserve"> between investigators and suspects over an extended period of time, some of which may be informal and</w:t>
      </w:r>
      <w:r>
        <w:t>/or</w:t>
      </w:r>
      <w:r w:rsidRPr="00267046">
        <w:t xml:space="preserve"> not recorded.</w:t>
      </w:r>
      <w:r>
        <w:rPr>
          <w:rStyle w:val="FootnoteReference"/>
        </w:rPr>
        <w:footnoteReference w:id="400"/>
      </w:r>
      <w:r w:rsidRPr="00267046">
        <w:t xml:space="preserve"> </w:t>
      </w:r>
    </w:p>
    <w:p w14:paraId="41E135D5" w14:textId="77777777" w:rsidR="00116092" w:rsidRDefault="00116092" w:rsidP="00866891">
      <w:pPr>
        <w:pStyle w:val="BodyTextnonum"/>
        <w:numPr>
          <w:ilvl w:val="3"/>
          <w:numId w:val="25"/>
        </w:numPr>
      </w:pPr>
      <w:r>
        <w:t xml:space="preserve">Third, as discussed above, </w:t>
      </w:r>
      <w:r w:rsidRPr="00C83407">
        <w:t xml:space="preserve">the courts now consider indications of actual reliability when deciding whether to admit evidence under section 28. This does not appear to have been the intent at the time section 28 was enacted. In light of this, there may be a stronger argument for applying a higher </w:t>
      </w:r>
      <w:r>
        <w:t>standard for admission under section 28</w:t>
      </w:r>
      <w:r w:rsidRPr="00C83407">
        <w:t xml:space="preserve">. Given the difficulties in accurately assessing the truth of confessions, indications of </w:t>
      </w:r>
      <w:r>
        <w:t xml:space="preserve">actual </w:t>
      </w:r>
      <w:r w:rsidRPr="00C83407">
        <w:t>reliability may be misleading. For example, a confession may be consistent with other evidence due to contamination during the investigation or because the defendant knows the offender.</w:t>
      </w:r>
      <w:r>
        <w:t xml:space="preserve"> It may therefore be appropriate to require more convincing evidence of actual reliability before admitting a confession on that basis.</w:t>
      </w:r>
    </w:p>
    <w:p w14:paraId="77DB0A56" w14:textId="06100598" w:rsidR="00116092" w:rsidRPr="00AF4133" w:rsidRDefault="00116092" w:rsidP="00116092">
      <w:pPr>
        <w:pStyle w:val="BodyText"/>
      </w:pPr>
      <w:r w:rsidRPr="00C83407">
        <w:lastRenderedPageBreak/>
        <w:t xml:space="preserve">In </w:t>
      </w:r>
      <w:r w:rsidRPr="00C83407">
        <w:rPr>
          <w:i/>
        </w:rPr>
        <w:t>Wichman</w:t>
      </w:r>
      <w:r>
        <w:rPr>
          <w:iCs/>
        </w:rPr>
        <w:t>, which concerned the admissibility of a confession made during a Mr Big operation,</w:t>
      </w:r>
      <w:r w:rsidRPr="00C83407">
        <w:rPr>
          <w:i/>
        </w:rPr>
        <w:t xml:space="preserve"> </w:t>
      </w:r>
      <w:r w:rsidRPr="00C83407">
        <w:t>all members of the Court accepted that an innocent person in the defendant’s position may have thought it worthwhile to confess.</w:t>
      </w:r>
      <w:r w:rsidRPr="000B01D8">
        <w:rPr>
          <w:rStyle w:val="FootnoteReference"/>
          <w:color w:val="0D0D0D" w:themeColor="text1" w:themeTint="F2"/>
          <w:szCs w:val="18"/>
        </w:rPr>
        <w:footnoteReference w:id="401"/>
      </w:r>
      <w:r w:rsidRPr="00C83407">
        <w:t xml:space="preserve"> Nonetheless, the evidence was admitted based on indications of actual reliability. In that </w:t>
      </w:r>
      <w:r>
        <w:t xml:space="preserve">type of </w:t>
      </w:r>
      <w:r w:rsidRPr="00C83407">
        <w:t xml:space="preserve">situation, </w:t>
      </w:r>
      <w:r>
        <w:t>there is an argument that the</w:t>
      </w:r>
      <w:r w:rsidRPr="00C83407">
        <w:t xml:space="preserve"> balance of probabilities standard </w:t>
      </w:r>
      <w:r>
        <w:t>is</w:t>
      </w:r>
      <w:r w:rsidRPr="00C83407">
        <w:t xml:space="preserve"> inadequate to protect against the risk of conviction based on a false confession</w:t>
      </w:r>
      <w:r>
        <w:t xml:space="preserve"> in light of the considerations discussed above. The counter-argument is that the case law to date does not show clear evidence of false confessions having been admitted following a challenge under section 28. The difficulty is that, if this has occurred, it would not necessarily be detected (in the absence of a later exoneration based on new evidence). </w:t>
      </w:r>
    </w:p>
    <w:p w14:paraId="29287CE8" w14:textId="77777777" w:rsidR="00116092" w:rsidRDefault="00116092" w:rsidP="00116092">
      <w:pPr>
        <w:pStyle w:val="Heading3"/>
      </w:pPr>
      <w:r>
        <w:t>Should the standard be changed to “beyond reasonable doubt”?</w:t>
      </w:r>
    </w:p>
    <w:p w14:paraId="114C86E8" w14:textId="1D809EB0" w:rsidR="00116092" w:rsidRDefault="00116092" w:rsidP="00116092">
      <w:pPr>
        <w:pStyle w:val="BodyText"/>
      </w:pPr>
      <w:r>
        <w:t>Should reform be necessary or desirable to address the concerns discussed above, s</w:t>
      </w:r>
      <w:r w:rsidRPr="6EF46FD7">
        <w:t xml:space="preserve">ection 28 could be amended to adopt a standard of “beyond reasonable doubt”. </w:t>
      </w:r>
      <w:r>
        <w:t>This could occur in conjunction with the potential amendments discussed above in relation to the purpose of section 28 or alone.</w:t>
      </w:r>
    </w:p>
    <w:p w14:paraId="3FE035B8" w14:textId="77777777" w:rsidR="00116092" w:rsidRDefault="00116092" w:rsidP="00116092">
      <w:pPr>
        <w:pStyle w:val="BodyText"/>
      </w:pPr>
      <w:r>
        <w:t>Raising the</w:t>
      </w:r>
      <w:r w:rsidRPr="00CE2D11">
        <w:t xml:space="preserve"> </w:t>
      </w:r>
      <w:r>
        <w:t>standard of proof for admissibility</w:t>
      </w:r>
      <w:r w:rsidRPr="00CE2D11">
        <w:t xml:space="preserve"> could provide greater protection against the risk of wrongful conviction based on false confession evidence.</w:t>
      </w:r>
      <w:r>
        <w:t xml:space="preserve"> It may not change the outcome in the majority of cases, but it would signal to the courts that they should err on the side of exclusion where there is limited evidence of reliability. If the court had any doubt that the circumstances surrounding a defendant’s statement may have made it unreliable, the statement would be excluded.</w:t>
      </w:r>
    </w:p>
    <w:p w14:paraId="1779999B" w14:textId="0CFD1BA5" w:rsidR="00116092" w:rsidRDefault="00116092" w:rsidP="00116092">
      <w:pPr>
        <w:pStyle w:val="BodyText"/>
      </w:pPr>
      <w:r>
        <w:t>It</w:t>
      </w:r>
      <w:r w:rsidRPr="004364A8">
        <w:t xml:space="preserve"> is arguable</w:t>
      </w:r>
      <w:r>
        <w:t xml:space="preserve"> </w:t>
      </w:r>
      <w:r w:rsidRPr="004364A8">
        <w:t xml:space="preserve">that requiring </w:t>
      </w:r>
      <w:r>
        <w:t>the court</w:t>
      </w:r>
      <w:r w:rsidRPr="004364A8">
        <w:t xml:space="preserve"> to be satisfied “beyond reasonable doubt” at the pre-trial stage may be too high a hurdle </w:t>
      </w:r>
      <w:r>
        <w:t>since it</w:t>
      </w:r>
      <w:r w:rsidRPr="004364A8">
        <w:t xml:space="preserve"> will not have all the evidence before </w:t>
      </w:r>
      <w:r>
        <w:t>it (particularly where other relevant evidence will be given by prosecution witnesses)</w:t>
      </w:r>
      <w:r w:rsidRPr="004364A8">
        <w:t xml:space="preserve">. This could lead to relevant and probative evidence being withheld from the </w:t>
      </w:r>
      <w:r>
        <w:t>fact-finder</w:t>
      </w:r>
      <w:r w:rsidRPr="004364A8">
        <w:t xml:space="preserve"> in circumstances where they might be better placed to assess it</w:t>
      </w:r>
      <w:r>
        <w:t xml:space="preserve"> accurately at trial (with appropriate reliability warnings). </w:t>
      </w:r>
      <w:r w:rsidRPr="004364A8">
        <w:t>That may</w:t>
      </w:r>
      <w:r>
        <w:t>, however,</w:t>
      </w:r>
      <w:r w:rsidRPr="004364A8">
        <w:t xml:space="preserve"> be considered an appropriate trade-off to protect against the risk of a miscarriage of justice.</w:t>
      </w:r>
    </w:p>
    <w:p w14:paraId="2F0686E8" w14:textId="33A403D0" w:rsidR="00116092" w:rsidRDefault="00116092" w:rsidP="00116092">
      <w:pPr>
        <w:pStyle w:val="BodyText"/>
      </w:pPr>
      <w:r w:rsidRPr="00EE4DF2">
        <w:t xml:space="preserve">We note there is precedent in the Act for applying a “beyond reasonable doubt” standard when assessing reliability at the admissibility stage. </w:t>
      </w:r>
      <w:r>
        <w:t>Where v</w:t>
      </w:r>
      <w:r w:rsidRPr="00EE4DF2">
        <w:t xml:space="preserve">isual identification evidence </w:t>
      </w:r>
      <w:r>
        <w:t xml:space="preserve">was </w:t>
      </w:r>
      <w:r w:rsidRPr="00EE4DF2">
        <w:t xml:space="preserve">obtained without using a formal procedure </w:t>
      </w:r>
      <w:r>
        <w:t xml:space="preserve">and there was no good reason for not using one, it </w:t>
      </w:r>
      <w:r w:rsidRPr="00EE4DF2">
        <w:t>is only admissible if “the prosecution proves beyond reasonable doubt that the circumstances in which the identification was made have produced a reliable identification</w:t>
      </w:r>
      <w:r w:rsidR="00834A42">
        <w:t>”.</w:t>
      </w:r>
      <w:r w:rsidRPr="002D21BD">
        <w:rPr>
          <w:rStyle w:val="FootnoteReference"/>
          <w:color w:val="0D0D0D" w:themeColor="text1" w:themeTint="F2"/>
        </w:rPr>
        <w:footnoteReference w:id="402"/>
      </w:r>
      <w:r w:rsidRPr="00EE4DF2">
        <w:t xml:space="preserve"> We</w:t>
      </w:r>
      <w:r>
        <w:t xml:space="preserve"> welcome feedback on whether that</w:t>
      </w:r>
      <w:r w:rsidRPr="00EE4DF2">
        <w:t xml:space="preserve"> </w:t>
      </w:r>
      <w:r>
        <w:t>standard</w:t>
      </w:r>
      <w:r w:rsidRPr="00EE4DF2">
        <w:t xml:space="preserve"> </w:t>
      </w:r>
      <w:r>
        <w:t>has</w:t>
      </w:r>
      <w:r w:rsidRPr="00EE4DF2">
        <w:t xml:space="preserve"> caused difficulties in practice</w:t>
      </w:r>
      <w:r>
        <w:t>.</w:t>
      </w:r>
      <w:r w:rsidR="008C4A9E">
        <w:t xml:space="preserve"> </w:t>
      </w:r>
    </w:p>
    <w:p w14:paraId="651DF9C1" w14:textId="77777777" w:rsidR="008C4A9E" w:rsidRDefault="008C4A9E" w:rsidP="008C4A9E">
      <w:pPr>
        <w:pStyle w:val="ListNumber"/>
        <w:numPr>
          <w:ilvl w:val="0"/>
          <w:numId w:val="0"/>
        </w:numPr>
        <w:ind w:left="360" w:hanging="360"/>
      </w:pPr>
      <w:r>
        <w:rPr>
          <w:noProof/>
        </w:rPr>
        <mc:AlternateContent>
          <mc:Choice Requires="wpg">
            <w:drawing>
              <wp:anchor distT="0" distB="0" distL="114300" distR="114300" simplePos="0" relativeHeight="251658290" behindDoc="1" locked="0" layoutInCell="1" allowOverlap="1" wp14:anchorId="69268F56" wp14:editId="0755B4BB">
                <wp:simplePos x="0" y="0"/>
                <wp:positionH relativeFrom="column">
                  <wp:posOffset>3598</wp:posOffset>
                </wp:positionH>
                <wp:positionV relativeFrom="paragraph">
                  <wp:posOffset>1693</wp:posOffset>
                </wp:positionV>
                <wp:extent cx="5760085" cy="1109169"/>
                <wp:effectExtent l="0" t="0" r="0" b="0"/>
                <wp:wrapNone/>
                <wp:docPr id="556" name="Group 556" descr="Question"/>
                <wp:cNvGraphicFramePr/>
                <a:graphic xmlns:a="http://schemas.openxmlformats.org/drawingml/2006/main">
                  <a:graphicData uri="http://schemas.microsoft.com/office/word/2010/wordprocessingGroup">
                    <wpg:wgp>
                      <wpg:cNvGrpSpPr/>
                      <wpg:grpSpPr>
                        <a:xfrm>
                          <a:off x="0" y="0"/>
                          <a:ext cx="5760085" cy="1109169"/>
                          <a:chOff x="0" y="62865"/>
                          <a:chExt cx="5760085" cy="1109281"/>
                        </a:xfrm>
                      </wpg:grpSpPr>
                      <wps:wsp>
                        <wps:cNvPr id="55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D522D2" w14:textId="77777777" w:rsidR="008C4A9E" w:rsidRDefault="008C4A9E" w:rsidP="008C4A9E">
                              <w:pPr>
                                <w:pStyle w:val="BoxTitle"/>
                                <w:spacing w:before="0" w:beforeAutospacing="0"/>
                              </w:pPr>
                              <w:r w:rsidRPr="007F6876">
                                <w:t>QUESTION</w:t>
                              </w:r>
                            </w:p>
                          </w:txbxContent>
                        </wps:txbx>
                        <wps:bodyPr rot="0" vert="horz" wrap="square" lIns="91440" tIns="0" rIns="0" bIns="45720" anchor="ctr" anchorCtr="0" upright="1">
                          <a:noAutofit/>
                        </wps:bodyPr>
                      </wps:wsp>
                      <wpg:grpSp>
                        <wpg:cNvPr id="558" name="Group 53"/>
                        <wpg:cNvGrpSpPr>
                          <a:grpSpLocks/>
                        </wpg:cNvGrpSpPr>
                        <wpg:grpSpPr bwMode="auto">
                          <a:xfrm>
                            <a:off x="0" y="315892"/>
                            <a:ext cx="5760085" cy="856254"/>
                            <a:chOff x="1837" y="1788"/>
                            <a:chExt cx="9302" cy="9249"/>
                          </a:xfrm>
                        </wpg:grpSpPr>
                        <wps:wsp>
                          <wps:cNvPr id="559" name="Freeform 54"/>
                          <wps:cNvSpPr>
                            <a:spLocks/>
                          </wps:cNvSpPr>
                          <wps:spPr bwMode="auto">
                            <a:xfrm>
                              <a:off x="1837" y="1788"/>
                              <a:ext cx="9302" cy="924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60"/>
                        <wpg:cNvGrpSpPr/>
                        <wpg:grpSpPr>
                          <a:xfrm>
                            <a:off x="0" y="494036"/>
                            <a:ext cx="1443794" cy="252000"/>
                            <a:chOff x="-15880" y="0"/>
                            <a:chExt cx="1444379" cy="252068"/>
                          </a:xfrm>
                        </wpg:grpSpPr>
                        <wps:wsp>
                          <wps:cNvPr id="56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A5937A" w14:textId="77777777" w:rsidR="008C4A9E" w:rsidRPr="00E90B8A" w:rsidRDefault="008C4A9E" w:rsidP="008C4A9E">
                                <w:pPr>
                                  <w:pStyle w:val="BoxTitle"/>
                                  <w:spacing w:before="0" w:beforeAutospacing="0"/>
                                  <w:rPr>
                                    <w:sz w:val="18"/>
                                    <w:szCs w:val="18"/>
                                  </w:rPr>
                                </w:pPr>
                                <w:r w:rsidRPr="00E90B8A">
                                  <w:rPr>
                                    <w:sz w:val="18"/>
                                    <w:szCs w:val="18"/>
                                  </w:rPr>
                                  <w:t>Q</w:t>
                                </w:r>
                                <w:r>
                                  <w:rPr>
                                    <w:sz w:val="18"/>
                                    <w:szCs w:val="18"/>
                                  </w:rPr>
                                  <w:t>14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9268F56" id="Group 556" o:spid="_x0000_s1130" alt="Question" style="position:absolute;left:0;text-align:left;margin-left:.3pt;margin-top:.15pt;width:453.55pt;height:87.35pt;z-index:-251658190;mso-height-relative:margin" coordorigin=",628" coordsize="57600,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">
                <v:shape id="Freeform 52" o:spid="_x0000_s113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DD522D2" w14:textId="77777777" w:rsidR="008C4A9E" w:rsidRDefault="008C4A9E" w:rsidP="008C4A9E">
                        <w:pPr>
                          <w:pStyle w:val="BoxTitle"/>
                          <w:spacing w:before="0" w:beforeAutospacing="0"/>
                        </w:pPr>
                        <w:r w:rsidRPr="007F6876">
                          <w:t>QUESTION</w:t>
                        </w:r>
                      </w:p>
                    </w:txbxContent>
                  </v:textbox>
                </v:shape>
                <v:group id="Group 53" o:spid="_x0000_s1132" style="position:absolute;top:3158;width:57600;height:8563" coordorigin="1837,1788" coordsize="9302,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4" o:spid="_x0000_s1133" style="position:absolute;left:1837;top:1788;width:9302;height:924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" path="m,l9354,r,7809l,7809,,e" fillcolor="#edf2ea" stroked="f">
                    <v:path arrowok="t" o:connecttype="custom" o:connectlocs="0,1184;9302,1184;9302,10433;0,10433;0,1184" o:connectangles="0,0,0,0,0"/>
                  </v:shape>
                </v:group>
                <v:group id="Group 560" o:spid="_x0000_s113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8" o:spid="_x0000_s113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" path="m,l1815,e" filled="f" strokecolor="#72ab6a" strokeweight=".5pt">
                    <v:path arrowok="t" o:connecttype="custom" o:connectlocs="0,0;1073495,0" o:connectangles="0,0"/>
                  </v:shape>
                  <v:shape id="Freeform 66" o:spid="_x0000_s113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4A5937A" w14:textId="77777777" w:rsidR="008C4A9E" w:rsidRPr="00E90B8A" w:rsidRDefault="008C4A9E" w:rsidP="008C4A9E">
                          <w:pPr>
                            <w:pStyle w:val="BoxTitle"/>
                            <w:spacing w:before="0" w:beforeAutospacing="0"/>
                            <w:rPr>
                              <w:sz w:val="18"/>
                              <w:szCs w:val="18"/>
                            </w:rPr>
                          </w:pPr>
                          <w:r w:rsidRPr="00E90B8A">
                            <w:rPr>
                              <w:sz w:val="18"/>
                              <w:szCs w:val="18"/>
                            </w:rPr>
                            <w:t>Q</w:t>
                          </w:r>
                          <w:r>
                            <w:rPr>
                              <w:sz w:val="18"/>
                              <w:szCs w:val="18"/>
                            </w:rPr>
                            <w:t>14</w:t>
                          </w:r>
                        </w:p>
                      </w:txbxContent>
                    </v:textbox>
                  </v:shape>
                </v:group>
              </v:group>
            </w:pict>
          </mc:Fallback>
        </mc:AlternateContent>
      </w:r>
    </w:p>
    <w:p w14:paraId="4A034D89" w14:textId="77777777" w:rsidR="008C4A9E" w:rsidRDefault="008C4A9E" w:rsidP="008C4A9E">
      <w:pPr>
        <w:pStyle w:val="QuestionBox"/>
      </w:pPr>
    </w:p>
    <w:p w14:paraId="429761AD" w14:textId="7B50E06A" w:rsidR="00116092" w:rsidRPr="008C4A9E" w:rsidRDefault="008C4A9E" w:rsidP="008C4A9E">
      <w:pPr>
        <w:pStyle w:val="QuestionBox"/>
      </w:pPr>
      <w:r w:rsidRPr="0017623B">
        <w:t xml:space="preserve">Should the “balance of probabilities” standard in section 28(2) be raised to “beyond reasonable doubt”? </w:t>
      </w:r>
    </w:p>
    <w:p w14:paraId="1E7F2B57" w14:textId="31BCFA1D" w:rsidR="00431739" w:rsidRDefault="00116092" w:rsidP="002E41C5">
      <w:pPr>
        <w:pStyle w:val="BodyText"/>
        <w:numPr>
          <w:ilvl w:val="0"/>
          <w:numId w:val="0"/>
        </w:numPr>
        <w:ind w:left="709"/>
        <w:rPr>
          <w:noProof/>
        </w:rPr>
        <w:sectPr w:rsidR="00431739" w:rsidSect="00FD6721">
          <w:headerReference w:type="default" r:id="rId40"/>
          <w:footnotePr>
            <w:numRestart w:val="eachSect"/>
          </w:footnotePr>
          <w:type w:val="nextColumn"/>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8272" behindDoc="1" locked="0" layoutInCell="1" allowOverlap="1" wp14:anchorId="48B0A361" wp14:editId="3B78A1CC">
                <wp:simplePos x="0" y="0"/>
                <wp:positionH relativeFrom="page">
                  <wp:posOffset>1080135</wp:posOffset>
                </wp:positionH>
                <wp:positionV relativeFrom="paragraph">
                  <wp:posOffset>19050</wp:posOffset>
                </wp:positionV>
                <wp:extent cx="2411730" cy="1270"/>
                <wp:effectExtent l="0" t="19050" r="26670" b="17780"/>
                <wp:wrapNone/>
                <wp:docPr id="764518273" name="Group 764518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27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1D2B0" id="Group 764518273" o:spid="_x0000_s1026" style="position:absolute;margin-left:85.05pt;margin-top:1.5pt;width:189.9pt;height:.1pt;z-index:-25165820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30F80D51" w14:textId="77777777" w:rsidR="0080502C" w:rsidRPr="00D37FCE" w:rsidRDefault="0080502C" w:rsidP="002D5B0A">
      <w:pPr>
        <w:pStyle w:val="HEADING2topchapter-notinTOC"/>
        <w:rPr>
          <w:sz w:val="21"/>
          <w:szCs w:val="21"/>
        </w:rPr>
      </w:pPr>
      <w:bookmarkStart w:id="91" w:name="_Hlk66107232"/>
      <w:r w:rsidRPr="00D37FCE">
        <w:lastRenderedPageBreak/>
        <w:t>CHAPTER</w:t>
      </w:r>
      <w:r w:rsidRPr="00D37FCE">
        <w:rPr>
          <w:sz w:val="21"/>
          <w:szCs w:val="21"/>
        </w:rPr>
        <w:t xml:space="preserve"> </w:t>
      </w:r>
      <w:r w:rsidR="002D5B0A" w:rsidRPr="00D37FCE">
        <w:rPr>
          <w:sz w:val="21"/>
          <w:szCs w:val="21"/>
        </w:rPr>
        <w:t>6</w:t>
      </w:r>
    </w:p>
    <w:p w14:paraId="3723ABC7" w14:textId="77777777" w:rsidR="0080502C" w:rsidRPr="00D37FCE" w:rsidRDefault="0080502C" w:rsidP="0080502C">
      <w:pPr>
        <w:spacing w:line="200" w:lineRule="exact"/>
        <w:rPr>
          <w:szCs w:val="20"/>
        </w:rPr>
      </w:pPr>
      <w:r w:rsidRPr="00D37FCE">
        <w:rPr>
          <w:noProof/>
          <w:lang w:eastAsia="en-NZ"/>
        </w:rPr>
        <mc:AlternateContent>
          <mc:Choice Requires="wpg">
            <w:drawing>
              <wp:anchor distT="0" distB="0" distL="114300" distR="114300" simplePos="0" relativeHeight="251658248" behindDoc="1" locked="0" layoutInCell="1" allowOverlap="1" wp14:anchorId="185F9275" wp14:editId="73BC870B">
                <wp:simplePos x="0" y="0"/>
                <wp:positionH relativeFrom="page">
                  <wp:posOffset>1076653</wp:posOffset>
                </wp:positionH>
                <wp:positionV relativeFrom="paragraph">
                  <wp:posOffset>53975</wp:posOffset>
                </wp:positionV>
                <wp:extent cx="1332230" cy="1270"/>
                <wp:effectExtent l="0" t="19050" r="1270" b="1778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5EC3F" id="Group 45" o:spid="_x0000_s1026" style="position:absolute;margin-left:84.8pt;margin-top:4.25pt;width:104.9pt;height:.1pt;z-index:-25165823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zf9w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337C32D" w14:textId="77777777" w:rsidR="00587E8C" w:rsidRPr="001E0948" w:rsidRDefault="00587E8C" w:rsidP="00587E8C">
      <w:pPr>
        <w:pStyle w:val="Heading1"/>
        <w:rPr>
          <w:rFonts w:eastAsia="Consolas"/>
        </w:rPr>
      </w:pPr>
      <w:bookmarkStart w:id="92" w:name="_Toc132962560"/>
      <w:r>
        <w:rPr>
          <w:rFonts w:eastAsia="Consolas"/>
          <w:color w:val="FFFFFF" w:themeColor="background1"/>
          <w:sz w:val="2"/>
          <w:szCs w:val="2"/>
        </w:rPr>
        <w:t xml:space="preserve">6 </w:t>
      </w:r>
      <w:r>
        <w:rPr>
          <w:rFonts w:eastAsia="Consolas"/>
        </w:rPr>
        <w:t xml:space="preserve">Investigatory </w:t>
      </w:r>
      <w:r>
        <w:rPr>
          <w:lang w:val="en-GB"/>
        </w:rPr>
        <w:t xml:space="preserve">techniques </w:t>
      </w:r>
      <w:r>
        <w:rPr>
          <w:rFonts w:eastAsia="Consolas"/>
        </w:rPr>
        <w:t>and risks of unreliability</w:t>
      </w:r>
      <w:bookmarkEnd w:id="92"/>
    </w:p>
    <w:p w14:paraId="00A8F393" w14:textId="2DA3C7E4" w:rsidR="0080502C" w:rsidRPr="00D37FCE" w:rsidRDefault="0080502C" w:rsidP="0080502C">
      <w:pPr>
        <w:spacing w:line="200" w:lineRule="exact"/>
        <w:rPr>
          <w:szCs w:val="20"/>
        </w:rPr>
      </w:pPr>
      <w:r w:rsidRPr="00D37FCE">
        <w:rPr>
          <w:noProof/>
          <w:lang w:eastAsia="en-NZ"/>
        </w:rPr>
        <mc:AlternateContent>
          <mc:Choice Requires="wpg">
            <w:drawing>
              <wp:anchor distT="0" distB="0" distL="114300" distR="114300" simplePos="0" relativeHeight="251658255" behindDoc="1" locked="0" layoutInCell="1" allowOverlap="1" wp14:anchorId="136A0CD9" wp14:editId="2295B21A">
                <wp:simplePos x="0" y="0"/>
                <wp:positionH relativeFrom="page">
                  <wp:posOffset>1087427</wp:posOffset>
                </wp:positionH>
                <wp:positionV relativeFrom="paragraph">
                  <wp:posOffset>71755</wp:posOffset>
                </wp:positionV>
                <wp:extent cx="1332230" cy="1270"/>
                <wp:effectExtent l="0" t="19050" r="1270" b="1778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7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3DB99" id="Group 60" o:spid="_x0000_s1026" style="position:absolute;margin-left:85.6pt;margin-top:5.65pt;width:104.9pt;height:.1pt;z-index:-25165822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" path="m,l2098,e" filled="f" strokecolor="#73ab6e" strokeweight="3pt">
                  <v:path arrowok="t" o:connecttype="custom" o:connectlocs="0,0;2098,0" o:connectangles="0,0"/>
                </v:shape>
                <w10:wrap anchorx="page"/>
              </v:group>
            </w:pict>
          </mc:Fallback>
        </mc:AlternateContent>
      </w:r>
    </w:p>
    <w:p w14:paraId="2D5E906D" w14:textId="0F7E6B8D" w:rsidR="00773BD0" w:rsidRDefault="00773BD0" w:rsidP="002D4453">
      <w:pPr>
        <w:pStyle w:val="BodyTextalphalist"/>
        <w:ind w:left="0" w:firstLine="0"/>
      </w:pPr>
      <w:bookmarkStart w:id="93" w:name="_Toc531954850"/>
    </w:p>
    <w:p w14:paraId="3F5E55D5" w14:textId="0BCD26A3" w:rsidR="002D4453" w:rsidRDefault="002D4453" w:rsidP="002D4453">
      <w:pPr>
        <w:rPr>
          <w:lang w:eastAsia="zh-TW"/>
        </w:rPr>
      </w:pPr>
    </w:p>
    <w:p w14:paraId="210F967C" w14:textId="584FF61B" w:rsidR="002D4453" w:rsidRDefault="006B26F6" w:rsidP="002D4453">
      <w:r w:rsidRPr="00D37FCE">
        <w:rPr>
          <w:rFonts w:eastAsia="Metropolis"/>
          <w:noProof/>
        </w:rPr>
        <mc:AlternateContent>
          <mc:Choice Requires="wpg">
            <w:drawing>
              <wp:anchor distT="0" distB="0" distL="114300" distR="114300" simplePos="0" relativeHeight="251658265" behindDoc="1" locked="0" layoutInCell="1" allowOverlap="1" wp14:anchorId="130CDD60" wp14:editId="4757BC51">
                <wp:simplePos x="0" y="0"/>
                <wp:positionH relativeFrom="column">
                  <wp:posOffset>-1549</wp:posOffset>
                </wp:positionH>
                <wp:positionV relativeFrom="paragraph">
                  <wp:posOffset>29210</wp:posOffset>
                </wp:positionV>
                <wp:extent cx="5792470" cy="1215390"/>
                <wp:effectExtent l="0" t="0" r="0" b="3810"/>
                <wp:wrapNone/>
                <wp:docPr id="764518311" name="Group 764518311"/>
                <wp:cNvGraphicFramePr/>
                <a:graphic xmlns:a="http://schemas.openxmlformats.org/drawingml/2006/main">
                  <a:graphicData uri="http://schemas.microsoft.com/office/word/2010/wordprocessingGroup">
                    <wpg:wgp>
                      <wpg:cNvGrpSpPr/>
                      <wpg:grpSpPr>
                        <a:xfrm>
                          <a:off x="0" y="0"/>
                          <a:ext cx="5792470" cy="1215390"/>
                          <a:chOff x="0" y="-4768"/>
                          <a:chExt cx="5793105" cy="1216618"/>
                        </a:xfrm>
                      </wpg:grpSpPr>
                      <wpg:grpSp>
                        <wpg:cNvPr id="764518312" name="Group 53"/>
                        <wpg:cNvGrpSpPr>
                          <a:grpSpLocks/>
                        </wpg:cNvGrpSpPr>
                        <wpg:grpSpPr bwMode="auto">
                          <a:xfrm>
                            <a:off x="0" y="314275"/>
                            <a:ext cx="5793105" cy="897575"/>
                            <a:chOff x="1837" y="1792"/>
                            <a:chExt cx="9354" cy="9691"/>
                          </a:xfrm>
                        </wpg:grpSpPr>
                        <wps:wsp>
                          <wps:cNvPr id="764518313" name="Freeform 54"/>
                          <wps:cNvSpPr>
                            <a:spLocks/>
                          </wps:cNvSpPr>
                          <wps:spPr bwMode="auto">
                            <a:xfrm>
                              <a:off x="1837" y="1792"/>
                              <a:ext cx="9354" cy="969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14"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E07367" w14:textId="77777777" w:rsidR="002D4453" w:rsidRDefault="002D4453" w:rsidP="002D4453">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130CDD60" id="Group 764518311" o:spid="_x0000_s1137" style="position:absolute;margin-left:-.1pt;margin-top:2.3pt;width:456.1pt;height:95.7pt;z-index:-251658215;mso-height-relative:margin" coordorigin=",-47" coordsize="57931,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">
                <v:group id="Group 53" o:spid="_x0000_s1138" style="position:absolute;top:3142;width:57931;height:8976" coordorigin="1837,1792" coordsize="9354,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">
                  <v:shape id="Freeform 54" o:spid="_x0000_s1139" style="position:absolute;left:1837;top:1792;width:9354;height:969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" path="m,l9354,r,7809l,7809,,e" fillcolor="#edf2ea" stroked="f">
                    <v:path arrowok="t" o:connecttype="custom" o:connectlocs="0,1241;9354,1241;9354,10932;0,10932;0,1241" o:connectangles="0,0,0,0,0"/>
                  </v:shape>
                </v:group>
                <v:shape id="Freeform 52" o:spid="_x0000_s1140"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05E07367" w14:textId="77777777" w:rsidR="002D4453" w:rsidRDefault="002D4453" w:rsidP="002D4453">
                        <w:pPr>
                          <w:pStyle w:val="BoxTitle"/>
                          <w:spacing w:before="60" w:beforeAutospacing="0"/>
                        </w:pPr>
                        <w:r>
                          <w:t>INTRODUCTION</w:t>
                        </w:r>
                      </w:p>
                    </w:txbxContent>
                  </v:textbox>
                </v:shape>
              </v:group>
            </w:pict>
          </mc:Fallback>
        </mc:AlternateContent>
      </w:r>
    </w:p>
    <w:p w14:paraId="6E0CDF2C" w14:textId="77777777" w:rsidR="002D4453" w:rsidRDefault="002D4453" w:rsidP="002D4453">
      <w:pPr>
        <w:pStyle w:val="QuestionBox"/>
        <w:tabs>
          <w:tab w:val="clear" w:pos="709"/>
        </w:tabs>
        <w:ind w:left="0"/>
        <w:rPr>
          <w:rFonts w:eastAsia="Metropolis"/>
          <w:noProof/>
        </w:rPr>
      </w:pPr>
    </w:p>
    <w:p w14:paraId="7EDA89CD" w14:textId="7AD84A68" w:rsidR="002D4453" w:rsidRPr="002D4453" w:rsidRDefault="002D4453" w:rsidP="006B26F6">
      <w:pPr>
        <w:pStyle w:val="QuestionBox"/>
        <w:ind w:left="284"/>
        <w:rPr>
          <w:rFonts w:eastAsia="Metropolis"/>
          <w:noProof/>
        </w:rPr>
      </w:pPr>
      <w:r w:rsidRPr="002D4453">
        <w:rPr>
          <w:rFonts w:eastAsia="Metropolis"/>
          <w:noProof/>
        </w:rPr>
        <w:t xml:space="preserve">In this chapter, we consider and seek feedback on whether sections 28–30 of the Act adequately respond to the risk that investigatory </w:t>
      </w:r>
      <w:r>
        <w:rPr>
          <w:lang w:val="en-GB"/>
        </w:rPr>
        <w:t xml:space="preserve">techniques </w:t>
      </w:r>
      <w:r w:rsidRPr="002D4453">
        <w:rPr>
          <w:rFonts w:eastAsia="Metropolis"/>
          <w:noProof/>
        </w:rPr>
        <w:t>used by law enforcement officers could produce unreliable evidence.</w:t>
      </w:r>
    </w:p>
    <w:p w14:paraId="1D0DBEE0" w14:textId="71049402" w:rsidR="002D4453" w:rsidRDefault="002D4453" w:rsidP="00116092">
      <w:pPr>
        <w:pStyle w:val="QuestionBox"/>
        <w:ind w:left="284"/>
      </w:pPr>
    </w:p>
    <w:p w14:paraId="4E1812F0" w14:textId="77777777" w:rsidR="00116092" w:rsidRDefault="00116092" w:rsidP="00116092">
      <w:pPr>
        <w:pStyle w:val="Heading2"/>
      </w:pPr>
      <w:bookmarkStart w:id="94" w:name="_Toc132962561"/>
      <w:bookmarkEnd w:id="91"/>
      <w:bookmarkEnd w:id="93"/>
      <w:r>
        <w:t>Background</w:t>
      </w:r>
      <w:bookmarkEnd w:id="94"/>
    </w:p>
    <w:p w14:paraId="47353A86" w14:textId="77777777" w:rsidR="00116092" w:rsidRPr="00116092" w:rsidRDefault="00116092" w:rsidP="00866891">
      <w:pPr>
        <w:pStyle w:val="ListParagraph"/>
        <w:numPr>
          <w:ilvl w:val="0"/>
          <w:numId w:val="28"/>
        </w:numPr>
        <w:spacing w:before="80" w:after="120" w:line="360" w:lineRule="auto"/>
        <w:contextualSpacing w:val="0"/>
        <w:jc w:val="both"/>
        <w:rPr>
          <w:rFonts w:eastAsia="Times New Roman" w:cs="Times New Roman"/>
          <w:vanish/>
          <w:color w:val="000000" w:themeColor="text1"/>
          <w:sz w:val="20"/>
          <w:szCs w:val="24"/>
          <w:lang w:eastAsia="en-AU"/>
        </w:rPr>
      </w:pPr>
    </w:p>
    <w:p w14:paraId="0C9B605A" w14:textId="658E946C" w:rsidR="00116092" w:rsidRDefault="00116092" w:rsidP="009F4F6E">
      <w:pPr>
        <w:pStyle w:val="BodyText"/>
        <w:tabs>
          <w:tab w:val="clear" w:pos="709"/>
          <w:tab w:val="num" w:pos="1425"/>
        </w:tabs>
      </w:pPr>
      <w:r>
        <w:t xml:space="preserve">As </w:t>
      </w:r>
      <w:r w:rsidR="00554428">
        <w:t>we explain</w:t>
      </w:r>
      <w:r>
        <w:t xml:space="preserve"> in Chapter 5, s</w:t>
      </w:r>
      <w:r w:rsidRPr="000227BD">
        <w:t xml:space="preserve">ections 28–30 </w:t>
      </w:r>
      <w:r w:rsidR="00852BC9">
        <w:t xml:space="preserve">of the Evidence Act 2006 </w:t>
      </w:r>
      <w:r>
        <w:t>were intended to operate alongside each other to perform the roles previously fulfilled by the common law voluntariness rule and the jurisdiction to exclude improperly obtained evidence based on trial fairness considerations.</w:t>
      </w:r>
      <w:r>
        <w:rPr>
          <w:rStyle w:val="FootnoteReference"/>
        </w:rPr>
        <w:footnoteReference w:id="403"/>
      </w:r>
      <w:r>
        <w:t xml:space="preserve"> Section 30 also fulfils an additional role of providing for exclusion of evidence obtained in breach of the New Zealand Bill of Rights Act 1990 (NZBORA) and other legislation. As a scheme, sections 28–30 were designed to ensure defendants’ statements are sufficiently reliable to be considered by the fact-finder and to control the </w:t>
      </w:r>
      <w:r w:rsidRPr="00116092">
        <w:rPr>
          <w:lang w:val="en-GB"/>
        </w:rPr>
        <w:t xml:space="preserve">techniques </w:t>
      </w:r>
      <w:r>
        <w:t>used to obtain evidence against defendants.</w:t>
      </w:r>
    </w:p>
    <w:p w14:paraId="3FCC0408" w14:textId="7224F8B0" w:rsidR="00116092" w:rsidRPr="009C6002" w:rsidRDefault="00116092" w:rsidP="00116092">
      <w:pPr>
        <w:pStyle w:val="BodyText"/>
      </w:pPr>
      <w:r>
        <w:t xml:space="preserve">Section 28 </w:t>
      </w:r>
      <w:r>
        <w:rPr>
          <w:lang w:val="en-GB"/>
        </w:rPr>
        <w:t xml:space="preserve">is principally concerned with whether a defendant’s statement is sufficiently reliable to be considered by the fact-finder. As </w:t>
      </w:r>
      <w:r w:rsidR="00554428">
        <w:rPr>
          <w:lang w:val="en-GB"/>
        </w:rPr>
        <w:t>we discuss</w:t>
      </w:r>
      <w:r>
        <w:rPr>
          <w:lang w:val="en-GB"/>
        </w:rPr>
        <w:t xml:space="preserve"> in Chapter 5, </w:t>
      </w:r>
      <w:r>
        <w:t>s</w:t>
      </w:r>
      <w:r>
        <w:rPr>
          <w:lang w:val="en-GB"/>
        </w:rPr>
        <w:t>ince t</w:t>
      </w:r>
      <w:r w:rsidR="00784EA7">
        <w:rPr>
          <w:lang w:val="en-GB"/>
        </w:rPr>
        <w:t xml:space="preserve">e Kōti Mana Nui | </w:t>
      </w:r>
      <w:r>
        <w:rPr>
          <w:lang w:val="en-GB"/>
        </w:rPr>
        <w:t xml:space="preserve">Supreme Court’s decision in </w:t>
      </w:r>
      <w:r>
        <w:rPr>
          <w:i/>
          <w:iCs/>
          <w:lang w:val="en-GB"/>
        </w:rPr>
        <w:t>R v Wichman</w:t>
      </w:r>
      <w:r>
        <w:rPr>
          <w:lang w:val="en-GB"/>
        </w:rPr>
        <w:t xml:space="preserve"> the courts now consider indications of actual reliability (such as consistency with other evidence) when deciding whether to admit a statement under section 28.</w:t>
      </w:r>
      <w:r>
        <w:rPr>
          <w:rStyle w:val="FootnoteReference"/>
          <w:lang w:val="en-GB"/>
        </w:rPr>
        <w:footnoteReference w:id="404"/>
      </w:r>
      <w:r>
        <w:rPr>
          <w:lang w:val="en-GB"/>
        </w:rPr>
        <w:t xml:space="preserve"> This means a statement that is likely to be true may be admitted irrespective of the techniques used to obtain it (subject to sections</w:t>
      </w:r>
      <w:r>
        <w:rPr>
          <w:rFonts w:ascii="Calibri" w:hAnsi="Calibri" w:cs="Calibri"/>
          <w:lang w:val="en-GB"/>
        </w:rPr>
        <w:t> </w:t>
      </w:r>
      <w:r>
        <w:rPr>
          <w:lang w:val="en-GB"/>
        </w:rPr>
        <w:t xml:space="preserve">29 and 30). </w:t>
      </w:r>
    </w:p>
    <w:p w14:paraId="10C38E9C" w14:textId="56B056CB" w:rsidR="00116092" w:rsidRPr="00093B4E" w:rsidRDefault="00116092" w:rsidP="00116092">
      <w:pPr>
        <w:pStyle w:val="BodyText"/>
      </w:pPr>
      <w:r>
        <w:t>Sections 29 and 30 are more directly concerned with the conduct of law enforcement officers. Section 29 (statements influenced by oppression) was intended to protect</w:t>
      </w:r>
      <w:r w:rsidRPr="00E17BAE">
        <w:t xml:space="preserve"> </w:t>
      </w:r>
      <w:r w:rsidRPr="00E17BAE">
        <w:lastRenderedPageBreak/>
        <w:t>people from coerced self-incrimination.</w:t>
      </w:r>
      <w:r w:rsidRPr="000A7DA3">
        <w:rPr>
          <w:rStyle w:val="FooterChar"/>
          <w:vertAlign w:val="superscript"/>
        </w:rPr>
        <w:footnoteReference w:id="405"/>
      </w:r>
      <w:r>
        <w:t xml:space="preserve"> It </w:t>
      </w:r>
      <w:r w:rsidRPr="009263A4">
        <w:rPr>
          <w:rFonts w:cstheme="minorHAnsi"/>
          <w:szCs w:val="20"/>
        </w:rPr>
        <w:t xml:space="preserve">excludes defendants’ statements that are influenced by conduct or treatment that must </w:t>
      </w:r>
      <w:r w:rsidRPr="009263A4">
        <w:rPr>
          <w:rFonts w:cstheme="minorHAnsi"/>
          <w:i/>
          <w:iCs/>
          <w:szCs w:val="20"/>
        </w:rPr>
        <w:t>always</w:t>
      </w:r>
      <w:r w:rsidRPr="009263A4">
        <w:rPr>
          <w:rFonts w:cstheme="minorHAnsi"/>
          <w:szCs w:val="20"/>
        </w:rPr>
        <w:t xml:space="preserve"> be regarded as reprehensible.</w:t>
      </w:r>
      <w:r>
        <w:rPr>
          <w:rStyle w:val="FootnoteReference"/>
          <w:rFonts w:cstheme="minorHAnsi"/>
          <w:szCs w:val="20"/>
        </w:rPr>
        <w:footnoteReference w:id="406"/>
      </w:r>
      <w:r>
        <w:t xml:space="preserve"> Specifically, it protects </w:t>
      </w:r>
      <w:r w:rsidRPr="00054870">
        <w:t>the right not to be subjected to torture or to cruel, degrading or inhuman treatment or punishment</w:t>
      </w:r>
      <w:r>
        <w:t>.</w:t>
      </w:r>
      <w:r>
        <w:rPr>
          <w:rStyle w:val="FootnoteReference"/>
        </w:rPr>
        <w:footnoteReference w:id="407"/>
      </w:r>
      <w:r>
        <w:t xml:space="preserve"> Accordingly, the threshold for “oppression” is high</w:t>
      </w:r>
      <w:r w:rsidR="00561AA8">
        <w:t>,</w:t>
      </w:r>
      <w:r w:rsidRPr="66085424">
        <w:rPr>
          <w:rStyle w:val="FootnoteReference"/>
        </w:rPr>
        <w:footnoteReference w:id="408"/>
      </w:r>
      <w:r>
        <w:t xml:space="preserve"> and once it is established the statement is automatically excluded. </w:t>
      </w:r>
      <w:r w:rsidRPr="00777DE3">
        <w:t>As far as we have been able to determine, only one statement has been excluded under s</w:t>
      </w:r>
      <w:r>
        <w:t>ection</w:t>
      </w:r>
      <w:r w:rsidRPr="00777DE3">
        <w:t xml:space="preserve"> 29 since it was enacted</w:t>
      </w:r>
      <w:r>
        <w:t>.</w:t>
      </w:r>
      <w:r>
        <w:rPr>
          <w:rStyle w:val="FootnoteReference"/>
        </w:rPr>
        <w:footnoteReference w:id="409"/>
      </w:r>
      <w:r w:rsidRPr="009263A4">
        <w:rPr>
          <w:i/>
        </w:rPr>
        <w:t xml:space="preserve"> </w:t>
      </w:r>
    </w:p>
    <w:p w14:paraId="3942B922" w14:textId="113126E0" w:rsidR="00116092" w:rsidRDefault="00116092" w:rsidP="00116092">
      <w:pPr>
        <w:pStyle w:val="BodyText"/>
      </w:pPr>
      <w:r>
        <w:t>Section 30 (improperly obtained evidence) has the broader aim of maintaining an effective and credible system of justice.</w:t>
      </w:r>
      <w:r>
        <w:rPr>
          <w:rStyle w:val="FootnoteReference"/>
        </w:rPr>
        <w:footnoteReference w:id="410"/>
      </w:r>
      <w:r>
        <w:t xml:space="preserve"> It </w:t>
      </w:r>
      <w:r>
        <w:rPr>
          <w:lang w:val="en-GB"/>
        </w:rPr>
        <w:t>is based on the balancing test adopted by</w:t>
      </w:r>
      <w:r w:rsidR="000D65CD">
        <w:rPr>
          <w:lang w:val="en-GB"/>
        </w:rPr>
        <w:t xml:space="preserve"> </w:t>
      </w:r>
      <w:r>
        <w:rPr>
          <w:lang w:val="en-GB"/>
        </w:rPr>
        <w:t>t</w:t>
      </w:r>
      <w:r w:rsidR="000D65CD">
        <w:rPr>
          <w:lang w:val="en-GB"/>
        </w:rPr>
        <w:t xml:space="preserve">e Kōti </w:t>
      </w:r>
      <w:r w:rsidR="00BA3F6F">
        <w:rPr>
          <w:lang w:val="en-GB"/>
        </w:rPr>
        <w:t>Pīra</w:t>
      </w:r>
      <w:r w:rsidR="000D65CD">
        <w:rPr>
          <w:lang w:val="en-GB"/>
        </w:rPr>
        <w:t xml:space="preserve"> | C</w:t>
      </w:r>
      <w:r>
        <w:rPr>
          <w:lang w:val="en-GB"/>
        </w:rPr>
        <w:t xml:space="preserve">ourt of Appeal in </w:t>
      </w:r>
      <w:r>
        <w:rPr>
          <w:i/>
          <w:iCs/>
          <w:lang w:val="en-GB"/>
        </w:rPr>
        <w:t>R v Shaheed</w:t>
      </w:r>
      <w:r>
        <w:rPr>
          <w:lang w:val="en-GB"/>
        </w:rPr>
        <w:t>, which was used to determine the admissibility of evidence obtained in breach of the</w:t>
      </w:r>
      <w:r w:rsidR="0052074A">
        <w:rPr>
          <w:lang w:val="en-GB"/>
        </w:rPr>
        <w:t xml:space="preserve"> NZBORA</w:t>
      </w:r>
      <w:r>
        <w:rPr>
          <w:lang w:val="en-GB"/>
        </w:rPr>
        <w:t>.</w:t>
      </w:r>
      <w:r>
        <w:rPr>
          <w:rStyle w:val="FootnoteReference"/>
          <w:lang w:val="en-GB"/>
        </w:rPr>
        <w:footnoteReference w:id="411"/>
      </w:r>
      <w:r>
        <w:rPr>
          <w:lang w:val="en-GB"/>
        </w:rPr>
        <w:t xml:space="preserve"> However, section 30 is triggered by a wider range of improper conduct. </w:t>
      </w:r>
      <w:r>
        <w:t xml:space="preserve">Evidence is deemed to be improperly obtained, so as to engage the section 30 balancing test, if </w:t>
      </w:r>
      <w:bookmarkStart w:id="95" w:name="_Ref106016474"/>
      <w:r w:rsidRPr="00E4798D">
        <w:t>it is obtained</w:t>
      </w:r>
      <w:r>
        <w:t>:</w:t>
      </w:r>
      <w:r>
        <w:rPr>
          <w:rStyle w:val="FootnoteReference"/>
        </w:rPr>
        <w:footnoteReference w:id="412"/>
      </w:r>
      <w:r w:rsidRPr="00E4798D">
        <w:t xml:space="preserve"> </w:t>
      </w:r>
    </w:p>
    <w:p w14:paraId="4FC52B9C" w14:textId="77777777" w:rsidR="00116092" w:rsidRDefault="00116092" w:rsidP="00866891">
      <w:pPr>
        <w:pStyle w:val="BodyText2"/>
        <w:numPr>
          <w:ilvl w:val="3"/>
          <w:numId w:val="47"/>
        </w:numPr>
      </w:pPr>
      <w:r w:rsidRPr="00E4798D">
        <w:t>in consequence of a breach of any enactment or rule of law by a person to whom section 3 of the New Zealand Bill of Rights Act 1990 applies</w:t>
      </w:r>
      <w:r>
        <w:t>;</w:t>
      </w:r>
      <w:r w:rsidRPr="00E4798D">
        <w:rPr>
          <w:vertAlign w:val="superscript"/>
        </w:rPr>
        <w:footnoteReference w:id="413"/>
      </w:r>
      <w:r w:rsidRPr="00E4798D">
        <w:t xml:space="preserve"> </w:t>
      </w:r>
    </w:p>
    <w:p w14:paraId="5A26ECD7" w14:textId="77777777" w:rsidR="00116092" w:rsidRDefault="00116092" w:rsidP="009F4F6E">
      <w:pPr>
        <w:pStyle w:val="BodyText2"/>
      </w:pPr>
      <w:r w:rsidRPr="00E4798D">
        <w:t>in consequence of a defendant’s statement that would be inadmissible if offered by the prosecution</w:t>
      </w:r>
      <w:r>
        <w:t>;</w:t>
      </w:r>
      <w:r w:rsidRPr="00E4798D">
        <w:t xml:space="preserve"> or </w:t>
      </w:r>
    </w:p>
    <w:p w14:paraId="2258E6E6" w14:textId="77777777" w:rsidR="00116092" w:rsidRDefault="00116092" w:rsidP="009F4F6E">
      <w:pPr>
        <w:pStyle w:val="BodyText2"/>
      </w:pPr>
      <w:r w:rsidRPr="00E4798D">
        <w:t>unfairly.</w:t>
      </w:r>
      <w:bookmarkEnd w:id="95"/>
      <w:r>
        <w:t xml:space="preserve"> </w:t>
      </w:r>
    </w:p>
    <w:p w14:paraId="479EC385" w14:textId="0CEF75B9" w:rsidR="00116092" w:rsidRPr="002E26B9" w:rsidRDefault="00116092" w:rsidP="00116092">
      <w:pPr>
        <w:pStyle w:val="BodyText"/>
      </w:pPr>
      <w:r w:rsidRPr="002E26B9">
        <w:t xml:space="preserve">The final limb </w:t>
      </w:r>
      <w:r>
        <w:t xml:space="preserve">— </w:t>
      </w:r>
      <w:r w:rsidRPr="002E26B9">
        <w:t xml:space="preserve">unfairly obtained evidence </w:t>
      </w:r>
      <w:r>
        <w:t>—</w:t>
      </w:r>
      <w:r w:rsidRPr="002E26B9">
        <w:t xml:space="preserve"> is most often engaged where defendants’ statements are obtained in breach of the </w:t>
      </w:r>
      <w:r>
        <w:t xml:space="preserve">Chief Justice’s </w:t>
      </w:r>
      <w:r w:rsidRPr="002E26B9">
        <w:t>Practice Note on Police Questioning</w:t>
      </w:r>
      <w:r>
        <w:t xml:space="preserve"> (which restated the earlier Judges’ Rules, with some developments, for the </w:t>
      </w:r>
      <w:r>
        <w:lastRenderedPageBreak/>
        <w:t>purposes of section 30 of the Act)</w:t>
      </w:r>
      <w:r w:rsidRPr="002E26B9">
        <w:t>.</w:t>
      </w:r>
      <w:r w:rsidRPr="002E26B9">
        <w:rPr>
          <w:vertAlign w:val="superscript"/>
        </w:rPr>
        <w:footnoteReference w:id="414"/>
      </w:r>
      <w:r w:rsidRPr="002E26B9">
        <w:t xml:space="preserve"> </w:t>
      </w:r>
      <w:r>
        <w:t>But</w:t>
      </w:r>
      <w:r w:rsidRPr="002E26B9">
        <w:t xml:space="preserve"> the categories of unfairness are not closed</w:t>
      </w:r>
      <w:r w:rsidRPr="002E26B9">
        <w:rPr>
          <w:vertAlign w:val="superscript"/>
        </w:rPr>
        <w:footnoteReference w:id="415"/>
      </w:r>
      <w:r w:rsidRPr="002E26B9">
        <w:t xml:space="preserve"> and may encompass </w:t>
      </w:r>
      <w:r>
        <w:t>any</w:t>
      </w:r>
      <w:r w:rsidRPr="002E26B9">
        <w:t xml:space="preserve"> unfair conduct by state officials</w:t>
      </w:r>
      <w:r w:rsidRPr="002E26B9">
        <w:rPr>
          <w:vertAlign w:val="superscript"/>
        </w:rPr>
        <w:footnoteReference w:id="416"/>
      </w:r>
      <w:r w:rsidRPr="002E26B9">
        <w:t xml:space="preserve"> or private individuals.</w:t>
      </w:r>
      <w:r w:rsidRPr="002E26B9">
        <w:rPr>
          <w:vertAlign w:val="superscript"/>
        </w:rPr>
        <w:footnoteReference w:id="417"/>
      </w:r>
    </w:p>
    <w:p w14:paraId="30BFA779" w14:textId="77777777" w:rsidR="00116092" w:rsidRDefault="00116092" w:rsidP="00116092">
      <w:pPr>
        <w:pStyle w:val="BodyText"/>
      </w:pPr>
      <w:r>
        <w:t>A finding that evidence has been improperly obtained does not result in automatic exclusion, as a finding of oppression does.</w:t>
      </w:r>
      <w:r>
        <w:rPr>
          <w:rStyle w:val="FootnoteReference"/>
        </w:rPr>
        <w:footnoteReference w:id="418"/>
      </w:r>
      <w:r>
        <w:t xml:space="preserve"> Rather, the section 30 test seeks to balance </w:t>
      </w:r>
      <w:r w:rsidRPr="008F51FF">
        <w:t xml:space="preserve">competing public interests </w:t>
      </w:r>
      <w:r>
        <w:t>and maintain</w:t>
      </w:r>
      <w:r w:rsidRPr="008F51FF">
        <w:t xml:space="preserve"> the integrity of the criminal justice system</w:t>
      </w:r>
      <w:r>
        <w:t>, as we discuss further in Chapter 7. The section permits judges to consider a range of factors, including the nature of the impropriety, the seriousness of the offence and the nature and quality of the evidence, when deciding whether to admit the evidence.</w:t>
      </w:r>
      <w:r>
        <w:rPr>
          <w:rStyle w:val="FootnoteReference"/>
        </w:rPr>
        <w:footnoteReference w:id="419"/>
      </w:r>
      <w:r>
        <w:t xml:space="preserve"> Section 30 can also apply to any type of evidence, whereas sections 28 and 29 are limited to defendants’ statements.</w:t>
      </w:r>
    </w:p>
    <w:p w14:paraId="4388A4D9" w14:textId="77777777" w:rsidR="00116092" w:rsidRDefault="00116092" w:rsidP="00116092">
      <w:pPr>
        <w:pStyle w:val="Heading3"/>
      </w:pPr>
      <w:r>
        <w:t xml:space="preserve">The Supreme Court’s decision in </w:t>
      </w:r>
      <w:r>
        <w:rPr>
          <w:i/>
        </w:rPr>
        <w:t>Wichman</w:t>
      </w:r>
    </w:p>
    <w:p w14:paraId="6C28F524" w14:textId="72597F65" w:rsidR="00116092" w:rsidRDefault="00116092" w:rsidP="00116092">
      <w:pPr>
        <w:pStyle w:val="BodyText"/>
      </w:pPr>
      <w:r>
        <w:rPr>
          <w:i/>
          <w:iCs/>
        </w:rPr>
        <w:t xml:space="preserve">R v Wichman </w:t>
      </w:r>
      <w:r>
        <w:t xml:space="preserve">is the leading authority on the application of sections 28–30 to investigatory </w:t>
      </w:r>
      <w:r>
        <w:rPr>
          <w:lang w:val="en-GB"/>
        </w:rPr>
        <w:t xml:space="preserve">techniques </w:t>
      </w:r>
      <w:r>
        <w:t>used to obtain confessions</w:t>
      </w:r>
      <w:r>
        <w:rPr>
          <w:i/>
          <w:iCs/>
        </w:rPr>
        <w:t>.</w:t>
      </w:r>
      <w:r>
        <w:rPr>
          <w:rStyle w:val="FootnoteReference"/>
        </w:rPr>
        <w:footnoteReference w:id="420"/>
      </w:r>
      <w:r>
        <w:rPr>
          <w:i/>
          <w:iCs/>
        </w:rPr>
        <w:t xml:space="preserve"> </w:t>
      </w:r>
      <w:r>
        <w:t>It concerned the admissibility of a statement the defendant made to an undercover police officer during a Mr Big undercover operation.</w:t>
      </w:r>
      <w:r>
        <w:rPr>
          <w:rStyle w:val="FootnoteReference"/>
        </w:rPr>
        <w:footnoteReference w:id="421"/>
      </w:r>
      <w:r>
        <w:t xml:space="preserve"> All members of the Supreme Court accepted that the nature of the Mr Big operation had the potential to produce a false confession.</w:t>
      </w:r>
      <w:r w:rsidRPr="000B01D8">
        <w:rPr>
          <w:rStyle w:val="FootnoteReference"/>
          <w:color w:val="0D0D0D" w:themeColor="text1" w:themeTint="F2"/>
          <w:szCs w:val="18"/>
        </w:rPr>
        <w:footnoteReference w:id="422"/>
      </w:r>
      <w:r w:rsidRPr="00C83407">
        <w:rPr>
          <w:szCs w:val="18"/>
        </w:rPr>
        <w:t xml:space="preserve"> </w:t>
      </w:r>
      <w:r>
        <w:rPr>
          <w:szCs w:val="18"/>
        </w:rPr>
        <w:t xml:space="preserve">They reached different views, however, on whether and how this was relevant under section 30. The decision raises a question whether the courts can exclude evidence under section 30 due to the </w:t>
      </w:r>
      <w:r w:rsidRPr="007340AD">
        <w:rPr>
          <w:i/>
          <w:iCs/>
          <w:szCs w:val="18"/>
        </w:rPr>
        <w:t>risk</w:t>
      </w:r>
      <w:r>
        <w:rPr>
          <w:szCs w:val="18"/>
        </w:rPr>
        <w:t xml:space="preserve"> that the investigative technique used </w:t>
      </w:r>
      <w:r w:rsidRPr="007340AD">
        <w:rPr>
          <w:i/>
          <w:iCs/>
          <w:szCs w:val="18"/>
        </w:rPr>
        <w:t xml:space="preserve">could </w:t>
      </w:r>
      <w:r>
        <w:rPr>
          <w:szCs w:val="18"/>
        </w:rPr>
        <w:t>produce unreliable evidence</w:t>
      </w:r>
      <w:r w:rsidR="00144E02">
        <w:rPr>
          <w:szCs w:val="18"/>
        </w:rPr>
        <w:t>,</w:t>
      </w:r>
      <w:r>
        <w:rPr>
          <w:szCs w:val="18"/>
        </w:rPr>
        <w:t xml:space="preserve"> </w:t>
      </w:r>
      <w:r>
        <w:t xml:space="preserve">regardless of whether that risk has crystallised in that particular case. We describe the courts’ application of sections 28–30 in </w:t>
      </w:r>
      <w:r>
        <w:rPr>
          <w:i/>
          <w:iCs/>
        </w:rPr>
        <w:t xml:space="preserve">Wichman </w:t>
      </w:r>
      <w:r>
        <w:t>in some detail below, as we later seek feedback on whether the approach adopted by the majority of the Supreme Court is likely to cause problems in practice.</w:t>
      </w:r>
    </w:p>
    <w:p w14:paraId="7A515DE3" w14:textId="64DA3640" w:rsidR="00116092" w:rsidRDefault="00116092" w:rsidP="00116092">
      <w:pPr>
        <w:pStyle w:val="BodyText"/>
      </w:pPr>
      <w:r>
        <w:lastRenderedPageBreak/>
        <w:t xml:space="preserve">The Court of Appeal in </w:t>
      </w:r>
      <w:r>
        <w:rPr>
          <w:i/>
          <w:iCs/>
        </w:rPr>
        <w:t xml:space="preserve">Wichman </w:t>
      </w:r>
      <w:r>
        <w:t>had excluded the defendant’s statement under section 30.</w:t>
      </w:r>
      <w:r>
        <w:rPr>
          <w:rStyle w:val="FootnoteReference"/>
        </w:rPr>
        <w:footnoteReference w:id="423"/>
      </w:r>
      <w:r>
        <w:t xml:space="preserve"> The Court took into account the risk of unreliability associated with the Mr Big technique at both stages of the section 30 assessment: first, when determining that the evidence was obtained unfairly and therefore improperly (the unfairness assessment);</w:t>
      </w:r>
      <w:r>
        <w:rPr>
          <w:rStyle w:val="FootnoteReference"/>
        </w:rPr>
        <w:footnoteReference w:id="424"/>
      </w:r>
      <w:r>
        <w:t xml:space="preserve"> and second, when deciding that exclusion was proportionate to the impropriety (the balancing test).</w:t>
      </w:r>
      <w:r>
        <w:rPr>
          <w:rStyle w:val="FootnoteReference"/>
        </w:rPr>
        <w:footnoteReference w:id="425"/>
      </w:r>
      <w:r>
        <w:t xml:space="preserve"> In particular, in the context of the unfairness assessment, the Court emphasised that the defendant was incentivised to lie and was put under </w:t>
      </w:r>
      <w:r w:rsidRPr="00F922C8">
        <w:t>substantial psychological pressure to confess</w:t>
      </w:r>
      <w:r>
        <w:t>.</w:t>
      </w:r>
      <w:r>
        <w:rPr>
          <w:rStyle w:val="FootnoteReference"/>
        </w:rPr>
        <w:footnoteReference w:id="426"/>
      </w:r>
      <w:r>
        <w:t xml:space="preserve"> The Court considered the use of the Mr Big technique was “</w:t>
      </w:r>
      <w:r w:rsidRPr="00AF0D80">
        <w:t>apt to induce a false confession in this case</w:t>
      </w:r>
      <w:r>
        <w:t>”.</w:t>
      </w:r>
      <w:r>
        <w:rPr>
          <w:rStyle w:val="FootnoteReference"/>
        </w:rPr>
        <w:footnoteReference w:id="427"/>
      </w:r>
      <w:r>
        <w:t xml:space="preserve"> In reaching that view, the Court did not consider indications of the actual reliability of the statement but rather based its decision on the </w:t>
      </w:r>
      <w:r w:rsidRPr="007340AD">
        <w:rPr>
          <w:i/>
        </w:rPr>
        <w:t xml:space="preserve">risk </w:t>
      </w:r>
      <w:r>
        <w:t>of unreliability given the circumstances in which the statement was made.</w:t>
      </w:r>
      <w:r>
        <w:rPr>
          <w:rStyle w:val="FootnoteReference"/>
        </w:rPr>
        <w:footnoteReference w:id="428"/>
      </w:r>
    </w:p>
    <w:p w14:paraId="1E8BB864" w14:textId="77777777" w:rsidR="00116092" w:rsidRPr="00E75787" w:rsidRDefault="00116092" w:rsidP="00116092">
      <w:pPr>
        <w:pStyle w:val="BodyText"/>
      </w:pPr>
      <w:r>
        <w:t xml:space="preserve">On appeal, the Supreme Court considered the admissibility of the statement under both section 28 and section 30 (section 28 had not been the subject of appeal in the Court of Appeal). The Court was split on the question of how the risk of unreliability associated with the Mr Big </w:t>
      </w:r>
      <w:r>
        <w:rPr>
          <w:lang w:val="en-GB"/>
        </w:rPr>
        <w:t xml:space="preserve">technique </w:t>
      </w:r>
      <w:r>
        <w:t xml:space="preserve">should be addressed. The </w:t>
      </w:r>
      <w:r>
        <w:rPr>
          <w:lang w:val="en-GB"/>
        </w:rPr>
        <w:t xml:space="preserve">majority held that indications of </w:t>
      </w:r>
      <w:r w:rsidRPr="006D526E">
        <w:rPr>
          <w:lang w:val="en-GB"/>
        </w:rPr>
        <w:t>actual reliability</w:t>
      </w:r>
      <w:r>
        <w:rPr>
          <w:i/>
          <w:iCs/>
          <w:lang w:val="en-GB"/>
        </w:rPr>
        <w:t xml:space="preserve"> </w:t>
      </w:r>
      <w:r>
        <w:rPr>
          <w:lang w:val="en-GB"/>
        </w:rPr>
        <w:t>could be taken into account under section</w:t>
      </w:r>
      <w:r>
        <w:rPr>
          <w:rFonts w:ascii="Calibri" w:hAnsi="Calibri" w:cs="Calibri"/>
          <w:lang w:val="en-GB"/>
        </w:rPr>
        <w:t> </w:t>
      </w:r>
      <w:r>
        <w:rPr>
          <w:lang w:val="en-GB"/>
        </w:rPr>
        <w:t>28.</w:t>
      </w:r>
      <w:r>
        <w:rPr>
          <w:rStyle w:val="FootnoteReference"/>
          <w:lang w:val="en-GB"/>
        </w:rPr>
        <w:footnoteReference w:id="429"/>
      </w:r>
      <w:r>
        <w:rPr>
          <w:lang w:val="en-GB"/>
        </w:rPr>
        <w:t xml:space="preserve"> T</w:t>
      </w:r>
      <w:r w:rsidRPr="00B9210B">
        <w:rPr>
          <w:lang w:val="en-GB"/>
        </w:rPr>
        <w:t>he</w:t>
      </w:r>
      <w:r>
        <w:rPr>
          <w:lang w:val="en-GB"/>
        </w:rPr>
        <w:t xml:space="preserve">y </w:t>
      </w:r>
      <w:r w:rsidRPr="00B9210B">
        <w:rPr>
          <w:lang w:val="en-GB"/>
        </w:rPr>
        <w:t>found</w:t>
      </w:r>
      <w:r>
        <w:rPr>
          <w:lang w:val="en-GB"/>
        </w:rPr>
        <w:t xml:space="preserve"> </w:t>
      </w:r>
      <w:r w:rsidRPr="00B9210B">
        <w:rPr>
          <w:lang w:val="en-GB"/>
        </w:rPr>
        <w:t xml:space="preserve">it was open to the trial judge to </w:t>
      </w:r>
      <w:r>
        <w:rPr>
          <w:lang w:val="en-GB"/>
        </w:rPr>
        <w:t>decline to exclude</w:t>
      </w:r>
      <w:r w:rsidRPr="00B9210B">
        <w:rPr>
          <w:lang w:val="en-GB"/>
        </w:rPr>
        <w:t xml:space="preserve"> the evidence </w:t>
      </w:r>
      <w:r>
        <w:rPr>
          <w:lang w:val="en-GB"/>
        </w:rPr>
        <w:t>under section 28</w:t>
      </w:r>
      <w:r w:rsidRPr="00B9210B">
        <w:rPr>
          <w:lang w:val="en-GB"/>
        </w:rPr>
        <w:t xml:space="preserve"> based on indications of </w:t>
      </w:r>
      <w:r>
        <w:rPr>
          <w:lang w:val="en-GB"/>
        </w:rPr>
        <w:t>that kind</w:t>
      </w:r>
      <w:r w:rsidRPr="00B9210B">
        <w:rPr>
          <w:lang w:val="en-GB"/>
        </w:rPr>
        <w:t>, including the tone of the discussion and the broad correlation between the admissions and other evidence.</w:t>
      </w:r>
      <w:r>
        <w:rPr>
          <w:rStyle w:val="FootnoteReference"/>
          <w:lang w:val="en-GB"/>
        </w:rPr>
        <w:footnoteReference w:id="430"/>
      </w:r>
    </w:p>
    <w:p w14:paraId="712D8F98" w14:textId="77777777" w:rsidR="00116092" w:rsidRDefault="00116092" w:rsidP="00116092">
      <w:pPr>
        <w:pStyle w:val="BodyText"/>
      </w:pPr>
      <w:r>
        <w:t>As to the respective roles of sections 28–30, the majority said:</w:t>
      </w:r>
      <w:r>
        <w:rPr>
          <w:rStyle w:val="FootnoteReference"/>
        </w:rPr>
        <w:footnoteReference w:id="431"/>
      </w:r>
    </w:p>
    <w:p w14:paraId="7BEAAE0E" w14:textId="77777777" w:rsidR="00116092" w:rsidRDefault="00116092" w:rsidP="00116092">
      <w:pPr>
        <w:pStyle w:val="Quote"/>
        <w:tabs>
          <w:tab w:val="left" w:pos="1134"/>
        </w:tabs>
      </w:pPr>
      <w:r>
        <w:t>Sections 8, 28, 29 and 30 must be interpreted in a coherent way. Considering the application of ss 28, 29 and 30 to Mr Big operations, we see s 29 as addressing impropriety by undercover officers acting in role as criminals involving threats (actual or implicit) of violence to obtain confessions, s 28 as addressing the risk of unreliable confessions and s</w:t>
      </w:r>
      <w:r>
        <w:rPr>
          <w:rFonts w:ascii="Calibri" w:hAnsi="Calibri" w:cs="Calibri"/>
        </w:rPr>
        <w:t> </w:t>
      </w:r>
      <w:r>
        <w:t xml:space="preserve">30 as dealing with other matters (such as police impropriety, including possible non-adherence to, or circumvention of, the Practice Note). </w:t>
      </w:r>
      <w:r w:rsidRPr="007340AD">
        <w:rPr>
          <w:i/>
        </w:rPr>
        <w:t>Section 30 should not be treated as conferring a broad discretion to exclude defendants’ statements for reasons addressed in ss 28 and 29.</w:t>
      </w:r>
      <w:r>
        <w:t xml:space="preserve"> </w:t>
      </w:r>
      <w:r w:rsidRPr="00DF1A23">
        <w:rPr>
          <w:i/>
          <w:iCs/>
        </w:rPr>
        <w:t>It follows that we consider the Court of Appeal ought to have addressed its concerns about the reliability of the respondent’s statements under s 28 rather than s 30.</w:t>
      </w:r>
      <w:r>
        <w:t xml:space="preserve"> We accept, of course, that concerns as to reliability, and thus the cogency or otherwise, of the evidence in question may be relevant to the application of s 30, and particularly s 30(4) and that aspects of the operation that are relevant to the reliability assessment may also be relevant to the fairness assessment. … </w:t>
      </w:r>
    </w:p>
    <w:p w14:paraId="75244864" w14:textId="77777777" w:rsidR="00116092" w:rsidRDefault="00116092" w:rsidP="00116092">
      <w:pPr>
        <w:pStyle w:val="Quote"/>
        <w:tabs>
          <w:tab w:val="left" w:pos="1134"/>
        </w:tabs>
      </w:pPr>
      <w:r>
        <w:t xml:space="preserve">… </w:t>
      </w:r>
      <w:r w:rsidRPr="00C00300">
        <w:t xml:space="preserve">Sections 28 and 8, in the context of the Act as a whole, proceed on the basis that </w:t>
      </w:r>
      <w:r w:rsidRPr="00B37D4F">
        <w:rPr>
          <w:i/>
          <w:iCs/>
        </w:rPr>
        <w:t>residual risks of unreliability (which do not warrant exclusion under s 28(2))</w:t>
      </w:r>
      <w:r w:rsidRPr="00C00300">
        <w:t xml:space="preserve"> </w:t>
      </w:r>
      <w:r>
        <w:t xml:space="preserve">… </w:t>
      </w:r>
      <w:r w:rsidRPr="00B37D4F">
        <w:rPr>
          <w:i/>
          <w:iCs/>
        </w:rPr>
        <w:t xml:space="preserve">should be addressed by </w:t>
      </w:r>
      <w:r w:rsidRPr="00B37D4F">
        <w:rPr>
          <w:i/>
          <w:iCs/>
        </w:rPr>
        <w:lastRenderedPageBreak/>
        <w:t>the Judge in the course of the management of the trial</w:t>
      </w:r>
      <w:r w:rsidRPr="00C00300">
        <w:t xml:space="preserve">, with warnings as to possible unreliability and directions as to illegitimate reasoning and the burden and standard of proof. </w:t>
      </w:r>
      <w:r w:rsidRPr="00FC120A">
        <w:t>In this context,</w:t>
      </w:r>
      <w:r w:rsidRPr="005C6C65">
        <w:rPr>
          <w:i/>
          <w:iCs/>
        </w:rPr>
        <w:t xml:space="preserve"> it is difficult to see how such issues are material to the logically distinct question whether the police acted unfairly and thus improperly.</w:t>
      </w:r>
      <w:r>
        <w:t xml:space="preserve"> </w:t>
      </w:r>
    </w:p>
    <w:p w14:paraId="0BFA2788" w14:textId="77777777" w:rsidR="00116092" w:rsidRDefault="00116092" w:rsidP="00116092">
      <w:pPr>
        <w:pStyle w:val="Quote"/>
      </w:pPr>
      <w:r>
        <w:t>(Emphasis added.)</w:t>
      </w:r>
    </w:p>
    <w:p w14:paraId="16CB41FC" w14:textId="77777777" w:rsidR="00116092" w:rsidRDefault="00116092" w:rsidP="00116092">
      <w:pPr>
        <w:pStyle w:val="BodyText"/>
      </w:pPr>
      <w:r>
        <w:t xml:space="preserve">This passage must be read in the context of the Court of Appeal decision under consideration. That decision treated the risk the Mr Big technique may have produced an unreliable statement as relevant to the unfairness assessment in section 30. The majority of the Supreme Court, in the passage above, appears to suggest that approach was incorrect. Risks of unreliability not resulting in exclusion under section 28 (for example, because there are indications that the statement was actually true) should not be taken into account when determining whether the evidence is obtained unfairly so as to engage the section 30 balancing test. </w:t>
      </w:r>
    </w:p>
    <w:p w14:paraId="0EAF0F28" w14:textId="12C53ED8" w:rsidR="00116092" w:rsidRDefault="00116092" w:rsidP="00116092">
      <w:pPr>
        <w:pStyle w:val="BodyText"/>
      </w:pPr>
      <w:r>
        <w:t xml:space="preserve">The </w:t>
      </w:r>
      <w:r>
        <w:rPr>
          <w:i/>
          <w:iCs/>
        </w:rPr>
        <w:t xml:space="preserve">Wichman </w:t>
      </w:r>
      <w:r>
        <w:t>majority’s acceptance that “concerns as to reliability, and thus the cogency or otherwise, of the evidence in question may be relevant to the application of s 30, and particularly s 30(4)” indicates they saw actual reliability as being potentially relevant to the application of the section 30 balancing test (a point that is not controversial).</w:t>
      </w:r>
      <w:r>
        <w:rPr>
          <w:rStyle w:val="FootnoteReference"/>
        </w:rPr>
        <w:footnoteReference w:id="432"/>
      </w:r>
      <w:r>
        <w:t xml:space="preserve"> This, however, is separate from the prior question of whether </w:t>
      </w:r>
      <w:r w:rsidRPr="00E61A0F">
        <w:t>risks</w:t>
      </w:r>
      <w:r>
        <w:rPr>
          <w:i/>
          <w:iCs/>
        </w:rPr>
        <w:t xml:space="preserve"> </w:t>
      </w:r>
      <w:r>
        <w:t xml:space="preserve">of unreliability associated with the investigatory method are relevant to whether the evidence is unfairly obtained so as to engage the balancing test in the first place. </w:t>
      </w:r>
    </w:p>
    <w:p w14:paraId="6CE52441" w14:textId="77777777" w:rsidR="00116092" w:rsidRDefault="00116092" w:rsidP="00116092">
      <w:pPr>
        <w:pStyle w:val="BodyText"/>
      </w:pPr>
      <w:r>
        <w:t>Given its view, the majority did not consider reliability risks under section 30. The majority’s section 30 analysis was limited to whether the operation involved improper</w:t>
      </w:r>
      <w:r w:rsidRPr="008D41BC">
        <w:t xml:space="preserve"> circumvention of </w:t>
      </w:r>
      <w:r>
        <w:t xml:space="preserve">the </w:t>
      </w:r>
      <w:r w:rsidRPr="008D41BC">
        <w:t xml:space="preserve">constraints on police interrogation </w:t>
      </w:r>
      <w:r>
        <w:t>or was unfair due to the use of deception</w:t>
      </w:r>
      <w:r w:rsidRPr="008D41BC">
        <w:t xml:space="preserve"> and participation in apparent criminal activity </w:t>
      </w:r>
      <w:r>
        <w:t>by police.</w:t>
      </w:r>
      <w:r>
        <w:rPr>
          <w:rStyle w:val="FootnoteReference"/>
        </w:rPr>
        <w:footnoteReference w:id="433"/>
      </w:r>
      <w:r>
        <w:t xml:space="preserve"> They concluded that the statement was not improperly obtained and was admissible at trial.</w:t>
      </w:r>
    </w:p>
    <w:p w14:paraId="2DACD0B1" w14:textId="77777777" w:rsidR="00116092" w:rsidRPr="000903B7" w:rsidRDefault="00116092" w:rsidP="00116092">
      <w:pPr>
        <w:pStyle w:val="BodyText"/>
      </w:pPr>
      <w:r w:rsidRPr="00264F77">
        <w:rPr>
          <w:lang w:val="en-GB"/>
        </w:rPr>
        <w:t xml:space="preserve">Elias CJ and Glazebrook J took a different approach in their separate dissenting judgments. </w:t>
      </w:r>
      <w:r>
        <w:t>Elias CJ would have excluded the defendant’s statement under both sections</w:t>
      </w:r>
      <w:r>
        <w:rPr>
          <w:rFonts w:ascii="Calibri" w:hAnsi="Calibri" w:cs="Calibri"/>
        </w:rPr>
        <w:t> </w:t>
      </w:r>
      <w:r>
        <w:t>28 and 30.</w:t>
      </w:r>
      <w:r w:rsidRPr="003A56BD">
        <w:rPr>
          <w:vertAlign w:val="superscript"/>
        </w:rPr>
        <w:footnoteReference w:id="434"/>
      </w:r>
      <w:r>
        <w:t xml:space="preserve"> </w:t>
      </w:r>
      <w:r w:rsidRPr="00264F77">
        <w:rPr>
          <w:lang w:val="en-GB"/>
        </w:rPr>
        <w:t xml:space="preserve">Glazebrook J agreed with the majority on the application of section 28, finding that the reliability of the statement had not </w:t>
      </w:r>
      <w:r w:rsidRPr="00264F77">
        <w:rPr>
          <w:i/>
          <w:iCs/>
          <w:lang w:val="en-GB"/>
        </w:rPr>
        <w:t xml:space="preserve">in fact </w:t>
      </w:r>
      <w:r w:rsidRPr="00264F77">
        <w:rPr>
          <w:lang w:val="en-GB"/>
        </w:rPr>
        <w:t>been adversely affected.</w:t>
      </w:r>
      <w:r>
        <w:rPr>
          <w:rStyle w:val="FootnoteReference"/>
          <w:lang w:val="en-GB"/>
        </w:rPr>
        <w:footnoteReference w:id="435"/>
      </w:r>
      <w:r w:rsidRPr="00264F77">
        <w:rPr>
          <w:lang w:val="en-GB"/>
        </w:rPr>
        <w:t xml:space="preserve"> But she would </w:t>
      </w:r>
      <w:r>
        <w:rPr>
          <w:lang w:val="en-GB"/>
        </w:rPr>
        <w:t xml:space="preserve">still </w:t>
      </w:r>
      <w:r w:rsidRPr="00264F77">
        <w:rPr>
          <w:lang w:val="en-GB"/>
        </w:rPr>
        <w:t>have excluded the evidence under section 30.</w:t>
      </w:r>
      <w:r>
        <w:rPr>
          <w:rStyle w:val="FootnoteReference"/>
          <w:lang w:val="en-GB"/>
        </w:rPr>
        <w:footnoteReference w:id="436"/>
      </w:r>
      <w:r w:rsidRPr="00264F77">
        <w:rPr>
          <w:lang w:val="en-GB"/>
        </w:rPr>
        <w:t xml:space="preserve"> </w:t>
      </w:r>
      <w:r>
        <w:rPr>
          <w:lang w:val="en-GB"/>
        </w:rPr>
        <w:t>The two</w:t>
      </w:r>
      <w:r w:rsidRPr="00264F77">
        <w:rPr>
          <w:lang w:val="en-GB"/>
        </w:rPr>
        <w:t xml:space="preserve"> dissenting judges treated the risk of unreliability associated with the Mr Big technique as relevant to </w:t>
      </w:r>
      <w:r>
        <w:rPr>
          <w:lang w:val="en-GB"/>
        </w:rPr>
        <w:lastRenderedPageBreak/>
        <w:t xml:space="preserve">both </w:t>
      </w:r>
      <w:r w:rsidRPr="00264F77">
        <w:rPr>
          <w:lang w:val="en-GB"/>
        </w:rPr>
        <w:t>the section 30 unfairness assessment</w:t>
      </w:r>
      <w:r>
        <w:rPr>
          <w:rStyle w:val="FootnoteReference"/>
        </w:rPr>
        <w:footnoteReference w:id="437"/>
      </w:r>
      <w:r>
        <w:rPr>
          <w:lang w:val="en-GB"/>
        </w:rPr>
        <w:t xml:space="preserve"> and the balancing test.</w:t>
      </w:r>
      <w:r>
        <w:rPr>
          <w:rStyle w:val="FootnoteReference"/>
          <w:lang w:val="en-GB"/>
        </w:rPr>
        <w:footnoteReference w:id="438"/>
      </w:r>
      <w:r w:rsidRPr="00264F77">
        <w:rPr>
          <w:lang w:val="en-GB"/>
        </w:rPr>
        <w:t xml:space="preserve"> Glazebrook J reasoned that</w:t>
      </w:r>
      <w:r w:rsidRPr="00264F77">
        <w:rPr>
          <w:iCs/>
          <w:lang w:val="en-GB"/>
        </w:rPr>
        <w:t>:</w:t>
      </w:r>
      <w:r>
        <w:rPr>
          <w:rStyle w:val="FootnoteReference"/>
          <w:iCs/>
          <w:lang w:val="en-GB"/>
        </w:rPr>
        <w:footnoteReference w:id="439"/>
      </w:r>
    </w:p>
    <w:p w14:paraId="59CEF289" w14:textId="77777777" w:rsidR="00116092" w:rsidRDefault="00116092" w:rsidP="00116092">
      <w:pPr>
        <w:pStyle w:val="Quote"/>
        <w:tabs>
          <w:tab w:val="left" w:pos="1134"/>
        </w:tabs>
        <w:rPr>
          <w:rStyle w:val="ssbf"/>
        </w:rPr>
      </w:pPr>
      <w:r w:rsidRPr="001F4083">
        <w:rPr>
          <w:rStyle w:val="ssbf"/>
        </w:rPr>
        <w:t>The Crown submits that the Court of Appeal should not have considered reliability under s</w:t>
      </w:r>
      <w:r>
        <w:rPr>
          <w:rStyle w:val="ssbf"/>
          <w:rFonts w:ascii="Calibri" w:hAnsi="Calibri" w:cs="Calibri"/>
        </w:rPr>
        <w:t> </w:t>
      </w:r>
      <w:r w:rsidRPr="001F4083">
        <w:rPr>
          <w:rStyle w:val="ssbf"/>
        </w:rPr>
        <w:t xml:space="preserve">30(5)(c) as all reliability issues are dealt with under s 28. I do not accept that submission. Section 28 is concerned with the risk of unreliability and whether (as a threshold issue) this risk has eventuated so that </w:t>
      </w:r>
      <w:r w:rsidRPr="00785B29">
        <w:rPr>
          <w:rStyle w:val="ssbf"/>
        </w:rPr>
        <w:t>the evidence should not go before the jury. Thus, while I accept that the Court of Appeal should have considered the threshold question of reliability under s 28 rather than under s 30, it does not follow that all reliability issues are dealt with under s 28.</w:t>
      </w:r>
    </w:p>
    <w:p w14:paraId="733B629C" w14:textId="77777777" w:rsidR="00116092" w:rsidRPr="00264F77" w:rsidRDefault="00116092" w:rsidP="00116092">
      <w:pPr>
        <w:pStyle w:val="Quote"/>
        <w:tabs>
          <w:tab w:val="left" w:pos="1134"/>
        </w:tabs>
      </w:pPr>
      <w:r w:rsidRPr="00264F77">
        <w:t>As noted above, s 28 is not directly concerned with issues of police conduct. Where the police use a technique such as the Mr Big scenario technique there is, because of material inducements and promises of fixing charges, a significant risk of unreliability. The Courts cannot ignore the risks inherent in the technique, just because on the particular case the confession is reliable enough to go before the jury. That would be to sanction an “ends always justifies the means” analysis.</w:t>
      </w:r>
    </w:p>
    <w:p w14:paraId="4842E9A4" w14:textId="77777777" w:rsidR="00116092" w:rsidRDefault="00116092" w:rsidP="00116092">
      <w:pPr>
        <w:pStyle w:val="Quote"/>
        <w:tabs>
          <w:tab w:val="left" w:pos="1134"/>
        </w:tabs>
      </w:pPr>
      <w:r w:rsidRPr="00264F77">
        <w:t>… I agree with the Court of Appeal that the substantial risk of unreliability inherent in the technique is one factor to be considered in deciding whether statements obtained through the Mr Big technique are obtained unfairly. The police should avoid techniques that create a real risk of false confessions (even if they increase the number of true confessions).</w:t>
      </w:r>
    </w:p>
    <w:p w14:paraId="4A0A12DE" w14:textId="77777777" w:rsidR="00116092" w:rsidRPr="003F1591" w:rsidRDefault="00116092" w:rsidP="00116092">
      <w:pPr>
        <w:pStyle w:val="Heading2"/>
        <w:rPr>
          <w:lang w:val="en-GB"/>
        </w:rPr>
      </w:pPr>
      <w:bookmarkStart w:id="96" w:name="_Toc132962562"/>
      <w:bookmarkStart w:id="97" w:name="_Toc126330119"/>
      <w:r>
        <w:rPr>
          <w:lang w:val="en-GB"/>
        </w:rPr>
        <w:t xml:space="preserve">Is </w:t>
      </w:r>
      <w:r>
        <w:rPr>
          <w:i/>
          <w:iCs/>
          <w:lang w:val="en-GB"/>
        </w:rPr>
        <w:t xml:space="preserve">Wichman </w:t>
      </w:r>
      <w:r>
        <w:rPr>
          <w:lang w:val="en-GB"/>
        </w:rPr>
        <w:t>likely to cause problems in practice?</w:t>
      </w:r>
      <w:bookmarkEnd w:id="96"/>
    </w:p>
    <w:p w14:paraId="7F82A3C3" w14:textId="15294B2D" w:rsidR="00116092" w:rsidRDefault="00116092" w:rsidP="00116092">
      <w:pPr>
        <w:pStyle w:val="BodyText"/>
      </w:pPr>
      <w:r>
        <w:t xml:space="preserve">As explained in Chapter 5, we received preliminary feedback expressing concern that sections 28–30 (as they are currently applied by the courts) do not adequately control the use of certain investigatory </w:t>
      </w:r>
      <w:r>
        <w:rPr>
          <w:lang w:val="en-GB"/>
        </w:rPr>
        <w:t xml:space="preserve">techniques </w:t>
      </w:r>
      <w:r>
        <w:t xml:space="preserve">to obtain statements from defendants — in particular Mr Big undercover operations and the </w:t>
      </w:r>
      <w:r w:rsidRPr="00620B6C">
        <w:t>Complex Investigation Phased Engagement Model (CIPEM)</w:t>
      </w:r>
      <w:r>
        <w:t xml:space="preserve"> for questioning suspects. We discussed whether the standard of proof for admitting statements under section 28 should be raised to “beyond reasonable doubt” to respond to the risk of false confessions being admitted in evidence. </w:t>
      </w:r>
    </w:p>
    <w:p w14:paraId="51D17D3B" w14:textId="77777777" w:rsidR="00116092" w:rsidRDefault="00116092" w:rsidP="00116092">
      <w:pPr>
        <w:pStyle w:val="BodyText"/>
      </w:pPr>
      <w:r>
        <w:t xml:space="preserve">This feedback has also led us to consider whether sections 28–30 together, as interpreted by the courts, provide a coherent scheme for controlling the techniques used to obtain evidence where they give rise to a risk of unreliability. We have identified a possible gap in the operation of these sections resulting from the decision in </w:t>
      </w:r>
      <w:r w:rsidRPr="000666BE">
        <w:rPr>
          <w:i/>
          <w:iCs/>
        </w:rPr>
        <w:t>Wichma</w:t>
      </w:r>
      <w:r>
        <w:rPr>
          <w:i/>
          <w:iCs/>
        </w:rPr>
        <w:t>n</w:t>
      </w:r>
      <w:r>
        <w:t>.</w:t>
      </w:r>
      <w:r>
        <w:rPr>
          <w:rStyle w:val="FootnoteReference"/>
        </w:rPr>
        <w:footnoteReference w:id="440"/>
      </w:r>
      <w:r>
        <w:t xml:space="preserve"> </w:t>
      </w:r>
    </w:p>
    <w:p w14:paraId="6CBE10FB" w14:textId="446C5CCD" w:rsidR="00116092" w:rsidRPr="0090363F" w:rsidRDefault="00116092" w:rsidP="00116092">
      <w:pPr>
        <w:pStyle w:val="BodyText"/>
        <w:tabs>
          <w:tab w:val="num" w:pos="1425"/>
        </w:tabs>
      </w:pPr>
      <w:r>
        <w:rPr>
          <w:lang w:val="en-GB"/>
        </w:rPr>
        <w:t xml:space="preserve">As explained in Chapter 5, </w:t>
      </w:r>
      <w:r>
        <w:t>the majority’s finding in</w:t>
      </w:r>
      <w:r w:rsidRPr="00BA4ADA">
        <w:rPr>
          <w:i/>
          <w:iCs/>
        </w:rPr>
        <w:t xml:space="preserve"> Wichman </w:t>
      </w:r>
      <w:r>
        <w:t>that indications of actual reliability can be considered under section 28 represents a significant departure from the common law position. Under the voluntariness rule, confessions obtained by a promise, threat or other inducement by a person in authority were considered involuntary and were inadmissible</w:t>
      </w:r>
      <w:r>
        <w:rPr>
          <w:rStyle w:val="FootnoteReference"/>
        </w:rPr>
        <w:footnoteReference w:id="441"/>
      </w:r>
      <w:r>
        <w:t xml:space="preserve"> unless the judge was satisfied that the means by which the confession </w:t>
      </w:r>
      <w:r>
        <w:lastRenderedPageBreak/>
        <w:t>was obtained were not likely to cause a false confession.</w:t>
      </w:r>
      <w:r>
        <w:rPr>
          <w:rStyle w:val="FootnoteReference"/>
        </w:rPr>
        <w:footnoteReference w:id="442"/>
      </w:r>
      <w:r>
        <w:t xml:space="preserve"> The actual truth of a confession was irrelevant </w:t>
      </w:r>
      <w:r w:rsidR="00DA2E6E">
        <w:t xml:space="preserve">- </w:t>
      </w:r>
      <w:r>
        <w:t xml:space="preserve">the focus was on the </w:t>
      </w:r>
      <w:r w:rsidRPr="00FA5EF3">
        <w:t>tendency</w:t>
      </w:r>
      <w:r>
        <w:t xml:space="preserve"> of the inducement rather than the </w:t>
      </w:r>
      <w:r w:rsidRPr="00FA5EF3">
        <w:t>actual</w:t>
      </w:r>
      <w:r>
        <w:t xml:space="preserve"> result.</w:t>
      </w:r>
      <w:r>
        <w:rPr>
          <w:rStyle w:val="FootnoteReference"/>
          <w:lang w:val="en-GB"/>
        </w:rPr>
        <w:footnoteReference w:id="443"/>
      </w:r>
      <w:r>
        <w:t xml:space="preserve"> Accordingly, if the court considered that the investigatory </w:t>
      </w:r>
      <w:r>
        <w:rPr>
          <w:lang w:val="en-GB"/>
        </w:rPr>
        <w:t xml:space="preserve">techniques </w:t>
      </w:r>
      <w:r>
        <w:t>used by law enforcement officers involved an unacceptable risk of causing a false confession, the statement would have been excluded. A range of policies underpinned the voluntariness rule, including reliability, protecting against coerced self-incrimination, deterring unacceptable conduct in the gathering of evidence and protecting the integrity of the justice system.</w:t>
      </w:r>
      <w:r>
        <w:rPr>
          <w:rStyle w:val="FootnoteReference"/>
        </w:rPr>
        <w:footnoteReference w:id="444"/>
      </w:r>
      <w:r>
        <w:t xml:space="preserve"> The rule required that suspects be given a meaningful choice about whether to speak to police.</w:t>
      </w:r>
      <w:r>
        <w:rPr>
          <w:rStyle w:val="FootnoteReference"/>
        </w:rPr>
        <w:footnoteReference w:id="445"/>
      </w:r>
    </w:p>
    <w:p w14:paraId="529E5123" w14:textId="77777777" w:rsidR="00116092" w:rsidRDefault="00116092" w:rsidP="00116092">
      <w:pPr>
        <w:pStyle w:val="BodyText"/>
      </w:pPr>
      <w:r>
        <w:t xml:space="preserve">Following </w:t>
      </w:r>
      <w:r>
        <w:rPr>
          <w:i/>
          <w:iCs/>
        </w:rPr>
        <w:t>Wichman</w:t>
      </w:r>
      <w:r w:rsidR="00E17AA6" w:rsidRPr="00E17AA6">
        <w:t>,</w:t>
      </w:r>
      <w:r w:rsidRPr="007340AD" w:rsidDel="006E43BB">
        <w:rPr>
          <w:i/>
        </w:rPr>
        <w:t xml:space="preserve"> </w:t>
      </w:r>
      <w:r>
        <w:t>section 28 may not require exclusion in circumstances that would have resulted in exclusion under the voluntariness rule. This may lead to results that were not anticipated when section 28 was enacted unless other provisions (such as section 30) can fill the gap.</w:t>
      </w:r>
    </w:p>
    <w:p w14:paraId="1E9B918B" w14:textId="77777777" w:rsidR="00116092" w:rsidRPr="008239C9" w:rsidRDefault="00116092" w:rsidP="00116092">
      <w:pPr>
        <w:pStyle w:val="BodyText"/>
      </w:pPr>
      <w:r>
        <w:t xml:space="preserve">As we interpret the majority judgment in </w:t>
      </w:r>
      <w:r>
        <w:rPr>
          <w:i/>
          <w:iCs/>
        </w:rPr>
        <w:t>Wichman</w:t>
      </w:r>
      <w:r>
        <w:t>, it suggests that residual risks of unreliability not resulting in exclusion under section 28 are not relevant to the section</w:t>
      </w:r>
      <w:r>
        <w:rPr>
          <w:rFonts w:ascii="Calibri" w:hAnsi="Calibri" w:cs="Calibri"/>
        </w:rPr>
        <w:t> </w:t>
      </w:r>
      <w:r>
        <w:t xml:space="preserve">30 unfairness assessment. If that is correct, it may mean there are circumstances where the courts consider the investigatory </w:t>
      </w:r>
      <w:r w:rsidRPr="0055027E">
        <w:rPr>
          <w:lang w:val="en-GB"/>
        </w:rPr>
        <w:t xml:space="preserve">techniques </w:t>
      </w:r>
      <w:r>
        <w:t xml:space="preserve">used </w:t>
      </w:r>
      <w:r w:rsidRPr="0055027E">
        <w:rPr>
          <w:lang w:val="en-GB"/>
        </w:rPr>
        <w:t>carried an unacceptable risk of producing unreliable evidence</w:t>
      </w:r>
      <w:r>
        <w:rPr>
          <w:lang w:val="en-GB"/>
        </w:rPr>
        <w:t>, yet they cannot exclude the evidence under any of sections 28–30</w:t>
      </w:r>
      <w:r w:rsidRPr="0055027E">
        <w:rPr>
          <w:lang w:val="en-GB"/>
        </w:rPr>
        <w:t>.</w:t>
      </w:r>
      <w:r>
        <w:t xml:space="preserve"> </w:t>
      </w:r>
      <w:r w:rsidRPr="009C3E66">
        <w:rPr>
          <w:lang w:val="en-GB"/>
        </w:rPr>
        <w:t xml:space="preserve">This </w:t>
      </w:r>
      <w:r>
        <w:rPr>
          <w:lang w:val="en-GB"/>
        </w:rPr>
        <w:t>may</w:t>
      </w:r>
      <w:r w:rsidRPr="009C3E66">
        <w:rPr>
          <w:lang w:val="en-GB"/>
        </w:rPr>
        <w:t xml:space="preserve"> be the case where:</w:t>
      </w:r>
    </w:p>
    <w:p w14:paraId="512B5591" w14:textId="75DAFF47" w:rsidR="00116092" w:rsidRPr="00116092" w:rsidRDefault="00116092" w:rsidP="00866891">
      <w:pPr>
        <w:pStyle w:val="BodyText2"/>
        <w:numPr>
          <w:ilvl w:val="3"/>
          <w:numId w:val="48"/>
        </w:numPr>
        <w:rPr>
          <w:color w:val="000000" w:themeColor="text1"/>
        </w:rPr>
      </w:pPr>
      <w:r w:rsidRPr="00116092">
        <w:rPr>
          <w:color w:val="000000" w:themeColor="text1"/>
        </w:rPr>
        <w:t xml:space="preserve">the court considers the statement in question is sufficiently reliable </w:t>
      </w:r>
      <w:r w:rsidRPr="00116092">
        <w:rPr>
          <w:i/>
          <w:iCs/>
          <w:color w:val="000000" w:themeColor="text1"/>
        </w:rPr>
        <w:t xml:space="preserve">in fact </w:t>
      </w:r>
      <w:r w:rsidRPr="00116092">
        <w:rPr>
          <w:color w:val="000000" w:themeColor="text1"/>
        </w:rPr>
        <w:t xml:space="preserve">to go before </w:t>
      </w:r>
      <w:r w:rsidR="00E21D18">
        <w:rPr>
          <w:color w:val="000000" w:themeColor="text1"/>
        </w:rPr>
        <w:t>the fact-finder</w:t>
      </w:r>
      <w:r w:rsidR="00AF1F9D">
        <w:rPr>
          <w:color w:val="000000" w:themeColor="text1"/>
        </w:rPr>
        <w:t xml:space="preserve"> </w:t>
      </w:r>
      <w:r w:rsidRPr="00116092">
        <w:rPr>
          <w:color w:val="000000" w:themeColor="text1"/>
        </w:rPr>
        <w:t>(so the statement is not excluded under section 28); and</w:t>
      </w:r>
    </w:p>
    <w:p w14:paraId="067E6DE0" w14:textId="77777777" w:rsidR="00116092" w:rsidRPr="00CF02B7" w:rsidRDefault="00116092" w:rsidP="00866891">
      <w:pPr>
        <w:pStyle w:val="BodyTextIndent"/>
        <w:numPr>
          <w:ilvl w:val="3"/>
          <w:numId w:val="44"/>
        </w:numPr>
        <w:rPr>
          <w:color w:val="000000" w:themeColor="text1"/>
        </w:rPr>
      </w:pPr>
      <w:r w:rsidRPr="00CF02B7">
        <w:rPr>
          <w:color w:val="000000" w:themeColor="text1"/>
        </w:rPr>
        <w:t>the investigatory conduct concerned does not meet the high threshold for “oppression” under section 29; and</w:t>
      </w:r>
    </w:p>
    <w:p w14:paraId="3B49E7D1" w14:textId="202209C5" w:rsidR="00116092" w:rsidRDefault="00116092" w:rsidP="00866891">
      <w:pPr>
        <w:pStyle w:val="BodyTextIndent"/>
        <w:numPr>
          <w:ilvl w:val="3"/>
          <w:numId w:val="44"/>
        </w:numPr>
        <w:rPr>
          <w:color w:val="000000" w:themeColor="text1"/>
        </w:rPr>
      </w:pPr>
      <w:r w:rsidRPr="00CF02B7">
        <w:rPr>
          <w:color w:val="000000" w:themeColor="text1"/>
        </w:rPr>
        <w:t xml:space="preserve">there is no separate basis for finding that the statement was improperly obtained for </w:t>
      </w:r>
      <w:r>
        <w:rPr>
          <w:color w:val="000000" w:themeColor="text1"/>
        </w:rPr>
        <w:t>so as to engage</w:t>
      </w:r>
      <w:r w:rsidRPr="00CF02B7">
        <w:rPr>
          <w:color w:val="000000" w:themeColor="text1"/>
        </w:rPr>
        <w:t xml:space="preserve"> section 30 (such as a breach of </w:t>
      </w:r>
      <w:r>
        <w:rPr>
          <w:color w:val="000000" w:themeColor="text1"/>
        </w:rPr>
        <w:t xml:space="preserve">the </w:t>
      </w:r>
      <w:r w:rsidR="00763C96">
        <w:rPr>
          <w:color w:val="000000" w:themeColor="text1"/>
        </w:rPr>
        <w:t xml:space="preserve">NZBORA </w:t>
      </w:r>
      <w:r w:rsidRPr="00CF02B7">
        <w:rPr>
          <w:color w:val="000000" w:themeColor="text1"/>
        </w:rPr>
        <w:t>or the Practice Note on Police Questioning).</w:t>
      </w:r>
    </w:p>
    <w:p w14:paraId="1D4F14AB" w14:textId="77777777" w:rsidR="00116092" w:rsidRPr="004C6901" w:rsidRDefault="00116092" w:rsidP="00116092">
      <w:pPr>
        <w:pStyle w:val="BodyText"/>
      </w:pPr>
      <w:r>
        <w:t>This could occur, for example, in a Mr Big case if the court had serious concerns about the tendency of the techniques used in the operation to affect the reliability of any confession made, but could not exclude the statement under section 28 due to indications it was in fact reliable.</w:t>
      </w:r>
      <w:r>
        <w:rPr>
          <w:rStyle w:val="FootnoteReference"/>
        </w:rPr>
        <w:footnoteReference w:id="446"/>
      </w:r>
    </w:p>
    <w:p w14:paraId="7DD8B27E" w14:textId="7154B176" w:rsidR="00116092" w:rsidRPr="00812474" w:rsidRDefault="00116092" w:rsidP="00116092">
      <w:pPr>
        <w:pStyle w:val="BodyText"/>
      </w:pPr>
      <w:r>
        <w:t xml:space="preserve">This potential gap has not yet been confronted in the case law since </w:t>
      </w:r>
      <w:r>
        <w:rPr>
          <w:i/>
          <w:iCs/>
        </w:rPr>
        <w:t>Wichman</w:t>
      </w:r>
      <w:r>
        <w:t xml:space="preserve">. While several subsequent cases have involved arguments that the investigatory </w:t>
      </w:r>
      <w:r w:rsidRPr="00812474">
        <w:rPr>
          <w:lang w:val="en-GB"/>
        </w:rPr>
        <w:t xml:space="preserve">techniques </w:t>
      </w:r>
      <w:r>
        <w:t xml:space="preserve">used carried an unacceptable risk of producing a false confession, in each case the court </w:t>
      </w:r>
      <w:r>
        <w:lastRenderedPageBreak/>
        <w:t>excluded the evidence on other grounds.</w:t>
      </w:r>
      <w:r w:rsidRPr="00812474">
        <w:rPr>
          <w:i/>
          <w:iCs/>
        </w:rPr>
        <w:t xml:space="preserve"> </w:t>
      </w:r>
      <w:r>
        <w:t xml:space="preserve">In </w:t>
      </w:r>
      <w:r w:rsidRPr="00812474">
        <w:rPr>
          <w:i/>
          <w:iCs/>
        </w:rPr>
        <w:t>Lyttle</w:t>
      </w:r>
      <w:r>
        <w:t xml:space="preserve"> </w:t>
      </w:r>
      <w:r w:rsidRPr="00812474">
        <w:rPr>
          <w:i/>
          <w:iCs/>
        </w:rPr>
        <w:t xml:space="preserve">v R </w:t>
      </w:r>
      <w:r>
        <w:t>(another Mr Big case), the defendant’s statement was excluded under section</w:t>
      </w:r>
      <w:r>
        <w:rPr>
          <w:rFonts w:ascii="Calibri" w:hAnsi="Calibri" w:cs="Calibri"/>
        </w:rPr>
        <w:t> </w:t>
      </w:r>
      <w:r>
        <w:t>28 because other available evidence supported the court’s view that it was unreliable in fact.</w:t>
      </w:r>
      <w:r>
        <w:rPr>
          <w:rStyle w:val="FootnoteReference"/>
        </w:rPr>
        <w:footnoteReference w:id="447"/>
      </w:r>
      <w:r>
        <w:t xml:space="preserve"> In </w:t>
      </w:r>
      <w:r w:rsidRPr="00812474">
        <w:rPr>
          <w:i/>
          <w:iCs/>
        </w:rPr>
        <w:t>R v X</w:t>
      </w:r>
      <w:r>
        <w:t>, the use of CIPEM to question the defendant involved breaches of the Practice Note on Police Questioning.</w:t>
      </w:r>
      <w:r>
        <w:rPr>
          <w:rStyle w:val="FootnoteReference"/>
        </w:rPr>
        <w:footnoteReference w:id="448"/>
      </w:r>
      <w:r>
        <w:t xml:space="preserve"> Section 30 was engaged on that basis and the Court went on to determine that exclusion of the evidence was proportionate to the impropriety. In</w:t>
      </w:r>
      <w:r w:rsidDel="005A458E">
        <w:t xml:space="preserve"> </w:t>
      </w:r>
      <w:r w:rsidRPr="001079D8" w:rsidDel="005A458E">
        <w:rPr>
          <w:i/>
          <w:iCs/>
        </w:rPr>
        <w:t>R v Fawcett</w:t>
      </w:r>
      <w:r w:rsidR="007B5F3E">
        <w:t>,</w:t>
      </w:r>
      <w:r w:rsidRPr="001079D8">
        <w:rPr>
          <w:i/>
          <w:iCs/>
        </w:rPr>
        <w:t xml:space="preserve"> </w:t>
      </w:r>
      <w:r>
        <w:t>t</w:t>
      </w:r>
      <w:r w:rsidR="005F4653">
        <w:t>e Kōti Matua |</w:t>
      </w:r>
      <w:r>
        <w:t xml:space="preserve"> High Court</w:t>
      </w:r>
      <w:r w:rsidDel="005A458E">
        <w:t xml:space="preserve"> considered an argument by defence counsel that police conduct during Mr Fawcett’s interviews contributed to his statement being unreliable.</w:t>
      </w:r>
      <w:r w:rsidDel="005A458E">
        <w:rPr>
          <w:rStyle w:val="FootnoteReference"/>
          <w:lang w:val="en-GB"/>
        </w:rPr>
        <w:footnoteReference w:id="449"/>
      </w:r>
      <w:r w:rsidDel="005A458E">
        <w:t xml:space="preserve"> However, the Court excluded the statement under section 28 on the basis of internal factors (the influence of </w:t>
      </w:r>
      <w:r w:rsidR="00D14F40">
        <w:rPr>
          <w:lang w:val="en-GB"/>
        </w:rPr>
        <w:t>f</w:t>
      </w:r>
      <w:r w:rsidRPr="001079D8" w:rsidDel="005A458E">
        <w:rPr>
          <w:lang w:val="en-GB"/>
        </w:rPr>
        <w:t xml:space="preserve">oetal </w:t>
      </w:r>
      <w:r w:rsidR="00D14F40">
        <w:rPr>
          <w:lang w:val="en-GB"/>
        </w:rPr>
        <w:t>a</w:t>
      </w:r>
      <w:r w:rsidRPr="001079D8" w:rsidDel="005A458E">
        <w:rPr>
          <w:lang w:val="en-GB"/>
        </w:rPr>
        <w:t xml:space="preserve">lcohol </w:t>
      </w:r>
      <w:r w:rsidR="00D14F40">
        <w:rPr>
          <w:lang w:val="en-GB"/>
        </w:rPr>
        <w:t>s</w:t>
      </w:r>
      <w:r w:rsidRPr="001079D8" w:rsidDel="005A458E">
        <w:rPr>
          <w:lang w:val="en-GB"/>
        </w:rPr>
        <w:t xml:space="preserve">pectrum </w:t>
      </w:r>
      <w:r w:rsidR="00D14F40">
        <w:rPr>
          <w:lang w:val="en-GB"/>
        </w:rPr>
        <w:t>d</w:t>
      </w:r>
      <w:r w:rsidRPr="001079D8" w:rsidDel="005A458E">
        <w:rPr>
          <w:lang w:val="en-GB"/>
        </w:rPr>
        <w:t>isorder</w:t>
      </w:r>
      <w:r w:rsidRPr="001079D8">
        <w:rPr>
          <w:lang w:val="en-GB"/>
        </w:rPr>
        <w:t>) and did not consider how the impact of police conduct should be addressed under the Act.</w:t>
      </w:r>
      <w:r>
        <w:rPr>
          <w:rStyle w:val="FootnoteReference"/>
          <w:lang w:val="en-GB"/>
        </w:rPr>
        <w:footnoteReference w:id="450"/>
      </w:r>
    </w:p>
    <w:p w14:paraId="7D448BD3" w14:textId="77777777" w:rsidR="00116092" w:rsidRPr="00E75787" w:rsidRDefault="00116092" w:rsidP="00116092">
      <w:pPr>
        <w:pStyle w:val="Heading2"/>
      </w:pPr>
      <w:bookmarkStart w:id="98" w:name="_Toc132962563"/>
      <w:r>
        <w:rPr>
          <w:lang w:val="en-GB"/>
        </w:rPr>
        <w:t>Is legislative reform necessary or desirable?</w:t>
      </w:r>
      <w:bookmarkEnd w:id="97"/>
      <w:bookmarkEnd w:id="98"/>
    </w:p>
    <w:p w14:paraId="49B507D3" w14:textId="77777777" w:rsidR="00116092" w:rsidRDefault="00116092" w:rsidP="00116092">
      <w:pPr>
        <w:pStyle w:val="BodyText"/>
      </w:pPr>
      <w:r>
        <w:t xml:space="preserve">We seek submissions on whether the potential gap identified above is causing concern or problems in practice. We are interested to know, for example, if there is confusion around whether or how the risk an investigatory technique could produce unreliable evidence can be addressed under the Act. </w:t>
      </w:r>
    </w:p>
    <w:p w14:paraId="40FA1254" w14:textId="77777777" w:rsidR="00116092" w:rsidRDefault="00116092" w:rsidP="00116092">
      <w:pPr>
        <w:pStyle w:val="BodyText"/>
      </w:pPr>
      <w:r>
        <w:t>We also seek submissions on whether legislative reform is desirable to stipulate that the courts can have regard to the</w:t>
      </w:r>
      <w:r w:rsidRPr="00AC54D2">
        <w:t xml:space="preserve"> </w:t>
      </w:r>
      <w:r>
        <w:t xml:space="preserve">risk that an investigatory </w:t>
      </w:r>
      <w:r>
        <w:rPr>
          <w:lang w:val="en-GB"/>
        </w:rPr>
        <w:t xml:space="preserve">technique </w:t>
      </w:r>
      <w:r>
        <w:t xml:space="preserve">would produce unreliable evidence at both stages of the section 30 inquiry (that is, when determining whether the evidence was improperly obtained and when applying the balancing test). This would ensure that sections 28–30 together cover the same ground as the voluntariness rule at common law, as appears to have been the legislative intent. </w:t>
      </w:r>
    </w:p>
    <w:p w14:paraId="549DF0D6" w14:textId="77777777" w:rsidR="00116092" w:rsidRDefault="00116092" w:rsidP="00116092">
      <w:pPr>
        <w:pStyle w:val="BodyText"/>
      </w:pPr>
      <w:r>
        <w:t xml:space="preserve">Given the lack of case law since </w:t>
      </w:r>
      <w:r>
        <w:rPr>
          <w:i/>
          <w:iCs/>
        </w:rPr>
        <w:t>Wichman</w:t>
      </w:r>
      <w:r>
        <w:t xml:space="preserve"> on the relevance of reliability risks under section</w:t>
      </w:r>
      <w:r>
        <w:rPr>
          <w:rFonts w:ascii="Calibri" w:hAnsi="Calibri" w:cs="Calibri"/>
        </w:rPr>
        <w:t> </w:t>
      </w:r>
      <w:r>
        <w:t>30, it is not yet clear what impact the decision will have. Reform may therefore be considered premature at this stage. There is potential, however, for this issue to have a significant impact in practice if our assessment of the current law is correct. Since this is our final statutory review and we are seeking submissions on other amendments to sections 28 and 30, this may be the best opportunity to clarify the intent of the sections if that is required.</w:t>
      </w:r>
    </w:p>
    <w:p w14:paraId="4A2D3728" w14:textId="77777777" w:rsidR="00116092" w:rsidRDefault="00116092" w:rsidP="00116092">
      <w:pPr>
        <w:pStyle w:val="BodyText"/>
      </w:pPr>
      <w:r>
        <w:rPr>
          <w:lang w:val="en-GB"/>
        </w:rPr>
        <w:t>O</w:t>
      </w:r>
      <w:r w:rsidRPr="0026781F">
        <w:rPr>
          <w:lang w:val="en-GB"/>
        </w:rPr>
        <w:t xml:space="preserve">ur preliminary view is that </w:t>
      </w:r>
      <w:r>
        <w:rPr>
          <w:lang w:val="en-GB"/>
        </w:rPr>
        <w:t xml:space="preserve">the courts should be able to consider the risk that an investigatory technique could produce unreliable evidence when assessing unfairness under section 30. This approach is already available on the current wording of section 30, but the decision in </w:t>
      </w:r>
      <w:r>
        <w:rPr>
          <w:i/>
          <w:iCs/>
          <w:lang w:val="en-GB"/>
        </w:rPr>
        <w:t xml:space="preserve">Wichman </w:t>
      </w:r>
      <w:r>
        <w:rPr>
          <w:lang w:val="en-GB"/>
        </w:rPr>
        <w:t xml:space="preserve">may prevent the courts from adopting it. If </w:t>
      </w:r>
      <w:r w:rsidRPr="00467756">
        <w:rPr>
          <w:lang w:val="en-GB"/>
        </w:rPr>
        <w:t>so</w:t>
      </w:r>
      <w:r>
        <w:rPr>
          <w:lang w:val="en-GB"/>
        </w:rPr>
        <w:t>, we suggest that would be</w:t>
      </w:r>
      <w:r w:rsidRPr="0026781F">
        <w:rPr>
          <w:lang w:val="en-GB"/>
        </w:rPr>
        <w:t xml:space="preserve"> undesirable. The administration of justice</w:t>
      </w:r>
      <w:r>
        <w:rPr>
          <w:lang w:val="en-GB"/>
        </w:rPr>
        <w:t xml:space="preserve"> may be brought</w:t>
      </w:r>
      <w:r w:rsidRPr="0026781F">
        <w:rPr>
          <w:lang w:val="en-GB"/>
        </w:rPr>
        <w:t xml:space="preserve"> into disrepute</w:t>
      </w:r>
      <w:r>
        <w:rPr>
          <w:lang w:val="en-GB"/>
        </w:rPr>
        <w:t xml:space="preserve"> if the courts are unable to exclude evidence they consider carries an unacceptable risk of producing unreliable evidence</w:t>
      </w:r>
      <w:r w:rsidRPr="0026781F">
        <w:rPr>
          <w:lang w:val="en-GB"/>
        </w:rPr>
        <w:t xml:space="preserve">. It may encourage the use of similar techniques in future, </w:t>
      </w:r>
      <w:r>
        <w:lastRenderedPageBreak/>
        <w:t>increasing the risk of unreliable evidence in general. This may have a detrimental effect on public trust and confidence in the justice system, as is already evident from public criticism of Mr Big operations and CIPEM. These are the types of concerns that section</w:t>
      </w:r>
      <w:r>
        <w:rPr>
          <w:rFonts w:ascii="Calibri" w:hAnsi="Calibri" w:cs="Calibri"/>
        </w:rPr>
        <w:t> </w:t>
      </w:r>
      <w:r>
        <w:t>30 is designed to address.</w:t>
      </w:r>
    </w:p>
    <w:p w14:paraId="43A9C535" w14:textId="142F5AB6" w:rsidR="00116092" w:rsidRDefault="00116092" w:rsidP="00116092">
      <w:pPr>
        <w:pStyle w:val="BodyText"/>
      </w:pPr>
      <w:r>
        <w:t>While trial judges can warn juries about residual risks that evidence may be unreliable,</w:t>
      </w:r>
      <w:r>
        <w:rPr>
          <w:rStyle w:val="FootnoteReference"/>
        </w:rPr>
        <w:footnoteReference w:id="451"/>
      </w:r>
      <w:r>
        <w:t xml:space="preserve"> such warnings only address concerns about actual unreliability </w:t>
      </w:r>
      <w:r w:rsidR="00E13815">
        <w:t>-</w:t>
      </w:r>
      <w:r>
        <w:t xml:space="preserve"> and hence the safety of conviction based on the evidence. Where the primary concern relates to the means used to obtain the evidence, reliability warnings are of little relevance.</w:t>
      </w:r>
    </w:p>
    <w:p w14:paraId="62FF6DA0" w14:textId="60BD6432" w:rsidR="00116092" w:rsidRDefault="00116092" w:rsidP="00116092">
      <w:pPr>
        <w:pStyle w:val="BodyText"/>
      </w:pPr>
      <w:r>
        <w:t xml:space="preserve">In some cases, section 30 will be engaged on a separate basis. For example, the investigatory </w:t>
      </w:r>
      <w:r>
        <w:rPr>
          <w:lang w:val="en-GB"/>
        </w:rPr>
        <w:t xml:space="preserve">techniques used </w:t>
      </w:r>
      <w:r>
        <w:t xml:space="preserve">might </w:t>
      </w:r>
      <w:r w:rsidDel="0085707D">
        <w:t xml:space="preserve">also involve </w:t>
      </w:r>
      <w:r>
        <w:t>breach</w:t>
      </w:r>
      <w:r w:rsidDel="0085707D">
        <w:t>es</w:t>
      </w:r>
      <w:r>
        <w:t xml:space="preserve"> </w:t>
      </w:r>
      <w:r w:rsidDel="0085707D">
        <w:t xml:space="preserve">of </w:t>
      </w:r>
      <w:r>
        <w:t>the Practice Note</w:t>
      </w:r>
      <w:r w:rsidR="00AB1A58">
        <w:t xml:space="preserve"> on Police Questioning</w:t>
      </w:r>
      <w:r>
        <w:t>.</w:t>
      </w:r>
      <w:r>
        <w:rPr>
          <w:rStyle w:val="FootnoteReference"/>
        </w:rPr>
        <w:footnoteReference w:id="452"/>
      </w:r>
      <w:r>
        <w:t xml:space="preserve"> In that situation, the courts have already shown a willingness to treat the evidence as unfairly obtained under section 30.</w:t>
      </w:r>
      <w:r>
        <w:rPr>
          <w:rStyle w:val="FootnoteReference"/>
        </w:rPr>
        <w:footnoteReference w:id="453"/>
      </w:r>
      <w:r>
        <w:t xml:space="preserve"> However, the Practice Note </w:t>
      </w:r>
      <w:r w:rsidR="00D56248">
        <w:t xml:space="preserve">on Police </w:t>
      </w:r>
      <w:r w:rsidR="005124EE">
        <w:t xml:space="preserve">Questioning </w:t>
      </w:r>
      <w:r>
        <w:t xml:space="preserve">is limited in scope. Most of its requirements only apply when the person being questioned is </w:t>
      </w:r>
      <w:r w:rsidRPr="00130AD5">
        <w:t>in custody or there is sufficient evidence to lay a charge</w:t>
      </w:r>
      <w:r>
        <w:t xml:space="preserve"> against them. The Practice Note does not apply to undercover officers</w:t>
      </w:r>
      <w:r>
        <w:rPr>
          <w:rStyle w:val="FootnoteReference"/>
        </w:rPr>
        <w:footnoteReference w:id="454"/>
      </w:r>
      <w:r>
        <w:t xml:space="preserve"> or investigating agencies other than Police</w:t>
      </w:r>
      <w:r w:rsidR="00C750A1">
        <w:t xml:space="preserve"> on Police Questioning</w:t>
      </w:r>
      <w:r>
        <w:t>. Nor does it cover every type of police conduct during questioning that may result in unfairness.</w:t>
      </w:r>
      <w:r>
        <w:rPr>
          <w:rStyle w:val="FootnoteReference"/>
        </w:rPr>
        <w:footnoteReference w:id="455"/>
      </w:r>
    </w:p>
    <w:p w14:paraId="7C1D7820" w14:textId="77777777" w:rsidR="00116092" w:rsidRDefault="00116092" w:rsidP="00116092">
      <w:pPr>
        <w:pStyle w:val="Heading2"/>
      </w:pPr>
      <w:bookmarkStart w:id="99" w:name="_Toc126330120"/>
      <w:bookmarkStart w:id="100" w:name="_Toc132962564"/>
      <w:r>
        <w:t>Options for reform</w:t>
      </w:r>
      <w:bookmarkEnd w:id="99"/>
      <w:bookmarkEnd w:id="100"/>
    </w:p>
    <w:p w14:paraId="11965E23" w14:textId="77777777" w:rsidR="00116092" w:rsidRDefault="00116092" w:rsidP="00116092">
      <w:pPr>
        <w:pStyle w:val="BodyText"/>
      </w:pPr>
      <w:r>
        <w:t xml:space="preserve">We set out below three options for amending section 30, which could be implemented together or separately. These options would all involve clarifying that the risk an investigatory </w:t>
      </w:r>
      <w:r>
        <w:rPr>
          <w:lang w:val="en-GB"/>
        </w:rPr>
        <w:t xml:space="preserve">technique </w:t>
      </w:r>
      <w:r>
        <w:t>would produce unreliable evidence</w:t>
      </w:r>
      <w:r w:rsidRPr="66085424">
        <w:t xml:space="preserve"> </w:t>
      </w:r>
      <w:r>
        <w:t xml:space="preserve">can be considered under that section. </w:t>
      </w:r>
    </w:p>
    <w:p w14:paraId="50A61797" w14:textId="77777777" w:rsidR="00116092" w:rsidRDefault="00116092" w:rsidP="00116092">
      <w:pPr>
        <w:pStyle w:val="BodyText"/>
      </w:pPr>
      <w:r>
        <w:t>Should reform be considered necessary or desirable, amending section 30 may be an appropriate approach since it</w:t>
      </w:r>
      <w:r w:rsidRPr="00A96448">
        <w:t xml:space="preserve"> </w:t>
      </w:r>
      <w:r>
        <w:t xml:space="preserve">was specifically designed to address </w:t>
      </w:r>
      <w:r w:rsidDel="00376390">
        <w:t>improper conduct in the obtaining of evidence that may have a detrimental impact on the integrity of the justice system</w:t>
      </w:r>
      <w:r>
        <w:t xml:space="preserve">. Section 30 also applies to any type of evidence (compared to section 28, which is limited to defendants’ statements). While the cases we have discussed related to defendants’ statements, concerns about risks of unreliability associated with investigatory </w:t>
      </w:r>
      <w:r w:rsidRPr="00E7616E">
        <w:rPr>
          <w:lang w:val="en-GB"/>
        </w:rPr>
        <w:t xml:space="preserve">techniques </w:t>
      </w:r>
      <w:r>
        <w:t xml:space="preserve">may arise in relation to other evidence. It is conceivable, for example, that </w:t>
      </w:r>
      <w:r w:rsidRPr="00E7616E">
        <w:rPr>
          <w:lang w:val="en-GB"/>
        </w:rPr>
        <w:t xml:space="preserve">techniques </w:t>
      </w:r>
      <w:r>
        <w:t>used to gather physical evidence may risk compromising the quality of that evidence. The options for reform discussed below would therefore enable risks of unreliability to be taken into account in relation to any type of evidence (although we expect defendants’ statements would be the most common application).</w:t>
      </w:r>
    </w:p>
    <w:p w14:paraId="0EE3E283" w14:textId="77777777" w:rsidR="00116092" w:rsidRDefault="00116092" w:rsidP="00116092">
      <w:pPr>
        <w:pStyle w:val="BodyText"/>
      </w:pPr>
      <w:r>
        <w:lastRenderedPageBreak/>
        <w:t>We have not suggested amending section 29 to include a wider range of investigatory conduct that could be considered “oppressive”. While section 29 sets a high bar,</w:t>
      </w:r>
      <w:r>
        <w:rPr>
          <w:rStyle w:val="FootnoteReference"/>
        </w:rPr>
        <w:footnoteReference w:id="456"/>
      </w:r>
      <w:r>
        <w:t xml:space="preserve"> its purpose is to protect </w:t>
      </w:r>
      <w:r w:rsidRPr="00054870">
        <w:t>the right not to be subjected to torture or to cruel, degrading or inhuman treatment or punishment</w:t>
      </w:r>
      <w:r>
        <w:t>.</w:t>
      </w:r>
      <w:r>
        <w:rPr>
          <w:rStyle w:val="FootnoteReference"/>
        </w:rPr>
        <w:footnoteReference w:id="457"/>
      </w:r>
      <w:r>
        <w:t xml:space="preserve"> We would expect it to apply rarely. Our preliminary view is that it is appropriate for oppression to be defined in a narrow way, since statements influenced by it are automatically excluded, and for section 30 to apply to a broader range of conduct. </w:t>
      </w:r>
    </w:p>
    <w:p w14:paraId="57756938" w14:textId="77777777" w:rsidR="00116092" w:rsidRDefault="00116092" w:rsidP="00116092">
      <w:pPr>
        <w:pStyle w:val="BodyText"/>
      </w:pPr>
      <w:r w:rsidRPr="00E9330C">
        <w:t xml:space="preserve">We </w:t>
      </w:r>
      <w:r>
        <w:t>also</w:t>
      </w:r>
      <w:r w:rsidRPr="00E9330C">
        <w:t xml:space="preserve"> considered whether a specific admissibility rule should be introduced to deal with Mr Big operations or other </w:t>
      </w:r>
      <w:r>
        <w:t>specified</w:t>
      </w:r>
      <w:r w:rsidRPr="00E9330C">
        <w:t xml:space="preserve"> </w:t>
      </w:r>
      <w:r>
        <w:t xml:space="preserve">investigatory </w:t>
      </w:r>
      <w:r w:rsidRPr="00711136">
        <w:rPr>
          <w:lang w:val="en-GB"/>
        </w:rPr>
        <w:t>techniques</w:t>
      </w:r>
      <w:r w:rsidRPr="00E9330C">
        <w:t xml:space="preserve">. However, </w:t>
      </w:r>
      <w:r>
        <w:t>we suggest</w:t>
      </w:r>
      <w:r w:rsidRPr="00E9330C">
        <w:t xml:space="preserve"> it would be preferable to amend the existing provisions in the Act to ensure they address the underlying concerns that may arise from these </w:t>
      </w:r>
      <w:r w:rsidRPr="00711136">
        <w:rPr>
          <w:lang w:val="en-GB"/>
        </w:rPr>
        <w:t>techniques</w:t>
      </w:r>
      <w:r w:rsidRPr="00E9330C">
        <w:t xml:space="preserve">. This would help to maintain a consistent approach and ensure that any new </w:t>
      </w:r>
      <w:r>
        <w:t xml:space="preserve">investigatory </w:t>
      </w:r>
      <w:r w:rsidRPr="00711136">
        <w:rPr>
          <w:lang w:val="en-GB"/>
        </w:rPr>
        <w:t xml:space="preserve">techniques </w:t>
      </w:r>
      <w:r w:rsidRPr="00E9330C">
        <w:t xml:space="preserve">developed in future </w:t>
      </w:r>
      <w:r w:rsidRPr="00E9330C" w:rsidDel="00762539">
        <w:t>(</w:t>
      </w:r>
      <w:r>
        <w:t>which raise</w:t>
      </w:r>
      <w:r w:rsidRPr="00E9330C">
        <w:t xml:space="preserve"> similar concerns</w:t>
      </w:r>
      <w:r w:rsidRPr="00E9330C" w:rsidDel="00762539">
        <w:t>)</w:t>
      </w:r>
      <w:r w:rsidRPr="00E9330C">
        <w:t xml:space="preserve"> can be accommodated. </w:t>
      </w:r>
    </w:p>
    <w:p w14:paraId="4E527AEF" w14:textId="69F60932" w:rsidR="00116092" w:rsidRDefault="00116092" w:rsidP="00116092">
      <w:pPr>
        <w:pStyle w:val="Heading3"/>
      </w:pPr>
      <w:r>
        <w:t xml:space="preserve">Option 1: </w:t>
      </w:r>
      <w:r w:rsidR="00490782">
        <w:t>A</w:t>
      </w:r>
      <w:r>
        <w:t>mend section 30(6) to clarify that reliability risks are relevant to the unfairness assessment</w:t>
      </w:r>
    </w:p>
    <w:p w14:paraId="4D430AC0" w14:textId="77777777" w:rsidR="00116092" w:rsidRPr="00711136" w:rsidRDefault="00116092" w:rsidP="00116092">
      <w:pPr>
        <w:pStyle w:val="BodyText"/>
      </w:pPr>
      <w:r w:rsidRPr="00711136">
        <w:rPr>
          <w:lang w:val="en-GB"/>
        </w:rPr>
        <w:t xml:space="preserve">Section 30(6) could be amended to provide that, in assessing whether evidence was unfairly obtained under section 30(5)(c), the judge may take into account the risk that the investigatory techniques used would produce unreliable evidence. </w:t>
      </w:r>
    </w:p>
    <w:p w14:paraId="20003F1E" w14:textId="77777777" w:rsidR="00116092" w:rsidRPr="00711136" w:rsidRDefault="00116092" w:rsidP="00116092">
      <w:pPr>
        <w:pStyle w:val="BodyText"/>
      </w:pPr>
      <w:r w:rsidRPr="00711136">
        <w:rPr>
          <w:lang w:val="en-GB"/>
        </w:rPr>
        <w:t xml:space="preserve">This amendment would clarify that, </w:t>
      </w:r>
      <w:r>
        <w:rPr>
          <w:lang w:val="en-GB"/>
        </w:rPr>
        <w:t>even if</w:t>
      </w:r>
      <w:r w:rsidRPr="00711136">
        <w:rPr>
          <w:lang w:val="en-GB"/>
        </w:rPr>
        <w:t xml:space="preserve"> risks of unreliability do not result in exclusion under section 28 (for example, because there are sufficient indications that a defendant’s statement is reliable in fact), they can still be considered </w:t>
      </w:r>
      <w:r>
        <w:rPr>
          <w:lang w:val="en-GB"/>
        </w:rPr>
        <w:t>when</w:t>
      </w:r>
      <w:r w:rsidRPr="00711136">
        <w:rPr>
          <w:lang w:val="en-GB"/>
        </w:rPr>
        <w:t xml:space="preserve"> deciding whether the evidence was unfairly obtained so as to engage the section 30 balancing test. This would align with the approach of the Court of Appeal</w:t>
      </w:r>
      <w:r>
        <w:rPr>
          <w:rStyle w:val="FootnoteReference"/>
          <w:lang w:val="en-GB"/>
        </w:rPr>
        <w:footnoteReference w:id="458"/>
      </w:r>
      <w:r w:rsidRPr="00711136">
        <w:rPr>
          <w:lang w:val="en-GB"/>
        </w:rPr>
        <w:t xml:space="preserve"> and the minority of the Supreme Court</w:t>
      </w:r>
      <w:r>
        <w:rPr>
          <w:rStyle w:val="FootnoteReference"/>
          <w:lang w:val="en-GB"/>
        </w:rPr>
        <w:footnoteReference w:id="459"/>
      </w:r>
      <w:r w:rsidRPr="00711136">
        <w:rPr>
          <w:lang w:val="en-GB"/>
        </w:rPr>
        <w:t xml:space="preserve"> in </w:t>
      </w:r>
      <w:r w:rsidRPr="00711136">
        <w:rPr>
          <w:i/>
          <w:iCs/>
          <w:lang w:val="en-GB"/>
        </w:rPr>
        <w:t>Wichman</w:t>
      </w:r>
      <w:r w:rsidRPr="00711136">
        <w:rPr>
          <w:lang w:val="en-GB"/>
        </w:rPr>
        <w:t>.</w:t>
      </w:r>
    </w:p>
    <w:p w14:paraId="448233CC" w14:textId="116A9E3C" w:rsidR="00116092" w:rsidRPr="00711136" w:rsidRDefault="00116092" w:rsidP="00116092">
      <w:pPr>
        <w:pStyle w:val="Heading3"/>
      </w:pPr>
      <w:r>
        <w:t xml:space="preserve">Option 2: </w:t>
      </w:r>
      <w:r w:rsidR="00490782">
        <w:t>A</w:t>
      </w:r>
      <w:r>
        <w:t>mend section 30(6) to specify additional matters relevant to the unfairness assessment</w:t>
      </w:r>
    </w:p>
    <w:p w14:paraId="5209E10A" w14:textId="77777777" w:rsidR="00116092" w:rsidRDefault="00116092" w:rsidP="00116092">
      <w:pPr>
        <w:pStyle w:val="BodyText"/>
      </w:pPr>
      <w:r w:rsidRPr="00711136">
        <w:t>We also invite feedback on whether any or all of the factors in sections 28(4) and 29(4) (which are relevant to the reliability and oppression tests) should be specified in section 30(6) as relevant when assessing whether a defendant’s statement was unfairly obtained under section 30(5)(c) (the unfairness assessment). Those factors are:</w:t>
      </w:r>
    </w:p>
    <w:p w14:paraId="600B24DB" w14:textId="3A3F682A" w:rsidR="00116092" w:rsidRPr="00321FA5" w:rsidRDefault="00116092" w:rsidP="00866891">
      <w:pPr>
        <w:pStyle w:val="BodyTextnonum"/>
        <w:numPr>
          <w:ilvl w:val="3"/>
          <w:numId w:val="28"/>
        </w:numPr>
      </w:pPr>
      <w:r w:rsidRPr="00321FA5">
        <w:t>any pertinent physical, mental or psychological condition of the defendant when the statement was made (whether apparent or not);</w:t>
      </w:r>
    </w:p>
    <w:p w14:paraId="2691D8CD" w14:textId="4FCF59D7" w:rsidR="00116092" w:rsidRPr="00321FA5" w:rsidRDefault="00116092" w:rsidP="00866891">
      <w:pPr>
        <w:pStyle w:val="BodyTextnonum"/>
        <w:numPr>
          <w:ilvl w:val="3"/>
          <w:numId w:val="28"/>
        </w:numPr>
      </w:pPr>
      <w:r w:rsidRPr="00321FA5">
        <w:t>any pertinent characteristics of the defendant including any mental, intellectual or physical disability to which the defendant is subject (whether apparent or not);</w:t>
      </w:r>
    </w:p>
    <w:p w14:paraId="4436F1E3" w14:textId="77777777" w:rsidR="00116092" w:rsidRPr="00321FA5" w:rsidRDefault="00116092" w:rsidP="00866891">
      <w:pPr>
        <w:pStyle w:val="BodyTextnonum"/>
        <w:numPr>
          <w:ilvl w:val="3"/>
          <w:numId w:val="28"/>
        </w:numPr>
      </w:pPr>
      <w:r w:rsidRPr="00321FA5">
        <w:t>the nature of any questions put to the defendant and the manner and circumstances in which they were put; and</w:t>
      </w:r>
    </w:p>
    <w:p w14:paraId="0AEA5AE6" w14:textId="00FBC6C5" w:rsidR="00116092" w:rsidRDefault="00116092" w:rsidP="00866891">
      <w:pPr>
        <w:pStyle w:val="BodyTextnonum"/>
        <w:numPr>
          <w:ilvl w:val="3"/>
          <w:numId w:val="28"/>
        </w:numPr>
      </w:pPr>
      <w:r w:rsidRPr="00321FA5">
        <w:lastRenderedPageBreak/>
        <w:t>the nature of any threat, promise or representation made to the defendant or any other person.</w:t>
      </w:r>
    </w:p>
    <w:p w14:paraId="5BADDD54" w14:textId="4E135D6E" w:rsidR="00116092" w:rsidRDefault="00116092" w:rsidP="00116092">
      <w:pPr>
        <w:pStyle w:val="BodyText"/>
      </w:pPr>
      <w:r>
        <w:t xml:space="preserve">It may be argued that introducing these factors into section 30 would risk confusing its scope. </w:t>
      </w:r>
      <w:r w:rsidR="00154D72">
        <w:t>H</w:t>
      </w:r>
      <w:r>
        <w:t xml:space="preserve">owever, </w:t>
      </w:r>
      <w:r w:rsidR="00154D72">
        <w:t xml:space="preserve">we note </w:t>
      </w:r>
      <w:r>
        <w:t xml:space="preserve">that </w:t>
      </w:r>
      <w:r w:rsidRPr="00321FA5">
        <w:t>in practice the courts already take similar considerations into account under the unfairness assessment.</w:t>
      </w:r>
      <w:r w:rsidRPr="00321FA5">
        <w:rPr>
          <w:rStyle w:val="FootnoteReference"/>
          <w:color w:val="0D0D0D" w:themeColor="text1" w:themeTint="F2"/>
        </w:rPr>
        <w:footnoteReference w:id="460"/>
      </w:r>
      <w:r w:rsidRPr="00321FA5">
        <w:t xml:space="preserve"> </w:t>
      </w:r>
      <w:r>
        <w:t>E</w:t>
      </w:r>
      <w:r w:rsidRPr="00321FA5">
        <w:t xml:space="preserve">xpressly referring to these factors in section 30 could help to clarify that </w:t>
      </w:r>
      <w:r>
        <w:t>circumstances</w:t>
      </w:r>
      <w:r w:rsidRPr="00321FA5">
        <w:t xml:space="preserve"> not resulting in exclusion under section</w:t>
      </w:r>
      <w:r>
        <w:t>s</w:t>
      </w:r>
      <w:r w:rsidRPr="00321FA5">
        <w:t xml:space="preserve"> 28 or 29 can still be considered under section 30. </w:t>
      </w:r>
    </w:p>
    <w:p w14:paraId="3810CD10" w14:textId="77777777" w:rsidR="00116092" w:rsidRPr="00711136" w:rsidRDefault="00116092" w:rsidP="00116092">
      <w:pPr>
        <w:pStyle w:val="BodyText"/>
      </w:pPr>
      <w:r w:rsidRPr="00711136">
        <w:t xml:space="preserve">While the first two factors may appear more relevant to threshold reliability (under section 28), they also appear in section 29 (oppression). </w:t>
      </w:r>
      <w:r>
        <w:t>Like section 30, s</w:t>
      </w:r>
      <w:r w:rsidRPr="00711136">
        <w:t>ection 29 is concerned with the conduct of investigators</w:t>
      </w:r>
      <w:r>
        <w:t>.</w:t>
      </w:r>
      <w:r w:rsidRPr="00711136">
        <w:t xml:space="preserve"> </w:t>
      </w:r>
      <w:r>
        <w:t>T</w:t>
      </w:r>
      <w:r w:rsidRPr="00711136">
        <w:t>he key difference is that section</w:t>
      </w:r>
      <w:r w:rsidRPr="00711136">
        <w:rPr>
          <w:rFonts w:ascii="Calibri" w:hAnsi="Calibri" w:cs="Calibri"/>
        </w:rPr>
        <w:t> </w:t>
      </w:r>
      <w:r w:rsidRPr="00711136">
        <w:t xml:space="preserve">29 </w:t>
      </w:r>
      <w:r>
        <w:t>requires automatic</w:t>
      </w:r>
      <w:r w:rsidRPr="00711136">
        <w:t xml:space="preserve"> exclusion because of the seriousness of the conduct involved</w:t>
      </w:r>
      <w:r>
        <w:t>, while exclusion under section 30 depends on the outcome of a balancing test</w:t>
      </w:r>
      <w:r w:rsidRPr="00711136">
        <w:t>. Whether conduct is considered unfair under section 30 may well depend on the circumstances in which it occurs (for example, the vulnerabilities of a suspect being interviewed).</w:t>
      </w:r>
    </w:p>
    <w:p w14:paraId="7797A7B7" w14:textId="77777777" w:rsidR="00116092" w:rsidRDefault="00116092" w:rsidP="00116092">
      <w:pPr>
        <w:pStyle w:val="BodyText"/>
      </w:pPr>
      <w:r>
        <w:t>If there is support for this approach, we</w:t>
      </w:r>
      <w:r w:rsidRPr="00711136">
        <w:t xml:space="preserve"> are particularly interested in views on whether the condition or characteristics of the defendant should only be relevant </w:t>
      </w:r>
      <w:r>
        <w:t xml:space="preserve">to the section 30 analysis </w:t>
      </w:r>
      <w:r w:rsidRPr="00711136">
        <w:t>to the extent that they were apparent (or ought to have been apparent) to investigators. Given that section 30 is concerned with impropriety in obtaining evidence, it may be argued that matters purely internal to the defendant and not outwardly apparent should be irrelevant, with exclusion instead occurring under section 28 where appropriate. The contrary argument is that reliance on evidence obtained through exploitation of a person’s vulnerabilities, whether known or not, may undermine the privilege against self-incrimination (and, consequently, the credibility of the justice system). This may explain why this factor appears in section 29(4).</w:t>
      </w:r>
    </w:p>
    <w:p w14:paraId="100A0D92" w14:textId="77777777" w:rsidR="00116092" w:rsidRDefault="00116092" w:rsidP="00116092">
      <w:pPr>
        <w:pStyle w:val="Heading3"/>
      </w:pPr>
      <w:r>
        <w:t>Option 3: Add reliability risks as a factor in the section 30 balancing test</w:t>
      </w:r>
    </w:p>
    <w:p w14:paraId="6CB757B4" w14:textId="77777777" w:rsidR="00116092" w:rsidRDefault="00116092" w:rsidP="00116092">
      <w:pPr>
        <w:pStyle w:val="BodyText"/>
      </w:pPr>
      <w:r w:rsidRPr="00321FA5">
        <w:t>Lastly, we seek submissions on the option of amending section 30(3) to provide that, when applying the section 30 balancing test, the court may take into account the</w:t>
      </w:r>
      <w:r>
        <w:t xml:space="preserve"> extent of any</w:t>
      </w:r>
      <w:r w:rsidRPr="00321FA5">
        <w:t xml:space="preserve"> risk that the investigatory </w:t>
      </w:r>
      <w:r w:rsidRPr="00711136">
        <w:rPr>
          <w:lang w:val="en-GB"/>
        </w:rPr>
        <w:t xml:space="preserve">techniques </w:t>
      </w:r>
      <w:r w:rsidRPr="00321FA5">
        <w:t>used would produce unreliable evidence.</w:t>
      </w:r>
    </w:p>
    <w:p w14:paraId="50AC8109" w14:textId="1D3C99F6" w:rsidR="00116092" w:rsidRPr="00711136" w:rsidRDefault="00116092" w:rsidP="00116092">
      <w:pPr>
        <w:pStyle w:val="BodyText"/>
      </w:pPr>
      <w:r w:rsidRPr="00711136">
        <w:t xml:space="preserve">The </w:t>
      </w:r>
      <w:r w:rsidRPr="00711136">
        <w:rPr>
          <w:i/>
        </w:rPr>
        <w:t xml:space="preserve">actual </w:t>
      </w:r>
      <w:r w:rsidRPr="00711136">
        <w:t>reliability of the evidence is already relevant to the balancing exercise (under “the nature and quality of the improperly obtained evidence” in section 30(3)(c)).</w:t>
      </w:r>
      <w:r w:rsidRPr="00321FA5">
        <w:rPr>
          <w:rStyle w:val="FootnoteReference"/>
          <w:color w:val="0D0D0D" w:themeColor="text1" w:themeTint="F2"/>
        </w:rPr>
        <w:footnoteReference w:id="461"/>
      </w:r>
      <w:r w:rsidRPr="00711136">
        <w:t xml:space="preserve"> However, it is currently unclear whether the </w:t>
      </w:r>
      <w:r w:rsidRPr="00711136">
        <w:rPr>
          <w:iCs/>
        </w:rPr>
        <w:t>risk of unreliability associated with</w:t>
      </w:r>
      <w:r w:rsidRPr="00711136">
        <w:rPr>
          <w:i/>
        </w:rPr>
        <w:t xml:space="preserve"> </w:t>
      </w:r>
      <w:r w:rsidRPr="00711136">
        <w:t xml:space="preserve">an investigatory </w:t>
      </w:r>
      <w:r w:rsidRPr="00711136">
        <w:rPr>
          <w:lang w:val="en-GB"/>
        </w:rPr>
        <w:t>technique</w:t>
      </w:r>
      <w:r w:rsidR="000A3BF8">
        <w:rPr>
          <w:lang w:val="en-GB"/>
        </w:rPr>
        <w:t>,</w:t>
      </w:r>
      <w:r w:rsidRPr="00711136">
        <w:t xml:space="preserve"> which is relevant to the seriousness of the impropriety rather than the nature and quality of the evidence </w:t>
      </w:r>
      <w:r>
        <w:t>itself</w:t>
      </w:r>
      <w:r w:rsidR="008167B2">
        <w:t>,</w:t>
      </w:r>
      <w:r>
        <w:t xml:space="preserve"> </w:t>
      </w:r>
      <w:r w:rsidRPr="00711136">
        <w:t>can be considered.</w:t>
      </w:r>
      <w:r>
        <w:rPr>
          <w:rStyle w:val="FootnoteReference"/>
        </w:rPr>
        <w:footnoteReference w:id="462"/>
      </w:r>
      <w:r w:rsidRPr="00711136">
        <w:t xml:space="preserve"> Although the list of factors in section 30(3) is non-exhaustive, our review of case law suggests the courts largely confine their analysis to the listed factors.</w:t>
      </w:r>
    </w:p>
    <w:p w14:paraId="56A9F16D" w14:textId="1A818217" w:rsidR="00116092" w:rsidRPr="007D122B" w:rsidRDefault="00116092" w:rsidP="007D122B">
      <w:pPr>
        <w:pStyle w:val="BodyText"/>
        <w:rPr>
          <w:i/>
          <w:iCs/>
        </w:rPr>
      </w:pPr>
      <w:r w:rsidRPr="00711136">
        <w:lastRenderedPageBreak/>
        <w:t xml:space="preserve">Particularly if </w:t>
      </w:r>
      <w:r w:rsidR="0041633E">
        <w:t>O</w:t>
      </w:r>
      <w:r w:rsidRPr="00711136">
        <w:t>ption 1 is adopted, it may be desirable to clarify that the risk the conduct in question would produce unreliable evidence is relevant to the balancing test as well as to the assessment of whether evidence was obtained unfairly. Again, this is consistent with the approach taken by the Court of Appeal</w:t>
      </w:r>
      <w:r>
        <w:rPr>
          <w:rStyle w:val="FootnoteReference"/>
        </w:rPr>
        <w:footnoteReference w:id="463"/>
      </w:r>
      <w:r w:rsidRPr="00711136">
        <w:t xml:space="preserve"> and the minority of the Supreme Court</w:t>
      </w:r>
      <w:r>
        <w:rPr>
          <w:rStyle w:val="FootnoteReference"/>
        </w:rPr>
        <w:footnoteReference w:id="464"/>
      </w:r>
      <w:r w:rsidRPr="00711136">
        <w:t xml:space="preserve"> in </w:t>
      </w:r>
      <w:r w:rsidRPr="00711136">
        <w:rPr>
          <w:i/>
          <w:iCs/>
        </w:rPr>
        <w:t>Wichman.</w:t>
      </w:r>
    </w:p>
    <w:p w14:paraId="1262D0BB" w14:textId="77777777" w:rsidR="008C4A9E" w:rsidRPr="00E63B2D" w:rsidRDefault="008C4A9E" w:rsidP="008C4A9E">
      <w:pPr>
        <w:pStyle w:val="ListNumber"/>
        <w:numPr>
          <w:ilvl w:val="0"/>
          <w:numId w:val="0"/>
        </w:numPr>
        <w:ind w:left="360" w:hanging="360"/>
      </w:pPr>
      <w:r>
        <w:rPr>
          <w:noProof/>
        </w:rPr>
        <mc:AlternateContent>
          <mc:Choice Requires="wpg">
            <w:drawing>
              <wp:anchor distT="0" distB="0" distL="114300" distR="114300" simplePos="0" relativeHeight="251658291" behindDoc="1" locked="0" layoutInCell="1" allowOverlap="1" wp14:anchorId="44523B52" wp14:editId="21BA848B">
                <wp:simplePos x="0" y="0"/>
                <wp:positionH relativeFrom="column">
                  <wp:posOffset>2216</wp:posOffset>
                </wp:positionH>
                <wp:positionV relativeFrom="paragraph">
                  <wp:posOffset>-855</wp:posOffset>
                </wp:positionV>
                <wp:extent cx="5760085" cy="3278146"/>
                <wp:effectExtent l="0" t="0" r="0" b="0"/>
                <wp:wrapNone/>
                <wp:docPr id="563" name="Group 563" descr="Question"/>
                <wp:cNvGraphicFramePr/>
                <a:graphic xmlns:a="http://schemas.openxmlformats.org/drawingml/2006/main">
                  <a:graphicData uri="http://schemas.microsoft.com/office/word/2010/wordprocessingGroup">
                    <wpg:wgp>
                      <wpg:cNvGrpSpPr/>
                      <wpg:grpSpPr>
                        <a:xfrm>
                          <a:off x="0" y="0"/>
                          <a:ext cx="5760085" cy="3278146"/>
                          <a:chOff x="0" y="62865"/>
                          <a:chExt cx="5760085" cy="3278477"/>
                        </a:xfrm>
                      </wpg:grpSpPr>
                      <wps:wsp>
                        <wps:cNvPr id="56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5AA577" w14:textId="77777777" w:rsidR="008C4A9E" w:rsidRDefault="008C4A9E" w:rsidP="008C4A9E">
                              <w:pPr>
                                <w:pStyle w:val="BoxTitle"/>
                                <w:spacing w:before="0" w:beforeAutospacing="0"/>
                              </w:pPr>
                              <w:r w:rsidRPr="007F6876">
                                <w:t>QUESTION</w:t>
                              </w:r>
                            </w:p>
                          </w:txbxContent>
                        </wps:txbx>
                        <wps:bodyPr rot="0" vert="horz" wrap="square" lIns="91440" tIns="0" rIns="0" bIns="45720" anchor="ctr" anchorCtr="0" upright="1">
                          <a:noAutofit/>
                        </wps:bodyPr>
                      </wps:wsp>
                      <wpg:grpSp>
                        <wpg:cNvPr id="565" name="Group 53"/>
                        <wpg:cNvGrpSpPr>
                          <a:grpSpLocks/>
                        </wpg:cNvGrpSpPr>
                        <wpg:grpSpPr bwMode="auto">
                          <a:xfrm>
                            <a:off x="0" y="315892"/>
                            <a:ext cx="5760085" cy="3025450"/>
                            <a:chOff x="1837" y="1788"/>
                            <a:chExt cx="9302" cy="32680"/>
                          </a:xfrm>
                        </wpg:grpSpPr>
                        <wps:wsp>
                          <wps:cNvPr id="566" name="Freeform 54"/>
                          <wps:cNvSpPr>
                            <a:spLocks/>
                          </wps:cNvSpPr>
                          <wps:spPr bwMode="auto">
                            <a:xfrm>
                              <a:off x="1837" y="1788"/>
                              <a:ext cx="9302" cy="3268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567"/>
                        <wpg:cNvGrpSpPr/>
                        <wpg:grpSpPr>
                          <a:xfrm>
                            <a:off x="0" y="494036"/>
                            <a:ext cx="1443794" cy="252000"/>
                            <a:chOff x="-15880" y="0"/>
                            <a:chExt cx="1444379" cy="252068"/>
                          </a:xfrm>
                        </wpg:grpSpPr>
                        <wps:wsp>
                          <wps:cNvPr id="56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8A8638" w14:textId="77777777" w:rsidR="008C4A9E" w:rsidRPr="00E90B8A" w:rsidRDefault="008C4A9E" w:rsidP="008C4A9E">
                                <w:pPr>
                                  <w:pStyle w:val="BoxTitle"/>
                                  <w:spacing w:before="0" w:beforeAutospacing="0"/>
                                  <w:rPr>
                                    <w:sz w:val="18"/>
                                    <w:szCs w:val="18"/>
                                  </w:rPr>
                                </w:pPr>
                                <w:r w:rsidRPr="00E90B8A">
                                  <w:rPr>
                                    <w:sz w:val="18"/>
                                    <w:szCs w:val="18"/>
                                  </w:rPr>
                                  <w:t>Q</w:t>
                                </w:r>
                                <w:r>
                                  <w:rPr>
                                    <w:sz w:val="18"/>
                                    <w:szCs w:val="18"/>
                                  </w:rPr>
                                  <w:t>15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4523B52" id="Group 563" o:spid="_x0000_s1141" alt="Question" style="position:absolute;left:0;text-align:left;margin-left:.15pt;margin-top:-.05pt;width:453.55pt;height:258.1pt;z-index:-251658189;mso-height-relative:margin" coordorigin=",628" coordsize="57600,3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">
                <v:shape id="Freeform 52" o:spid="_x0000_s114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95AA577" w14:textId="77777777" w:rsidR="008C4A9E" w:rsidRDefault="008C4A9E" w:rsidP="008C4A9E">
                        <w:pPr>
                          <w:pStyle w:val="BoxTitle"/>
                          <w:spacing w:before="0" w:beforeAutospacing="0"/>
                        </w:pPr>
                        <w:r w:rsidRPr="007F6876">
                          <w:t>QUESTION</w:t>
                        </w:r>
                      </w:p>
                    </w:txbxContent>
                  </v:textbox>
                </v:shape>
                <v:group id="Group 53" o:spid="_x0000_s1143" style="position:absolute;top:3158;width:57600;height:30255" coordorigin="1837,1788" coordsize="9302,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4" o:spid="_x0000_s1144" style="position:absolute;left:1837;top:1788;width:9302;height:3268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" path="m,l9354,r,7809l,7809,,e" fillcolor="#edf2ea" stroked="f">
                    <v:path arrowok="t" o:connecttype="custom" o:connectlocs="0,4185;9302,4185;9302,36865;0,36865;0,4185" o:connectangles="0,0,0,0,0"/>
                  </v:shape>
                </v:group>
                <v:group id="Group 567" o:spid="_x0000_s114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8" o:spid="_x0000_s114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" path="m,l1815,e" filled="f" strokecolor="#72ab6a" strokeweight=".5pt">
                    <v:path arrowok="t" o:connecttype="custom" o:connectlocs="0,0;1073495,0" o:connectangles="0,0"/>
                  </v:shape>
                  <v:shape id="Freeform 66" o:spid="_x0000_s114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58A8638" w14:textId="77777777" w:rsidR="008C4A9E" w:rsidRPr="00E90B8A" w:rsidRDefault="008C4A9E" w:rsidP="008C4A9E">
                          <w:pPr>
                            <w:pStyle w:val="BoxTitle"/>
                            <w:spacing w:before="0" w:beforeAutospacing="0"/>
                            <w:rPr>
                              <w:sz w:val="18"/>
                              <w:szCs w:val="18"/>
                            </w:rPr>
                          </w:pPr>
                          <w:r w:rsidRPr="00E90B8A">
                            <w:rPr>
                              <w:sz w:val="18"/>
                              <w:szCs w:val="18"/>
                            </w:rPr>
                            <w:t>Q</w:t>
                          </w:r>
                          <w:r>
                            <w:rPr>
                              <w:sz w:val="18"/>
                              <w:szCs w:val="18"/>
                            </w:rPr>
                            <w:t>15</w:t>
                          </w:r>
                        </w:p>
                      </w:txbxContent>
                    </v:textbox>
                  </v:shape>
                </v:group>
              </v:group>
            </w:pict>
          </mc:Fallback>
        </mc:AlternateContent>
      </w:r>
    </w:p>
    <w:p w14:paraId="73EE55FF" w14:textId="77777777" w:rsidR="008C4A9E" w:rsidRDefault="008C4A9E" w:rsidP="008C4A9E">
      <w:pPr>
        <w:pStyle w:val="QuestionBox"/>
      </w:pPr>
    </w:p>
    <w:p w14:paraId="1965FD18" w14:textId="77777777" w:rsidR="008C4A9E" w:rsidRDefault="008C4A9E" w:rsidP="008C4A9E">
      <w:pPr>
        <w:pStyle w:val="QuestionBox"/>
      </w:pPr>
      <w:r w:rsidRPr="00386836">
        <w:t xml:space="preserve">Should </w:t>
      </w:r>
      <w:r>
        <w:t>the Act be amended to clarify that the risk that an investigatory technique could produce unreliable evidence can be considered under section 30? If so, should the Act be amended to:</w:t>
      </w:r>
    </w:p>
    <w:p w14:paraId="78AB3318" w14:textId="77777777" w:rsidR="008C4A9E" w:rsidRDefault="008C4A9E" w:rsidP="00866891">
      <w:pPr>
        <w:pStyle w:val="Questionabc"/>
        <w:numPr>
          <w:ilvl w:val="0"/>
          <w:numId w:val="60"/>
        </w:numPr>
        <w:ind w:left="1417" w:hanging="425"/>
      </w:pPr>
      <w:r>
        <w:t xml:space="preserve">provide, in </w:t>
      </w:r>
      <w:r w:rsidRPr="00386836">
        <w:t>section 30(6) that</w:t>
      </w:r>
      <w:r>
        <w:t>,</w:t>
      </w:r>
      <w:r w:rsidRPr="00386836">
        <w:t xml:space="preserve"> in assessing whether evidence was unfairly obtained under section 30(5)(c):</w:t>
      </w:r>
    </w:p>
    <w:p w14:paraId="5AD41475" w14:textId="77777777" w:rsidR="008C4A9E" w:rsidRPr="0054371F" w:rsidRDefault="008C4A9E" w:rsidP="00866891">
      <w:pPr>
        <w:pStyle w:val="Questionabc"/>
        <w:numPr>
          <w:ilvl w:val="0"/>
          <w:numId w:val="59"/>
        </w:numPr>
        <w:ind w:left="1843" w:hanging="283"/>
        <w:rPr>
          <w:rStyle w:val="ssit"/>
        </w:rPr>
      </w:pPr>
      <w:r>
        <w:rPr>
          <w:rStyle w:val="ssit"/>
        </w:rPr>
        <w:t>t</w:t>
      </w:r>
      <w:r w:rsidRPr="0054371F">
        <w:rPr>
          <w:rStyle w:val="ssit"/>
        </w:rPr>
        <w:t>he judge may take into account the risk that the investigatory techniques used would produce unreliable evidence; and/or</w:t>
      </w:r>
    </w:p>
    <w:p w14:paraId="1521A659" w14:textId="77777777" w:rsidR="008C4A9E" w:rsidRDefault="008C4A9E" w:rsidP="00866891">
      <w:pPr>
        <w:pStyle w:val="Questionabc"/>
        <w:numPr>
          <w:ilvl w:val="0"/>
          <w:numId w:val="59"/>
        </w:numPr>
        <w:ind w:left="1843" w:hanging="283"/>
      </w:pPr>
      <w:r>
        <w:rPr>
          <w:rStyle w:val="ssit"/>
        </w:rPr>
        <w:t>t</w:t>
      </w:r>
      <w:r w:rsidRPr="0054371F">
        <w:rPr>
          <w:rStyle w:val="ssit"/>
        </w:rPr>
        <w:t>he judge must, in relation to a defendant’s statement, take into account the factors listed</w:t>
      </w:r>
      <w:r w:rsidRPr="00386836">
        <w:t xml:space="preserve"> in sections 28(4) and 29(4)</w:t>
      </w:r>
      <w:r>
        <w:t xml:space="preserve">; </w:t>
      </w:r>
      <w:r w:rsidRPr="00E478FE">
        <w:t>and/or</w:t>
      </w:r>
    </w:p>
    <w:p w14:paraId="46F74FA4" w14:textId="77777777" w:rsidR="008C4A9E" w:rsidRDefault="008C4A9E" w:rsidP="008C4A9E">
      <w:pPr>
        <w:pStyle w:val="Questionabc"/>
        <w:ind w:left="1418"/>
      </w:pPr>
      <w:r>
        <w:t xml:space="preserve">provide, in </w:t>
      </w:r>
      <w:r w:rsidRPr="00386836">
        <w:t>section 30(3) that</w:t>
      </w:r>
      <w:r>
        <w:t>,</w:t>
      </w:r>
      <w:r w:rsidRPr="00386836">
        <w:t xml:space="preserve"> when applying the section 30 balancing test, the court may take into account the extent of any risk that the investigatory techniques used </w:t>
      </w:r>
      <w:r>
        <w:t>c</w:t>
      </w:r>
      <w:r w:rsidRPr="00386836">
        <w:t>ould produce unreliable evidence?</w:t>
      </w:r>
    </w:p>
    <w:p w14:paraId="18B71FF8" w14:textId="77777777" w:rsidR="008C4A9E" w:rsidRPr="006C3D86" w:rsidRDefault="008C4A9E" w:rsidP="008C4A9E">
      <w:pPr>
        <w:pStyle w:val="QuestionBox"/>
        <w:rPr>
          <w:sz w:val="10"/>
          <w:szCs w:val="14"/>
          <w:lang w:eastAsia="en-US"/>
        </w:rPr>
      </w:pPr>
    </w:p>
    <w:p w14:paraId="212DB951" w14:textId="77777777" w:rsidR="00116092" w:rsidRDefault="00116092" w:rsidP="007D122B">
      <w:pPr>
        <w:pStyle w:val="BodyText"/>
        <w:numPr>
          <w:ilvl w:val="0"/>
          <w:numId w:val="0"/>
        </w:numPr>
        <w:ind w:left="113"/>
      </w:pPr>
    </w:p>
    <w:p w14:paraId="2D03FFF2" w14:textId="3D3FFB62" w:rsidR="00116092" w:rsidRDefault="008C4A9E" w:rsidP="007D122B">
      <w:pPr>
        <w:pStyle w:val="BodyText"/>
        <w:numPr>
          <w:ilvl w:val="0"/>
          <w:numId w:val="0"/>
        </w:numPr>
        <w:ind w:left="709"/>
        <w:rPr>
          <w:noProof/>
        </w:rPr>
      </w:pPr>
      <w:r w:rsidRPr="00D37FCE">
        <w:rPr>
          <w:rFonts w:eastAsiaTheme="minorHAnsi"/>
          <w:noProof/>
          <w:lang w:eastAsia="en-NZ"/>
        </w:rPr>
        <mc:AlternateContent>
          <mc:Choice Requires="wpg">
            <w:drawing>
              <wp:anchor distT="0" distB="0" distL="114300" distR="114300" simplePos="0" relativeHeight="251658261" behindDoc="1" locked="0" layoutInCell="1" allowOverlap="1" wp14:anchorId="5C46038C" wp14:editId="25B4ECB8">
                <wp:simplePos x="0" y="0"/>
                <wp:positionH relativeFrom="page">
                  <wp:posOffset>1080135</wp:posOffset>
                </wp:positionH>
                <wp:positionV relativeFrom="paragraph">
                  <wp:posOffset>241935</wp:posOffset>
                </wp:positionV>
                <wp:extent cx="2411730" cy="1270"/>
                <wp:effectExtent l="0" t="19050" r="26670" b="177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14"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7B313" id="Group 12" o:spid="_x0000_s1026" style="position:absolute;margin-left:85.05pt;margin-top:19.05pt;width:189.9pt;height:.1pt;z-index:-25165821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" path="m,l2097,e" filled="f" strokecolor="#72ab6a" strokeweight="3pt">
                  <v:path arrowok="t" o:connecttype="custom" o:connectlocs="0,0;2097,0" o:connectangles="0,0"/>
                </v:shape>
                <w10:wrap anchorx="page"/>
              </v:group>
            </w:pict>
          </mc:Fallback>
        </mc:AlternateContent>
      </w:r>
    </w:p>
    <w:p w14:paraId="262B8EC9" w14:textId="77777777" w:rsidR="00116092" w:rsidRDefault="00116092" w:rsidP="007D122B">
      <w:pPr>
        <w:pStyle w:val="BodyText"/>
        <w:numPr>
          <w:ilvl w:val="0"/>
          <w:numId w:val="0"/>
        </w:numPr>
        <w:ind w:left="709"/>
        <w:rPr>
          <w:noProof/>
        </w:rPr>
      </w:pPr>
    </w:p>
    <w:p w14:paraId="6AD67449" w14:textId="0CDA18C2" w:rsidR="00116092" w:rsidRDefault="00116092" w:rsidP="007D122B">
      <w:pPr>
        <w:pStyle w:val="BodyText"/>
        <w:numPr>
          <w:ilvl w:val="0"/>
          <w:numId w:val="0"/>
        </w:numPr>
        <w:ind w:left="709"/>
        <w:rPr>
          <w:noProof/>
        </w:rPr>
      </w:pPr>
    </w:p>
    <w:p w14:paraId="28B04E16" w14:textId="39E264C0" w:rsidR="005641AC" w:rsidRDefault="005641AC" w:rsidP="007D122B">
      <w:pPr>
        <w:pStyle w:val="BodyText"/>
        <w:numPr>
          <w:ilvl w:val="0"/>
          <w:numId w:val="0"/>
        </w:numPr>
        <w:ind w:left="709"/>
        <w:rPr>
          <w:noProof/>
        </w:rPr>
        <w:sectPr w:rsidR="005641AC" w:rsidSect="00FD6721">
          <w:headerReference w:type="default" r:id="rId41"/>
          <w:footnotePr>
            <w:numRestart w:val="eachSect"/>
          </w:footnotePr>
          <w:type w:val="nextColumn"/>
          <w:pgSz w:w="11907" w:h="16840" w:code="9"/>
          <w:pgMar w:top="1134" w:right="1134" w:bottom="1134" w:left="1701" w:header="499" w:footer="46" w:gutter="0"/>
          <w:cols w:space="720"/>
        </w:sectPr>
      </w:pPr>
    </w:p>
    <w:p w14:paraId="0EB072EB" w14:textId="4BDD83CD" w:rsidR="005641AC" w:rsidRPr="00D37FCE" w:rsidRDefault="005641AC" w:rsidP="005641AC">
      <w:pPr>
        <w:pStyle w:val="HEADING2topchapter-notinTOC"/>
        <w:rPr>
          <w:sz w:val="21"/>
          <w:szCs w:val="21"/>
        </w:rPr>
      </w:pPr>
      <w:r w:rsidRPr="00D37FCE">
        <w:lastRenderedPageBreak/>
        <w:t>CHAPTER</w:t>
      </w:r>
      <w:r w:rsidRPr="00D37FCE">
        <w:rPr>
          <w:sz w:val="21"/>
          <w:szCs w:val="21"/>
        </w:rPr>
        <w:t xml:space="preserve"> </w:t>
      </w:r>
      <w:r w:rsidR="002076D6">
        <w:rPr>
          <w:sz w:val="21"/>
          <w:szCs w:val="21"/>
        </w:rPr>
        <w:t>7</w:t>
      </w:r>
    </w:p>
    <w:p w14:paraId="22355B71" w14:textId="77777777" w:rsidR="005641AC" w:rsidRPr="00D37FCE" w:rsidRDefault="005641AC" w:rsidP="005641AC">
      <w:pPr>
        <w:spacing w:line="200" w:lineRule="exact"/>
        <w:rPr>
          <w:szCs w:val="20"/>
        </w:rPr>
      </w:pPr>
      <w:r w:rsidRPr="00D37FCE">
        <w:rPr>
          <w:noProof/>
          <w:lang w:eastAsia="en-NZ"/>
        </w:rPr>
        <mc:AlternateContent>
          <mc:Choice Requires="wpg">
            <w:drawing>
              <wp:anchor distT="0" distB="0" distL="114300" distR="114300" simplePos="0" relativeHeight="251658257" behindDoc="1" locked="0" layoutInCell="1" allowOverlap="1" wp14:anchorId="61EDEEC9" wp14:editId="7FEE913F">
                <wp:simplePos x="0" y="0"/>
                <wp:positionH relativeFrom="page">
                  <wp:posOffset>1076653</wp:posOffset>
                </wp:positionH>
                <wp:positionV relativeFrom="paragraph">
                  <wp:posOffset>53975</wp:posOffset>
                </wp:positionV>
                <wp:extent cx="1332230" cy="1270"/>
                <wp:effectExtent l="0" t="19050" r="1270" b="1778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CEA4B" id="Group 49" o:spid="_x0000_s1026" style="position:absolute;margin-left:84.8pt;margin-top:4.25pt;width:104.9pt;height:.1pt;z-index:-25165822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7x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p>
    <w:p w14:paraId="2A9C4549" w14:textId="77777777" w:rsidR="0006391A" w:rsidRPr="001E0948" w:rsidRDefault="0006391A" w:rsidP="0006391A">
      <w:pPr>
        <w:pStyle w:val="Heading1"/>
        <w:rPr>
          <w:rFonts w:eastAsia="Consolas"/>
        </w:rPr>
      </w:pPr>
      <w:bookmarkStart w:id="101" w:name="_Toc126330124"/>
      <w:bookmarkStart w:id="102" w:name="_Toc132962565"/>
      <w:r>
        <w:rPr>
          <w:rFonts w:eastAsia="Consolas"/>
          <w:color w:val="FFFFFF" w:themeColor="background1"/>
          <w:sz w:val="2"/>
          <w:szCs w:val="2"/>
        </w:rPr>
        <w:t>7</w:t>
      </w:r>
      <w:r w:rsidRPr="001E0948">
        <w:rPr>
          <w:rFonts w:eastAsia="Consolas"/>
          <w:color w:val="FFFFFF" w:themeColor="background1"/>
          <w:sz w:val="2"/>
          <w:szCs w:val="2"/>
        </w:rPr>
        <w:t xml:space="preserve"> </w:t>
      </w:r>
      <w:r>
        <w:rPr>
          <w:rFonts w:eastAsia="Consolas"/>
        </w:rPr>
        <w:t>Improperly obtained evidence</w:t>
      </w:r>
      <w:bookmarkEnd w:id="101"/>
      <w:bookmarkEnd w:id="102"/>
    </w:p>
    <w:p w14:paraId="0473C6A3" w14:textId="77777777" w:rsidR="005641AC" w:rsidRPr="00D37FCE" w:rsidRDefault="005641AC" w:rsidP="005641AC">
      <w:pPr>
        <w:spacing w:line="200" w:lineRule="exact"/>
        <w:rPr>
          <w:szCs w:val="20"/>
        </w:rPr>
      </w:pPr>
      <w:r w:rsidRPr="00D37FCE">
        <w:rPr>
          <w:noProof/>
          <w:lang w:eastAsia="en-NZ"/>
        </w:rPr>
        <mc:AlternateContent>
          <mc:Choice Requires="wpg">
            <w:drawing>
              <wp:anchor distT="0" distB="0" distL="114300" distR="114300" simplePos="0" relativeHeight="251658258" behindDoc="1" locked="0" layoutInCell="1" allowOverlap="1" wp14:anchorId="7E47243B" wp14:editId="0A45DF80">
                <wp:simplePos x="0" y="0"/>
                <wp:positionH relativeFrom="page">
                  <wp:posOffset>1087427</wp:posOffset>
                </wp:positionH>
                <wp:positionV relativeFrom="paragraph">
                  <wp:posOffset>71755</wp:posOffset>
                </wp:positionV>
                <wp:extent cx="1332230" cy="1270"/>
                <wp:effectExtent l="0" t="19050" r="1270" b="1778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796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13D08" id="Group 57" o:spid="_x0000_s1026" style="position:absolute;margin-left:85.6pt;margin-top:5.65pt;width:104.9pt;height:.1pt;z-index:-25165822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D2Oqm3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897FDC1" w14:textId="165A0A6F" w:rsidR="005641AC" w:rsidRDefault="005641AC" w:rsidP="002D4453">
      <w:pPr>
        <w:pStyle w:val="BodyTextalphalist"/>
        <w:ind w:left="0" w:firstLine="0"/>
      </w:pPr>
    </w:p>
    <w:p w14:paraId="3570DC3F" w14:textId="3B32AE70" w:rsidR="002D4453" w:rsidRDefault="002D4453" w:rsidP="002D4453">
      <w:pPr>
        <w:rPr>
          <w:lang w:eastAsia="zh-TW"/>
        </w:rPr>
      </w:pPr>
    </w:p>
    <w:p w14:paraId="45BE2C89" w14:textId="225ADF6C" w:rsidR="002D4453" w:rsidRDefault="001A4A55" w:rsidP="002D4453">
      <w:r w:rsidRPr="00D37FCE">
        <w:rPr>
          <w:rFonts w:eastAsia="Metropolis"/>
          <w:noProof/>
        </w:rPr>
        <mc:AlternateContent>
          <mc:Choice Requires="wpg">
            <w:drawing>
              <wp:anchor distT="0" distB="0" distL="114300" distR="114300" simplePos="0" relativeHeight="251658266" behindDoc="1" locked="0" layoutInCell="1" allowOverlap="1" wp14:anchorId="4B796B67" wp14:editId="59FB9974">
                <wp:simplePos x="0" y="0"/>
                <wp:positionH relativeFrom="column">
                  <wp:posOffset>-1549</wp:posOffset>
                </wp:positionH>
                <wp:positionV relativeFrom="paragraph">
                  <wp:posOffset>22860</wp:posOffset>
                </wp:positionV>
                <wp:extent cx="5792470" cy="2341245"/>
                <wp:effectExtent l="0" t="0" r="0" b="1905"/>
                <wp:wrapNone/>
                <wp:docPr id="764518315" name="Group 764518315"/>
                <wp:cNvGraphicFramePr/>
                <a:graphic xmlns:a="http://schemas.openxmlformats.org/drawingml/2006/main">
                  <a:graphicData uri="http://schemas.microsoft.com/office/word/2010/wordprocessingGroup">
                    <wpg:wgp>
                      <wpg:cNvGrpSpPr/>
                      <wpg:grpSpPr>
                        <a:xfrm>
                          <a:off x="0" y="0"/>
                          <a:ext cx="5792470" cy="2341245"/>
                          <a:chOff x="0" y="-4768"/>
                          <a:chExt cx="5793105" cy="2343888"/>
                        </a:xfrm>
                      </wpg:grpSpPr>
                      <wpg:grpSp>
                        <wpg:cNvPr id="764518316" name="Group 53"/>
                        <wpg:cNvGrpSpPr>
                          <a:grpSpLocks/>
                        </wpg:cNvGrpSpPr>
                        <wpg:grpSpPr bwMode="auto">
                          <a:xfrm>
                            <a:off x="0" y="314275"/>
                            <a:ext cx="5793105" cy="2024845"/>
                            <a:chOff x="1837" y="1792"/>
                            <a:chExt cx="9354" cy="21862"/>
                          </a:xfrm>
                        </wpg:grpSpPr>
                        <wps:wsp>
                          <wps:cNvPr id="764518317" name="Freeform 54"/>
                          <wps:cNvSpPr>
                            <a:spLocks/>
                          </wps:cNvSpPr>
                          <wps:spPr bwMode="auto">
                            <a:xfrm>
                              <a:off x="1837" y="1792"/>
                              <a:ext cx="9354" cy="2186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18"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4F7CC1" w14:textId="77777777" w:rsidR="002D4453" w:rsidRDefault="002D4453" w:rsidP="002D4453">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4B796B67" id="Group 764518315" o:spid="_x0000_s1148" style="position:absolute;margin-left:-.1pt;margin-top:1.8pt;width:456.1pt;height:184.35pt;z-index:-251658214;mso-height-relative:margin" coordorigin=",-47" coordsize="57931,2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">
                <v:group id="Group 53" o:spid="_x0000_s1149" style="position:absolute;top:3142;width:57931;height:20249" coordorigin="1837,1792" coordsize="9354,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">
                  <v:shape id="Freeform 54" o:spid="_x0000_s1150" style="position:absolute;left:1837;top:1792;width:9354;height:2186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" path="m,l9354,r,7809l,7809,,e" fillcolor="#edf2ea" stroked="f">
                    <v:path arrowok="t" o:connecttype="custom" o:connectlocs="0,2800;9354,2800;9354,24662;0,24662;0,2800" o:connectangles="0,0,0,0,0"/>
                  </v:shape>
                </v:group>
                <v:shape id="Freeform 52" o:spid="_x0000_s1151"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514F7CC1" w14:textId="77777777" w:rsidR="002D4453" w:rsidRDefault="002D4453" w:rsidP="002D4453">
                        <w:pPr>
                          <w:pStyle w:val="BoxTitle"/>
                          <w:spacing w:before="60" w:beforeAutospacing="0"/>
                        </w:pPr>
                        <w:r>
                          <w:t>INTRODUCTION</w:t>
                        </w:r>
                      </w:p>
                    </w:txbxContent>
                  </v:textbox>
                </v:shape>
              </v:group>
            </w:pict>
          </mc:Fallback>
        </mc:AlternateContent>
      </w:r>
    </w:p>
    <w:p w14:paraId="2BBF60D5" w14:textId="77777777" w:rsidR="002D4453" w:rsidRDefault="002D4453" w:rsidP="002D4453">
      <w:pPr>
        <w:pStyle w:val="QuestionBox"/>
        <w:tabs>
          <w:tab w:val="clear" w:pos="709"/>
        </w:tabs>
        <w:ind w:left="0"/>
        <w:rPr>
          <w:rFonts w:eastAsia="Metropolis"/>
          <w:noProof/>
        </w:rPr>
      </w:pPr>
    </w:p>
    <w:p w14:paraId="2FFA434C" w14:textId="3C472728" w:rsidR="002D4453" w:rsidRPr="002D4453" w:rsidRDefault="002D4453" w:rsidP="001A4A55">
      <w:pPr>
        <w:pStyle w:val="QuestionBox"/>
        <w:ind w:left="284"/>
        <w:rPr>
          <w:rFonts w:eastAsia="Metropolis"/>
          <w:noProof/>
        </w:rPr>
      </w:pPr>
      <w:r w:rsidRPr="002D4453">
        <w:rPr>
          <w:rFonts w:eastAsia="Metropolis"/>
          <w:noProof/>
        </w:rPr>
        <w:t>In this chapter, we consider section 30 (improperly obtained evidence) and seek feedback on issues relating to:</w:t>
      </w:r>
    </w:p>
    <w:p w14:paraId="2EF48CA8" w14:textId="51192939" w:rsidR="002D4453" w:rsidRPr="002D4453" w:rsidRDefault="002D4453" w:rsidP="00866891">
      <w:pPr>
        <w:pStyle w:val="ListBullet"/>
        <w:numPr>
          <w:ilvl w:val="0"/>
          <w:numId w:val="20"/>
        </w:numPr>
        <w:ind w:left="709" w:hanging="425"/>
        <w:rPr>
          <w:rFonts w:eastAsia="Metropolis"/>
          <w:noProof/>
        </w:rPr>
      </w:pPr>
      <w:r w:rsidRPr="002D4453">
        <w:rPr>
          <w:rFonts w:eastAsia="Metropolis"/>
          <w:noProof/>
        </w:rPr>
        <w:t>the operation of the section 30 balancing test;</w:t>
      </w:r>
    </w:p>
    <w:p w14:paraId="76C4DEE5" w14:textId="4D4F4174" w:rsidR="002D4453" w:rsidRPr="002D4453" w:rsidRDefault="002D4453" w:rsidP="00866891">
      <w:pPr>
        <w:pStyle w:val="ListBullet"/>
        <w:numPr>
          <w:ilvl w:val="0"/>
          <w:numId w:val="20"/>
        </w:numPr>
        <w:ind w:left="709" w:hanging="425"/>
        <w:rPr>
          <w:rFonts w:eastAsia="Metropolis"/>
          <w:noProof/>
        </w:rPr>
      </w:pPr>
      <w:r w:rsidRPr="002D4453">
        <w:rPr>
          <w:rFonts w:eastAsia="Metropolis"/>
          <w:noProof/>
        </w:rPr>
        <w:t>the wording of the balancing test;</w:t>
      </w:r>
    </w:p>
    <w:p w14:paraId="79A7FD89" w14:textId="2820FB9B" w:rsidR="002D4453" w:rsidRDefault="002D4453" w:rsidP="00866891">
      <w:pPr>
        <w:pStyle w:val="ListBullet"/>
        <w:numPr>
          <w:ilvl w:val="0"/>
          <w:numId w:val="20"/>
        </w:numPr>
        <w:ind w:left="709" w:hanging="425"/>
        <w:rPr>
          <w:rFonts w:eastAsia="Metropolis"/>
          <w:noProof/>
        </w:rPr>
      </w:pPr>
      <w:r w:rsidRPr="002D4453">
        <w:rPr>
          <w:rFonts w:eastAsia="Metropolis"/>
          <w:noProof/>
        </w:rPr>
        <w:t xml:space="preserve">the application of the factors in section 30(3); and </w:t>
      </w:r>
    </w:p>
    <w:p w14:paraId="67F295C8" w14:textId="20843C4C" w:rsidR="002D4453" w:rsidRPr="002D4453" w:rsidRDefault="002D4453" w:rsidP="00866891">
      <w:pPr>
        <w:pStyle w:val="ListBullet"/>
        <w:numPr>
          <w:ilvl w:val="0"/>
          <w:numId w:val="20"/>
        </w:numPr>
        <w:ind w:left="709" w:hanging="425"/>
        <w:rPr>
          <w:rFonts w:eastAsia="Metropolis"/>
          <w:noProof/>
        </w:rPr>
      </w:pPr>
      <w:r w:rsidRPr="002D4453">
        <w:rPr>
          <w:rFonts w:eastAsia="Metropolis"/>
          <w:noProof/>
        </w:rPr>
        <w:t>the role of causation in determining whether evidence is improperly obtained under section 30(5).</w:t>
      </w:r>
    </w:p>
    <w:p w14:paraId="7839827A" w14:textId="77777777" w:rsidR="002D4453" w:rsidRPr="00D37FCE" w:rsidRDefault="002D4453" w:rsidP="002D4453">
      <w:pPr>
        <w:pStyle w:val="BodyTextalphalist"/>
        <w:ind w:left="0" w:firstLine="0"/>
      </w:pPr>
    </w:p>
    <w:p w14:paraId="37ECAB85" w14:textId="77777777" w:rsidR="00987B63" w:rsidRPr="00987B63" w:rsidRDefault="00987B63" w:rsidP="00866891">
      <w:pPr>
        <w:pStyle w:val="ListParagraph"/>
        <w:numPr>
          <w:ilvl w:val="0"/>
          <w:numId w:val="26"/>
        </w:numPr>
        <w:tabs>
          <w:tab w:val="left" w:pos="709"/>
        </w:tabs>
        <w:contextualSpacing w:val="0"/>
        <w:jc w:val="both"/>
        <w:rPr>
          <w:rFonts w:eastAsia="Times New Roman" w:cs="Times New Roman"/>
          <w:vanish/>
          <w:color w:val="000000" w:themeColor="text1"/>
          <w:sz w:val="20"/>
          <w:szCs w:val="24"/>
          <w:lang w:eastAsia="en-AU"/>
        </w:rPr>
      </w:pPr>
    </w:p>
    <w:p w14:paraId="0969B5FA" w14:textId="77777777" w:rsidR="00987B63" w:rsidRPr="00987B63" w:rsidRDefault="00987B63" w:rsidP="00866891">
      <w:pPr>
        <w:pStyle w:val="ListParagraph"/>
        <w:numPr>
          <w:ilvl w:val="0"/>
          <w:numId w:val="26"/>
        </w:numPr>
        <w:tabs>
          <w:tab w:val="left" w:pos="709"/>
        </w:tabs>
        <w:contextualSpacing w:val="0"/>
        <w:jc w:val="both"/>
        <w:rPr>
          <w:rFonts w:eastAsia="Times New Roman" w:cs="Times New Roman"/>
          <w:vanish/>
          <w:color w:val="000000" w:themeColor="text1"/>
          <w:sz w:val="20"/>
          <w:szCs w:val="24"/>
          <w:lang w:eastAsia="en-AU"/>
        </w:rPr>
      </w:pPr>
    </w:p>
    <w:p w14:paraId="69782568" w14:textId="77777777" w:rsidR="00987B63" w:rsidRPr="00987B63" w:rsidRDefault="00987B63" w:rsidP="00866891">
      <w:pPr>
        <w:pStyle w:val="ListParagraph"/>
        <w:numPr>
          <w:ilvl w:val="0"/>
          <w:numId w:val="26"/>
        </w:numPr>
        <w:tabs>
          <w:tab w:val="left" w:pos="709"/>
        </w:tabs>
        <w:contextualSpacing w:val="0"/>
        <w:jc w:val="both"/>
        <w:rPr>
          <w:rFonts w:eastAsia="Times New Roman" w:cs="Times New Roman"/>
          <w:vanish/>
          <w:color w:val="000000" w:themeColor="text1"/>
          <w:sz w:val="20"/>
          <w:szCs w:val="24"/>
          <w:lang w:eastAsia="en-AU"/>
        </w:rPr>
      </w:pPr>
    </w:p>
    <w:p w14:paraId="4E3F3B67" w14:textId="77777777" w:rsidR="00987B63" w:rsidRPr="00987B63" w:rsidRDefault="00987B63" w:rsidP="00866891">
      <w:pPr>
        <w:pStyle w:val="ListParagraph"/>
        <w:numPr>
          <w:ilvl w:val="0"/>
          <w:numId w:val="26"/>
        </w:numPr>
        <w:tabs>
          <w:tab w:val="left" w:pos="709"/>
        </w:tabs>
        <w:contextualSpacing w:val="0"/>
        <w:jc w:val="both"/>
        <w:rPr>
          <w:rFonts w:eastAsia="Times New Roman" w:cs="Times New Roman"/>
          <w:vanish/>
          <w:color w:val="000000" w:themeColor="text1"/>
          <w:sz w:val="20"/>
          <w:szCs w:val="24"/>
          <w:lang w:eastAsia="en-AU"/>
        </w:rPr>
      </w:pPr>
    </w:p>
    <w:p w14:paraId="455240ED" w14:textId="77777777" w:rsidR="009F4F6E" w:rsidRPr="008B0FD2" w:rsidRDefault="009F4F6E" w:rsidP="00866891">
      <w:pPr>
        <w:pStyle w:val="ListParagraph"/>
        <w:numPr>
          <w:ilvl w:val="0"/>
          <w:numId w:val="24"/>
        </w:numPr>
        <w:tabs>
          <w:tab w:val="left" w:pos="709"/>
        </w:tabs>
        <w:contextualSpacing w:val="0"/>
        <w:jc w:val="both"/>
        <w:rPr>
          <w:vanish/>
          <w:color w:val="000000" w:themeColor="text1"/>
          <w:sz w:val="20"/>
        </w:rPr>
      </w:pPr>
    </w:p>
    <w:p w14:paraId="7F91A487" w14:textId="77777777" w:rsidR="009F4F6E" w:rsidRPr="008B0FD2" w:rsidRDefault="009F4F6E" w:rsidP="00866891">
      <w:pPr>
        <w:pStyle w:val="ListParagraph"/>
        <w:numPr>
          <w:ilvl w:val="0"/>
          <w:numId w:val="26"/>
        </w:numPr>
        <w:tabs>
          <w:tab w:val="left" w:pos="709"/>
        </w:tabs>
        <w:contextualSpacing w:val="0"/>
        <w:jc w:val="both"/>
        <w:rPr>
          <w:rFonts w:eastAsia="Times New Roman" w:cs="Times New Roman"/>
          <w:vanish/>
          <w:color w:val="000000" w:themeColor="text1"/>
          <w:sz w:val="20"/>
          <w:szCs w:val="24"/>
          <w:lang w:eastAsia="en-AU"/>
        </w:rPr>
      </w:pPr>
    </w:p>
    <w:p w14:paraId="1161C67B" w14:textId="77777777" w:rsidR="009F4F6E" w:rsidRPr="008B0FD2" w:rsidRDefault="009F4F6E" w:rsidP="00866891">
      <w:pPr>
        <w:pStyle w:val="ListParagraph"/>
        <w:numPr>
          <w:ilvl w:val="0"/>
          <w:numId w:val="26"/>
        </w:numPr>
        <w:tabs>
          <w:tab w:val="left" w:pos="709"/>
        </w:tabs>
        <w:contextualSpacing w:val="0"/>
        <w:jc w:val="both"/>
        <w:rPr>
          <w:rFonts w:eastAsia="Times New Roman" w:cs="Times New Roman"/>
          <w:vanish/>
          <w:color w:val="000000" w:themeColor="text1"/>
          <w:sz w:val="20"/>
          <w:szCs w:val="24"/>
          <w:lang w:eastAsia="en-AU"/>
        </w:rPr>
      </w:pPr>
    </w:p>
    <w:p w14:paraId="6F0824D6" w14:textId="77777777" w:rsidR="009F4F6E" w:rsidRPr="008B0FD2" w:rsidRDefault="009F4F6E" w:rsidP="00866891">
      <w:pPr>
        <w:pStyle w:val="ListParagraph"/>
        <w:numPr>
          <w:ilvl w:val="0"/>
          <w:numId w:val="26"/>
        </w:numPr>
        <w:tabs>
          <w:tab w:val="left" w:pos="709"/>
        </w:tabs>
        <w:contextualSpacing w:val="0"/>
        <w:jc w:val="both"/>
        <w:rPr>
          <w:rFonts w:eastAsia="Times New Roman" w:cs="Times New Roman"/>
          <w:vanish/>
          <w:color w:val="000000" w:themeColor="text1"/>
          <w:sz w:val="20"/>
          <w:szCs w:val="24"/>
          <w:lang w:eastAsia="en-AU"/>
        </w:rPr>
      </w:pPr>
    </w:p>
    <w:p w14:paraId="267A22E0" w14:textId="77777777" w:rsidR="009F4F6E" w:rsidRPr="008B0FD2" w:rsidRDefault="009F4F6E" w:rsidP="00866891">
      <w:pPr>
        <w:pStyle w:val="ListParagraph"/>
        <w:numPr>
          <w:ilvl w:val="0"/>
          <w:numId w:val="26"/>
        </w:numPr>
        <w:tabs>
          <w:tab w:val="left" w:pos="709"/>
        </w:tabs>
        <w:contextualSpacing w:val="0"/>
        <w:jc w:val="both"/>
        <w:rPr>
          <w:rFonts w:eastAsia="Times New Roman" w:cs="Times New Roman"/>
          <w:vanish/>
          <w:color w:val="000000" w:themeColor="text1"/>
          <w:sz w:val="20"/>
          <w:szCs w:val="24"/>
          <w:lang w:eastAsia="en-AU"/>
        </w:rPr>
      </w:pPr>
    </w:p>
    <w:p w14:paraId="3698AC0A" w14:textId="77777777" w:rsidR="009F4F6E" w:rsidRPr="008B0FD2" w:rsidRDefault="009F4F6E" w:rsidP="00866891">
      <w:pPr>
        <w:pStyle w:val="ListParagraph"/>
        <w:numPr>
          <w:ilvl w:val="0"/>
          <w:numId w:val="26"/>
        </w:numPr>
        <w:tabs>
          <w:tab w:val="left" w:pos="709"/>
        </w:tabs>
        <w:contextualSpacing w:val="0"/>
        <w:jc w:val="both"/>
        <w:rPr>
          <w:rFonts w:eastAsia="Times New Roman" w:cs="Times New Roman"/>
          <w:vanish/>
          <w:color w:val="000000" w:themeColor="text1"/>
          <w:sz w:val="20"/>
          <w:szCs w:val="24"/>
          <w:lang w:eastAsia="en-AU"/>
        </w:rPr>
      </w:pPr>
    </w:p>
    <w:p w14:paraId="1A0CCC1C" w14:textId="77777777" w:rsidR="009F4F6E" w:rsidRPr="008B0FD2" w:rsidRDefault="009F4F6E" w:rsidP="00866891">
      <w:pPr>
        <w:pStyle w:val="ListParagraph"/>
        <w:numPr>
          <w:ilvl w:val="0"/>
          <w:numId w:val="26"/>
        </w:numPr>
        <w:tabs>
          <w:tab w:val="left" w:pos="709"/>
        </w:tabs>
        <w:contextualSpacing w:val="0"/>
        <w:jc w:val="both"/>
        <w:rPr>
          <w:rFonts w:eastAsia="Times New Roman" w:cs="Times New Roman"/>
          <w:vanish/>
          <w:color w:val="000000" w:themeColor="text1"/>
          <w:sz w:val="20"/>
          <w:szCs w:val="24"/>
          <w:lang w:eastAsia="en-AU"/>
        </w:rPr>
      </w:pPr>
    </w:p>
    <w:p w14:paraId="77FF04CB" w14:textId="77777777" w:rsidR="009F4F6E" w:rsidRPr="008B0FD2" w:rsidRDefault="009F4F6E" w:rsidP="002E7A6D">
      <w:pPr>
        <w:pStyle w:val="Heading2"/>
      </w:pPr>
      <w:bookmarkStart w:id="103" w:name="_Toc131003067"/>
      <w:bookmarkStart w:id="104" w:name="_Toc132962566"/>
      <w:r w:rsidRPr="008B0FD2">
        <w:t>Background</w:t>
      </w:r>
      <w:bookmarkEnd w:id="103"/>
      <w:bookmarkEnd w:id="104"/>
    </w:p>
    <w:p w14:paraId="0D67C98C" w14:textId="3DDD75CF" w:rsidR="009F4F6E" w:rsidRPr="008B0FD2" w:rsidRDefault="009F4F6E" w:rsidP="009F4F6E">
      <w:pPr>
        <w:pStyle w:val="BodyText"/>
      </w:pPr>
      <w:r w:rsidRPr="008B0FD2">
        <w:t>Section 30</w:t>
      </w:r>
      <w:r w:rsidR="00852BC9">
        <w:t xml:space="preserve"> of the Evidence Act 2006</w:t>
      </w:r>
      <w:r w:rsidRPr="008B0FD2">
        <w:t xml:space="preserve"> governs the admissibility of improperly obtained evidence in criminal cases. There are two steps under section 30. The first step is to determine whether the evidence was improperly obtained.</w:t>
      </w:r>
      <w:r w:rsidRPr="008B0FD2">
        <w:rPr>
          <w:rStyle w:val="FootnoteReference"/>
        </w:rPr>
        <w:footnoteReference w:id="465"/>
      </w:r>
      <w:r w:rsidRPr="008B0FD2">
        <w:t xml:space="preserve"> </w:t>
      </w:r>
      <w:bookmarkStart w:id="105" w:name="_Ref121132345"/>
      <w:r w:rsidRPr="008B0FD2">
        <w:t>Evidence is “improperly obtained” if it is obtained:</w:t>
      </w:r>
      <w:r w:rsidRPr="008B0FD2">
        <w:rPr>
          <w:rStyle w:val="FootnoteReference"/>
        </w:rPr>
        <w:footnoteReference w:id="466"/>
      </w:r>
    </w:p>
    <w:p w14:paraId="61ABC59E" w14:textId="77777777" w:rsidR="009F4F6E" w:rsidRPr="008B0FD2" w:rsidRDefault="009F4F6E" w:rsidP="00866891">
      <w:pPr>
        <w:pStyle w:val="BodyTextnonum"/>
        <w:numPr>
          <w:ilvl w:val="3"/>
          <w:numId w:val="25"/>
        </w:numPr>
      </w:pPr>
      <w:r w:rsidRPr="008B0FD2">
        <w:t>in consequence of a breach of any enactment or rule of law by a person to whom section</w:t>
      </w:r>
      <w:r w:rsidRPr="008B0FD2">
        <w:rPr>
          <w:rFonts w:ascii="Calibri" w:hAnsi="Calibri" w:cs="Calibri"/>
        </w:rPr>
        <w:t> </w:t>
      </w:r>
      <w:r w:rsidRPr="008B0FD2">
        <w:t>3 of the New Zealand Bill of Rights Act 1990 applies;</w:t>
      </w:r>
      <w:r w:rsidRPr="008B0FD2">
        <w:rPr>
          <w:vertAlign w:val="superscript"/>
        </w:rPr>
        <w:footnoteReference w:id="467"/>
      </w:r>
      <w:r w:rsidRPr="008B0FD2">
        <w:t xml:space="preserve"> </w:t>
      </w:r>
    </w:p>
    <w:p w14:paraId="15C91C5D" w14:textId="77777777" w:rsidR="009F4F6E" w:rsidRPr="008B0FD2" w:rsidRDefault="009F4F6E" w:rsidP="00866891">
      <w:pPr>
        <w:pStyle w:val="BodyTextnonum"/>
        <w:numPr>
          <w:ilvl w:val="3"/>
          <w:numId w:val="25"/>
        </w:numPr>
      </w:pPr>
      <w:r w:rsidRPr="008B0FD2">
        <w:t xml:space="preserve">in consequence of a defendant’s statement that would be inadmissible if offered by the prosecution; or </w:t>
      </w:r>
    </w:p>
    <w:p w14:paraId="5F51C6B8" w14:textId="77777777" w:rsidR="009F4F6E" w:rsidRPr="008B0FD2" w:rsidRDefault="009F4F6E" w:rsidP="00866891">
      <w:pPr>
        <w:pStyle w:val="BodyTextnonum"/>
        <w:numPr>
          <w:ilvl w:val="3"/>
          <w:numId w:val="25"/>
        </w:numPr>
      </w:pPr>
      <w:r w:rsidRPr="008B0FD2">
        <w:t xml:space="preserve">unfairly. </w:t>
      </w:r>
      <w:bookmarkEnd w:id="105"/>
    </w:p>
    <w:p w14:paraId="5F415DC1" w14:textId="77777777" w:rsidR="009F4F6E" w:rsidRPr="008B0FD2" w:rsidRDefault="009F4F6E" w:rsidP="009F4F6E">
      <w:pPr>
        <w:pStyle w:val="BodyText"/>
      </w:pPr>
      <w:r w:rsidRPr="008B0FD2">
        <w:lastRenderedPageBreak/>
        <w:t>If the evidence was improperly obtained, the second step is to determine whether the exclusion of evidence is proportionate to the impropriety.</w:t>
      </w:r>
      <w:r w:rsidRPr="008B0FD2">
        <w:rPr>
          <w:rStyle w:val="FootnoteReference"/>
        </w:rPr>
        <w:footnoteReference w:id="468"/>
      </w:r>
      <w:r w:rsidRPr="008B0FD2">
        <w:t xml:space="preserve"> This is to be determined by means of a balancing process that gives appropriate weight to the impropriety and takes proper account of the need for an effective and credible system of justice. Section 30(3) contains a non-exhaustive list of factors that may be taken into account in undertaking the balancing exercise. If the judge finds that exclusion of the evidence is proportionate to the impropriety, they must exclude the evidence.</w:t>
      </w:r>
      <w:r w:rsidRPr="008B0FD2">
        <w:rPr>
          <w:rStyle w:val="FootnoteReference"/>
        </w:rPr>
        <w:footnoteReference w:id="469"/>
      </w:r>
      <w:r w:rsidRPr="008B0FD2">
        <w:t xml:space="preserve"> </w:t>
      </w:r>
    </w:p>
    <w:p w14:paraId="69B697F1" w14:textId="77777777" w:rsidR="009F4F6E" w:rsidRPr="008B0FD2" w:rsidRDefault="009F4F6E" w:rsidP="009F4F6E">
      <w:pPr>
        <w:pStyle w:val="BodyText"/>
      </w:pPr>
      <w:r w:rsidRPr="008B0FD2">
        <w:t>We have identified a number of potential issues with the operation of section 30, which we explore later in this chapter. To facilitate submitter engagement with these issues, we first discuss the history and policy behind the section and explain how it has been applied by the courts.</w:t>
      </w:r>
    </w:p>
    <w:p w14:paraId="1CEFE8CC" w14:textId="77777777" w:rsidR="009F4F6E" w:rsidRPr="008B0FD2" w:rsidRDefault="009F4F6E" w:rsidP="002E7A6D">
      <w:pPr>
        <w:pStyle w:val="Heading3"/>
      </w:pPr>
      <w:r w:rsidRPr="008B0FD2">
        <w:t>History of section 30</w:t>
      </w:r>
    </w:p>
    <w:p w14:paraId="3AC29155" w14:textId="40BD743D" w:rsidR="009F4F6E" w:rsidRPr="008B0FD2" w:rsidRDefault="009F4F6E" w:rsidP="009F4F6E">
      <w:pPr>
        <w:pStyle w:val="BodyText"/>
      </w:pPr>
      <w:bookmarkStart w:id="106" w:name="_Ref118708876"/>
      <w:r w:rsidRPr="008B0FD2">
        <w:t>Improperly obtained evidence was generally admissible at common law, subject to a discretion to exclude it on the ground of unfairness (the fairness discretion).</w:t>
      </w:r>
      <w:r w:rsidRPr="008B0FD2">
        <w:rPr>
          <w:rStyle w:val="FootnoteReference"/>
        </w:rPr>
        <w:footnoteReference w:id="470"/>
      </w:r>
      <w:r w:rsidRPr="008B0FD2">
        <w:t xml:space="preserve"> After the New Zealand Bill of Rights Act 1990 (NZBORA) was enacted, the courts developed a prima facie exclusionary rule for evidence obtained in breach of NZBORA rights.</w:t>
      </w:r>
      <w:r w:rsidRPr="008B0FD2">
        <w:rPr>
          <w:rStyle w:val="FootnoteReference"/>
        </w:rPr>
        <w:footnoteReference w:id="471"/>
      </w:r>
      <w:r w:rsidRPr="008B0FD2">
        <w:t xml:space="preserve"> Other improperly obtained evidence continued to be admissible subject to the fairness discretion. (Statements made by children or young people were </w:t>
      </w:r>
      <w:r w:rsidR="00924035">
        <w:t>-</w:t>
      </w:r>
      <w:r w:rsidRPr="008B0FD2">
        <w:t xml:space="preserve"> and still are </w:t>
      </w:r>
      <w:r w:rsidR="00924035">
        <w:t>-</w:t>
      </w:r>
      <w:r w:rsidRPr="008B0FD2">
        <w:t xml:space="preserve"> subject to a separate statutory exclusionary rule</w:t>
      </w:r>
      <w:r w:rsidR="00DC7B0F">
        <w:t>)</w:t>
      </w:r>
      <w:r w:rsidRPr="008B0FD2">
        <w:t>.</w:t>
      </w:r>
      <w:r w:rsidRPr="008B0FD2">
        <w:rPr>
          <w:rStyle w:val="FootnoteReference"/>
        </w:rPr>
        <w:footnoteReference w:id="472"/>
      </w:r>
    </w:p>
    <w:p w14:paraId="554E3EB2" w14:textId="75599C2D" w:rsidR="009F4F6E" w:rsidRPr="008B0FD2" w:rsidRDefault="009F4F6E" w:rsidP="009F4F6E">
      <w:pPr>
        <w:pStyle w:val="BodyText"/>
      </w:pPr>
      <w:r w:rsidRPr="008B0FD2">
        <w:t>T</w:t>
      </w:r>
      <w:r w:rsidR="008F4F33">
        <w:t xml:space="preserve">e Aka Matua o te Ture | Law </w:t>
      </w:r>
      <w:r w:rsidRPr="008B0FD2">
        <w:t>Commission’s Evidence Code proposed an improperly obtained evidence provision that was based on the prima facie exclusionary rule.</w:t>
      </w:r>
      <w:r w:rsidRPr="008B0FD2">
        <w:rPr>
          <w:rStyle w:val="FootnoteReference"/>
        </w:rPr>
        <w:footnoteReference w:id="473"/>
      </w:r>
      <w:r w:rsidRPr="008B0FD2">
        <w:t xml:space="preserve"> The provision was not, however, limited to NZBORA breaches. It would have applied to a broader range of improperly obtained evidence, including evidence that was obtained unfairly.</w:t>
      </w:r>
      <w:r w:rsidRPr="008B0FD2">
        <w:rPr>
          <w:rStyle w:val="FootnoteReference"/>
        </w:rPr>
        <w:footnoteReference w:id="474"/>
      </w:r>
      <w:r w:rsidRPr="008B0FD2">
        <w:t xml:space="preserve"> </w:t>
      </w:r>
    </w:p>
    <w:p w14:paraId="35C8242E" w14:textId="7B791CF0" w:rsidR="009F4F6E" w:rsidRPr="008B0FD2" w:rsidRDefault="009F4F6E" w:rsidP="009F4F6E">
      <w:pPr>
        <w:pStyle w:val="BodyText"/>
      </w:pPr>
      <w:r w:rsidRPr="008B0FD2">
        <w:t>After the Evidence Code was published but before the Evidence Bill was drafted, t</w:t>
      </w:r>
      <w:r w:rsidR="001F0F93">
        <w:t xml:space="preserve">e Kōti </w:t>
      </w:r>
      <w:r w:rsidR="00487FD0">
        <w:t>Pīra</w:t>
      </w:r>
      <w:r w:rsidR="001F0F93">
        <w:t xml:space="preserve"> | </w:t>
      </w:r>
      <w:r w:rsidRPr="008B0FD2">
        <w:t xml:space="preserve">Court of Appeal in </w:t>
      </w:r>
      <w:r w:rsidRPr="008B0FD2">
        <w:rPr>
          <w:i/>
          <w:iCs/>
        </w:rPr>
        <w:t>R v Shaheed</w:t>
      </w:r>
      <w:r w:rsidRPr="008B0FD2">
        <w:t xml:space="preserve"> overturned the prima facie exclusionary rule.</w:t>
      </w:r>
      <w:r w:rsidRPr="008B0FD2">
        <w:rPr>
          <w:rStyle w:val="FootnoteReference"/>
        </w:rPr>
        <w:footnoteReference w:id="475"/>
      </w:r>
      <w:r w:rsidRPr="008B0FD2">
        <w:t xml:space="preserve"> The majority considered</w:t>
      </w:r>
      <w:r w:rsidRPr="008B0FD2">
        <w:rPr>
          <w:rFonts w:eastAsia="Metropolis Light"/>
        </w:rPr>
        <w:t xml:space="preserve"> that, contrary to the Court’s original intention,</w:t>
      </w:r>
      <w:r w:rsidRPr="008B0FD2">
        <w:rPr>
          <w:rFonts w:eastAsia="Metropolis Light" w:cs="Metropolis Light"/>
          <w:color w:val="92D050"/>
          <w:szCs w:val="20"/>
        </w:rPr>
        <w:t xml:space="preserve"> </w:t>
      </w:r>
      <w:r w:rsidRPr="008B0FD2">
        <w:t xml:space="preserve">the rule had led to an unduly rigid approach by the courts, with exclusion following almost automatically from a </w:t>
      </w:r>
      <w:r w:rsidRPr="008B0FD2">
        <w:lastRenderedPageBreak/>
        <w:t>finding that NZBORA rights had been breached.</w:t>
      </w:r>
      <w:r w:rsidRPr="008B0FD2">
        <w:rPr>
          <w:rStyle w:val="FootnoteReference"/>
        </w:rPr>
        <w:footnoteReference w:id="476"/>
      </w:r>
      <w:r w:rsidRPr="008B0FD2">
        <w:t xml:space="preserve"> In practice, this had led the courts to shift the focus of their analysis to whether a breach had occurred. In particular, in search and seizure cases:</w:t>
      </w:r>
      <w:r w:rsidRPr="008B0FD2">
        <w:rPr>
          <w:rStyle w:val="FootnoteReference"/>
        </w:rPr>
        <w:footnoteReference w:id="477"/>
      </w:r>
    </w:p>
    <w:p w14:paraId="5A20D9AB" w14:textId="77777777" w:rsidR="009F4F6E" w:rsidRPr="008B0FD2" w:rsidRDefault="009F4F6E" w:rsidP="009F4F6E">
      <w:pPr>
        <w:pStyle w:val="QuoteIndent0"/>
      </w:pPr>
      <w:r w:rsidRPr="008B0FD2">
        <w:t>The decision to exclude or not has often been effectively determined by the prior conclusion that what occurred was not reasonable and therefore in breach of s 21 or vice versa. Our perception is that frequently a balancing exercise is being carried out in the fact finding process or in the determination of what is reasonable in the factual circumstances. This may have led to some distortion – situations in which it would have been preferable to acknowledge that the search and seizure was unreasonable and then to determine by means of a balancing exercise whether the evidence ought nevertheless to be admitted. Where the police have without practical justification departed from the standards required by the law, it is better that the breach be marked by a statement from the Court that their behaviour was unreasonable; and that the decision whether or not to exclude the resulting evidence is then made on a principled basis in light of that conclusion.</w:t>
      </w:r>
    </w:p>
    <w:p w14:paraId="394B509C" w14:textId="77777777" w:rsidR="009F4F6E" w:rsidRPr="008B0FD2" w:rsidRDefault="009F4F6E" w:rsidP="009F4F6E">
      <w:pPr>
        <w:pStyle w:val="BodyText"/>
      </w:pPr>
      <w:r w:rsidRPr="008B0FD2">
        <w:t>The majority therefore concluded that a more flexible approach was appropriate when determining whether to admit improperly obtained evidence, with the breach of a right being “a very important but not necessarily determinative factor”.</w:t>
      </w:r>
      <w:r w:rsidRPr="008B0FD2">
        <w:rPr>
          <w:rStyle w:val="FootnoteReference"/>
        </w:rPr>
        <w:footnoteReference w:id="478"/>
      </w:r>
      <w:r w:rsidRPr="008B0FD2">
        <w:t xml:space="preserve"> They adopted a balancing test to determine whether exclusion of the evidence was proportionate to the breach of rights.</w:t>
      </w:r>
      <w:bookmarkEnd w:id="106"/>
      <w:r w:rsidRPr="008B0FD2">
        <w:rPr>
          <w:rStyle w:val="FootnoteReference"/>
        </w:rPr>
        <w:footnoteReference w:id="479"/>
      </w:r>
      <w:r w:rsidRPr="008B0FD2">
        <w:t xml:space="preserve"> Blanchard J (whose approach was endorsed by the majority) explained:</w:t>
      </w:r>
      <w:r w:rsidRPr="008B0FD2">
        <w:rPr>
          <w:rStyle w:val="FootnoteReference"/>
        </w:rPr>
        <w:footnoteReference w:id="480"/>
      </w:r>
    </w:p>
    <w:p w14:paraId="19604232" w14:textId="77777777" w:rsidR="009F4F6E" w:rsidRPr="008B0FD2" w:rsidRDefault="009F4F6E" w:rsidP="009F4F6E">
      <w:pPr>
        <w:pStyle w:val="Quote"/>
      </w:pPr>
      <w:r w:rsidRPr="008B0FD2">
        <w:t>To be sure, there are some good arguments favouring a rule expressed in prima facie terms: it recognises the importance of a guaranteed right; exclusion may be the only effective means of vindicating a breach; it diminishes any appearance that the Courts are deciding cases on the basis of ends rather than means; and it makes it clear to the police that there is no utility in obtaining evidence via a breach of rights.</w:t>
      </w:r>
    </w:p>
    <w:p w14:paraId="1CD8439F" w14:textId="77777777" w:rsidR="009F4F6E" w:rsidRPr="008B0FD2" w:rsidRDefault="009F4F6E" w:rsidP="009F4F6E">
      <w:pPr>
        <w:pStyle w:val="Quote"/>
      </w:pPr>
      <w:r w:rsidRPr="008B0FD2">
        <w:t>There is much force in these arguments, although the last of them is of greater relevance to a deterrence-centred regime. But a balancing test in which, as a starting point, appropriate and significant weight is given to the fact that there has been a breach of a quasi-constitutional right, can accommodate and meet them. Importantly, a prima facie rule does not have the appearance of adequately addressing the interest of the community that those who are guilty of serious crimes should not go unpunished. That societal interest, in which any victim’s interest is subsumed, rather than being treated as a separate interest, will not normally outweigh an egregious breach of rights</w:t>
      </w:r>
      <w:r w:rsidRPr="008B0FD2">
        <w:rPr>
          <w:rFonts w:ascii="Cambria Math" w:hAnsi="Cambria Math" w:cs="Cambria Math"/>
        </w:rPr>
        <w:t> </w:t>
      </w:r>
      <w:r w:rsidRPr="008B0FD2">
        <w:rPr>
          <w:rFonts w:cs="Metropolis Light"/>
        </w:rPr>
        <w:t>–</w:t>
      </w:r>
      <w:r w:rsidRPr="008B0FD2">
        <w:rPr>
          <w:rFonts w:ascii="Cambria Math" w:hAnsi="Cambria Math" w:cs="Cambria Math"/>
        </w:rPr>
        <w:t> </w:t>
      </w:r>
      <w:r w:rsidRPr="008B0FD2">
        <w:t>particularly one which is deliberate or reckless on the part of law enforcement officers. But where the disputed evidence is strongly probative of guilt of a serious crime, that factor too must be given due weight. A system of justice will not command the respect of the community if each and every substantial breach of an accused’s rights leads almost inevitably to the exclusion of crucial evidence which is reliable and probative of a serious crime. …</w:t>
      </w:r>
    </w:p>
    <w:p w14:paraId="2FA6DADE" w14:textId="77777777" w:rsidR="009F4F6E" w:rsidRPr="008B0FD2" w:rsidRDefault="009F4F6E" w:rsidP="009F4F6E">
      <w:pPr>
        <w:pStyle w:val="BodyText"/>
      </w:pPr>
      <w:r w:rsidRPr="008B0FD2">
        <w:lastRenderedPageBreak/>
        <w:t>Section 30 is based on the test set out in</w:t>
      </w:r>
      <w:r w:rsidRPr="008B0FD2">
        <w:rPr>
          <w:i/>
          <w:iCs/>
        </w:rPr>
        <w:t xml:space="preserve"> Shaheed</w:t>
      </w:r>
      <w:r w:rsidRPr="008B0FD2">
        <w:t>.</w:t>
      </w:r>
      <w:r w:rsidRPr="008B0FD2">
        <w:rPr>
          <w:rStyle w:val="FootnoteReference"/>
        </w:rPr>
        <w:footnoteReference w:id="481"/>
      </w:r>
      <w:r w:rsidRPr="008B0FD2">
        <w:t xml:space="preserve"> However, while </w:t>
      </w:r>
      <w:r w:rsidRPr="008B0FD2">
        <w:rPr>
          <w:i/>
          <w:iCs/>
        </w:rPr>
        <w:t xml:space="preserve">Shaheed </w:t>
      </w:r>
      <w:r w:rsidRPr="008B0FD2">
        <w:t>only applied to NZBORA breaches, section 30 applies to a broader class of improperly obtained evidence (as proposed in the Commission’s Evidence Code).</w:t>
      </w:r>
      <w:r w:rsidRPr="008B0FD2">
        <w:rPr>
          <w:rStyle w:val="FootnoteReference"/>
        </w:rPr>
        <w:footnoteReference w:id="482"/>
      </w:r>
    </w:p>
    <w:p w14:paraId="2F2741A7" w14:textId="77777777" w:rsidR="009F4F6E" w:rsidRPr="008B0FD2" w:rsidRDefault="009F4F6E" w:rsidP="002E7A6D">
      <w:pPr>
        <w:pStyle w:val="Heading3"/>
      </w:pPr>
      <w:r w:rsidRPr="008B0FD2">
        <w:t>Rationales for exclusion of improperly obtained evidence</w:t>
      </w:r>
    </w:p>
    <w:p w14:paraId="100E76B1" w14:textId="0F866819" w:rsidR="009F4F6E" w:rsidRPr="008B0FD2" w:rsidRDefault="009F4F6E" w:rsidP="009F4F6E">
      <w:pPr>
        <w:pStyle w:val="BodyText"/>
      </w:pPr>
      <w:r w:rsidRPr="008B0FD2">
        <w:t>There are three main types of rationale typically advanced for excluding improperly obtained evidence: rights-based, deterrence-based and integrity-based.</w:t>
      </w:r>
      <w:r w:rsidRPr="008B0FD2">
        <w:rPr>
          <w:rStyle w:val="FootnoteReference"/>
        </w:rPr>
        <w:footnoteReference w:id="483"/>
      </w:r>
      <w:r w:rsidRPr="008B0FD2">
        <w:t xml:space="preserve"> Which of these rationales a legal system subscribes to influences the design of its exclusionary rules. These rationales are not, however, mutually exclusive. In practice</w:t>
      </w:r>
      <w:r w:rsidR="00FF2629">
        <w:t>,</w:t>
      </w:r>
      <w:r w:rsidRPr="008B0FD2">
        <w:t xml:space="preserve"> exclusionary rules often reflect a combination</w:t>
      </w:r>
      <w:r w:rsidR="00D9120A">
        <w:t xml:space="preserve"> of </w:t>
      </w:r>
      <w:r w:rsidR="00A01A2F">
        <w:t xml:space="preserve">these </w:t>
      </w:r>
      <w:r w:rsidR="00D9120A">
        <w:t>rationale</w:t>
      </w:r>
      <w:r w:rsidR="00D31488">
        <w:t>s</w:t>
      </w:r>
      <w:r w:rsidRPr="008B0FD2">
        <w:t>, alongside notions such as fairness and procedural efficiency.</w:t>
      </w:r>
      <w:r w:rsidRPr="008B0FD2">
        <w:rPr>
          <w:rStyle w:val="FootnoteReference"/>
        </w:rPr>
        <w:footnoteReference w:id="484"/>
      </w:r>
      <w:r w:rsidRPr="008B0FD2">
        <w:t xml:space="preserve"> </w:t>
      </w:r>
    </w:p>
    <w:p w14:paraId="15EC21AC" w14:textId="785D793A" w:rsidR="009F4F6E" w:rsidRPr="008B0FD2" w:rsidRDefault="009F4F6E" w:rsidP="009F4F6E">
      <w:pPr>
        <w:pStyle w:val="BodyText"/>
      </w:pPr>
      <w:r w:rsidRPr="008B0FD2">
        <w:t>Rights-based rationales treat exclusion of evidence obtained in breach of a person’s rights as necessary either to compensate the affected individual for the breach or vindicate the right.</w:t>
      </w:r>
      <w:r w:rsidRPr="008B0FD2">
        <w:rPr>
          <w:rStyle w:val="FootnoteReference"/>
        </w:rPr>
        <w:footnoteReference w:id="485"/>
      </w:r>
      <w:r w:rsidRPr="008B0FD2">
        <w:t xml:space="preserve"> Only exclusion of the evidence can put the person back in the position they would have been in had their rights not been breached (on a compensatory approach) or give proper meaning to the right (under a vindication of rights approach).</w:t>
      </w:r>
      <w:r w:rsidRPr="008B0FD2">
        <w:rPr>
          <w:rStyle w:val="FootnoteReference"/>
        </w:rPr>
        <w:footnoteReference w:id="486"/>
      </w:r>
      <w:r w:rsidRPr="008B0FD2">
        <w:t xml:space="preserve"> Rights-based rationales may require exclusion where fundamental or constitutional rights have been breached while potentially permitting admission of evidence obtained through lesser improprieties.</w:t>
      </w:r>
    </w:p>
    <w:p w14:paraId="1ED46DE5" w14:textId="77777777" w:rsidR="009F4F6E" w:rsidRPr="008B0FD2" w:rsidRDefault="009F4F6E" w:rsidP="009F4F6E">
      <w:pPr>
        <w:pStyle w:val="BodyText"/>
      </w:pPr>
      <w:r w:rsidRPr="008B0FD2">
        <w:t>Under a deterrence-based rationale, improperly obtained evidence is excluded to discourage future misconduct, both at individual and organisational levels. It is intended to prompt law enforcement agencies to take steps to ensure that officers comply with their obligations.</w:t>
      </w:r>
      <w:r w:rsidRPr="008B0FD2">
        <w:rPr>
          <w:rStyle w:val="FootnoteReference"/>
        </w:rPr>
        <w:footnoteReference w:id="487"/>
      </w:r>
      <w:r w:rsidRPr="008B0FD2">
        <w:t xml:space="preserve"> Over time, this is thought to improve practice and increase respect for the rights of suspects. A deterrence-based approach generally requires exclusion of improperly obtained evidence, although exceptions might be recognised where, for example, the misconduct was inadvertent or in good faith.</w:t>
      </w:r>
    </w:p>
    <w:p w14:paraId="5688BCB0" w14:textId="11BE8703" w:rsidR="009F4F6E" w:rsidRPr="008B0FD2" w:rsidRDefault="009F4F6E" w:rsidP="009F4F6E">
      <w:pPr>
        <w:pStyle w:val="BodyText"/>
      </w:pPr>
      <w:r w:rsidRPr="008B0FD2">
        <w:t xml:space="preserve">The third type of rationale focuses on preserving the integrity or moral legitimacy of the justice system. It reflects the view that for a criminal justice system to command the moral legitimacy and public respect necessary to justify punishing those who breach its norms, </w:t>
      </w:r>
      <w:r w:rsidRPr="008B0FD2">
        <w:lastRenderedPageBreak/>
        <w:t xml:space="preserve">it must set an example by rejecting the use of illegal or unfair </w:t>
      </w:r>
      <w:r w:rsidRPr="008B0FD2">
        <w:rPr>
          <w:lang w:val="en-GB"/>
        </w:rPr>
        <w:t>techniques to obtain evidence</w:t>
      </w:r>
      <w:r w:rsidRPr="008B0FD2">
        <w:t>.</w:t>
      </w:r>
      <w:r w:rsidRPr="008B0FD2">
        <w:rPr>
          <w:rStyle w:val="FootnoteReference"/>
        </w:rPr>
        <w:footnoteReference w:id="488"/>
      </w:r>
      <w:r w:rsidRPr="008B0FD2">
        <w:t xml:space="preserve"> Further, if the justice system condones breaches of the law, this may invite general disrespect for the law so the public will be less inclined to follow it. The integrity rationale does not necessarily require automatic exclusion. In some circumstances</w:t>
      </w:r>
      <w:r w:rsidR="00300BE2">
        <w:t>,</w:t>
      </w:r>
      <w:r w:rsidRPr="008B0FD2">
        <w:t xml:space="preserve"> such as where the impropriety is trivial and the offence serious, the exclusion of the evidence may be seen as bringing the criminal justice system into greater disrepute than would its admission.</w:t>
      </w:r>
      <w:r w:rsidRPr="008B0FD2">
        <w:rPr>
          <w:rStyle w:val="FootnoteReference"/>
        </w:rPr>
        <w:footnoteReference w:id="489"/>
      </w:r>
    </w:p>
    <w:p w14:paraId="56BB8540" w14:textId="327E8E98" w:rsidR="009F4F6E" w:rsidRPr="008B0FD2" w:rsidRDefault="009F4F6E" w:rsidP="009F4F6E">
      <w:pPr>
        <w:pStyle w:val="BodyText"/>
      </w:pPr>
      <w:r w:rsidRPr="008B0FD2">
        <w:t>The integrity rationale may be viewed as encompassing both rights</w:t>
      </w:r>
      <w:r w:rsidR="00F56EB8">
        <w:t xml:space="preserve"> </w:t>
      </w:r>
      <w:r w:rsidRPr="008B0FD2">
        <w:t>protection and deterrence considerations to an extent. Arguably, a justice system can only maintain its integrity and retain public confidence by providing a remedy for breaches of legally</w:t>
      </w:r>
      <w:r w:rsidR="009C5923">
        <w:t xml:space="preserve"> </w:t>
      </w:r>
      <w:r w:rsidRPr="008B0FD2">
        <w:t>recognised rights and taking steps to deter future breaches by law enforcement agencies.</w:t>
      </w:r>
      <w:r w:rsidRPr="008B0FD2">
        <w:rPr>
          <w:rStyle w:val="FootnoteReference"/>
        </w:rPr>
        <w:footnoteReference w:id="490"/>
      </w:r>
    </w:p>
    <w:p w14:paraId="72F3D5DE" w14:textId="036FD189" w:rsidR="009F4F6E" w:rsidRPr="008B0FD2" w:rsidRDefault="009F4F6E" w:rsidP="009F4F6E">
      <w:pPr>
        <w:pStyle w:val="BodyText"/>
      </w:pPr>
      <w:r w:rsidRPr="008B0FD2">
        <w:t>Exclusionary rules may also attempt to balance public interest considerations that tell against exclusion of improperly obtained evidence. These include concerns that public respect for the administration of justice will be diminished and public safety put at risk if those who commit serious crimes escape conviction.</w:t>
      </w:r>
      <w:r w:rsidRPr="008B0FD2">
        <w:rPr>
          <w:rStyle w:val="FootnoteReference"/>
        </w:rPr>
        <w:footnoteReference w:id="491"/>
      </w:r>
    </w:p>
    <w:p w14:paraId="0F609BE3" w14:textId="77777777" w:rsidR="009F4F6E" w:rsidRPr="008B0FD2" w:rsidRDefault="009F4F6E" w:rsidP="002E7A6D">
      <w:pPr>
        <w:pStyle w:val="Heading4"/>
      </w:pPr>
      <w:r w:rsidRPr="008B0FD2">
        <w:t>New Zealand’s approach</w:t>
      </w:r>
    </w:p>
    <w:p w14:paraId="08491F39" w14:textId="77777777" w:rsidR="009F4F6E" w:rsidRPr="008B0FD2" w:rsidRDefault="009F4F6E" w:rsidP="009F4F6E">
      <w:pPr>
        <w:pStyle w:val="BodyText"/>
      </w:pPr>
      <w:r w:rsidRPr="008B0FD2">
        <w:t xml:space="preserve">The integrity rationale is the primary basis for the balancing test adopted in </w:t>
      </w:r>
      <w:r w:rsidRPr="008B0FD2">
        <w:rPr>
          <w:i/>
          <w:iCs/>
        </w:rPr>
        <w:t xml:space="preserve">Shaheed </w:t>
      </w:r>
      <w:r w:rsidRPr="008B0FD2">
        <w:t>and reflected in section 30.</w:t>
      </w:r>
      <w:r>
        <w:rPr>
          <w:rStyle w:val="FootnoteReference"/>
        </w:rPr>
        <w:footnoteReference w:id="492"/>
      </w:r>
      <w:r w:rsidRPr="008B0FD2">
        <w:t xml:space="preserve"> Blanchard J, writing for the majority in </w:t>
      </w:r>
      <w:r w:rsidRPr="008B0FD2">
        <w:rPr>
          <w:i/>
          <w:iCs/>
        </w:rPr>
        <w:t>Shaheed</w:t>
      </w:r>
      <w:r w:rsidRPr="008B0FD2">
        <w:t>, explained:</w:t>
      </w:r>
      <w:r w:rsidRPr="008B0FD2">
        <w:rPr>
          <w:rStyle w:val="FootnoteReference"/>
        </w:rPr>
        <w:footnoteReference w:id="493"/>
      </w:r>
    </w:p>
    <w:p w14:paraId="783F7351" w14:textId="77777777" w:rsidR="009F4F6E" w:rsidRPr="008B0FD2" w:rsidRDefault="009F4F6E" w:rsidP="009F4F6E">
      <w:pPr>
        <w:pStyle w:val="Quote"/>
      </w:pPr>
      <w:r w:rsidRPr="008B0FD2">
        <w:t>Exclusion will often be the only appropriate response where a serious breach has been committed deliberately or in reckless disregard of the accused’s rights or where the police conduct in relation to that breach has been grossly careless. A system of justice which readily condones such conduct on the part of law enforcement officers will not command the respect of the community. A guilty verdict based on evidence obtained in this manner may lack moral authority. Society’s longer term interests will be better served by ruling out such evidence.</w:t>
      </w:r>
    </w:p>
    <w:p w14:paraId="3537F1AC" w14:textId="77777777" w:rsidR="009F4F6E" w:rsidRPr="008B0FD2" w:rsidRDefault="009F4F6E" w:rsidP="009F4F6E">
      <w:pPr>
        <w:pStyle w:val="BodyText"/>
      </w:pPr>
      <w:r w:rsidRPr="008B0FD2">
        <w:t>As noted above, however, the majority also suggested the balancing test would address concerns about the protection of rights and deterrence of future misconduct.</w:t>
      </w:r>
      <w:r w:rsidRPr="008B0FD2">
        <w:rPr>
          <w:rStyle w:val="FootnoteReference"/>
        </w:rPr>
        <w:footnoteReference w:id="494"/>
      </w:r>
      <w:r w:rsidRPr="008B0FD2">
        <w:t xml:space="preserve"> </w:t>
      </w:r>
    </w:p>
    <w:p w14:paraId="3E3F2814" w14:textId="77777777" w:rsidR="009F4F6E" w:rsidRPr="008B0FD2" w:rsidRDefault="009F4F6E" w:rsidP="009F4F6E">
      <w:pPr>
        <w:pStyle w:val="BodyText"/>
      </w:pPr>
      <w:r w:rsidRPr="008B0FD2">
        <w:t xml:space="preserve">The text of section 30 is, on its face, consistent with this broad approach. Section 30(2)(b) emphasises “the need for an effective and credible system of justice”, while the factors set out to guide the balancing test include (among other things) the importance of the </w:t>
      </w:r>
      <w:r w:rsidRPr="008B0FD2">
        <w:lastRenderedPageBreak/>
        <w:t>right breached and the nature of the impropriety.</w:t>
      </w:r>
      <w:r w:rsidRPr="008B0FD2">
        <w:rPr>
          <w:rStyle w:val="FootnoteReference"/>
        </w:rPr>
        <w:footnoteReference w:id="495"/>
      </w:r>
      <w:r w:rsidRPr="008B0FD2">
        <w:t xml:space="preserve"> The courts have made it clear that an effective and credible system of justice will not lightly condone the reliance by police on evidence obtained in abrogation of a person’s rights.</w:t>
      </w:r>
      <w:r w:rsidRPr="008B0FD2">
        <w:rPr>
          <w:rStyle w:val="FootnoteReference"/>
        </w:rPr>
        <w:footnoteReference w:id="496"/>
      </w:r>
    </w:p>
    <w:p w14:paraId="17F163E1" w14:textId="7491B862" w:rsidR="009F4F6E" w:rsidRPr="008B0FD2" w:rsidRDefault="009F4F6E" w:rsidP="009F4F6E">
      <w:pPr>
        <w:pStyle w:val="BodyText"/>
      </w:pPr>
      <w:r w:rsidRPr="008B0FD2">
        <w:t xml:space="preserve">Section 30 does not adopt a strict exclusionary approach. Rather, it attempts to balance the competing public interests in excluding improperly obtained evidence (in recognition of the seriousness of the impropriety) and in admitting it (to ensure people suspected of committing crimes are tried and, where appropriate, convicted on the basis of all relevant evidence). Accordingly, section 30(2)(b) requires the court to determine whether exclusion of the evidence is “proportionate to the impropriety”. The factors that may be taken into account when undertaking that balancing test include considerations pointing against exclusion such as the seriousness of the offence and the nature and quality of the evidence </w:t>
      </w:r>
      <w:r w:rsidRPr="008B0FD2">
        <w:rPr>
          <w:color w:val="auto"/>
        </w:rPr>
        <w:t>(section 30(3)).</w:t>
      </w:r>
    </w:p>
    <w:p w14:paraId="229175B3" w14:textId="29A744C6" w:rsidR="009F4F6E" w:rsidRPr="008B0FD2" w:rsidRDefault="009F4F6E" w:rsidP="009F4F6E">
      <w:pPr>
        <w:pStyle w:val="BodyText"/>
      </w:pPr>
      <w:r w:rsidRPr="008B0FD2">
        <w:t>New Zealand’s balancing test may therefore be seen as an attempt to address a variety of concerns</w:t>
      </w:r>
      <w:r w:rsidR="00606D11">
        <w:t>,</w:t>
      </w:r>
      <w:r w:rsidRPr="008B0FD2">
        <w:t xml:space="preserve"> including maintaining the integrity of the justice system, protecting rights and deterring future improprieties while at the same time recognising legitimate public interest considerations that weigh in favour of admitting improperly obtained evidence.</w:t>
      </w:r>
      <w:r w:rsidRPr="008B0FD2">
        <w:rPr>
          <w:rStyle w:val="FootnoteReference"/>
        </w:rPr>
        <w:footnoteReference w:id="497"/>
      </w:r>
    </w:p>
    <w:p w14:paraId="415D0807" w14:textId="654FF203" w:rsidR="009F4F6E" w:rsidRPr="008B0FD2" w:rsidRDefault="009F4F6E" w:rsidP="009F4F6E">
      <w:pPr>
        <w:pStyle w:val="BodyText"/>
      </w:pPr>
      <w:r w:rsidRPr="008B0FD2">
        <w:t>In some cases</w:t>
      </w:r>
      <w:r w:rsidR="00606D11">
        <w:t>,</w:t>
      </w:r>
      <w:r w:rsidRPr="008B0FD2">
        <w:t xml:space="preserve"> the Court of Appeal has rejected suggestion</w:t>
      </w:r>
      <w:r>
        <w:t>s</w:t>
      </w:r>
      <w:r w:rsidRPr="008B0FD2">
        <w:t xml:space="preserve"> that </w:t>
      </w:r>
      <w:r>
        <w:t xml:space="preserve">particular </w:t>
      </w:r>
      <w:r w:rsidRPr="008B0FD2">
        <w:t>evidence should be excluded under section 30 for deterrence purposes (or, to put it another way, to provide incentives to avoid future impropriety).</w:t>
      </w:r>
      <w:r w:rsidRPr="008B0FD2">
        <w:rPr>
          <w:rStyle w:val="FootnoteReference"/>
        </w:rPr>
        <w:footnoteReference w:id="498"/>
      </w:r>
      <w:r w:rsidRPr="008B0FD2">
        <w:t xml:space="preserve"> This may, however, simply mean that such considerations should not be the sole determining factor in the section 30 analysis. Other cases have suggested that deterrence is relevant under section 30.</w:t>
      </w:r>
      <w:r w:rsidRPr="008B0FD2">
        <w:rPr>
          <w:rStyle w:val="FootnoteReference"/>
        </w:rPr>
        <w:footnoteReference w:id="499"/>
      </w:r>
      <w:r w:rsidRPr="008B0FD2">
        <w:t xml:space="preserve"> The latter approach seems to us to be correct. An effective and credible system of justice is not one that permits repeated improprieties by law enforcement officers. To maintain the integrity of the justice system, it may be necessary to provide organisational incentives (through exclusion of evidence) to improve practices, thereby reducing the risk of future improprieties. This approach was recently confirmed by the Court of Appeal</w:t>
      </w:r>
      <w:r w:rsidRPr="008B0FD2">
        <w:rPr>
          <w:i/>
          <w:iCs/>
        </w:rPr>
        <w:t>.</w:t>
      </w:r>
      <w:r w:rsidRPr="008B0FD2">
        <w:rPr>
          <w:rStyle w:val="FootnoteReference"/>
        </w:rPr>
        <w:footnoteReference w:id="500"/>
      </w:r>
      <w:r w:rsidRPr="008B0FD2">
        <w:t xml:space="preserve"> </w:t>
      </w:r>
    </w:p>
    <w:p w14:paraId="2909D0A2" w14:textId="77777777" w:rsidR="009F4F6E" w:rsidRPr="008B0FD2" w:rsidRDefault="009F4F6E" w:rsidP="009F4F6E">
      <w:pPr>
        <w:pStyle w:val="BodyText"/>
      </w:pPr>
      <w:r w:rsidRPr="008B0FD2">
        <w:t>For the avoidance of doubt, we do not suggest section 30 should be used to punish law enforcement officers involved in an impropriety. That is a role better fulfilled through the relevant disciplinary regime or separate proceedings, where appropriate.</w:t>
      </w:r>
    </w:p>
    <w:p w14:paraId="78959364" w14:textId="77777777" w:rsidR="009F4F6E" w:rsidRPr="008B0FD2" w:rsidRDefault="009F4F6E" w:rsidP="002E7A6D">
      <w:pPr>
        <w:pStyle w:val="Heading2"/>
      </w:pPr>
      <w:bookmarkStart w:id="107" w:name="_Toc126330126"/>
      <w:bookmarkStart w:id="108" w:name="_Toc131003068"/>
      <w:bookmarkStart w:id="109" w:name="_Toc132962567"/>
      <w:r w:rsidRPr="008B0FD2">
        <w:lastRenderedPageBreak/>
        <w:t>How is section 30 operating in practice?</w:t>
      </w:r>
      <w:bookmarkEnd w:id="107"/>
      <w:bookmarkEnd w:id="108"/>
      <w:bookmarkEnd w:id="109"/>
    </w:p>
    <w:p w14:paraId="1D445A8B" w14:textId="77777777" w:rsidR="009F4F6E" w:rsidRPr="008B0FD2" w:rsidRDefault="009F4F6E" w:rsidP="002E7A6D">
      <w:pPr>
        <w:pStyle w:val="Heading3"/>
      </w:pPr>
      <w:r w:rsidRPr="008B0FD2">
        <w:t>A flexible approach to the balancing test</w:t>
      </w:r>
    </w:p>
    <w:p w14:paraId="625239AC" w14:textId="77777777" w:rsidR="009F4F6E" w:rsidRPr="008B0FD2" w:rsidRDefault="009F4F6E" w:rsidP="009F4F6E">
      <w:pPr>
        <w:pStyle w:val="BodyText"/>
      </w:pPr>
      <w:r w:rsidRPr="008B0FD2">
        <w:t xml:space="preserve">After section 30 was enacted but before it came into force, the majority of the Court of Appeal in </w:t>
      </w:r>
      <w:r w:rsidRPr="008B0FD2">
        <w:rPr>
          <w:i/>
          <w:iCs/>
        </w:rPr>
        <w:t>R v Williams</w:t>
      </w:r>
      <w:r w:rsidRPr="008B0FD2">
        <w:t xml:space="preserve"> “attempted … to lay down a structured approach to the </w:t>
      </w:r>
      <w:r w:rsidRPr="008B0FD2">
        <w:rPr>
          <w:i/>
          <w:iCs/>
        </w:rPr>
        <w:t>Shaheed</w:t>
      </w:r>
      <w:r w:rsidRPr="008B0FD2">
        <w:t xml:space="preserve"> test that should lead to more consistent results”.</w:t>
      </w:r>
      <w:r w:rsidRPr="008B0FD2">
        <w:rPr>
          <w:rStyle w:val="FootnoteReference"/>
        </w:rPr>
        <w:footnoteReference w:id="501"/>
      </w:r>
      <w:r w:rsidRPr="008B0FD2">
        <w:t xml:space="preserve"> The majority anticipated its approach would continue to be relevant under section 30.</w:t>
      </w:r>
      <w:r w:rsidRPr="008B0FD2">
        <w:rPr>
          <w:rStyle w:val="FootnoteReference"/>
        </w:rPr>
        <w:footnoteReference w:id="502"/>
      </w:r>
      <w:r w:rsidRPr="008B0FD2">
        <w:t xml:space="preserve"> The majority described the </w:t>
      </w:r>
      <w:r w:rsidRPr="008B0FD2">
        <w:rPr>
          <w:i/>
          <w:iCs/>
        </w:rPr>
        <w:t xml:space="preserve">Shaheed </w:t>
      </w:r>
      <w:r w:rsidRPr="008B0FD2">
        <w:t>test as balancing the seriousness of the breach against public interest factors favouring admission of the evidence.</w:t>
      </w:r>
      <w:r w:rsidRPr="008B0FD2">
        <w:rPr>
          <w:rStyle w:val="FootnoteReference"/>
        </w:rPr>
        <w:footnoteReference w:id="503"/>
      </w:r>
      <w:r w:rsidRPr="008B0FD2">
        <w:t xml:space="preserve"> It separated the various factors identified in </w:t>
      </w:r>
      <w:r w:rsidRPr="008B0FD2">
        <w:rPr>
          <w:i/>
          <w:iCs/>
        </w:rPr>
        <w:t xml:space="preserve">Shaheed </w:t>
      </w:r>
      <w:r w:rsidRPr="008B0FD2">
        <w:t>into factors relevant to the seriousness of the breach (which were further separated into aggravating</w:t>
      </w:r>
      <w:r w:rsidRPr="008B0FD2">
        <w:rPr>
          <w:rStyle w:val="FootnoteReference"/>
        </w:rPr>
        <w:footnoteReference w:id="504"/>
      </w:r>
      <w:r w:rsidRPr="008B0FD2">
        <w:t xml:space="preserve"> and mitigating factors</w:t>
      </w:r>
      <w:r w:rsidRPr="008B0FD2">
        <w:rPr>
          <w:rStyle w:val="FootnoteReference"/>
        </w:rPr>
        <w:footnoteReference w:id="505"/>
      </w:r>
      <w:r w:rsidRPr="008B0FD2">
        <w:t>) and factors relevant to the public interest in admitting the evidence.</w:t>
      </w:r>
      <w:r w:rsidRPr="008B0FD2">
        <w:rPr>
          <w:rStyle w:val="FootnoteReference"/>
        </w:rPr>
        <w:footnoteReference w:id="506"/>
      </w:r>
      <w:r w:rsidRPr="008B0FD2">
        <w:t xml:space="preserve"> </w:t>
      </w:r>
    </w:p>
    <w:p w14:paraId="077B57A6" w14:textId="09EBE4E2" w:rsidR="009F4F6E" w:rsidRPr="008B0FD2" w:rsidRDefault="009F4F6E" w:rsidP="009F4F6E">
      <w:pPr>
        <w:pStyle w:val="BodyText"/>
      </w:pPr>
      <w:r w:rsidRPr="008B0FD2">
        <w:t>In its</w:t>
      </w:r>
      <w:r w:rsidRPr="008B0FD2">
        <w:rPr>
          <w:color w:val="92D050"/>
        </w:rPr>
        <w:t xml:space="preserve"> </w:t>
      </w:r>
      <w:r w:rsidRPr="008B0FD2">
        <w:t xml:space="preserve">first major decision on section 30, </w:t>
      </w:r>
      <w:r w:rsidRPr="008B0FD2">
        <w:rPr>
          <w:i/>
          <w:iCs/>
        </w:rPr>
        <w:t>Hamed v R</w:t>
      </w:r>
      <w:r w:rsidRPr="008B0FD2">
        <w:t>,</w:t>
      </w:r>
      <w:r w:rsidRPr="008B0FD2">
        <w:rPr>
          <w:rStyle w:val="FootnoteReference"/>
        </w:rPr>
        <w:footnoteReference w:id="507"/>
      </w:r>
      <w:r w:rsidRPr="008B0FD2">
        <w:t xml:space="preserve"> t</w:t>
      </w:r>
      <w:r w:rsidR="00784EA7">
        <w:t>e Kōti Mana Nui |</w:t>
      </w:r>
      <w:r w:rsidRPr="008B0FD2">
        <w:t xml:space="preserve"> Supreme Court departed from this prescriptive approach to the balancing test, appearing to favour a more flexible approach to whether a factor supported admission or exclusion in a particular case.</w:t>
      </w:r>
      <w:r w:rsidRPr="008B0FD2">
        <w:rPr>
          <w:rStyle w:val="FootnoteReference"/>
        </w:rPr>
        <w:footnoteReference w:id="508"/>
      </w:r>
      <w:r w:rsidRPr="008B0FD2">
        <w:t xml:space="preserve"> Gault J acknowledged this would lead to variable decisions, observing that “[a]ll of the factors specified in s</w:t>
      </w:r>
      <w:r w:rsidRPr="008B0FD2">
        <w:rPr>
          <w:rFonts w:ascii="Calibri" w:hAnsi="Calibri" w:cs="Calibri"/>
        </w:rPr>
        <w:t> </w:t>
      </w:r>
      <w:r w:rsidRPr="008B0FD2">
        <w:t>30(3) call for value judgments that may well depend on inclinations of particular judges, as will the comparative weighting to be accorded those factors</w:t>
      </w:r>
      <w:r w:rsidR="00834A42">
        <w:t>”.</w:t>
      </w:r>
      <w:r w:rsidRPr="008B0FD2">
        <w:rPr>
          <w:rStyle w:val="FootnoteReference"/>
        </w:rPr>
        <w:footnoteReference w:id="509"/>
      </w:r>
    </w:p>
    <w:p w14:paraId="21DE3ED1" w14:textId="77777777" w:rsidR="009F4F6E" w:rsidRPr="008B0FD2" w:rsidRDefault="009F4F6E" w:rsidP="009F4F6E">
      <w:pPr>
        <w:pStyle w:val="BodyText"/>
      </w:pPr>
      <w:r w:rsidRPr="008B0FD2">
        <w:t xml:space="preserve">The Supreme Court in </w:t>
      </w:r>
      <w:r w:rsidRPr="008B0FD2">
        <w:rPr>
          <w:i/>
          <w:iCs/>
        </w:rPr>
        <w:t xml:space="preserve">Hamed </w:t>
      </w:r>
      <w:r w:rsidRPr="008B0FD2">
        <w:t>was split on the admissibility of various types of improperly obtained evidence in relation to different appellants, with differently constituted majorities determining the result in relation to each. All of the disputed evidence was found to be admissible against the defendants charged with more serious offending,</w:t>
      </w:r>
      <w:r>
        <w:rPr>
          <w:rStyle w:val="FootnoteReference"/>
        </w:rPr>
        <w:footnoteReference w:id="510"/>
      </w:r>
      <w:r w:rsidRPr="008B0FD2">
        <w:t xml:space="preserve"> despite most members of the </w:t>
      </w:r>
      <w:r w:rsidRPr="008B0FD2">
        <w:rPr>
          <w:color w:val="auto"/>
        </w:rPr>
        <w:t>C</w:t>
      </w:r>
      <w:r w:rsidRPr="008B0FD2">
        <w:t xml:space="preserve">ourt acknowledging that </w:t>
      </w:r>
      <w:r>
        <w:t>police had committed serious improprieties</w:t>
      </w:r>
      <w:r w:rsidRPr="008B0FD2">
        <w:t>.</w:t>
      </w:r>
      <w:r w:rsidRPr="008B0FD2">
        <w:rPr>
          <w:vertAlign w:val="superscript"/>
        </w:rPr>
        <w:footnoteReference w:id="511"/>
      </w:r>
    </w:p>
    <w:p w14:paraId="661CA4A6" w14:textId="77777777" w:rsidR="009F4F6E" w:rsidRPr="008B0FD2" w:rsidRDefault="009F4F6E" w:rsidP="009F4F6E">
      <w:pPr>
        <w:pStyle w:val="BodyText"/>
      </w:pPr>
      <w:r w:rsidRPr="008B0FD2">
        <w:rPr>
          <w:i/>
          <w:iCs/>
        </w:rPr>
        <w:t xml:space="preserve">Hamed </w:t>
      </w:r>
      <w:r w:rsidRPr="008B0FD2">
        <w:t xml:space="preserve">formed the foundation for the development of section 30 jurisprudence. Since then, the courts have not attempted to provide a framework for the application of the balancing test or endorsed the approach set out in </w:t>
      </w:r>
      <w:r w:rsidRPr="008B0FD2">
        <w:rPr>
          <w:i/>
          <w:iCs/>
        </w:rPr>
        <w:t>Williams</w:t>
      </w:r>
      <w:r w:rsidRPr="008B0FD2">
        <w:t>.</w:t>
      </w:r>
      <w:r w:rsidRPr="008B0FD2">
        <w:rPr>
          <w:rStyle w:val="FootnoteReference"/>
        </w:rPr>
        <w:footnoteReference w:id="512"/>
      </w:r>
      <w:r w:rsidRPr="008B0FD2">
        <w:t xml:space="preserve"> Perhaps reflecting the </w:t>
      </w:r>
      <w:r w:rsidRPr="008B0FD2">
        <w:lastRenderedPageBreak/>
        <w:t>uncertainty created by the balancing test, there are many appeals relating to section 30</w:t>
      </w:r>
      <w:r w:rsidRPr="008B0FD2">
        <w:rPr>
          <w:rStyle w:val="FootnoteReference"/>
        </w:rPr>
        <w:footnoteReference w:id="513"/>
      </w:r>
      <w:r w:rsidRPr="008B0FD2">
        <w:t xml:space="preserve"> and frequent split decisions in the appellate courts.</w:t>
      </w:r>
      <w:r w:rsidRPr="008B0FD2">
        <w:rPr>
          <w:rStyle w:val="FootnoteReference"/>
        </w:rPr>
        <w:footnoteReference w:id="514"/>
      </w:r>
    </w:p>
    <w:p w14:paraId="73E57481" w14:textId="77777777" w:rsidR="009F4F6E" w:rsidRPr="008B0FD2" w:rsidRDefault="009F4F6E" w:rsidP="002E7A6D">
      <w:pPr>
        <w:pStyle w:val="Heading3"/>
      </w:pPr>
      <w:r w:rsidRPr="008B0FD2">
        <w:t>Application of section 30 in recent case law – a snapshot case study</w:t>
      </w:r>
    </w:p>
    <w:p w14:paraId="44B370E6" w14:textId="1844AE49" w:rsidR="009F4F6E" w:rsidRPr="008B0FD2" w:rsidRDefault="009F4F6E" w:rsidP="009F4F6E">
      <w:pPr>
        <w:pStyle w:val="BodyText"/>
      </w:pPr>
      <w:r w:rsidRPr="008B0FD2">
        <w:t>We have not reviewed all section 30 cases given their large number, the limited timeframe for this review and the potential lack of utility in doing so since the section 30 analysis is often brief.</w:t>
      </w:r>
      <w:r w:rsidRPr="008B0FD2">
        <w:rPr>
          <w:rStyle w:val="FootnoteReference"/>
        </w:rPr>
        <w:footnoteReference w:id="515"/>
      </w:r>
      <w:r w:rsidRPr="008B0FD2">
        <w:t xml:space="preserve"> We have, however, undertaken a snapshot case study, reviewing High Court, Court of Appeal and Supreme Court decisions between 1 January 2019 and 31 December 2022 to gain a general sense of how section 30 is being applied.</w:t>
      </w:r>
      <w:r w:rsidRPr="008B0FD2">
        <w:rPr>
          <w:rStyle w:val="FootnoteReference"/>
        </w:rPr>
        <w:footnoteReference w:id="516"/>
      </w:r>
      <w:r w:rsidRPr="008B0FD2">
        <w:t xml:space="preserve"> The results of this case study should be treated with some caution, as it does not present a full picture of all section 30 cases during the relevant period. In particular, many</w:t>
      </w:r>
      <w:r w:rsidR="001C12DA">
        <w:t xml:space="preserve"> te Kōti-ā-Rohe </w:t>
      </w:r>
      <w:r w:rsidR="00E03E44">
        <w:t>|</w:t>
      </w:r>
      <w:r w:rsidRPr="008B0FD2">
        <w:t xml:space="preserve"> District Court decisions are not included due to the limitations of the databases we searched.</w:t>
      </w:r>
    </w:p>
    <w:p w14:paraId="32FF0118" w14:textId="77777777" w:rsidR="009F4F6E" w:rsidRPr="008B0FD2" w:rsidRDefault="009F4F6E" w:rsidP="009F4F6E">
      <w:pPr>
        <w:pStyle w:val="BodyText"/>
      </w:pPr>
      <w:r w:rsidRPr="008B0FD2">
        <w:t>The case study identified 70 decisions in which evidence was found to be improperly obtained.</w:t>
      </w:r>
      <w:r w:rsidRPr="008B0FD2">
        <w:rPr>
          <w:rStyle w:val="FootnoteReference"/>
        </w:rPr>
        <w:footnoteReference w:id="517"/>
      </w:r>
      <w:r w:rsidRPr="008B0FD2">
        <w:t xml:space="preserve"> The evidence was admitted in 38 cases, admitted in part in two cases and excluded in 30 cases. </w:t>
      </w:r>
    </w:p>
    <w:p w14:paraId="7BD9D1E1" w14:textId="4026D1F8" w:rsidR="009F4F6E" w:rsidRPr="008B0FD2" w:rsidRDefault="009F4F6E" w:rsidP="009F4F6E">
      <w:pPr>
        <w:pStyle w:val="BodyText"/>
      </w:pPr>
      <w:r w:rsidRPr="008B0FD2">
        <w:t>It appears the courts are considerably more likely to exclude improperly obtained defendants’ statements compared to other evidence. Of the 17 decisions relating to defendants’ statements, the evidence was only admitted in full in three cases and in part in one case. When the cases relating to defendants’ statements are put to one aside, the remaining 54 cases</w:t>
      </w:r>
      <w:r w:rsidRPr="008B0FD2">
        <w:rPr>
          <w:rStyle w:val="FootnoteReference"/>
        </w:rPr>
        <w:footnoteReference w:id="518"/>
      </w:r>
      <w:r w:rsidRPr="008B0FD2">
        <w:t xml:space="preserve"> also present a different picture. The evidence was admitted in full in 35 cases, admitted in part in one case and excluded in 18 cases. This may suggest a general tendency to admit improperly obtained </w:t>
      </w:r>
      <w:r w:rsidRPr="008B0FD2">
        <w:rPr>
          <w:i/>
          <w:iCs/>
        </w:rPr>
        <w:t>physical</w:t>
      </w:r>
      <w:r w:rsidRPr="008B0FD2">
        <w:t xml:space="preserve"> evidence under section</w:t>
      </w:r>
      <w:r w:rsidRPr="008B0FD2">
        <w:rPr>
          <w:rFonts w:ascii="Calibri" w:hAnsi="Calibri" w:cs="Calibri"/>
        </w:rPr>
        <w:t> </w:t>
      </w:r>
      <w:r w:rsidRPr="008B0FD2">
        <w:t xml:space="preserve">30 but to exclude defendants’ statements. </w:t>
      </w:r>
    </w:p>
    <w:p w14:paraId="6E558E9C" w14:textId="77777777" w:rsidR="009F4F6E" w:rsidRDefault="009F4F6E" w:rsidP="009F4F6E">
      <w:pPr>
        <w:pStyle w:val="BodyText"/>
      </w:pPr>
      <w:r w:rsidRPr="008B0FD2">
        <w:t xml:space="preserve">We analysed the key factors relied on in each decision (to the extent this was evident) and how those factors affected the outcome (for example, whether they were treated as favouring admission or exclusion of the evidence). Unsurprisingly, there was significant variation in how the different factors were weighted depending on the facts of each case, but our analysis highlights some general trends. Of the 40 cases in which improperly </w:t>
      </w:r>
      <w:r w:rsidRPr="008B0FD2">
        <w:lastRenderedPageBreak/>
        <w:t>obtained evidence was admitted in full or in part, the following factors were most often relied on as favouring admission:</w:t>
      </w:r>
    </w:p>
    <w:p w14:paraId="634CE9D6" w14:textId="37C9A97C" w:rsidR="009F4F6E" w:rsidRPr="008B0FD2" w:rsidRDefault="00EA782C" w:rsidP="00866891">
      <w:pPr>
        <w:pStyle w:val="BodyTextnonum"/>
        <w:numPr>
          <w:ilvl w:val="3"/>
          <w:numId w:val="28"/>
        </w:numPr>
      </w:pPr>
      <w:r>
        <w:t>T</w:t>
      </w:r>
      <w:r w:rsidR="009F4F6E" w:rsidRPr="008B0FD2">
        <w:t>he evidence was important to the prosecution case</w:t>
      </w:r>
      <w:r w:rsidR="009F4F6E" w:rsidRPr="00D771ED">
        <w:rPr>
          <w:vertAlign w:val="superscript"/>
        </w:rPr>
        <w:footnoteReference w:id="519"/>
      </w:r>
      <w:r w:rsidR="009F4F6E" w:rsidRPr="008B0FD2">
        <w:t xml:space="preserve"> (29 cases);</w:t>
      </w:r>
    </w:p>
    <w:p w14:paraId="18B397A1" w14:textId="44FA9878" w:rsidR="009F4F6E" w:rsidRPr="008B0FD2" w:rsidRDefault="00E370E2" w:rsidP="00866891">
      <w:pPr>
        <w:pStyle w:val="BodyTextnonum"/>
        <w:numPr>
          <w:ilvl w:val="3"/>
          <w:numId w:val="28"/>
        </w:numPr>
      </w:pPr>
      <w:r>
        <w:t>T</w:t>
      </w:r>
      <w:r w:rsidR="009F4F6E" w:rsidRPr="008B0FD2">
        <w:t>he offence was serious (24 cases);</w:t>
      </w:r>
    </w:p>
    <w:p w14:paraId="3CCCA9A5" w14:textId="0ABA0D0D" w:rsidR="009F4F6E" w:rsidRPr="008B0FD2" w:rsidRDefault="00E370E2" w:rsidP="00866891">
      <w:pPr>
        <w:pStyle w:val="BodyTextnonum"/>
        <w:numPr>
          <w:ilvl w:val="3"/>
          <w:numId w:val="28"/>
        </w:numPr>
      </w:pPr>
      <w:r>
        <w:t>T</w:t>
      </w:r>
      <w:r w:rsidR="009F4F6E" w:rsidRPr="008B0FD2">
        <w:t>he impropriety was of low seriousness or in good faith (15 cases);</w:t>
      </w:r>
    </w:p>
    <w:p w14:paraId="1294F496" w14:textId="16973A2D" w:rsidR="009F4F6E" w:rsidRPr="008B0FD2" w:rsidRDefault="00E370E2" w:rsidP="00866891">
      <w:pPr>
        <w:pStyle w:val="BodyTextnonum"/>
        <w:numPr>
          <w:ilvl w:val="3"/>
          <w:numId w:val="28"/>
        </w:numPr>
      </w:pPr>
      <w:r>
        <w:t>T</w:t>
      </w:r>
      <w:r w:rsidR="009F4F6E" w:rsidRPr="008B0FD2">
        <w:t>here was urgency in obtaining the evidence (9 cases).</w:t>
      </w:r>
    </w:p>
    <w:p w14:paraId="7777E991" w14:textId="77777777" w:rsidR="009F4F6E" w:rsidRDefault="009F4F6E" w:rsidP="009F4F6E">
      <w:pPr>
        <w:pStyle w:val="BodyText"/>
      </w:pPr>
      <w:r w:rsidRPr="008B0FD2">
        <w:t>In the 30 cases where the evidence was excluded, the following factors were most often relied on as favouring exclusion:</w:t>
      </w:r>
    </w:p>
    <w:p w14:paraId="4E486007" w14:textId="7ED46E3F" w:rsidR="009F4F6E" w:rsidRPr="008B0FD2" w:rsidRDefault="00432C86" w:rsidP="00866891">
      <w:pPr>
        <w:pStyle w:val="BodyTextnonum"/>
        <w:numPr>
          <w:ilvl w:val="3"/>
          <w:numId w:val="28"/>
        </w:numPr>
      </w:pPr>
      <w:r>
        <w:t>T</w:t>
      </w:r>
      <w:r w:rsidR="009F4F6E" w:rsidRPr="008B0FD2">
        <w:t>here was a significant breach of an important right (27 cases);</w:t>
      </w:r>
    </w:p>
    <w:p w14:paraId="4998CC3A" w14:textId="1C4C65CA" w:rsidR="009F4F6E" w:rsidRPr="008B0FD2" w:rsidRDefault="00432C86" w:rsidP="00866891">
      <w:pPr>
        <w:pStyle w:val="BodyTextnonum"/>
        <w:numPr>
          <w:ilvl w:val="3"/>
          <w:numId w:val="28"/>
        </w:numPr>
      </w:pPr>
      <w:r>
        <w:t>T</w:t>
      </w:r>
      <w:r w:rsidR="009F4F6E" w:rsidRPr="008B0FD2">
        <w:t>he impropriety was serious (19 cases);</w:t>
      </w:r>
    </w:p>
    <w:p w14:paraId="05DFA531" w14:textId="2F76E3DD" w:rsidR="009F4F6E" w:rsidRPr="008B0FD2" w:rsidRDefault="001E7ABC" w:rsidP="00866891">
      <w:pPr>
        <w:pStyle w:val="BodyTextnonum"/>
        <w:numPr>
          <w:ilvl w:val="3"/>
          <w:numId w:val="28"/>
        </w:numPr>
      </w:pPr>
      <w:r>
        <w:t>T</w:t>
      </w:r>
      <w:r w:rsidR="009F4F6E" w:rsidRPr="008B0FD2">
        <w:t xml:space="preserve">here were concerns about the reliability or probative value of the evidence (7 cases); and </w:t>
      </w:r>
    </w:p>
    <w:p w14:paraId="6FD0ED4A" w14:textId="5218BBE6" w:rsidR="009F4F6E" w:rsidRPr="008B0FD2" w:rsidRDefault="001E7ABC" w:rsidP="00866891">
      <w:pPr>
        <w:pStyle w:val="BodyTextnonum"/>
        <w:numPr>
          <w:ilvl w:val="3"/>
          <w:numId w:val="28"/>
        </w:numPr>
      </w:pPr>
      <w:r>
        <w:t>O</w:t>
      </w:r>
      <w:r w:rsidR="009F4F6E" w:rsidRPr="008B0FD2">
        <w:t>ther investigatory techniques were available and not used (6 cases).</w:t>
      </w:r>
    </w:p>
    <w:p w14:paraId="3D2C1B55" w14:textId="6D2FCA23" w:rsidR="009F4F6E" w:rsidRPr="008B0FD2" w:rsidRDefault="009F4F6E" w:rsidP="009F4F6E">
      <w:pPr>
        <w:pStyle w:val="BodyText"/>
      </w:pPr>
      <w:r w:rsidRPr="008B0FD2">
        <w:t xml:space="preserve">As noted above, of those 30 cases in which evidence was excluded, 13 related to improperly obtained defendants’ statements. In most of those cases (11) the breach was of the requirements in the Practice Note on Police Questioning. The courts usually (in 11 cases) emphasised the importance of the rights breached and the significance of the intrusion on them. Concerns about the reliability of the statement were identified in </w:t>
      </w:r>
      <w:r w:rsidR="00B241CD">
        <w:t>five</w:t>
      </w:r>
      <w:r w:rsidRPr="008B0FD2">
        <w:t xml:space="preserve"> cases, and in all those cases the evidence was excluded. </w:t>
      </w:r>
    </w:p>
    <w:p w14:paraId="602151A3" w14:textId="77777777" w:rsidR="009F4F6E" w:rsidRPr="008B0FD2" w:rsidRDefault="009F4F6E" w:rsidP="002E7A6D">
      <w:pPr>
        <w:pStyle w:val="Heading2"/>
        <w:rPr>
          <w:rFonts w:eastAsia="Consolas"/>
        </w:rPr>
      </w:pPr>
      <w:bookmarkStart w:id="110" w:name="_Toc131003069"/>
      <w:bookmarkStart w:id="111" w:name="_Toc132962568"/>
      <w:r w:rsidRPr="008B0FD2">
        <w:rPr>
          <w:rFonts w:eastAsia="Consolas"/>
        </w:rPr>
        <w:t>Issues for consideration</w:t>
      </w:r>
      <w:bookmarkEnd w:id="110"/>
      <w:bookmarkEnd w:id="111"/>
    </w:p>
    <w:p w14:paraId="7945B82C" w14:textId="77777777" w:rsidR="009F4F6E" w:rsidRPr="008B0FD2" w:rsidRDefault="009F4F6E" w:rsidP="009F4F6E">
      <w:pPr>
        <w:pStyle w:val="BodyText"/>
        <w:rPr>
          <w:rFonts w:eastAsia="Consolas"/>
        </w:rPr>
      </w:pPr>
      <w:r w:rsidRPr="008B0FD2">
        <w:rPr>
          <w:rFonts w:eastAsia="Consolas"/>
        </w:rPr>
        <w:t>Below we consider a range of issues with section 30 that relate to:</w:t>
      </w:r>
    </w:p>
    <w:p w14:paraId="02B767A6" w14:textId="77777777" w:rsidR="009F4F6E" w:rsidRPr="008B0FD2" w:rsidRDefault="009F4F6E" w:rsidP="00866891">
      <w:pPr>
        <w:pStyle w:val="BodyTextnonum"/>
        <w:numPr>
          <w:ilvl w:val="3"/>
          <w:numId w:val="25"/>
        </w:numPr>
        <w:rPr>
          <w:rFonts w:eastAsia="Consolas"/>
        </w:rPr>
      </w:pPr>
      <w:r w:rsidRPr="008B0FD2">
        <w:rPr>
          <w:rFonts w:eastAsia="Consolas"/>
        </w:rPr>
        <w:t>the operation of the section 30 balancing test;</w:t>
      </w:r>
    </w:p>
    <w:p w14:paraId="511001ED" w14:textId="77777777" w:rsidR="009F4F6E" w:rsidRPr="008B0FD2" w:rsidRDefault="009F4F6E" w:rsidP="00866891">
      <w:pPr>
        <w:pStyle w:val="BodyTextnonum"/>
        <w:numPr>
          <w:ilvl w:val="3"/>
          <w:numId w:val="25"/>
        </w:numPr>
        <w:rPr>
          <w:rFonts w:eastAsia="Consolas"/>
        </w:rPr>
      </w:pPr>
      <w:r w:rsidRPr="008B0FD2">
        <w:rPr>
          <w:rFonts w:eastAsia="Consolas"/>
        </w:rPr>
        <w:t xml:space="preserve">the wording of the balancing test; </w:t>
      </w:r>
    </w:p>
    <w:p w14:paraId="6E26CAE5" w14:textId="77777777" w:rsidR="009F4F6E" w:rsidRPr="008B0FD2" w:rsidRDefault="009F4F6E" w:rsidP="00866891">
      <w:pPr>
        <w:pStyle w:val="BodyTextnonum"/>
        <w:numPr>
          <w:ilvl w:val="3"/>
          <w:numId w:val="25"/>
        </w:numPr>
        <w:rPr>
          <w:rFonts w:eastAsia="Consolas"/>
        </w:rPr>
      </w:pPr>
      <w:r w:rsidRPr="008B0FD2">
        <w:rPr>
          <w:rFonts w:eastAsia="Consolas"/>
        </w:rPr>
        <w:t>the application of the factors in section 30(3); and</w:t>
      </w:r>
    </w:p>
    <w:p w14:paraId="6142B650" w14:textId="77777777" w:rsidR="009F4F6E" w:rsidRPr="008B0FD2" w:rsidRDefault="009F4F6E" w:rsidP="00866891">
      <w:pPr>
        <w:pStyle w:val="BodyTextnonum"/>
        <w:numPr>
          <w:ilvl w:val="3"/>
          <w:numId w:val="25"/>
        </w:numPr>
        <w:rPr>
          <w:rFonts w:eastAsia="Consolas"/>
        </w:rPr>
      </w:pPr>
      <w:r w:rsidRPr="008B0FD2">
        <w:t>the role of causation in determining whether evidence is improperly obtained under section 30(5).</w:t>
      </w:r>
    </w:p>
    <w:p w14:paraId="57591678" w14:textId="556F5F80" w:rsidR="009F4F6E" w:rsidRPr="008B0FD2" w:rsidRDefault="009F4F6E" w:rsidP="009F4F6E">
      <w:pPr>
        <w:pStyle w:val="BodyText"/>
      </w:pPr>
      <w:r w:rsidRPr="008B0FD2">
        <w:t xml:space="preserve">We set out in the Appendix to this chapter a model provision that illustrates how some of the options for reform discussed in this chapter could be incorporated into section 30. This model provision has been prepared to assist with consultation on section 30 given the many different issues and options for reform discussed in this chapter. </w:t>
      </w:r>
    </w:p>
    <w:p w14:paraId="0FBFD9A8" w14:textId="77777777" w:rsidR="009F4F6E" w:rsidRPr="008B0FD2" w:rsidRDefault="009F4F6E" w:rsidP="002E7A6D">
      <w:pPr>
        <w:pStyle w:val="Heading2"/>
        <w:rPr>
          <w:rFonts w:eastAsia="Consolas"/>
        </w:rPr>
      </w:pPr>
      <w:bookmarkStart w:id="112" w:name="_Toc126330128"/>
      <w:bookmarkStart w:id="113" w:name="_Toc131003070"/>
      <w:bookmarkStart w:id="114" w:name="_Toc132962569"/>
      <w:r w:rsidRPr="008B0FD2">
        <w:rPr>
          <w:rFonts w:eastAsia="Consolas"/>
        </w:rPr>
        <w:t>Operation of the balancing test</w:t>
      </w:r>
      <w:bookmarkEnd w:id="112"/>
      <w:bookmarkEnd w:id="113"/>
      <w:bookmarkEnd w:id="114"/>
      <w:r w:rsidRPr="008B0FD2">
        <w:rPr>
          <w:rFonts w:eastAsia="Consolas"/>
        </w:rPr>
        <w:t xml:space="preserve"> </w:t>
      </w:r>
    </w:p>
    <w:p w14:paraId="4E0DB043" w14:textId="77777777" w:rsidR="009F4F6E" w:rsidRPr="008B0FD2" w:rsidRDefault="009F4F6E" w:rsidP="009F4F6E">
      <w:pPr>
        <w:pStyle w:val="BodyText"/>
      </w:pPr>
      <w:r w:rsidRPr="008B0FD2">
        <w:t xml:space="preserve">The Minister of Justice’s letter referring this review to the Commission suggested we may wish to consider “whether the process for determining whether improperly obtained </w:t>
      </w:r>
      <w:r w:rsidRPr="008B0FD2">
        <w:lastRenderedPageBreak/>
        <w:t>evidence is admissible in criminal proceedings (s.30) gives sufficient weight to the impropriety”.</w:t>
      </w:r>
      <w:r w:rsidRPr="008B0FD2">
        <w:rPr>
          <w:rStyle w:val="FootnoteReference"/>
        </w:rPr>
        <w:footnoteReference w:id="520"/>
      </w:r>
    </w:p>
    <w:p w14:paraId="7E2FD6F3" w14:textId="5B4CDA99" w:rsidR="009F4F6E" w:rsidRPr="008B0FD2" w:rsidRDefault="00BD27D1" w:rsidP="009F4F6E">
      <w:pPr>
        <w:pStyle w:val="BodyText"/>
      </w:pPr>
      <w:r>
        <w:t>Preliminary</w:t>
      </w:r>
      <w:r w:rsidR="009F4F6E" w:rsidRPr="008B0FD2">
        <w:t xml:space="preserve"> feedback we received identified concern that the balancing test, as applied by the courts, may:</w:t>
      </w:r>
    </w:p>
    <w:p w14:paraId="0C56159A" w14:textId="77777777" w:rsidR="009F4F6E" w:rsidRPr="008B0FD2" w:rsidRDefault="009F4F6E" w:rsidP="00866891">
      <w:pPr>
        <w:pStyle w:val="BodyText2"/>
        <w:numPr>
          <w:ilvl w:val="3"/>
          <w:numId w:val="32"/>
        </w:numPr>
      </w:pPr>
      <w:r w:rsidRPr="008B0FD2">
        <w:t>mean that decisions about whether to exclude improperly obtained evidence are too unpredictable and inconsistent; and/or</w:t>
      </w:r>
    </w:p>
    <w:p w14:paraId="5D876905" w14:textId="77777777" w:rsidR="009F4F6E" w:rsidRPr="008B0FD2" w:rsidRDefault="009F4F6E" w:rsidP="009F4F6E">
      <w:pPr>
        <w:pStyle w:val="BodyText2"/>
      </w:pPr>
      <w:r w:rsidRPr="008B0FD2">
        <w:t>unduly favour admission of improperly obtained evidence.</w:t>
      </w:r>
    </w:p>
    <w:p w14:paraId="2ED4C7DF" w14:textId="77777777" w:rsidR="009F4F6E" w:rsidRPr="008B0FD2" w:rsidRDefault="009F4F6E" w:rsidP="009F4F6E">
      <w:pPr>
        <w:pStyle w:val="BodyText"/>
      </w:pPr>
      <w:r w:rsidRPr="008B0FD2">
        <w:t>Commentators have also critiqued the balancing test (and the lack of judicial guidance on its application) as leading to inconsistency and unpredictability.</w:t>
      </w:r>
      <w:r w:rsidRPr="008B0FD2">
        <w:rPr>
          <w:rStyle w:val="FootnoteReference"/>
        </w:rPr>
        <w:footnoteReference w:id="521"/>
      </w:r>
    </w:p>
    <w:p w14:paraId="340494CC" w14:textId="4FCA7B24" w:rsidR="009F4F6E" w:rsidRPr="008B0FD2" w:rsidRDefault="009F4F6E" w:rsidP="009F4F6E">
      <w:pPr>
        <w:pStyle w:val="BodyText"/>
      </w:pPr>
      <w:r w:rsidRPr="008B0FD2">
        <w:t xml:space="preserve">These concerns are long-standing. The Commission observed criticisms of the balancing test in its 2013 </w:t>
      </w:r>
      <w:r w:rsidR="00076E34">
        <w:t>R</w:t>
      </w:r>
      <w:r w:rsidRPr="008B0FD2">
        <w:t>eview</w:t>
      </w:r>
      <w:r w:rsidR="00076E34">
        <w:t xml:space="preserve"> of the Act</w:t>
      </w:r>
      <w:r w:rsidRPr="008B0FD2">
        <w:t>.</w:t>
      </w:r>
      <w:r w:rsidRPr="008B0FD2">
        <w:rPr>
          <w:rStyle w:val="FootnoteReference"/>
        </w:rPr>
        <w:footnoteReference w:id="522"/>
      </w:r>
      <w:r w:rsidRPr="008B0FD2">
        <w:t xml:space="preserve"> It considered that “[t]he evaluative nature of the s</w:t>
      </w:r>
      <w:r w:rsidRPr="008B0FD2">
        <w:rPr>
          <w:rFonts w:ascii="Calibri" w:hAnsi="Calibri" w:cs="Calibri"/>
        </w:rPr>
        <w:t> </w:t>
      </w:r>
      <w:r w:rsidRPr="008B0FD2">
        <w:t>30 balancing process means that different judges may come to different conclusions on the same evidence”.</w:t>
      </w:r>
      <w:r w:rsidRPr="008B0FD2">
        <w:rPr>
          <w:rStyle w:val="FootnoteReference"/>
        </w:rPr>
        <w:footnoteReference w:id="523"/>
      </w:r>
      <w:r w:rsidRPr="008B0FD2">
        <w:t xml:space="preserve"> The Commission declined to recommend any significant amendments to section 30 at that point, predicting that further general principles would emerge over time to assist the courts with the balancing exercise.</w:t>
      </w:r>
      <w:r w:rsidRPr="008B0FD2">
        <w:rPr>
          <w:rStyle w:val="FootnoteReference"/>
        </w:rPr>
        <w:footnoteReference w:id="524"/>
      </w:r>
      <w:r w:rsidRPr="008B0FD2">
        <w:t xml:space="preserve"> </w:t>
      </w:r>
    </w:p>
    <w:p w14:paraId="2ECD2755" w14:textId="2BED6175" w:rsidR="009F4F6E" w:rsidRPr="008B0FD2" w:rsidRDefault="009F4F6E" w:rsidP="009F4F6E">
      <w:pPr>
        <w:pStyle w:val="BodyText"/>
      </w:pPr>
      <w:r w:rsidRPr="008B0FD2">
        <w:rPr>
          <w:lang w:val="en-GB"/>
        </w:rPr>
        <w:t>The Commission’s Second Review</w:t>
      </w:r>
      <w:r w:rsidR="00203566">
        <w:rPr>
          <w:lang w:val="en-GB"/>
        </w:rPr>
        <w:t xml:space="preserve"> of the Act</w:t>
      </w:r>
      <w:r w:rsidRPr="008B0FD2">
        <w:rPr>
          <w:lang w:val="en-GB"/>
        </w:rPr>
        <w:t xml:space="preserve"> again identified uncertainty around the application of section 30.</w:t>
      </w:r>
      <w:r w:rsidRPr="008B0FD2">
        <w:rPr>
          <w:rStyle w:val="FootnoteReference"/>
          <w:lang w:val="en-GB"/>
        </w:rPr>
        <w:footnoteReference w:id="525"/>
      </w:r>
      <w:r w:rsidRPr="008B0FD2">
        <w:rPr>
          <w:lang w:val="en-GB"/>
        </w:rPr>
        <w:t xml:space="preserve"> The Commission ultimately did not recommend any amendment but suggested there “may be merit in conducting a broader review of the policy underlying section 30, in response to concerns expressed by submitters that the section is skewed too heavily in favour of admitting improperly obtained evidence”.</w:t>
      </w:r>
      <w:r w:rsidRPr="008B0FD2">
        <w:rPr>
          <w:rStyle w:val="FootnoteReference"/>
          <w:lang w:val="en-GB"/>
        </w:rPr>
        <w:footnoteReference w:id="526"/>
      </w:r>
    </w:p>
    <w:p w14:paraId="0F6ABDD3" w14:textId="77777777" w:rsidR="009F4F6E" w:rsidRPr="008B0FD2" w:rsidRDefault="009F4F6E" w:rsidP="002E7A6D">
      <w:pPr>
        <w:pStyle w:val="Heading3"/>
      </w:pPr>
      <w:r w:rsidRPr="008B0FD2">
        <w:t>Is legislative reform necessary or desirable?</w:t>
      </w:r>
    </w:p>
    <w:p w14:paraId="0D01083E" w14:textId="77777777" w:rsidR="009F4F6E" w:rsidRPr="008B0FD2" w:rsidRDefault="009F4F6E" w:rsidP="00866891">
      <w:pPr>
        <w:pStyle w:val="BodyText"/>
        <w:numPr>
          <w:ilvl w:val="1"/>
          <w:numId w:val="25"/>
        </w:numPr>
        <w:ind w:hanging="709"/>
      </w:pPr>
      <w:r w:rsidRPr="008B0FD2">
        <w:t xml:space="preserve">We seek submissions on whether the balancing test is operating appropriately and whether it should be retained. In determining whether reform is necessary or desirable, we will consider whether the section 30 balancing test adequately fulfils the purposes of </w:t>
      </w:r>
      <w:r w:rsidRPr="008B0FD2">
        <w:lastRenderedPageBreak/>
        <w:t>the Act. These include providing rules of evidence that recognise the importance of the rights affirmed by NZBORA</w:t>
      </w:r>
      <w:r w:rsidRPr="008B0FD2">
        <w:rPr>
          <w:rStyle w:val="FootnoteReference"/>
        </w:rPr>
        <w:footnoteReference w:id="527"/>
      </w:r>
      <w:r w:rsidRPr="008B0FD2">
        <w:t xml:space="preserve"> and promoting fairness to parties and witnesses.</w:t>
      </w:r>
      <w:r w:rsidRPr="008B0FD2">
        <w:rPr>
          <w:rStyle w:val="FootnoteReference"/>
        </w:rPr>
        <w:footnoteReference w:id="528"/>
      </w:r>
      <w:r w:rsidRPr="008B0FD2">
        <w:t xml:space="preserve"> </w:t>
      </w:r>
    </w:p>
    <w:p w14:paraId="7BA5FC06" w14:textId="46DF3321" w:rsidR="009F4F6E" w:rsidRPr="008B0FD2" w:rsidRDefault="009F4F6E" w:rsidP="009F4F6E">
      <w:pPr>
        <w:pStyle w:val="BodyText"/>
      </w:pPr>
      <w:r w:rsidRPr="008B0FD2">
        <w:t xml:space="preserve">Our analysis of recent case law (discussed above) suggests section 30 decisions more often lead to admission of improperly obtained evidence, particularly where physical evidence is involved (as opposed to defendants’ statements). The importance of the evidence to the prosecution case and the seriousness of the offence are often treated as significant </w:t>
      </w:r>
      <w:r w:rsidR="00EA321B">
        <w:t xml:space="preserve">- </w:t>
      </w:r>
      <w:r w:rsidRPr="008B0FD2">
        <w:t xml:space="preserve">and sometimes determinative </w:t>
      </w:r>
      <w:r w:rsidR="00EA321B">
        <w:t xml:space="preserve">- </w:t>
      </w:r>
      <w:r w:rsidRPr="008B0FD2">
        <w:t xml:space="preserve">factors. </w:t>
      </w:r>
    </w:p>
    <w:p w14:paraId="29C279A7" w14:textId="77777777" w:rsidR="009F4F6E" w:rsidRPr="008B0FD2" w:rsidRDefault="009F4F6E" w:rsidP="009F4F6E">
      <w:pPr>
        <w:pStyle w:val="BodyText"/>
      </w:pPr>
      <w:r w:rsidRPr="008B0FD2">
        <w:t xml:space="preserve">This does not necessarily mean the section 30 test is resulting in unfair outcomes or giving inadequate recognition to NZBORA rights. Ultimately it is a question of policy whether the section 30 test appropriately balances the various public interest considerations at play. More fundamentally, we acknowledge submitters will hold different views on whether it is appropriate to balance these interests at all. </w:t>
      </w:r>
    </w:p>
    <w:p w14:paraId="24C1BEBB" w14:textId="77777777" w:rsidR="009F4F6E" w:rsidRPr="008B0FD2" w:rsidRDefault="009F4F6E" w:rsidP="009F4F6E">
      <w:pPr>
        <w:pStyle w:val="BodyText"/>
      </w:pPr>
      <w:r w:rsidRPr="008B0FD2">
        <w:rPr>
          <w:color w:val="auto"/>
        </w:rPr>
        <w:t xml:space="preserve">We question, however, whether the </w:t>
      </w:r>
      <w:r w:rsidRPr="008B0FD2">
        <w:t xml:space="preserve">current application of section 30 is inconsistent with </w:t>
      </w:r>
      <w:r w:rsidRPr="008B0FD2">
        <w:rPr>
          <w:i/>
          <w:iCs/>
        </w:rPr>
        <w:t xml:space="preserve">Shaheed </w:t>
      </w:r>
      <w:r w:rsidRPr="008B0FD2">
        <w:t xml:space="preserve">(and hence with the original policy intent of section 30). While the majority in </w:t>
      </w:r>
      <w:r w:rsidRPr="008B0FD2">
        <w:rPr>
          <w:i/>
          <w:iCs/>
        </w:rPr>
        <w:t>Shaheed</w:t>
      </w:r>
      <w:r w:rsidRPr="008B0FD2">
        <w:t xml:space="preserve"> clearly anticipated some rebalancing, they also indicated that the new balancing test should not lead, in most cases, to results different from those reached under the earlier prima facie exclusionary rule.</w:t>
      </w:r>
      <w:r w:rsidRPr="008B0FD2">
        <w:rPr>
          <w:rStyle w:val="FootnoteReference"/>
        </w:rPr>
        <w:footnoteReference w:id="529"/>
      </w:r>
      <w:r w:rsidRPr="008B0FD2">
        <w:t xml:space="preserve"> Although a breach of rights might be “outweighed by the accumulation of other factors”,</w:t>
      </w:r>
      <w:r w:rsidRPr="008B0FD2">
        <w:rPr>
          <w:rStyle w:val="FootnoteReference"/>
        </w:rPr>
        <w:footnoteReference w:id="530"/>
      </w:r>
      <w:r w:rsidRPr="008B0FD2">
        <w:t xml:space="preserve"> the public interest in convicting those guilty of serious crimes would “not normally outweigh an egregious breach of rights”.</w:t>
      </w:r>
      <w:r w:rsidRPr="008B0FD2">
        <w:rPr>
          <w:rStyle w:val="FootnoteReference"/>
        </w:rPr>
        <w:footnoteReference w:id="531"/>
      </w:r>
      <w:r w:rsidRPr="008B0FD2">
        <w:t xml:space="preserve"> </w:t>
      </w:r>
    </w:p>
    <w:p w14:paraId="37BED537" w14:textId="7A1A6C31" w:rsidR="009F4F6E" w:rsidRPr="008B0FD2" w:rsidRDefault="009F4F6E" w:rsidP="009F4F6E">
      <w:pPr>
        <w:pStyle w:val="BodyText"/>
      </w:pPr>
      <w:r w:rsidRPr="008B0FD2">
        <w:t>We also note</w:t>
      </w:r>
      <w:r w:rsidR="00BB021B">
        <w:t>,</w:t>
      </w:r>
      <w:r w:rsidRPr="008B0FD2">
        <w:t xml:space="preserve"> that despite the Commission’s predictions in </w:t>
      </w:r>
      <w:r w:rsidR="00BB021B">
        <w:t>the</w:t>
      </w:r>
      <w:r w:rsidRPr="008B0FD2">
        <w:t xml:space="preserve"> 2013 </w:t>
      </w:r>
      <w:r w:rsidR="00BB021B">
        <w:t>Review</w:t>
      </w:r>
      <w:r w:rsidRPr="008B0FD2">
        <w:t>, case law has not provided significant additional clarity on the application of section 30 in the intervening years. The appellate courts have generally avoided giving specific guidance. Some judgments explicitly acknowledge that the balancing test means different judges may reach different conclusions on the same facts. While some uncertainty is implicit in any balancing test, we question whether the current approach to section 30 is unpredictable to an unnecessary degree. It is a rule of law principle that the law be consistently applied, with like cases being treated alike.</w:t>
      </w:r>
      <w:r w:rsidRPr="008B0FD2">
        <w:rPr>
          <w:rStyle w:val="FootnoteReference"/>
        </w:rPr>
        <w:footnoteReference w:id="532"/>
      </w:r>
    </w:p>
    <w:p w14:paraId="2F066B2F" w14:textId="0B63FA45" w:rsidR="009F4F6E" w:rsidRPr="008B0FD2" w:rsidRDefault="009F4F6E" w:rsidP="009F4F6E">
      <w:pPr>
        <w:pStyle w:val="BodyText"/>
      </w:pPr>
      <w:r w:rsidRPr="008B0FD2">
        <w:t>To some extent, it may be possible to address concerns about inconsistent decision-making and (to a lesser degree) insufficient weight being given to improprieties while retaining the overarching balancing test in its current form. Later in this chapter</w:t>
      </w:r>
      <w:r w:rsidR="00112D49">
        <w:t>,</w:t>
      </w:r>
      <w:r w:rsidRPr="008B0FD2">
        <w:t xml:space="preserve"> we discuss options for reform to help clarify the effect of the test and the application of the section 30(3) factors. If the balancing test is thought to be operating inconsistently or unfairly, these reforms may be considered adequate to address that.</w:t>
      </w:r>
    </w:p>
    <w:p w14:paraId="244AB980" w14:textId="09D157D9" w:rsidR="009F4F6E" w:rsidRPr="008B0FD2" w:rsidRDefault="009F4F6E" w:rsidP="009F4F6E">
      <w:pPr>
        <w:pStyle w:val="BodyText"/>
      </w:pPr>
      <w:r w:rsidRPr="008B0FD2">
        <w:t xml:space="preserve">We are, however, interested in views on whether the current balancing test, which places no onus on the prosecution to establish the case for admission of the evidence, is flawed. </w:t>
      </w:r>
      <w:r w:rsidRPr="008B0FD2">
        <w:lastRenderedPageBreak/>
        <w:t xml:space="preserve">There is an argument that </w:t>
      </w:r>
      <w:r w:rsidRPr="008B0FD2">
        <w:rPr>
          <w:color w:val="auto"/>
        </w:rPr>
        <w:t>it</w:t>
      </w:r>
      <w:r w:rsidRPr="008B0FD2">
        <w:t xml:space="preserve"> gives no guidance to judges on what to do if they are unsure</w:t>
      </w:r>
      <w:r w:rsidRPr="008B0FD2">
        <w:rPr>
          <w:rStyle w:val="FootnoteReference"/>
        </w:rPr>
        <w:footnoteReference w:id="533"/>
      </w:r>
      <w:r w:rsidRPr="008B0FD2">
        <w:t xml:space="preserve"> and accords insufficient weight to a finding of impropriety</w:t>
      </w:r>
      <w:r w:rsidRPr="008B0FD2">
        <w:rPr>
          <w:color w:val="auto"/>
        </w:rPr>
        <w:t xml:space="preserve">. It may be considered inconsistent with the view expressed by the Court in </w:t>
      </w:r>
      <w:r w:rsidRPr="008B0FD2">
        <w:rPr>
          <w:i/>
          <w:iCs/>
          <w:color w:val="auto"/>
        </w:rPr>
        <w:t xml:space="preserve">Shaheed </w:t>
      </w:r>
      <w:r w:rsidRPr="008B0FD2">
        <w:rPr>
          <w:color w:val="auto"/>
        </w:rPr>
        <w:t>that, as a starting point, a breach of a constitutional right should be given significant weight.</w:t>
      </w:r>
      <w:r w:rsidRPr="008B0FD2">
        <w:rPr>
          <w:rStyle w:val="FootnoteReference"/>
        </w:rPr>
        <w:footnoteReference w:id="534"/>
      </w:r>
      <w:r w:rsidRPr="008B0FD2">
        <w:rPr>
          <w:color w:val="auto"/>
        </w:rPr>
        <w:t xml:space="preserve"> </w:t>
      </w:r>
      <w:r w:rsidRPr="008B0FD2">
        <w:t xml:space="preserve">Arguably, once a finding of impropriety has been made, the </w:t>
      </w:r>
      <w:r w:rsidR="00F80D58">
        <w:t>prosecution</w:t>
      </w:r>
      <w:r w:rsidRPr="008B0FD2">
        <w:t xml:space="preserve"> should be required to satisfy the court that it is appropriate to admit the evidence. Otherwise, the courts may be seen as endorsing an “ends justifies the means” approach. This may have a detrimental effect on public confidence in the justice system and increase the likelihood of future improprieties. </w:t>
      </w:r>
    </w:p>
    <w:p w14:paraId="61BB2BA7" w14:textId="77777777" w:rsidR="009F4F6E" w:rsidRPr="008B0FD2" w:rsidRDefault="009F4F6E" w:rsidP="002E7A6D">
      <w:pPr>
        <w:pStyle w:val="Heading3"/>
      </w:pPr>
      <w:r w:rsidRPr="008B0FD2">
        <w:t>Option for reform</w:t>
      </w:r>
    </w:p>
    <w:p w14:paraId="6486A2CC" w14:textId="7E28452D" w:rsidR="009F4F6E" w:rsidRPr="008B0FD2" w:rsidRDefault="009F4F6E" w:rsidP="009F4F6E">
      <w:pPr>
        <w:pStyle w:val="BodyText"/>
      </w:pPr>
      <w:r w:rsidRPr="008B0FD2">
        <w:t xml:space="preserve">Should reform be considered necessary or desirable, an alternative approach would be to </w:t>
      </w:r>
      <w:r w:rsidR="001B207A">
        <w:t>provide</w:t>
      </w:r>
      <w:r w:rsidRPr="008B0FD2">
        <w:t xml:space="preserve"> that, although section 30 involves a balancing exercise, the onus is</w:t>
      </w:r>
      <w:r w:rsidRPr="008B0FD2">
        <w:rPr>
          <w:color w:val="92D050"/>
        </w:rPr>
        <w:t xml:space="preserve"> </w:t>
      </w:r>
      <w:r w:rsidRPr="008B0FD2">
        <w:t>on the prosecution to satisfy the judge</w:t>
      </w:r>
      <w:r w:rsidRPr="008B0FD2">
        <w:rPr>
          <w:color w:val="92D050"/>
        </w:rPr>
        <w:t xml:space="preserve"> </w:t>
      </w:r>
      <w:r w:rsidRPr="008B0FD2">
        <w:t xml:space="preserve">that the public interest favours admission of the evidence. For example, section 30 could require the judge to exclude improperly obtained evidence unless satisfied that the public interest in admitting the evidence </w:t>
      </w:r>
      <w:r w:rsidRPr="008B0FD2">
        <w:rPr>
          <w:i/>
          <w:iCs/>
        </w:rPr>
        <w:t>outweighs</w:t>
      </w:r>
      <w:r w:rsidRPr="008B0FD2">
        <w:t xml:space="preserve"> the public interest in exclusion. The model provision set out in the Appendix to this chapter illustrates how this could be implemented. </w:t>
      </w:r>
    </w:p>
    <w:p w14:paraId="1C2052FD" w14:textId="77777777" w:rsidR="009F4F6E" w:rsidRPr="008B0FD2" w:rsidRDefault="009F4F6E" w:rsidP="009F4F6E">
      <w:pPr>
        <w:pStyle w:val="BodyText"/>
      </w:pPr>
      <w:r w:rsidRPr="008B0FD2">
        <w:t xml:space="preserve">Placing an onus on the prosecution could encourage the courts to give “appropriate and significant weight” to the impropriety, as </w:t>
      </w:r>
      <w:r w:rsidRPr="008B0FD2">
        <w:rPr>
          <w:i/>
          <w:iCs/>
        </w:rPr>
        <w:t xml:space="preserve">Shaheed </w:t>
      </w:r>
      <w:r w:rsidRPr="008B0FD2">
        <w:t>envisaged.</w:t>
      </w:r>
      <w:r w:rsidRPr="008B0FD2">
        <w:rPr>
          <w:rStyle w:val="FootnoteReference"/>
        </w:rPr>
        <w:footnoteReference w:id="535"/>
      </w:r>
      <w:r w:rsidRPr="008B0FD2">
        <w:t xml:space="preserve"> It could also, to some extent, promote greater consistency in the application of the balancing test by providing a common starting point for judges and emphasising the need for clear justification to admit improperly obtained evidence. </w:t>
      </w:r>
    </w:p>
    <w:p w14:paraId="1F1C7673" w14:textId="77777777" w:rsidR="009F4F6E" w:rsidRPr="008B0FD2" w:rsidRDefault="009F4F6E" w:rsidP="009F4F6E">
      <w:pPr>
        <w:pStyle w:val="BodyText"/>
      </w:pPr>
      <w:r w:rsidRPr="008B0FD2">
        <w:rPr>
          <w:color w:val="auto"/>
        </w:rPr>
        <w:t>Our preliminary view is that a</w:t>
      </w:r>
      <w:r w:rsidRPr="008B0FD2">
        <w:t>n amendment of this kind would not mean a return to the pre-</w:t>
      </w:r>
      <w:r w:rsidRPr="008B0FD2">
        <w:rPr>
          <w:i/>
          <w:iCs/>
        </w:rPr>
        <w:t xml:space="preserve">Shaheed </w:t>
      </w:r>
      <w:r w:rsidRPr="008B0FD2">
        <w:t xml:space="preserve">prima facie exclusionary rule. Blanchard J in </w:t>
      </w:r>
      <w:r w:rsidRPr="008B0FD2">
        <w:rPr>
          <w:i/>
          <w:iCs/>
        </w:rPr>
        <w:t xml:space="preserve">Shaheed </w:t>
      </w:r>
      <w:r w:rsidRPr="008B0FD2">
        <w:t>explained the majority’s concerns about the prima facie rule in this way:</w:t>
      </w:r>
    </w:p>
    <w:p w14:paraId="21F8D8A5" w14:textId="57D80D17" w:rsidR="009F4F6E" w:rsidRPr="008B0FD2" w:rsidRDefault="009F4F6E" w:rsidP="009F4F6E">
      <w:pPr>
        <w:pStyle w:val="Quote"/>
      </w:pPr>
      <w:r w:rsidRPr="008B0FD2">
        <w:t>…</w:t>
      </w:r>
      <w:r w:rsidR="00BD2F51">
        <w:t xml:space="preserve"> </w:t>
      </w:r>
      <w:r w:rsidRPr="008B0FD2">
        <w:t>in practice the exclusion of</w:t>
      </w:r>
      <w:r w:rsidRPr="008B0FD2">
        <w:rPr>
          <w:rFonts w:ascii="Calibri" w:hAnsi="Calibri" w:cs="Calibri"/>
        </w:rPr>
        <w:t> </w:t>
      </w:r>
      <w:r w:rsidRPr="008B0FD2">
        <w:rPr>
          <w:rStyle w:val="sssh"/>
        </w:rPr>
        <w:t>evidence</w:t>
      </w:r>
      <w:r w:rsidRPr="008B0FD2">
        <w:rPr>
          <w:rFonts w:ascii="Calibri" w:hAnsi="Calibri" w:cs="Calibri"/>
        </w:rPr>
        <w:t> </w:t>
      </w:r>
      <w:r w:rsidRPr="008B0FD2">
        <w:t>has followed almost automatically once it has been established that there has been a breach which is more than trivial and that there is a sufficient connection between that breach and the availability of the challenged</w:t>
      </w:r>
      <w:r w:rsidRPr="008B0FD2">
        <w:rPr>
          <w:rFonts w:ascii="Calibri" w:hAnsi="Calibri" w:cs="Calibri"/>
        </w:rPr>
        <w:t> </w:t>
      </w:r>
      <w:r w:rsidRPr="008B0FD2">
        <w:rPr>
          <w:rStyle w:val="sssh"/>
        </w:rPr>
        <w:t>evidence</w:t>
      </w:r>
      <w:r w:rsidRPr="008B0FD2">
        <w:t>. The use of the terminology of “rule”, “prima facie” and “exceptions” (to the rule) has often led, in our opinion, to a relatively narrow and almost mechanical approach by Judges, without going through a balancing of the relevant considerations, once they have determined that a breach of a right has occurred which was more than trivial and that the circumstances did not demand urgency. There has been a tendency to go no further than looking for a category of exception to the “rule”, rather than seeking to ascertain whether exclusion of the</w:t>
      </w:r>
      <w:r w:rsidRPr="008B0FD2">
        <w:rPr>
          <w:rFonts w:ascii="Calibri" w:hAnsi="Calibri" w:cs="Calibri"/>
        </w:rPr>
        <w:t> </w:t>
      </w:r>
      <w:r w:rsidRPr="008B0FD2">
        <w:rPr>
          <w:rStyle w:val="sssh"/>
        </w:rPr>
        <w:t>evidence</w:t>
      </w:r>
      <w:r w:rsidRPr="008B0FD2">
        <w:rPr>
          <w:rFonts w:ascii="Calibri" w:hAnsi="Calibri" w:cs="Calibri"/>
        </w:rPr>
        <w:t> </w:t>
      </w:r>
      <w:r w:rsidRPr="008B0FD2">
        <w:t>would be a truly proportionate response to the breach.</w:t>
      </w:r>
    </w:p>
    <w:p w14:paraId="629BF4A0" w14:textId="77777777" w:rsidR="009F4F6E" w:rsidRPr="008B0FD2" w:rsidRDefault="009F4F6E" w:rsidP="009F4F6E">
      <w:pPr>
        <w:pStyle w:val="BodyText"/>
      </w:pPr>
      <w:r w:rsidRPr="008B0FD2">
        <w:rPr>
          <w:color w:val="auto"/>
        </w:rPr>
        <w:t>T</w:t>
      </w:r>
      <w:r w:rsidRPr="008B0FD2">
        <w:t xml:space="preserve">he courts are now used to a much more flexible approach and to accommodating a broad range of factors in deciding whether to admit improperly obtained evidence. Under our option for reform, the list of relevant factors set out in section 30(3) would continue to apply (potentially with some amendments, as we discuss below). As is currently the case, the court would weigh these factors against each other and assess the overall public </w:t>
      </w:r>
      <w:r w:rsidRPr="008B0FD2">
        <w:lastRenderedPageBreak/>
        <w:t xml:space="preserve">interest. Further, after two decades of relevant case law, </w:t>
      </w:r>
      <w:r w:rsidRPr="008B0FD2">
        <w:rPr>
          <w:color w:val="auto"/>
        </w:rPr>
        <w:t>t</w:t>
      </w:r>
      <w:r w:rsidRPr="008B0FD2">
        <w:t>he courts would have more guidance on when it might be appropriate to admit improperly obtained evidence than was the case pre-</w:t>
      </w:r>
      <w:r w:rsidRPr="008B0FD2">
        <w:rPr>
          <w:i/>
          <w:iCs/>
        </w:rPr>
        <w:t>Shaheed.</w:t>
      </w:r>
    </w:p>
    <w:p w14:paraId="1404914B" w14:textId="28B13580" w:rsidR="009F4F6E" w:rsidRPr="008B0FD2" w:rsidRDefault="009F4F6E" w:rsidP="009F4F6E">
      <w:pPr>
        <w:pStyle w:val="BodyText"/>
      </w:pPr>
      <w:r w:rsidRPr="008B0FD2">
        <w:t xml:space="preserve">For </w:t>
      </w:r>
      <w:r w:rsidRPr="008B0FD2">
        <w:rPr>
          <w:color w:val="auto"/>
        </w:rPr>
        <w:t xml:space="preserve">these </w:t>
      </w:r>
      <w:r w:rsidRPr="008B0FD2">
        <w:t>reasons, we think it is unlikely that adopting such an onus would result in a return to the rigidity of the prima facie exclusionary rule. We also doubt it would lead to the pre-</w:t>
      </w:r>
      <w:r w:rsidRPr="008B0FD2">
        <w:rPr>
          <w:i/>
          <w:iCs/>
        </w:rPr>
        <w:t xml:space="preserve">Shaheed </w:t>
      </w:r>
      <w:r w:rsidRPr="008B0FD2">
        <w:t xml:space="preserve">problem (discussed above) of judges compensating for the rigidity of the exclusionary rule by introducing variability into the meaning of “unreasonable” search and seizure. Provided any reform retains sufficient flexibility for judges to admit evidence where the public interest requires it, there is no reason that should eventuate. </w:t>
      </w:r>
    </w:p>
    <w:p w14:paraId="0E46A4B2" w14:textId="315E3782" w:rsidR="009F4F6E" w:rsidRPr="008B0FD2" w:rsidRDefault="009F4F6E" w:rsidP="009F4F6E">
      <w:pPr>
        <w:pStyle w:val="BodyText"/>
      </w:pPr>
      <w:r w:rsidRPr="008B0FD2">
        <w:t>Australian</w:t>
      </w:r>
      <w:r w:rsidRPr="008B0FD2">
        <w:rPr>
          <w:rFonts w:cstheme="minorBidi"/>
        </w:rPr>
        <w:t xml:space="preserve"> legislation places an onus on the prosecution very similar to the one in our option for reform.</w:t>
      </w:r>
      <w:r w:rsidRPr="008B0FD2">
        <w:rPr>
          <w:rStyle w:val="FootnoteReference"/>
          <w:rFonts w:cstheme="minorHAnsi"/>
        </w:rPr>
        <w:footnoteReference w:id="536"/>
      </w:r>
      <w:r w:rsidRPr="008B0FD2">
        <w:rPr>
          <w:rFonts w:cstheme="minorBidi"/>
        </w:rPr>
        <w:t xml:space="preserve"> </w:t>
      </w:r>
      <w:r>
        <w:rPr>
          <w:rFonts w:cstheme="minorBidi"/>
        </w:rPr>
        <w:t xml:space="preserve">It </w:t>
      </w:r>
      <w:r w:rsidRPr="008B0FD2">
        <w:rPr>
          <w:rFonts w:cstheme="minorBidi"/>
        </w:rPr>
        <w:t xml:space="preserve">provides that improperly obtained evidence “is not to be admitted unless the desirability of admitting the evidence outweighs the undesirability of admitting </w:t>
      </w:r>
      <w:r w:rsidRPr="00E72385">
        <w:rPr>
          <w:rFonts w:cstheme="minorBidi"/>
        </w:rPr>
        <w:t>evidence that has been obtained in the way in which the evidence was obtained</w:t>
      </w:r>
      <w:r w:rsidRPr="008B0FD2">
        <w:rPr>
          <w:rFonts w:cstheme="minorBidi"/>
        </w:rPr>
        <w:t>”.</w:t>
      </w:r>
      <w:r>
        <w:rPr>
          <w:rStyle w:val="FootnoteReference"/>
          <w:rFonts w:cstheme="minorBidi"/>
        </w:rPr>
        <w:footnoteReference w:id="537"/>
      </w:r>
      <w:r w:rsidRPr="008B0FD2">
        <w:rPr>
          <w:rFonts w:cstheme="minorBidi"/>
        </w:rPr>
        <w:t xml:space="preserve"> In Victoria, this approach is used to determine the admissibility of evidence obtained in breach of the Victorian Charter of Human Rights and Fundamental Freedoms.</w:t>
      </w:r>
      <w:r w:rsidRPr="008B0FD2">
        <w:rPr>
          <w:rStyle w:val="FootnoteReference"/>
          <w:rFonts w:cstheme="minorHAnsi"/>
        </w:rPr>
        <w:footnoteReference w:id="538"/>
      </w:r>
      <w:r w:rsidRPr="008B0FD2">
        <w:rPr>
          <w:rFonts w:cstheme="minorBidi"/>
        </w:rPr>
        <w:t xml:space="preserve"> Placing an onus on the prosecution reflected a change from the common law approach of discretionary exclusion.</w:t>
      </w:r>
      <w:r w:rsidRPr="008B0FD2">
        <w:rPr>
          <w:rStyle w:val="FootnoteReference"/>
          <w:rFonts w:cstheme="minorHAnsi"/>
        </w:rPr>
        <w:footnoteReference w:id="539"/>
      </w:r>
      <w:r w:rsidRPr="008B0FD2">
        <w:rPr>
          <w:rFonts w:cstheme="minorBidi"/>
        </w:rPr>
        <w:t xml:space="preserve"> The Australian Law Reform Commission justified it on the basis that:</w:t>
      </w:r>
      <w:r w:rsidRPr="008B0FD2">
        <w:rPr>
          <w:rStyle w:val="FootnoteReference"/>
          <w:rFonts w:cstheme="minorHAnsi"/>
        </w:rPr>
        <w:footnoteReference w:id="540"/>
      </w:r>
    </w:p>
    <w:p w14:paraId="4728E7DA" w14:textId="77777777" w:rsidR="009F4F6E" w:rsidRPr="008B0FD2" w:rsidRDefault="009F4F6E" w:rsidP="009F4F6E">
      <w:pPr>
        <w:pStyle w:val="QuoteIndent1"/>
        <w:ind w:hanging="1"/>
      </w:pPr>
      <w:r w:rsidRPr="008B0FD2">
        <w:t>After all, the evidence has been procured in breach of the law or some established standard of conduct. Those who infringe the law should be required to justify their actions and thus bear the onus of persuading the judge not to exclude the evidence so obtained.</w:t>
      </w:r>
    </w:p>
    <w:p w14:paraId="07536FF7" w14:textId="77777777" w:rsidR="009F4F6E" w:rsidRPr="008B0FD2" w:rsidRDefault="009F4F6E" w:rsidP="009F4F6E">
      <w:pPr>
        <w:pStyle w:val="BodyText"/>
      </w:pPr>
      <w:r w:rsidRPr="008B0FD2">
        <w:rPr>
          <w:rFonts w:cstheme="minorBidi"/>
        </w:rPr>
        <w:t>The introduction of an onus on the prosecution does not appear to have tipped the balance significantly in favour of exclusion in Australia. Indeed, a 2001 study found that improperly obtained evidence continued to be admitted in most cases.</w:t>
      </w:r>
      <w:r w:rsidRPr="008B0FD2">
        <w:rPr>
          <w:rStyle w:val="FootnoteReference"/>
          <w:rFonts w:cstheme="minorHAnsi"/>
        </w:rPr>
        <w:footnoteReference w:id="541"/>
      </w:r>
      <w:r w:rsidRPr="008B0FD2">
        <w:rPr>
          <w:rFonts w:cstheme="minorBidi"/>
        </w:rPr>
        <w:t xml:space="preserve"> The Australian Law Reform Commissions considered section 138 in 2005 and recommended no changes, noting their view that “the onus of proof in s 138 helps to provide an appropriate balance between the public interest in crime control and the rights of accused persons”.</w:t>
      </w:r>
      <w:r w:rsidRPr="008B0FD2">
        <w:rPr>
          <w:rStyle w:val="FootnoteReference"/>
          <w:rFonts w:cstheme="minorBidi"/>
        </w:rPr>
        <w:footnoteReference w:id="542"/>
      </w:r>
      <w:r w:rsidRPr="008B0FD2">
        <w:rPr>
          <w:rFonts w:cstheme="minorBidi"/>
        </w:rPr>
        <w:t xml:space="preserve"> Only one submitter was recorded as suggesting a change to the onus.</w:t>
      </w:r>
      <w:r w:rsidRPr="008B0FD2">
        <w:rPr>
          <w:rStyle w:val="FootnoteReference"/>
          <w:rFonts w:cstheme="minorHAnsi"/>
        </w:rPr>
        <w:footnoteReference w:id="543"/>
      </w:r>
    </w:p>
    <w:p w14:paraId="26FAFB13" w14:textId="77777777" w:rsidR="009F4F6E" w:rsidRPr="008B0FD2" w:rsidRDefault="009F4F6E" w:rsidP="009F4F6E">
      <w:pPr>
        <w:pStyle w:val="BodyText"/>
        <w:rPr>
          <w:color w:val="auto"/>
        </w:rPr>
      </w:pPr>
      <w:r w:rsidRPr="008B0FD2">
        <w:rPr>
          <w:color w:val="auto"/>
        </w:rPr>
        <w:lastRenderedPageBreak/>
        <w:t>If anything, the Australian experience might therefore cause us to question whether shifting the onus in the manner discussed above would make any difference in practice. We are, however, interested in submitters’ views on whether, in New Zealand’s rather different constitutional context, it may result in a modest re</w:t>
      </w:r>
      <w:r w:rsidR="005E3A65">
        <w:rPr>
          <w:color w:val="auto"/>
        </w:rPr>
        <w:t>-</w:t>
      </w:r>
      <w:r w:rsidRPr="008B0FD2">
        <w:rPr>
          <w:color w:val="auto"/>
        </w:rPr>
        <w:t xml:space="preserve">balancing of the current approach. </w:t>
      </w:r>
    </w:p>
    <w:p w14:paraId="057EBF0E" w14:textId="32970B7B" w:rsidR="009F4F6E" w:rsidRPr="008B0FD2" w:rsidRDefault="00592E72" w:rsidP="009F4F6E">
      <w:pPr>
        <w:pStyle w:val="BodyText"/>
      </w:pPr>
      <w:r>
        <w:rPr>
          <w:noProof/>
        </w:rPr>
        <mc:AlternateContent>
          <mc:Choice Requires="wpg">
            <w:drawing>
              <wp:anchor distT="0" distB="0" distL="114300" distR="114300" simplePos="0" relativeHeight="251658292" behindDoc="1" locked="0" layoutInCell="1" allowOverlap="1" wp14:anchorId="5210BA20" wp14:editId="071EDCCF">
                <wp:simplePos x="0" y="0"/>
                <wp:positionH relativeFrom="column">
                  <wp:posOffset>-1270</wp:posOffset>
                </wp:positionH>
                <wp:positionV relativeFrom="paragraph">
                  <wp:posOffset>1200150</wp:posOffset>
                </wp:positionV>
                <wp:extent cx="5760085" cy="3061335"/>
                <wp:effectExtent l="0" t="0" r="0" b="5715"/>
                <wp:wrapNone/>
                <wp:docPr id="570" name="Group 570" descr="Question"/>
                <wp:cNvGraphicFramePr/>
                <a:graphic xmlns:a="http://schemas.openxmlformats.org/drawingml/2006/main">
                  <a:graphicData uri="http://schemas.microsoft.com/office/word/2010/wordprocessingGroup">
                    <wpg:wgp>
                      <wpg:cNvGrpSpPr/>
                      <wpg:grpSpPr>
                        <a:xfrm>
                          <a:off x="0" y="0"/>
                          <a:ext cx="5760085" cy="3061335"/>
                          <a:chOff x="0" y="62865"/>
                          <a:chExt cx="5760085" cy="3062029"/>
                        </a:xfrm>
                      </wpg:grpSpPr>
                      <wps:wsp>
                        <wps:cNvPr id="57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6BA439" w14:textId="43924C9A" w:rsidR="008C4A9E" w:rsidRDefault="008C4A9E" w:rsidP="008C4A9E">
                              <w:pPr>
                                <w:pStyle w:val="BoxTitle"/>
                                <w:spacing w:before="0" w:beforeAutospacing="0"/>
                              </w:pPr>
                              <w:r w:rsidRPr="007F6876">
                                <w:t>QUESTION</w:t>
                              </w:r>
                              <w:r w:rsidR="002C0F3E">
                                <w:t>S</w:t>
                              </w:r>
                            </w:p>
                          </w:txbxContent>
                        </wps:txbx>
                        <wps:bodyPr rot="0" vert="horz" wrap="square" lIns="91440" tIns="0" rIns="0" bIns="45720" anchor="ctr" anchorCtr="0" upright="1">
                          <a:noAutofit/>
                        </wps:bodyPr>
                      </wps:wsp>
                      <wpg:grpSp>
                        <wpg:cNvPr id="572" name="Group 53"/>
                        <wpg:cNvGrpSpPr>
                          <a:grpSpLocks/>
                        </wpg:cNvGrpSpPr>
                        <wpg:grpSpPr bwMode="auto">
                          <a:xfrm>
                            <a:off x="0" y="315892"/>
                            <a:ext cx="5760085" cy="2809002"/>
                            <a:chOff x="1837" y="1788"/>
                            <a:chExt cx="9302" cy="30342"/>
                          </a:xfrm>
                        </wpg:grpSpPr>
                        <wps:wsp>
                          <wps:cNvPr id="573" name="Freeform 54"/>
                          <wps:cNvSpPr>
                            <a:spLocks/>
                          </wps:cNvSpPr>
                          <wps:spPr bwMode="auto">
                            <a:xfrm>
                              <a:off x="1837" y="1788"/>
                              <a:ext cx="9302" cy="3034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74"/>
                        <wpg:cNvGrpSpPr/>
                        <wpg:grpSpPr>
                          <a:xfrm>
                            <a:off x="0" y="494036"/>
                            <a:ext cx="1443794" cy="252000"/>
                            <a:chOff x="-15880" y="0"/>
                            <a:chExt cx="1444379" cy="252068"/>
                          </a:xfrm>
                        </wpg:grpSpPr>
                        <wps:wsp>
                          <wps:cNvPr id="57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7BC066" w14:textId="77777777" w:rsidR="008C4A9E" w:rsidRPr="00E90B8A" w:rsidRDefault="008C4A9E" w:rsidP="008C4A9E">
                                <w:pPr>
                                  <w:pStyle w:val="BoxTitle"/>
                                  <w:spacing w:before="0" w:beforeAutospacing="0"/>
                                  <w:rPr>
                                    <w:sz w:val="18"/>
                                    <w:szCs w:val="18"/>
                                  </w:rPr>
                                </w:pPr>
                                <w:r w:rsidRPr="00E90B8A">
                                  <w:rPr>
                                    <w:sz w:val="18"/>
                                    <w:szCs w:val="18"/>
                                  </w:rPr>
                                  <w:t>Q</w:t>
                                </w:r>
                                <w:r>
                                  <w:rPr>
                                    <w:sz w:val="18"/>
                                    <w:szCs w:val="18"/>
                                  </w:rPr>
                                  <w:t>16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210BA20" id="Group 570" o:spid="_x0000_s1152" alt="Question" style="position:absolute;left:0;text-align:left;margin-left:-.1pt;margin-top:94.5pt;width:453.55pt;height:241.05pt;z-index:-251658188;mso-height-relative:margin" coordorigin=",628" coordsize="57600,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">
                <v:shape id="Freeform 52" o:spid="_x0000_s115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C6BA439" w14:textId="43924C9A" w:rsidR="008C4A9E" w:rsidRDefault="008C4A9E" w:rsidP="008C4A9E">
                        <w:pPr>
                          <w:pStyle w:val="BoxTitle"/>
                          <w:spacing w:before="0" w:beforeAutospacing="0"/>
                        </w:pPr>
                        <w:r w:rsidRPr="007F6876">
                          <w:t>QUESTION</w:t>
                        </w:r>
                        <w:r w:rsidR="002C0F3E">
                          <w:t>S</w:t>
                        </w:r>
                      </w:p>
                    </w:txbxContent>
                  </v:textbox>
                </v:shape>
                <v:group id="Group 53" o:spid="_x0000_s1154" style="position:absolute;top:3158;width:57600;height:28090" coordorigin="1837,1788" coordsize="9302,3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4" o:spid="_x0000_s1155" style="position:absolute;left:1837;top:1788;width:9302;height:3034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" path="m,l9354,r,7809l,7809,,e" fillcolor="#edf2ea" stroked="f">
                    <v:path arrowok="t" o:connecttype="custom" o:connectlocs="0,3886;9302,3886;9302,34228;0,34228;0,3886" o:connectangles="0,0,0,0,0"/>
                  </v:shape>
                </v:group>
                <v:group id="Group 574" o:spid="_x0000_s115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8" o:spid="_x0000_s115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" path="m,l1815,e" filled="f" strokecolor="#72ab6a" strokeweight=".5pt">
                    <v:path arrowok="t" o:connecttype="custom" o:connectlocs="0,0;1073495,0" o:connectangles="0,0"/>
                  </v:shape>
                  <v:shape id="Freeform 66" o:spid="_x0000_s115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67BC066" w14:textId="77777777" w:rsidR="008C4A9E" w:rsidRPr="00E90B8A" w:rsidRDefault="008C4A9E" w:rsidP="008C4A9E">
                          <w:pPr>
                            <w:pStyle w:val="BoxTitle"/>
                            <w:spacing w:before="0" w:beforeAutospacing="0"/>
                            <w:rPr>
                              <w:sz w:val="18"/>
                              <w:szCs w:val="18"/>
                            </w:rPr>
                          </w:pPr>
                          <w:r w:rsidRPr="00E90B8A">
                            <w:rPr>
                              <w:sz w:val="18"/>
                              <w:szCs w:val="18"/>
                            </w:rPr>
                            <w:t>Q</w:t>
                          </w:r>
                          <w:r>
                            <w:rPr>
                              <w:sz w:val="18"/>
                              <w:szCs w:val="18"/>
                            </w:rPr>
                            <w:t>16</w:t>
                          </w:r>
                        </w:p>
                      </w:txbxContent>
                    </v:textbox>
                  </v:shape>
                </v:group>
              </v:group>
            </w:pict>
          </mc:Fallback>
        </mc:AlternateContent>
      </w:r>
      <w:r w:rsidR="009F4F6E" w:rsidRPr="008B0FD2">
        <w:t xml:space="preserve">The other main argument against placing an onus on the prosecution is that it would accord less weight to the public interest in the investigation and prosecution of crime. This interest would still be considered, but it would need to be shown to </w:t>
      </w:r>
      <w:r w:rsidR="009F4F6E" w:rsidRPr="008B0FD2">
        <w:rPr>
          <w:i/>
          <w:iCs/>
        </w:rPr>
        <w:t xml:space="preserve">outweigh </w:t>
      </w:r>
      <w:r w:rsidR="009F4F6E" w:rsidRPr="008B0FD2">
        <w:t>the countervailing public interest in recognising the seriousness of the impropriety for the evidence to be admitted. It may be thought that this would result in too much evidence being excluded and crimes going unpunished.</w:t>
      </w:r>
    </w:p>
    <w:p w14:paraId="0F68C3BC" w14:textId="730F720B" w:rsidR="008C4A9E" w:rsidRDefault="008C4A9E" w:rsidP="008C4A9E">
      <w:bookmarkStart w:id="115" w:name="_Toc126330129"/>
    </w:p>
    <w:p w14:paraId="4129C5D5" w14:textId="77777777" w:rsidR="008C4A9E" w:rsidRDefault="008C4A9E" w:rsidP="008C4A9E">
      <w:pPr>
        <w:pStyle w:val="QuestionBox"/>
      </w:pPr>
    </w:p>
    <w:p w14:paraId="7A97619B" w14:textId="77777777" w:rsidR="008C4A9E" w:rsidRDefault="008C4A9E" w:rsidP="008C4A9E">
      <w:pPr>
        <w:pStyle w:val="QuestionBox"/>
      </w:pPr>
      <w:r>
        <w:t xml:space="preserve">Is the section 30 balancing test operating in a manner that: </w:t>
      </w:r>
    </w:p>
    <w:p w14:paraId="1C88605C" w14:textId="77777777" w:rsidR="008C4A9E" w:rsidRDefault="008C4A9E" w:rsidP="00866891">
      <w:pPr>
        <w:pStyle w:val="Questionabc"/>
        <w:numPr>
          <w:ilvl w:val="0"/>
          <w:numId w:val="61"/>
        </w:numPr>
        <w:ind w:left="1417" w:hanging="425"/>
      </w:pPr>
      <w:r>
        <w:t>usually leads to admission of improperly obtained evidence?</w:t>
      </w:r>
    </w:p>
    <w:p w14:paraId="36E57660" w14:textId="77777777" w:rsidR="008C4A9E" w:rsidRDefault="008C4A9E" w:rsidP="008C4A9E">
      <w:pPr>
        <w:pStyle w:val="Questionabc"/>
        <w:ind w:left="1418"/>
      </w:pPr>
      <w:r>
        <w:t>results in inconsistent or unpredictable judicial decision-making?</w:t>
      </w:r>
    </w:p>
    <w:p w14:paraId="1BFB0942" w14:textId="77777777" w:rsidR="008C4A9E" w:rsidRDefault="008C4A9E" w:rsidP="008C4A9E">
      <w:pPr>
        <w:pStyle w:val="Questionabc"/>
        <w:ind w:left="1418"/>
      </w:pPr>
      <w:r>
        <w:t>gives greater weight to some of the s 30(3) factors than others?</w:t>
      </w:r>
    </w:p>
    <w:p w14:paraId="089EEE4A" w14:textId="77777777" w:rsidR="008C4A9E" w:rsidRDefault="008C4A9E" w:rsidP="008C4A9E">
      <w:pPr>
        <w:pStyle w:val="QuestionBox"/>
      </w:pPr>
      <w:r>
        <w:t xml:space="preserve">If so, is this problematic? </w:t>
      </w:r>
    </w:p>
    <w:p w14:paraId="54284108" w14:textId="77777777" w:rsidR="008C4A9E" w:rsidRPr="00402F23" w:rsidRDefault="008C4A9E" w:rsidP="008C4A9E">
      <w:pPr>
        <w:pStyle w:val="QuestionBox"/>
        <w:rPr>
          <w:lang w:eastAsia="en-US"/>
        </w:rPr>
      </w:pPr>
      <w:r>
        <w:rPr>
          <w:noProof/>
        </w:rPr>
        <mc:AlternateContent>
          <mc:Choice Requires="wpg">
            <w:drawing>
              <wp:anchor distT="0" distB="0" distL="114300" distR="114300" simplePos="0" relativeHeight="251658293" behindDoc="1" locked="0" layoutInCell="1" allowOverlap="1" wp14:anchorId="1C3D7021" wp14:editId="7C037455">
                <wp:simplePos x="0" y="0"/>
                <wp:positionH relativeFrom="column">
                  <wp:posOffset>9525</wp:posOffset>
                </wp:positionH>
                <wp:positionV relativeFrom="paragraph">
                  <wp:posOffset>144894</wp:posOffset>
                </wp:positionV>
                <wp:extent cx="1443355" cy="251460"/>
                <wp:effectExtent l="0" t="0" r="42545" b="0"/>
                <wp:wrapNone/>
                <wp:docPr id="129" name="Group 129"/>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3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2498FF" w14:textId="77777777" w:rsidR="008C4A9E" w:rsidRPr="00E700FF" w:rsidRDefault="008C4A9E" w:rsidP="008C4A9E">
                              <w:pPr>
                                <w:pStyle w:val="BoxTitle"/>
                                <w:spacing w:before="0" w:beforeAutospacing="0"/>
                              </w:pPr>
                              <w:r w:rsidRPr="001C1B37">
                                <w:t>Q</w:t>
                              </w:r>
                              <w:r>
                                <w:t>17</w:t>
                              </w:r>
                            </w:p>
                          </w:txbxContent>
                        </wps:txbx>
                        <wps:bodyPr rot="0" vert="horz" wrap="square" lIns="54000" tIns="82800" rIns="91440" bIns="45720" anchor="ctr" anchorCtr="0" upright="1">
                          <a:noAutofit/>
                        </wps:bodyPr>
                      </wps:wsp>
                    </wpg:wgp>
                  </a:graphicData>
                </a:graphic>
              </wp:anchor>
            </w:drawing>
          </mc:Choice>
          <mc:Fallback>
            <w:pict>
              <v:group w14:anchorId="1C3D7021" id="Group 129" o:spid="_x0000_s1159" style="position:absolute;left:0;text-align:left;margin-left:.75pt;margin-top:11.4pt;width:113.65pt;height:19.8pt;z-index:-25165818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">
                <v:shape id="Freeform 58" o:spid="_x0000_s116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" path="m,l1815,e" filled="f" strokecolor="#72ab6a" strokeweight=".5pt">
                  <v:path arrowok="t" o:connecttype="custom" o:connectlocs="0,0;1073495,0" o:connectangles="0,0"/>
                </v:shape>
                <v:shape id="Freeform 66" o:spid="_x0000_s116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02498FF" w14:textId="77777777" w:rsidR="008C4A9E" w:rsidRPr="00E700FF" w:rsidRDefault="008C4A9E" w:rsidP="008C4A9E">
                        <w:pPr>
                          <w:pStyle w:val="BoxTitle"/>
                          <w:spacing w:before="0" w:beforeAutospacing="0"/>
                        </w:pPr>
                        <w:r w:rsidRPr="001C1B37">
                          <w:t>Q</w:t>
                        </w:r>
                        <w:r>
                          <w:t>17</w:t>
                        </w:r>
                      </w:p>
                    </w:txbxContent>
                  </v:textbox>
                </v:shape>
              </v:group>
            </w:pict>
          </mc:Fallback>
        </mc:AlternateContent>
      </w:r>
    </w:p>
    <w:p w14:paraId="2753B9EE" w14:textId="77777777" w:rsidR="008C4A9E" w:rsidRDefault="008C4A9E" w:rsidP="008C4A9E">
      <w:pPr>
        <w:pStyle w:val="QuestionBox"/>
      </w:pPr>
      <w:r w:rsidRPr="008B0FD2">
        <w:t>Should the section 30 test be amended to place an onus on the prosecution to satisfy the judge that the public interest favours admission of the evidence (</w:t>
      </w:r>
      <w:r>
        <w:t>f</w:t>
      </w:r>
      <w:r w:rsidRPr="008B0FD2">
        <w:t xml:space="preserve">or example, by requiring exclusion of improperly obtained evidence unless the public interest in its admission </w:t>
      </w:r>
      <w:r w:rsidRPr="008B0FD2">
        <w:rPr>
          <w:i/>
          <w:iCs/>
        </w:rPr>
        <w:t>outweighs</w:t>
      </w:r>
      <w:r w:rsidRPr="008B0FD2">
        <w:t xml:space="preserve"> the public interest in its exclusion)</w:t>
      </w:r>
      <w:r>
        <w:t>?</w:t>
      </w:r>
    </w:p>
    <w:p w14:paraId="0BF7D33A" w14:textId="77777777" w:rsidR="00592E72" w:rsidRDefault="00592E72" w:rsidP="008C4A9E">
      <w:pPr>
        <w:pStyle w:val="QuestionBox"/>
      </w:pPr>
    </w:p>
    <w:p w14:paraId="00A89499" w14:textId="77777777" w:rsidR="009F4F6E" w:rsidRPr="008B0FD2" w:rsidRDefault="009F4F6E" w:rsidP="002E7A6D">
      <w:pPr>
        <w:pStyle w:val="Heading2"/>
        <w:rPr>
          <w:rFonts w:eastAsia="Consolas"/>
        </w:rPr>
      </w:pPr>
      <w:bookmarkStart w:id="116" w:name="_Toc131003071"/>
      <w:bookmarkStart w:id="117" w:name="_Toc132962570"/>
      <w:r w:rsidRPr="008B0FD2">
        <w:rPr>
          <w:rFonts w:eastAsia="Consolas"/>
        </w:rPr>
        <w:t xml:space="preserve">Wording of </w:t>
      </w:r>
      <w:bookmarkEnd w:id="115"/>
      <w:r w:rsidRPr="008B0FD2">
        <w:rPr>
          <w:rFonts w:eastAsia="Consolas"/>
        </w:rPr>
        <w:t>the balancing test</w:t>
      </w:r>
      <w:bookmarkEnd w:id="116"/>
      <w:bookmarkEnd w:id="117"/>
    </w:p>
    <w:p w14:paraId="5E597085" w14:textId="000F2C45" w:rsidR="009F4F6E" w:rsidRPr="008B0FD2" w:rsidRDefault="009F4F6E" w:rsidP="009F4F6E">
      <w:pPr>
        <w:pStyle w:val="BodyText"/>
      </w:pPr>
      <w:r w:rsidRPr="008B0FD2">
        <w:t xml:space="preserve">When section 30 was enacted, section 30(2)(b) originally required a balancing process that “gives appropriate weight to the impropriety </w:t>
      </w:r>
      <w:r w:rsidRPr="008B0FD2">
        <w:rPr>
          <w:i/>
          <w:iCs/>
        </w:rPr>
        <w:t>but</w:t>
      </w:r>
      <w:r w:rsidRPr="008B0FD2">
        <w:t xml:space="preserve"> takes proper account of the need for an effective and credible system of justice” (emphasis added). The Supreme Court in </w:t>
      </w:r>
      <w:r w:rsidRPr="008B0FD2">
        <w:rPr>
          <w:i/>
          <w:iCs/>
        </w:rPr>
        <w:t xml:space="preserve">Hamed </w:t>
      </w:r>
      <w:r w:rsidRPr="008B0FD2">
        <w:t xml:space="preserve">noted that the use of the word “but” seemed to suggest </w:t>
      </w:r>
      <w:r w:rsidR="00253EF9">
        <w:t>-</w:t>
      </w:r>
      <w:r w:rsidRPr="008B0FD2">
        <w:t xml:space="preserve"> incorrectly </w:t>
      </w:r>
      <w:r w:rsidR="00253EF9">
        <w:t>-</w:t>
      </w:r>
      <w:r w:rsidRPr="008B0FD2">
        <w:t xml:space="preserve"> that an effective and credible system of justice was a counterpoint to the impropriety that pointed towards admissibility.</w:t>
      </w:r>
      <w:r w:rsidRPr="008B0FD2">
        <w:rPr>
          <w:rStyle w:val="FootnoteReference"/>
        </w:rPr>
        <w:footnoteReference w:id="544"/>
      </w:r>
      <w:r w:rsidRPr="008B0FD2">
        <w:t xml:space="preserve"> The Commission in its 2013 </w:t>
      </w:r>
      <w:r w:rsidR="00253EF9">
        <w:t>R</w:t>
      </w:r>
      <w:r w:rsidRPr="008B0FD2">
        <w:t>eview agreed this was a drafting issue.</w:t>
      </w:r>
      <w:r w:rsidRPr="008B0FD2">
        <w:rPr>
          <w:rStyle w:val="FootnoteReference"/>
        </w:rPr>
        <w:footnoteReference w:id="545"/>
      </w:r>
      <w:r w:rsidRPr="008B0FD2">
        <w:t xml:space="preserve"> Following its recommendation, section 30(2)(b) was amended to change the word “but” to “and”. This was intended to</w:t>
      </w:r>
      <w:r w:rsidRPr="008B0FD2">
        <w:rPr>
          <w:color w:val="92D050"/>
        </w:rPr>
        <w:t xml:space="preserve"> </w:t>
      </w:r>
      <w:r w:rsidRPr="008B0FD2">
        <w:t xml:space="preserve">clarify that the need for an effective and credible system of justice is </w:t>
      </w:r>
      <w:r w:rsidRPr="008B0FD2">
        <w:rPr>
          <w:i/>
          <w:iCs/>
        </w:rPr>
        <w:t>not</w:t>
      </w:r>
      <w:r w:rsidRPr="008B0FD2">
        <w:t xml:space="preserve"> a counterbalance to the impropriety and may favour exclusion or admission of improperly obtained evidence depending on the circumstances. </w:t>
      </w:r>
    </w:p>
    <w:p w14:paraId="283E8E56" w14:textId="77777777" w:rsidR="009F4F6E" w:rsidRPr="008B0FD2" w:rsidRDefault="009F4F6E" w:rsidP="009F4F6E">
      <w:pPr>
        <w:pStyle w:val="BodyText"/>
      </w:pPr>
      <w:r w:rsidRPr="008B0FD2">
        <w:t>Some commentators, however, have suggested the wording of the test remains unclear:</w:t>
      </w:r>
    </w:p>
    <w:p w14:paraId="02E74D64" w14:textId="0C6CE3C2" w:rsidR="009F4F6E" w:rsidRPr="008B0FD2" w:rsidRDefault="00EA42D6" w:rsidP="00866891">
      <w:pPr>
        <w:pStyle w:val="BodyText2"/>
        <w:numPr>
          <w:ilvl w:val="3"/>
          <w:numId w:val="33"/>
        </w:numPr>
      </w:pPr>
      <w:r>
        <w:lastRenderedPageBreak/>
        <w:t xml:space="preserve">Associate Professor </w:t>
      </w:r>
      <w:r w:rsidR="009F4F6E" w:rsidRPr="008B0FD2">
        <w:t xml:space="preserve">Scott Optican points out that the judgments in </w:t>
      </w:r>
      <w:r w:rsidR="009F4F6E" w:rsidRPr="008B0FD2">
        <w:rPr>
          <w:i/>
          <w:iCs/>
        </w:rPr>
        <w:t xml:space="preserve">Hamed </w:t>
      </w:r>
      <w:r w:rsidR="009F4F6E" w:rsidRPr="008B0FD2">
        <w:t>do not indicate when an effective and credible system of justice favours exclusion of the evidence and when it favours admission.</w:t>
      </w:r>
      <w:r w:rsidR="009F4F6E" w:rsidRPr="008B0FD2">
        <w:rPr>
          <w:rStyle w:val="FootnoteReference"/>
        </w:rPr>
        <w:footnoteReference w:id="546"/>
      </w:r>
    </w:p>
    <w:p w14:paraId="7E90A820" w14:textId="4303E634" w:rsidR="009F4F6E" w:rsidRPr="008B0FD2" w:rsidRDefault="009F4F6E" w:rsidP="009F4F6E">
      <w:pPr>
        <w:pStyle w:val="BodyText2"/>
      </w:pPr>
      <w:r w:rsidRPr="008B0FD2">
        <w:t>Tania Singh suggests that</w:t>
      </w:r>
      <w:r w:rsidR="00EC5E45">
        <w:t>,</w:t>
      </w:r>
      <w:r w:rsidRPr="008B0FD2">
        <w:t xml:space="preserve"> despite the amendment, section 30(2)(b) still gives the impression that the impropriety is being weighed </w:t>
      </w:r>
      <w:r w:rsidRPr="008B0FD2">
        <w:rPr>
          <w:i/>
          <w:iCs/>
        </w:rPr>
        <w:t>against</w:t>
      </w:r>
      <w:r w:rsidRPr="008B0FD2">
        <w:t xml:space="preserve"> an effective and credible system of justice, with the result that the need for an effective and credible system of justice is often equated with the need to preserve the public interest in prosecution.</w:t>
      </w:r>
      <w:r w:rsidRPr="008B0FD2">
        <w:rPr>
          <w:rStyle w:val="FootnoteReference"/>
        </w:rPr>
        <w:footnoteReference w:id="547"/>
      </w:r>
    </w:p>
    <w:p w14:paraId="0E8ED9AD" w14:textId="77777777" w:rsidR="009F4F6E" w:rsidRPr="008B0FD2" w:rsidRDefault="009F4F6E" w:rsidP="009F4F6E">
      <w:pPr>
        <w:pStyle w:val="BodyText2"/>
      </w:pPr>
      <w:r w:rsidRPr="008B0FD2">
        <w:t>Bernard Robertson states “it would be better to spell out what the aim is, rather than use general and allusive language”.</w:t>
      </w:r>
      <w:r w:rsidRPr="008B0FD2">
        <w:rPr>
          <w:rStyle w:val="FootnoteReference"/>
        </w:rPr>
        <w:footnoteReference w:id="548"/>
      </w:r>
    </w:p>
    <w:p w14:paraId="19418A9B" w14:textId="77777777" w:rsidR="009F4F6E" w:rsidRPr="008B0FD2" w:rsidRDefault="009F4F6E" w:rsidP="002E7A6D">
      <w:pPr>
        <w:pStyle w:val="Heading3"/>
      </w:pPr>
      <w:r w:rsidRPr="008B0FD2">
        <w:t>Is legislative reform necessary or desirable?</w:t>
      </w:r>
    </w:p>
    <w:p w14:paraId="026F1E1A" w14:textId="77777777" w:rsidR="009F4F6E" w:rsidRPr="008B0FD2" w:rsidRDefault="009F4F6E" w:rsidP="009F4F6E">
      <w:pPr>
        <w:pStyle w:val="BodyText"/>
      </w:pPr>
      <w:r w:rsidRPr="008B0FD2">
        <w:t xml:space="preserve">We agree with the observations in </w:t>
      </w:r>
      <w:r w:rsidRPr="008B0FD2">
        <w:rPr>
          <w:i/>
          <w:iCs/>
        </w:rPr>
        <w:t xml:space="preserve">Hamed </w:t>
      </w:r>
      <w:r w:rsidRPr="008B0FD2">
        <w:t>that an effective and credible system of justice encompasses both:</w:t>
      </w:r>
      <w:r w:rsidRPr="008B0FD2">
        <w:rPr>
          <w:rStyle w:val="FootnoteReference"/>
        </w:rPr>
        <w:footnoteReference w:id="549"/>
      </w:r>
    </w:p>
    <w:p w14:paraId="7BE26AFD" w14:textId="77777777" w:rsidR="009F4F6E" w:rsidRPr="008B0FD2" w:rsidRDefault="009F4F6E" w:rsidP="00866891">
      <w:pPr>
        <w:pStyle w:val="BodyText2"/>
        <w:numPr>
          <w:ilvl w:val="3"/>
          <w:numId w:val="34"/>
        </w:numPr>
      </w:pPr>
      <w:r w:rsidRPr="008B0FD2">
        <w:t>the public interest in bringing offenders to justice; and</w:t>
      </w:r>
    </w:p>
    <w:p w14:paraId="382F57CF" w14:textId="77777777" w:rsidR="009F4F6E" w:rsidRPr="008B0FD2" w:rsidRDefault="009F4F6E" w:rsidP="009F4F6E">
      <w:pPr>
        <w:pStyle w:val="BodyText2"/>
      </w:pPr>
      <w:r w:rsidRPr="008B0FD2">
        <w:t xml:space="preserve">the public interest in ensuring that the justice system does not condone improprieties in gathering evidence and gives substantive effect to human rights and the rule of law. </w:t>
      </w:r>
    </w:p>
    <w:p w14:paraId="0B488056" w14:textId="77777777" w:rsidR="009F4F6E" w:rsidRPr="008B0FD2" w:rsidRDefault="009F4F6E" w:rsidP="009F4F6E">
      <w:pPr>
        <w:pStyle w:val="BodyText"/>
      </w:pPr>
      <w:r w:rsidRPr="008B0FD2">
        <w:t>The reference in section 30(2)(b) to a balancing</w:t>
      </w:r>
      <w:r w:rsidRPr="008B0FD2">
        <w:rPr>
          <w:i/>
          <w:iCs/>
        </w:rPr>
        <w:t xml:space="preserve"> </w:t>
      </w:r>
      <w:r w:rsidRPr="008B0FD2">
        <w:t xml:space="preserve">test that takes proper account of </w:t>
      </w:r>
      <w:r w:rsidRPr="008B0FD2">
        <w:rPr>
          <w:i/>
          <w:iCs/>
        </w:rPr>
        <w:t xml:space="preserve">both </w:t>
      </w:r>
      <w:r w:rsidRPr="008B0FD2">
        <w:t xml:space="preserve">the impropriety </w:t>
      </w:r>
      <w:r w:rsidRPr="008B0FD2">
        <w:rPr>
          <w:i/>
          <w:iCs/>
        </w:rPr>
        <w:t>and</w:t>
      </w:r>
      <w:r w:rsidRPr="008B0FD2">
        <w:t xml:space="preserve"> the need for an effective and credible system of justice may still imply (despite the amendment) that these are the two considerations being “balanced” against each other. That is not the legislative intention. The reference to an effective and credible system of justice instead reflects the underlying rationale identified in </w:t>
      </w:r>
      <w:r w:rsidRPr="008B0FD2">
        <w:rPr>
          <w:i/>
          <w:iCs/>
        </w:rPr>
        <w:t xml:space="preserve">Shaheed </w:t>
      </w:r>
      <w:r w:rsidRPr="008B0FD2">
        <w:t>for the test as a whole.</w:t>
      </w:r>
      <w:r w:rsidRPr="008B0FD2">
        <w:rPr>
          <w:i/>
          <w:iCs/>
        </w:rPr>
        <w:t xml:space="preserve"> </w:t>
      </w:r>
      <w:r w:rsidRPr="008B0FD2">
        <w:t>The “balancing” is rather between the public interest factors that favour excluding the evidence and those that favour admitting it, including those set out in section 30(3).</w:t>
      </w:r>
    </w:p>
    <w:p w14:paraId="77701870" w14:textId="77777777" w:rsidR="009F4F6E" w:rsidRPr="008B0FD2" w:rsidRDefault="009F4F6E" w:rsidP="009F4F6E">
      <w:pPr>
        <w:pStyle w:val="BodyText"/>
      </w:pPr>
      <w:r w:rsidRPr="008B0FD2">
        <w:t>We seek submissions on the desirability of amending section 30(2)(b) to clarify this point. The alternative view might be that there is now clear appellate authority on the meaning of an effective and credible system of justice.</w:t>
      </w:r>
      <w:r w:rsidRPr="008B0FD2">
        <w:rPr>
          <w:rStyle w:val="FootnoteReference"/>
        </w:rPr>
        <w:footnoteReference w:id="550"/>
      </w:r>
      <w:r w:rsidRPr="008B0FD2">
        <w:t xml:space="preserve"> There is a risk that attempting to further refine the wording of the balancing test would create more uncertainty than it would solve. </w:t>
      </w:r>
    </w:p>
    <w:p w14:paraId="22667F8B" w14:textId="77777777" w:rsidR="009F4F6E" w:rsidRPr="008B0FD2" w:rsidRDefault="009F4F6E" w:rsidP="002E7A6D">
      <w:pPr>
        <w:pStyle w:val="Heading3"/>
      </w:pPr>
      <w:r w:rsidRPr="008B0FD2">
        <w:t>Option for reform</w:t>
      </w:r>
    </w:p>
    <w:p w14:paraId="5137BEE7" w14:textId="77777777" w:rsidR="009F4F6E" w:rsidRPr="008B0FD2" w:rsidRDefault="009F4F6E" w:rsidP="009F4F6E">
      <w:pPr>
        <w:pStyle w:val="BodyText"/>
      </w:pPr>
      <w:r w:rsidRPr="008B0FD2">
        <w:t>If reform is considered desirable, one option would be to amend section 30(2)(b) to provide that the judge must:</w:t>
      </w:r>
    </w:p>
    <w:p w14:paraId="62A381BA" w14:textId="77777777" w:rsidR="009F4F6E" w:rsidRPr="008B0FD2" w:rsidRDefault="009F4F6E" w:rsidP="009F4F6E">
      <w:pPr>
        <w:pStyle w:val="Quote"/>
      </w:pPr>
      <w:r w:rsidRPr="008B0FD2">
        <w:lastRenderedPageBreak/>
        <w:t>… determine whether exclusion is proportionate to the impropriety by balancing the public interest in recognising the seriousness of the impropriety against the public interest in having the evidence considered by the fact-finder at trial.</w:t>
      </w:r>
    </w:p>
    <w:p w14:paraId="35B4A64C" w14:textId="77777777" w:rsidR="009F4F6E" w:rsidRPr="008B0FD2" w:rsidRDefault="009F4F6E" w:rsidP="009F4F6E">
      <w:pPr>
        <w:pStyle w:val="BodyText"/>
      </w:pPr>
      <w:r w:rsidRPr="008B0FD2">
        <w:t>Similar wording could be adopted alongside an onus on the prosecution to establish the case for admitting the evidence (the option explored above). For example, section 30(2) could require the judge to exclude the evidence unless satisfied that the public interest in having the evidence considered by the fact-finder at trial outweighs the public interest in recognising the seriousness of the impropriety.</w:t>
      </w:r>
    </w:p>
    <w:p w14:paraId="6E5C7066" w14:textId="6A4614F8" w:rsidR="009F4F6E" w:rsidRPr="008B0FD2" w:rsidRDefault="009F4F6E" w:rsidP="009F4F6E">
      <w:pPr>
        <w:pStyle w:val="BodyText"/>
        <w:tabs>
          <w:tab w:val="num" w:pos="709"/>
        </w:tabs>
      </w:pPr>
      <w:r w:rsidRPr="008B0FD2">
        <w:t xml:space="preserve">Our proposed wording draws on </w:t>
      </w:r>
      <w:r w:rsidRPr="008B0FD2">
        <w:rPr>
          <w:i/>
          <w:iCs/>
        </w:rPr>
        <w:t>Williams</w:t>
      </w:r>
      <w:r w:rsidRPr="008B0FD2">
        <w:t xml:space="preserve"> to identify the two public interests that are being balanced in </w:t>
      </w:r>
      <w:r w:rsidR="00EE486A">
        <w:t>section</w:t>
      </w:r>
      <w:r w:rsidRPr="008B0FD2">
        <w:t xml:space="preserve"> 30 as:</w:t>
      </w:r>
      <w:r w:rsidRPr="008B0FD2">
        <w:rPr>
          <w:rStyle w:val="FootnoteReference"/>
        </w:rPr>
        <w:footnoteReference w:id="551"/>
      </w:r>
    </w:p>
    <w:p w14:paraId="6B50DB22" w14:textId="045AFDB5" w:rsidR="009F4F6E" w:rsidRPr="008B0FD2" w:rsidRDefault="00FD1FC5" w:rsidP="00866891">
      <w:pPr>
        <w:pStyle w:val="BodyText2"/>
        <w:numPr>
          <w:ilvl w:val="3"/>
          <w:numId w:val="49"/>
        </w:numPr>
      </w:pPr>
      <w:r>
        <w:t>t</w:t>
      </w:r>
      <w:r w:rsidR="009F4F6E" w:rsidRPr="008B0FD2">
        <w:t>he public interest in recognising the seriousness of the impropriety; and</w:t>
      </w:r>
    </w:p>
    <w:p w14:paraId="17F39EB7" w14:textId="689B3129" w:rsidR="009F4F6E" w:rsidRPr="008B0FD2" w:rsidRDefault="00FD1FC5" w:rsidP="009F4F6E">
      <w:pPr>
        <w:pStyle w:val="BodyText2"/>
      </w:pPr>
      <w:r>
        <w:t>t</w:t>
      </w:r>
      <w:r w:rsidR="009F4F6E" w:rsidRPr="008B0FD2">
        <w:t>he public interest in having the evidence considered by the fact</w:t>
      </w:r>
      <w:r w:rsidR="009F4F6E">
        <w:t>-</w:t>
      </w:r>
      <w:r w:rsidR="009F4F6E" w:rsidRPr="008B0FD2">
        <w:t>finder at trial.</w:t>
      </w:r>
    </w:p>
    <w:p w14:paraId="781C9397" w14:textId="77777777" w:rsidR="009F4F6E" w:rsidRPr="008B0FD2" w:rsidRDefault="009F4F6E" w:rsidP="009F4F6E">
      <w:pPr>
        <w:pStyle w:val="BodyText"/>
      </w:pPr>
      <w:r w:rsidRPr="008B0FD2">
        <w:t>We</w:t>
      </w:r>
      <w:r w:rsidRPr="008B0FD2" w:rsidDel="00567B9A">
        <w:t xml:space="preserve"> </w:t>
      </w:r>
      <w:r w:rsidRPr="008B0FD2">
        <w:t xml:space="preserve">think framing the first public interest in terms of “the seriousness of the impropriety” is consistent with the various rationales for exclusion discussed earlier in this chapter and contemplated by </w:t>
      </w:r>
      <w:r w:rsidRPr="008B0FD2">
        <w:rPr>
          <w:i/>
          <w:iCs/>
        </w:rPr>
        <w:t>Shaheed</w:t>
      </w:r>
      <w:r w:rsidRPr="008B0FD2">
        <w:t xml:space="preserve">. The public interest may require exclusion of evidence obtained through serious improprieties to give proper recognition to any rights infringed, to maintain the integrity of the justice system by rejecting the use of improper methods to obtain evidence and/or to discourage the use of such methods in future. </w:t>
      </w:r>
    </w:p>
    <w:p w14:paraId="7B570223" w14:textId="77777777" w:rsidR="009F4F6E" w:rsidRPr="008B0FD2" w:rsidRDefault="009F4F6E" w:rsidP="009F4F6E">
      <w:pPr>
        <w:pStyle w:val="BodyText"/>
      </w:pPr>
      <w:r w:rsidRPr="008B0FD2">
        <w:t>The language of “impropriety” is consistent with the current drafting of section</w:t>
      </w:r>
      <w:r w:rsidRPr="008B0FD2">
        <w:rPr>
          <w:rFonts w:ascii="Calibri" w:hAnsi="Calibri" w:cs="Calibri"/>
        </w:rPr>
        <w:t> </w:t>
      </w:r>
      <w:r w:rsidRPr="008B0FD2">
        <w:t>30 (which already uses the word on six occasions). The factors relevant to an assessment of the seriousness of the impropriety are discussed in further detail in the next section but would include the importance of the right breached, the extent of the breach, whether the impropriety was deliberate, reckless or in bad faith, the availability of other investigatory techniques and any urgency in obtaining the evidence.</w:t>
      </w:r>
    </w:p>
    <w:p w14:paraId="53F9E356" w14:textId="77777777" w:rsidR="009F4F6E" w:rsidRPr="008B0FD2" w:rsidRDefault="009F4F6E" w:rsidP="009F4F6E">
      <w:pPr>
        <w:pStyle w:val="BodyText"/>
        <w:tabs>
          <w:tab w:val="num" w:pos="709"/>
        </w:tabs>
      </w:pPr>
      <w:r w:rsidRPr="008B0FD2">
        <w:t>On the other side of the equation, the public interest in having the evidence considered by the fact-finder at trial reflects the concern that excluding improperly obtained evidence may allow those who commit crimes to escape conviction. This, in turn, may diminish respect for the administration of justice and put public safety at risk. Factors affecting this public interest are, again, discussed in the next section but would include the seriousness of the offence and the nature and quality of the evidence.</w:t>
      </w:r>
    </w:p>
    <w:p w14:paraId="3493465D" w14:textId="77777777" w:rsidR="009F4F6E" w:rsidRPr="008B0FD2" w:rsidRDefault="009F4F6E" w:rsidP="009F4F6E">
      <w:pPr>
        <w:pStyle w:val="BodyText"/>
        <w:tabs>
          <w:tab w:val="num" w:pos="709"/>
        </w:tabs>
      </w:pPr>
      <w:r w:rsidRPr="008B0FD2">
        <w:t>The formulations we have set out above seek to encapsulate with some specificity the competing public interests at stake. Our preliminary view is that this is desirable because it would give trial judges a better sense of the nature of the assessment that is required of them. The alternative view might be that there is a danger this approach may turn out to be unduly restrictive and may fail to capture all of the relevant public interests. We invite feedback on whether other public interest concerns may be relevant for which the approach we set out above would not provide.</w:t>
      </w:r>
    </w:p>
    <w:p w14:paraId="10FF3BC0" w14:textId="1A73EB35" w:rsidR="009F4F6E" w:rsidRPr="008B0FD2" w:rsidRDefault="009F4F6E" w:rsidP="009F4F6E">
      <w:pPr>
        <w:pStyle w:val="BodyText"/>
        <w:tabs>
          <w:tab w:val="num" w:pos="709"/>
        </w:tabs>
      </w:pPr>
      <w:r w:rsidRPr="008B0FD2">
        <w:t xml:space="preserve">An alternative approach that might meet this concern would be simply to refer to “the public interest in exclusion of the evidence” and “the public interest in the admission of the evidence”. This would be similar to Australian </w:t>
      </w:r>
      <w:r w:rsidRPr="008B0FD2">
        <w:rPr>
          <w:rFonts w:cstheme="minorBidi"/>
        </w:rPr>
        <w:t>legislation</w:t>
      </w:r>
      <w:r>
        <w:rPr>
          <w:rFonts w:cstheme="minorBidi"/>
        </w:rPr>
        <w:t>,</w:t>
      </w:r>
      <w:r w:rsidRPr="008B0FD2">
        <w:rPr>
          <w:rFonts w:cstheme="minorBidi"/>
        </w:rPr>
        <w:t xml:space="preserve"> which </w:t>
      </w:r>
      <w:r w:rsidRPr="008B0FD2">
        <w:t xml:space="preserve">refers to whether the desirability of admitting the evidence outweighs the undesirability of admitting the </w:t>
      </w:r>
      <w:r w:rsidRPr="008B0FD2">
        <w:lastRenderedPageBreak/>
        <w:t>evidence</w:t>
      </w:r>
      <w:r>
        <w:t>,</w:t>
      </w:r>
      <w:r w:rsidRPr="008B0FD2">
        <w:t xml:space="preserve"> but would offer less guidance to trial judges as to the nature of the public interest concerns.</w:t>
      </w:r>
      <w:r w:rsidRPr="008B0FD2">
        <w:rPr>
          <w:rStyle w:val="FootnoteReference"/>
        </w:rPr>
        <w:footnoteReference w:id="552"/>
      </w:r>
    </w:p>
    <w:p w14:paraId="2AA3DFAF" w14:textId="77777777" w:rsidR="009F4F6E" w:rsidRPr="008B0FD2" w:rsidRDefault="009F4F6E" w:rsidP="009F4F6E">
      <w:pPr>
        <w:pStyle w:val="BodyText"/>
      </w:pPr>
      <w:r w:rsidRPr="008B0FD2">
        <w:t xml:space="preserve">We note that neither formulation set out above refers to the need for an effective and credible system of justice. While that phrase captures the primary rationale for the exclusion of evidence identified in </w:t>
      </w:r>
      <w:r w:rsidRPr="008B0FD2">
        <w:rPr>
          <w:i/>
          <w:iCs/>
        </w:rPr>
        <w:t>Shaheed</w:t>
      </w:r>
      <w:r w:rsidRPr="008B0FD2">
        <w:t xml:space="preserve">, we received preliminary feedback that its inclusion in section 30(2)(b) is unhelpful. It is unclear how it should influence the balancing exercise. </w:t>
      </w:r>
    </w:p>
    <w:p w14:paraId="6BC9197C" w14:textId="1CB4C9A0" w:rsidR="009F4F6E" w:rsidRPr="008B0FD2" w:rsidRDefault="00513518" w:rsidP="009F4F6E">
      <w:pPr>
        <w:pStyle w:val="BodyText"/>
      </w:pPr>
      <w:r>
        <w:rPr>
          <w:noProof/>
        </w:rPr>
        <mc:AlternateContent>
          <mc:Choice Requires="wpg">
            <w:drawing>
              <wp:anchor distT="0" distB="0" distL="114300" distR="114300" simplePos="0" relativeHeight="251658294" behindDoc="1" locked="0" layoutInCell="1" allowOverlap="1" wp14:anchorId="492EB25C" wp14:editId="4F42AC46">
                <wp:simplePos x="0" y="0"/>
                <wp:positionH relativeFrom="column">
                  <wp:posOffset>-3503</wp:posOffset>
                </wp:positionH>
                <wp:positionV relativeFrom="paragraph">
                  <wp:posOffset>1186139</wp:posOffset>
                </wp:positionV>
                <wp:extent cx="5760085" cy="3008678"/>
                <wp:effectExtent l="0" t="0" r="0" b="1270"/>
                <wp:wrapNone/>
                <wp:docPr id="132" name="Group 132" descr="Question"/>
                <wp:cNvGraphicFramePr/>
                <a:graphic xmlns:a="http://schemas.openxmlformats.org/drawingml/2006/main">
                  <a:graphicData uri="http://schemas.microsoft.com/office/word/2010/wordprocessingGroup">
                    <wpg:wgp>
                      <wpg:cNvGrpSpPr/>
                      <wpg:grpSpPr>
                        <a:xfrm>
                          <a:off x="0" y="0"/>
                          <a:ext cx="5760085" cy="3008678"/>
                          <a:chOff x="0" y="62865"/>
                          <a:chExt cx="5760085" cy="3009537"/>
                        </a:xfrm>
                      </wpg:grpSpPr>
                      <wps:wsp>
                        <wps:cNvPr id="13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9D9FCB" w14:textId="56DEFCBA" w:rsidR="00513518" w:rsidRDefault="00513518" w:rsidP="00513518">
                              <w:pPr>
                                <w:pStyle w:val="BoxTitle"/>
                                <w:spacing w:before="0" w:beforeAutospacing="0"/>
                              </w:pPr>
                              <w:r w:rsidRPr="007F6876">
                                <w:t>QUESTION</w:t>
                              </w:r>
                              <w:r w:rsidR="002C0F3E">
                                <w:t>S</w:t>
                              </w:r>
                            </w:p>
                          </w:txbxContent>
                        </wps:txbx>
                        <wps:bodyPr rot="0" vert="horz" wrap="square" lIns="91440" tIns="0" rIns="0" bIns="45720" anchor="ctr" anchorCtr="0" upright="1">
                          <a:noAutofit/>
                        </wps:bodyPr>
                      </wps:wsp>
                      <wpg:grpSp>
                        <wpg:cNvPr id="134" name="Group 53"/>
                        <wpg:cNvGrpSpPr>
                          <a:grpSpLocks/>
                        </wpg:cNvGrpSpPr>
                        <wpg:grpSpPr bwMode="auto">
                          <a:xfrm>
                            <a:off x="0" y="315892"/>
                            <a:ext cx="5760085" cy="2756510"/>
                            <a:chOff x="1837" y="1788"/>
                            <a:chExt cx="9302" cy="29775"/>
                          </a:xfrm>
                        </wpg:grpSpPr>
                        <wps:wsp>
                          <wps:cNvPr id="135" name="Freeform 54"/>
                          <wps:cNvSpPr>
                            <a:spLocks/>
                          </wps:cNvSpPr>
                          <wps:spPr bwMode="auto">
                            <a:xfrm>
                              <a:off x="1837" y="1788"/>
                              <a:ext cx="9302" cy="2977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36"/>
                        <wpg:cNvGrpSpPr/>
                        <wpg:grpSpPr>
                          <a:xfrm>
                            <a:off x="0" y="494036"/>
                            <a:ext cx="1443794" cy="252000"/>
                            <a:chOff x="-15880" y="0"/>
                            <a:chExt cx="1444379" cy="252068"/>
                          </a:xfrm>
                        </wpg:grpSpPr>
                        <wps:wsp>
                          <wps:cNvPr id="13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0828E1" w14:textId="77777777" w:rsidR="00513518" w:rsidRPr="00E90B8A" w:rsidRDefault="00513518" w:rsidP="00513518">
                                <w:pPr>
                                  <w:pStyle w:val="BoxTitle"/>
                                  <w:spacing w:before="0" w:beforeAutospacing="0"/>
                                  <w:rPr>
                                    <w:sz w:val="18"/>
                                    <w:szCs w:val="18"/>
                                  </w:rPr>
                                </w:pPr>
                                <w:r w:rsidRPr="00E90B8A">
                                  <w:rPr>
                                    <w:sz w:val="18"/>
                                    <w:szCs w:val="18"/>
                                  </w:rPr>
                                  <w:t>Q</w:t>
                                </w:r>
                                <w:r>
                                  <w:rPr>
                                    <w:sz w:val="18"/>
                                    <w:szCs w:val="18"/>
                                  </w:rPr>
                                  <w:t>18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92EB25C" id="Group 132" o:spid="_x0000_s1162" alt="Question" style="position:absolute;left:0;text-align:left;margin-left:-.3pt;margin-top:93.4pt;width:453.55pt;height:236.9pt;z-index:-251658186;mso-height-relative:margin" coordorigin=",628" coordsize="5760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">
                <v:shape id="Freeform 52" o:spid="_x0000_s116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89D9FCB" w14:textId="56DEFCBA" w:rsidR="00513518" w:rsidRDefault="00513518" w:rsidP="00513518">
                        <w:pPr>
                          <w:pStyle w:val="BoxTitle"/>
                          <w:spacing w:before="0" w:beforeAutospacing="0"/>
                        </w:pPr>
                        <w:r w:rsidRPr="007F6876">
                          <w:t>QUESTION</w:t>
                        </w:r>
                        <w:r w:rsidR="002C0F3E">
                          <w:t>S</w:t>
                        </w:r>
                      </w:p>
                    </w:txbxContent>
                  </v:textbox>
                </v:shape>
                <v:group id="Group 53" o:spid="_x0000_s1164" style="position:absolute;top:3158;width:57600;height:27566" coordorigin="1837,1788" coordsize="9302,2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54" o:spid="_x0000_s1165" style="position:absolute;left:1837;top:1788;width:9302;height:2977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" path="m,l9354,r,7809l,7809,,e" fillcolor="#edf2ea" stroked="f">
                    <v:path arrowok="t" o:connecttype="custom" o:connectlocs="0,3813;9302,3813;9302,33588;0,33588;0,3813" o:connectangles="0,0,0,0,0"/>
                  </v:shape>
                </v:group>
                <v:group id="Group 136" o:spid="_x0000_s116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58" o:spid="_x0000_s116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" path="m,l1815,e" filled="f" strokecolor="#72ab6a" strokeweight=".5pt">
                    <v:path arrowok="t" o:connecttype="custom" o:connectlocs="0,0;1073495,0" o:connectangles="0,0"/>
                  </v:shape>
                  <v:shape id="Freeform 66" o:spid="_x0000_s116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20828E1" w14:textId="77777777" w:rsidR="00513518" w:rsidRPr="00E90B8A" w:rsidRDefault="00513518" w:rsidP="00513518">
                          <w:pPr>
                            <w:pStyle w:val="BoxTitle"/>
                            <w:spacing w:before="0" w:beforeAutospacing="0"/>
                            <w:rPr>
                              <w:sz w:val="18"/>
                              <w:szCs w:val="18"/>
                            </w:rPr>
                          </w:pPr>
                          <w:r w:rsidRPr="00E90B8A">
                            <w:rPr>
                              <w:sz w:val="18"/>
                              <w:szCs w:val="18"/>
                            </w:rPr>
                            <w:t>Q</w:t>
                          </w:r>
                          <w:r>
                            <w:rPr>
                              <w:sz w:val="18"/>
                              <w:szCs w:val="18"/>
                            </w:rPr>
                            <w:t>18</w:t>
                          </w:r>
                        </w:p>
                      </w:txbxContent>
                    </v:textbox>
                  </v:shape>
                </v:group>
              </v:group>
            </w:pict>
          </mc:Fallback>
        </mc:AlternateContent>
      </w:r>
      <w:r w:rsidR="009F4F6E" w:rsidRPr="008B0FD2">
        <w:t>One view might be that there is nevertheless a risk that removing the reference to the need for an effective and credible system of justice would create confusion about the purpose of the section. An alternative approach would be to insert a separate subsection stating that the purpose of section 30 is to maintain an effective and credible system of justice. That approach would affirm that the need for an effective and credible system of justice remains a guiding principle underlying the statutory test.</w:t>
      </w:r>
    </w:p>
    <w:p w14:paraId="3CB471B4" w14:textId="4DBB122B" w:rsidR="00513518" w:rsidRDefault="00513518" w:rsidP="00513518">
      <w:bookmarkStart w:id="118" w:name="_Toc126330130"/>
      <w:bookmarkStart w:id="119" w:name="_Toc131003072"/>
      <w:bookmarkStart w:id="120" w:name="_Toc132962571"/>
    </w:p>
    <w:p w14:paraId="54054021" w14:textId="77777777" w:rsidR="00513518" w:rsidRDefault="00513518" w:rsidP="00513518">
      <w:pPr>
        <w:pStyle w:val="QuestionBox"/>
      </w:pPr>
    </w:p>
    <w:p w14:paraId="717AE399" w14:textId="2F5110FB" w:rsidR="00513518" w:rsidRDefault="00513518" w:rsidP="00513518">
      <w:pPr>
        <w:pStyle w:val="QuestionBox"/>
      </w:pPr>
      <w:r w:rsidRPr="008B0FD2">
        <w:t xml:space="preserve">Should section 30(2)(b) be amended to clarify what is being “balanced” against what? If so, should section 30(2)(b) provide that the judge must determine whether exclusion is proportionate to the impropriety by balancing </w:t>
      </w:r>
      <w:r w:rsidRPr="00861598">
        <w:t xml:space="preserve">the public interest in recognising </w:t>
      </w:r>
      <w:r>
        <w:t xml:space="preserve">the </w:t>
      </w:r>
      <w:r w:rsidRPr="008B0FD2">
        <w:t xml:space="preserve">seriousness of the impropriety against the public interest </w:t>
      </w:r>
      <w:r>
        <w:t xml:space="preserve">in </w:t>
      </w:r>
      <w:r w:rsidRPr="008B0FD2">
        <w:t>having the evidence considered by the fact</w:t>
      </w:r>
      <w:r>
        <w:t>-</w:t>
      </w:r>
      <w:r w:rsidRPr="008B0FD2">
        <w:t>finder at trial (</w:t>
      </w:r>
      <w:r>
        <w:t>o</w:t>
      </w:r>
      <w:r w:rsidRPr="008B0FD2">
        <w:t>r similar if an onus is placed on the prosecution to establish the case for admitting the evidence)</w:t>
      </w:r>
      <w:r>
        <w:t>?</w:t>
      </w:r>
    </w:p>
    <w:p w14:paraId="127A634A" w14:textId="40C02D11" w:rsidR="00513518" w:rsidRDefault="00513518" w:rsidP="00513518">
      <w:pPr>
        <w:pStyle w:val="QuestionBox"/>
      </w:pPr>
      <w:r>
        <w:rPr>
          <w:noProof/>
        </w:rPr>
        <mc:AlternateContent>
          <mc:Choice Requires="wpg">
            <w:drawing>
              <wp:anchor distT="0" distB="0" distL="114300" distR="114300" simplePos="0" relativeHeight="251658295" behindDoc="1" locked="0" layoutInCell="1" allowOverlap="1" wp14:anchorId="38922859" wp14:editId="3BACC5A7">
                <wp:simplePos x="0" y="0"/>
                <wp:positionH relativeFrom="column">
                  <wp:posOffset>0</wp:posOffset>
                </wp:positionH>
                <wp:positionV relativeFrom="paragraph">
                  <wp:posOffset>159877</wp:posOffset>
                </wp:positionV>
                <wp:extent cx="1443355" cy="251460"/>
                <wp:effectExtent l="0" t="0" r="42545" b="0"/>
                <wp:wrapNone/>
                <wp:docPr id="319996744" name="Group 319996744"/>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5183883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93082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D7D67D" w14:textId="1CDCE871" w:rsidR="00513518" w:rsidRPr="00E700FF" w:rsidRDefault="00513518" w:rsidP="00513518">
                              <w:pPr>
                                <w:pStyle w:val="BoxTitle"/>
                                <w:spacing w:before="0" w:beforeAutospacing="0"/>
                              </w:pPr>
                              <w:r w:rsidRPr="001C1B37">
                                <w:t>Q</w:t>
                              </w:r>
                              <w:r>
                                <w:t>19</w:t>
                              </w:r>
                            </w:p>
                          </w:txbxContent>
                        </wps:txbx>
                        <wps:bodyPr rot="0" vert="horz" wrap="square" lIns="54000" tIns="82800" rIns="91440" bIns="45720" anchor="ctr" anchorCtr="0" upright="1">
                          <a:noAutofit/>
                        </wps:bodyPr>
                      </wps:wsp>
                    </wpg:wgp>
                  </a:graphicData>
                </a:graphic>
              </wp:anchor>
            </w:drawing>
          </mc:Choice>
          <mc:Fallback>
            <w:pict>
              <v:group w14:anchorId="38922859" id="Group 319996744" o:spid="_x0000_s1169" style="position:absolute;left:0;text-align:left;margin-left:0;margin-top:12.6pt;width:113.65pt;height:19.8pt;z-index:-25165818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">
                <v:shape id="Freeform 58" o:spid="_x0000_s117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" path="m,l1815,e" filled="f" strokecolor="#72ab6a" strokeweight=".5pt">
                  <v:path arrowok="t" o:connecttype="custom" o:connectlocs="0,0;1073495,0" o:connectangles="0,0"/>
                </v:shape>
                <v:shape id="Freeform 66" o:spid="_x0000_s117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BD7D67D" w14:textId="1CDCE871" w:rsidR="00513518" w:rsidRPr="00E700FF" w:rsidRDefault="00513518" w:rsidP="00513518">
                        <w:pPr>
                          <w:pStyle w:val="BoxTitle"/>
                          <w:spacing w:before="0" w:beforeAutospacing="0"/>
                        </w:pPr>
                        <w:r w:rsidRPr="001C1B37">
                          <w:t>Q</w:t>
                        </w:r>
                        <w:r>
                          <w:t>19</w:t>
                        </w:r>
                      </w:p>
                    </w:txbxContent>
                  </v:textbox>
                </v:shape>
              </v:group>
            </w:pict>
          </mc:Fallback>
        </mc:AlternateContent>
      </w:r>
    </w:p>
    <w:p w14:paraId="7B496182" w14:textId="5A3F12C6" w:rsidR="00513518" w:rsidRDefault="00513518" w:rsidP="00513518">
      <w:pPr>
        <w:pStyle w:val="QuestionBox"/>
      </w:pPr>
      <w:r w:rsidRPr="008B0FD2">
        <w:t xml:space="preserve">Should the current reference in section 30(2)(b) to the need for an effective and credible system of justice be removed? If so, </w:t>
      </w:r>
      <w:r>
        <w:t>should section 30 be amended</w:t>
      </w:r>
      <w:r w:rsidRPr="008B0FD2">
        <w:t xml:space="preserve"> to introduce a new </w:t>
      </w:r>
      <w:r>
        <w:t>subsection</w:t>
      </w:r>
      <w:r w:rsidRPr="008B0FD2">
        <w:t xml:space="preserve"> stating that the purpose of </w:t>
      </w:r>
      <w:r>
        <w:t xml:space="preserve">the section </w:t>
      </w:r>
      <w:r w:rsidRPr="008B0FD2">
        <w:t>is to maintain an effective and credible system of justice?</w:t>
      </w:r>
    </w:p>
    <w:p w14:paraId="2ABC47BE" w14:textId="77777777" w:rsidR="00513518" w:rsidRDefault="00513518" w:rsidP="00513518">
      <w:pPr>
        <w:pStyle w:val="QuestionBox"/>
      </w:pPr>
    </w:p>
    <w:p w14:paraId="033733DC" w14:textId="77777777" w:rsidR="009F4F6E" w:rsidRPr="008B0FD2" w:rsidRDefault="009F4F6E" w:rsidP="002E7A6D">
      <w:pPr>
        <w:pStyle w:val="Heading2"/>
      </w:pPr>
      <w:r w:rsidRPr="008B0FD2">
        <w:t>Application of the section 30(3) factors in the balancing test</w:t>
      </w:r>
      <w:bookmarkEnd w:id="118"/>
      <w:bookmarkEnd w:id="119"/>
      <w:bookmarkEnd w:id="120"/>
    </w:p>
    <w:p w14:paraId="77CD2941" w14:textId="77571A7A" w:rsidR="009F4F6E" w:rsidRPr="008B0FD2" w:rsidRDefault="009F4F6E" w:rsidP="009F4F6E">
      <w:pPr>
        <w:pStyle w:val="BodyText"/>
      </w:pPr>
      <w:r w:rsidRPr="008B0FD2">
        <w:t>As mentioned, section 30(3) contains a non-exhaustive list of factors that may be taken into account in undertaking the balancing exercise. In this section, we first discuss the general approach to section 30(3) and whether it should provide greater clarity as to the relevance of the different factors. We then go on to address each section 30(3) factor in turn to identify any particular issues with the factor and to discuss how the factor should influence the balancing test. Some of the options for reform discussed below are reflected in the model provision in the Appendix to this chapter.</w:t>
      </w:r>
    </w:p>
    <w:p w14:paraId="14B49482" w14:textId="77777777" w:rsidR="009F4F6E" w:rsidRPr="008B0FD2" w:rsidRDefault="009F4F6E" w:rsidP="002E7A6D">
      <w:pPr>
        <w:pStyle w:val="Heading3"/>
      </w:pPr>
      <w:r w:rsidRPr="008B0FD2">
        <w:lastRenderedPageBreak/>
        <w:t>General approach to section 30(3)</w:t>
      </w:r>
    </w:p>
    <w:p w14:paraId="6EB20D60" w14:textId="438AA140" w:rsidR="009F4F6E" w:rsidRPr="008B0FD2" w:rsidRDefault="009F4F6E" w:rsidP="009F4F6E">
      <w:pPr>
        <w:pStyle w:val="BodyText"/>
      </w:pPr>
      <w:r w:rsidRPr="008B0FD2">
        <w:t xml:space="preserve">In its </w:t>
      </w:r>
      <w:r w:rsidR="00483336">
        <w:t>S</w:t>
      </w:r>
      <w:r w:rsidRPr="008B0FD2">
        <w:t xml:space="preserve">econd </w:t>
      </w:r>
      <w:r w:rsidR="00483336">
        <w:t>R</w:t>
      </w:r>
      <w:r w:rsidRPr="008B0FD2">
        <w:t>eview, the Commission considered whether the application of the section</w:t>
      </w:r>
      <w:r w:rsidRPr="008B0FD2">
        <w:rPr>
          <w:rFonts w:ascii="Calibri" w:hAnsi="Calibri" w:cs="Calibri"/>
        </w:rPr>
        <w:t> </w:t>
      </w:r>
      <w:r w:rsidRPr="008B0FD2">
        <w:t>30(3) factors should be clarified but decided against amendment.</w:t>
      </w:r>
      <w:r w:rsidRPr="008B0FD2">
        <w:rPr>
          <w:rStyle w:val="FootnoteReference"/>
        </w:rPr>
        <w:footnoteReference w:id="553"/>
      </w:r>
      <w:r w:rsidRPr="008B0FD2">
        <w:t xml:space="preserve"> This was primarily on the basis that some uncertainty is implicit in the balancing test and the Commission did not wish to limit the ability of the courts to take a fact-specific approach.</w:t>
      </w:r>
    </w:p>
    <w:p w14:paraId="3FB80706" w14:textId="77777777" w:rsidR="009F4F6E" w:rsidRPr="008B0FD2" w:rsidRDefault="009F4F6E" w:rsidP="009F4F6E">
      <w:pPr>
        <w:pStyle w:val="BodyText"/>
      </w:pPr>
      <w:r w:rsidRPr="008B0FD2">
        <w:t>Subsequent case law, however, suggests the application of some factors is less settled than the Commission understood to be the case at that time. As we discuss below, there remains significant confusion over the relevance of certain factors and inconsistency in how they are applied.</w:t>
      </w:r>
    </w:p>
    <w:p w14:paraId="11F2416E" w14:textId="77777777" w:rsidR="009F4F6E" w:rsidRPr="008B0FD2" w:rsidRDefault="009F4F6E" w:rsidP="009F4F6E">
      <w:pPr>
        <w:pStyle w:val="BodyText"/>
      </w:pPr>
      <w:r w:rsidRPr="008B0FD2">
        <w:t xml:space="preserve">Currently, each factor is worded in an open way that does not indicate whether it favours admission or exclusion or whether the </w:t>
      </w:r>
      <w:r w:rsidRPr="008B0FD2">
        <w:rPr>
          <w:i/>
          <w:iCs/>
        </w:rPr>
        <w:t xml:space="preserve">absence </w:t>
      </w:r>
      <w:r w:rsidRPr="008B0FD2">
        <w:t>of a factor is relevant. We invite submissions on whether section 30(3) should be amended to clarify where each factor fits in the balancing exercise. This could help to ensure the factors are applied in a principled and consistent way, making the application of section 30 more predictable. On the other hand, it would reduce the flexibility of the provision and may constrain the ability of the courts to have regard to the particular facts before them.</w:t>
      </w:r>
    </w:p>
    <w:p w14:paraId="15C4E10B" w14:textId="77777777" w:rsidR="009F4F6E" w:rsidRPr="008B0FD2" w:rsidRDefault="009F4F6E" w:rsidP="002E7A6D">
      <w:pPr>
        <w:pStyle w:val="Heading4"/>
      </w:pPr>
      <w:r w:rsidRPr="008B0FD2">
        <w:t>Option for reform</w:t>
      </w:r>
    </w:p>
    <w:p w14:paraId="3CFA32CC" w14:textId="77777777" w:rsidR="009F4F6E" w:rsidRPr="008B0FD2" w:rsidRDefault="009F4F6E" w:rsidP="002E7A6D">
      <w:pPr>
        <w:pStyle w:val="BodyText"/>
        <w:tabs>
          <w:tab w:val="num" w:pos="709"/>
        </w:tabs>
      </w:pPr>
      <w:r w:rsidRPr="008B0FD2">
        <w:t>If clarification is considered desirable, different approaches may be appropriate depending on whether other changes (investigated above) are made to the section 30 balancing test. If the option for reform discussed in relation to section 30(2)(b) above is adopted, section</w:t>
      </w:r>
      <w:r w:rsidRPr="002E7A6D">
        <w:rPr>
          <w:rFonts w:ascii="Calibri" w:hAnsi="Calibri" w:cs="Calibri"/>
        </w:rPr>
        <w:t> </w:t>
      </w:r>
      <w:r w:rsidRPr="008B0FD2">
        <w:t xml:space="preserve">30(3) could be amended to list which factors are relevant to the public interest in recognising the seriousness of the impropriety and which are relevant to the public interest in having the evidence considered by the fact-finder at trial. </w:t>
      </w:r>
    </w:p>
    <w:p w14:paraId="657B80BE" w14:textId="15F3AC8D" w:rsidR="009F4F6E" w:rsidRPr="008B0FD2" w:rsidRDefault="009F4F6E" w:rsidP="002E7A6D">
      <w:pPr>
        <w:pStyle w:val="BodyText"/>
        <w:tabs>
          <w:tab w:val="num" w:pos="709"/>
        </w:tabs>
      </w:pPr>
      <w:r w:rsidRPr="008B0FD2">
        <w:t xml:space="preserve">A further option would be to separate the factors relevant to the first public interest (in recognising the seriousness of the impropriety) into factors that may increase or reduce this interest. This draws on the approach taken by the Court of Appeal in </w:t>
      </w:r>
      <w:r w:rsidRPr="008B0FD2">
        <w:rPr>
          <w:i/>
        </w:rPr>
        <w:t xml:space="preserve">Williams </w:t>
      </w:r>
      <w:r w:rsidRPr="008B0FD2">
        <w:rPr>
          <w:iCs/>
        </w:rPr>
        <w:t>of identifying aggravating and mitigating factors</w:t>
      </w:r>
      <w:r w:rsidRPr="008B0FD2">
        <w:t xml:space="preserve">. It would clarify that not all of the factors relevant to that first public interest favour exclusion of the evidence. Specifically, the factors in section 30(3)(g) and (h) (apprehended physical danger and urgency) would </w:t>
      </w:r>
      <w:r w:rsidRPr="008B0FD2">
        <w:rPr>
          <w:i/>
          <w:iCs/>
        </w:rPr>
        <w:t xml:space="preserve">reduce </w:t>
      </w:r>
      <w:r w:rsidRPr="008B0FD2">
        <w:t xml:space="preserve">the seriousness of the impropriety, making it more likely the evidence would be admitted. </w:t>
      </w:r>
    </w:p>
    <w:p w14:paraId="4E06E18C" w14:textId="2005BD6E" w:rsidR="009F4F6E" w:rsidRPr="008B0FD2" w:rsidRDefault="009F4F6E" w:rsidP="002E7A6D">
      <w:pPr>
        <w:pStyle w:val="BodyText"/>
        <w:tabs>
          <w:tab w:val="num" w:pos="709"/>
        </w:tabs>
      </w:pPr>
      <w:r w:rsidRPr="008B0FD2">
        <w:t>We question, however, whether this further reform option is necessary as it is likely to be clear to judges from the nature of sections 30(3)(g) and (h) that they do not support exclusion. Further, we are concerned that it would create additional complexity and result in unnecessary artificiality in what is ultimately a fact</w:t>
      </w:r>
      <w:r w:rsidR="00D91C73">
        <w:t>-</w:t>
      </w:r>
      <w:r w:rsidRPr="008B0FD2">
        <w:t xml:space="preserve">dependent evaluative exercise. For example, it may be appropriate for some factors (such as the nature and quality of the evidence) to either increase or reduce the relevant public interest depending on the circumstances. We therefore do not consider this option further in this </w:t>
      </w:r>
      <w:r w:rsidR="0043758F">
        <w:t>Issues P</w:t>
      </w:r>
      <w:r w:rsidRPr="008B0FD2">
        <w:t>aper, although we welcome submissions on it.</w:t>
      </w:r>
    </w:p>
    <w:p w14:paraId="7907A09B" w14:textId="77777777" w:rsidR="009F4F6E" w:rsidRPr="008B0FD2" w:rsidRDefault="009F4F6E" w:rsidP="009F4F6E">
      <w:pPr>
        <w:pStyle w:val="BodyText"/>
      </w:pPr>
      <w:r w:rsidRPr="008B0FD2">
        <w:t xml:space="preserve">If the wording of section 30(2)(b) remains in its current form but it is considered desirable to clarify the relevance of the factors, section 30(3) could be amended to specify which </w:t>
      </w:r>
      <w:r w:rsidRPr="008B0FD2">
        <w:lastRenderedPageBreak/>
        <w:t xml:space="preserve">factors may favour admission of the evidence and which factors may favour exclusion. We think this option may be harder to achieve, however, as the extent to which (if at all) a particular factor supports or reduces the case for admission/exclusion on the particular facts is an evaluative one. </w:t>
      </w:r>
    </w:p>
    <w:p w14:paraId="34A957F7" w14:textId="77777777" w:rsidR="009F4F6E" w:rsidRPr="008B0FD2" w:rsidRDefault="009F4F6E" w:rsidP="009F4F6E">
      <w:pPr>
        <w:pStyle w:val="BodyText"/>
      </w:pPr>
      <w:r w:rsidRPr="008B0FD2">
        <w:t xml:space="preserve">Any of these options for reform would require resolution of some outstanding questions about how particular factors should affect the balancing test. We discuss these issues further below. </w:t>
      </w:r>
    </w:p>
    <w:p w14:paraId="5FA069BB" w14:textId="5DD69168" w:rsidR="009F4F6E" w:rsidRPr="008B0FD2" w:rsidRDefault="00513518" w:rsidP="009F4F6E">
      <w:pPr>
        <w:pStyle w:val="BodyText"/>
      </w:pPr>
      <w:r>
        <w:rPr>
          <w:noProof/>
        </w:rPr>
        <mc:AlternateContent>
          <mc:Choice Requires="wpg">
            <w:drawing>
              <wp:anchor distT="0" distB="0" distL="114300" distR="114300" simplePos="0" relativeHeight="251658296" behindDoc="1" locked="0" layoutInCell="1" allowOverlap="1" wp14:anchorId="4A578F0A" wp14:editId="56DBC870">
                <wp:simplePos x="0" y="0"/>
                <wp:positionH relativeFrom="column">
                  <wp:posOffset>-3503</wp:posOffset>
                </wp:positionH>
                <wp:positionV relativeFrom="paragraph">
                  <wp:posOffset>1569597</wp:posOffset>
                </wp:positionV>
                <wp:extent cx="5760085" cy="2212218"/>
                <wp:effectExtent l="0" t="0" r="0" b="0"/>
                <wp:wrapNone/>
                <wp:docPr id="146" name="Group 146" descr="Question"/>
                <wp:cNvGraphicFramePr/>
                <a:graphic xmlns:a="http://schemas.openxmlformats.org/drawingml/2006/main">
                  <a:graphicData uri="http://schemas.microsoft.com/office/word/2010/wordprocessingGroup">
                    <wpg:wgp>
                      <wpg:cNvGrpSpPr/>
                      <wpg:grpSpPr>
                        <a:xfrm>
                          <a:off x="0" y="0"/>
                          <a:ext cx="5760085" cy="2212218"/>
                          <a:chOff x="0" y="62865"/>
                          <a:chExt cx="5760085" cy="2212533"/>
                        </a:xfrm>
                      </wpg:grpSpPr>
                      <wps:wsp>
                        <wps:cNvPr id="14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1F5F52" w14:textId="77777777" w:rsidR="00513518" w:rsidRDefault="00513518" w:rsidP="00513518">
                              <w:pPr>
                                <w:pStyle w:val="BoxTitle"/>
                                <w:spacing w:before="0" w:beforeAutospacing="0"/>
                              </w:pPr>
                              <w:r w:rsidRPr="007F6876">
                                <w:t>QUESTION</w:t>
                              </w:r>
                            </w:p>
                          </w:txbxContent>
                        </wps:txbx>
                        <wps:bodyPr rot="0" vert="horz" wrap="square" lIns="91440" tIns="0" rIns="0" bIns="45720" anchor="ctr" anchorCtr="0" upright="1">
                          <a:noAutofit/>
                        </wps:bodyPr>
                      </wps:wsp>
                      <wpg:grpSp>
                        <wpg:cNvPr id="148" name="Group 53"/>
                        <wpg:cNvGrpSpPr>
                          <a:grpSpLocks/>
                        </wpg:cNvGrpSpPr>
                        <wpg:grpSpPr bwMode="auto">
                          <a:xfrm>
                            <a:off x="0" y="315892"/>
                            <a:ext cx="5760085" cy="1959506"/>
                            <a:chOff x="1837" y="1788"/>
                            <a:chExt cx="9302" cy="21166"/>
                          </a:xfrm>
                        </wpg:grpSpPr>
                        <wps:wsp>
                          <wps:cNvPr id="149" name="Freeform 54"/>
                          <wps:cNvSpPr>
                            <a:spLocks/>
                          </wps:cNvSpPr>
                          <wps:spPr bwMode="auto">
                            <a:xfrm>
                              <a:off x="1837" y="1788"/>
                              <a:ext cx="9302" cy="2116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50"/>
                        <wpg:cNvGrpSpPr/>
                        <wpg:grpSpPr>
                          <a:xfrm>
                            <a:off x="0" y="494036"/>
                            <a:ext cx="1443794" cy="252000"/>
                            <a:chOff x="-15880" y="0"/>
                            <a:chExt cx="1444379" cy="252068"/>
                          </a:xfrm>
                        </wpg:grpSpPr>
                        <wps:wsp>
                          <wps:cNvPr id="15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988057" w14:textId="77777777" w:rsidR="00513518" w:rsidRPr="00E90B8A" w:rsidRDefault="00513518" w:rsidP="00513518">
                                <w:pPr>
                                  <w:pStyle w:val="BoxTitle"/>
                                  <w:spacing w:before="0" w:beforeAutospacing="0"/>
                                  <w:rPr>
                                    <w:sz w:val="18"/>
                                    <w:szCs w:val="18"/>
                                  </w:rPr>
                                </w:pPr>
                                <w:r w:rsidRPr="00E90B8A">
                                  <w:rPr>
                                    <w:sz w:val="18"/>
                                    <w:szCs w:val="18"/>
                                  </w:rPr>
                                  <w:t>Q</w:t>
                                </w:r>
                                <w:r>
                                  <w:rPr>
                                    <w:sz w:val="18"/>
                                    <w:szCs w:val="18"/>
                                  </w:rPr>
                                  <w:t>20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A578F0A" id="Group 146" o:spid="_x0000_s1172" alt="Question" style="position:absolute;left:0;text-align:left;margin-left:-.3pt;margin-top:123.6pt;width:453.55pt;height:174.2pt;z-index:-251658184;mso-height-relative:margin" coordorigin=",628" coordsize="57600,2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">
                <v:shape id="Freeform 52" o:spid="_x0000_s117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F1F5F52" w14:textId="77777777" w:rsidR="00513518" w:rsidRDefault="00513518" w:rsidP="00513518">
                        <w:pPr>
                          <w:pStyle w:val="BoxTitle"/>
                          <w:spacing w:before="0" w:beforeAutospacing="0"/>
                        </w:pPr>
                        <w:r w:rsidRPr="007F6876">
                          <w:t>QUESTION</w:t>
                        </w:r>
                      </w:p>
                    </w:txbxContent>
                  </v:textbox>
                </v:shape>
                <v:group id="Group 53" o:spid="_x0000_s1174" style="position:absolute;top:3158;width:57600;height:19595" coordorigin="1837,1788" coordsize="9302,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54" o:spid="_x0000_s1175" style="position:absolute;left:1837;top:1788;width:9302;height:2116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" path="m,l9354,r,7809l,7809,,e" fillcolor="#edf2ea" stroked="f">
                    <v:path arrowok="t" o:connecttype="custom" o:connectlocs="0,2710;9302,2710;9302,23876;0,23876;0,2710" o:connectangles="0,0,0,0,0"/>
                  </v:shape>
                </v:group>
                <v:group id="Group 150" o:spid="_x0000_s117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58" o:spid="_x0000_s117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" path="m,l1815,e" filled="f" strokecolor="#72ab6a" strokeweight=".5pt">
                    <v:path arrowok="t" o:connecttype="custom" o:connectlocs="0,0;1073495,0" o:connectangles="0,0"/>
                  </v:shape>
                  <v:shape id="Freeform 66" o:spid="_x0000_s117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1988057" w14:textId="77777777" w:rsidR="00513518" w:rsidRPr="00E90B8A" w:rsidRDefault="00513518" w:rsidP="00513518">
                          <w:pPr>
                            <w:pStyle w:val="BoxTitle"/>
                            <w:spacing w:before="0" w:beforeAutospacing="0"/>
                            <w:rPr>
                              <w:sz w:val="18"/>
                              <w:szCs w:val="18"/>
                            </w:rPr>
                          </w:pPr>
                          <w:r w:rsidRPr="00E90B8A">
                            <w:rPr>
                              <w:sz w:val="18"/>
                              <w:szCs w:val="18"/>
                            </w:rPr>
                            <w:t>Q</w:t>
                          </w:r>
                          <w:r>
                            <w:rPr>
                              <w:sz w:val="18"/>
                              <w:szCs w:val="18"/>
                            </w:rPr>
                            <w:t>20</w:t>
                          </w:r>
                        </w:p>
                      </w:txbxContent>
                    </v:textbox>
                  </v:shape>
                </v:group>
              </v:group>
            </w:pict>
          </mc:Fallback>
        </mc:AlternateContent>
      </w:r>
      <w:r w:rsidR="009F4F6E" w:rsidRPr="008B0FD2">
        <w:t>We do not suggest making the list of factors exhaustive. While that would promote greater consistency and avoid reliance on inappropriate considerations, it may also be unduly restrictive. Our review of case law suggests the courts refer mainly to the factors identified in section 30(3) but that other factors are treated as relevant on occasion. The courts have considered, for example, the fact that there was a limited causative relationship between the breach and the obtaining of the evidence</w:t>
      </w:r>
      <w:r w:rsidR="009F4F6E" w:rsidRPr="008B0FD2">
        <w:rPr>
          <w:rStyle w:val="FootnoteReference"/>
        </w:rPr>
        <w:footnoteReference w:id="554"/>
      </w:r>
      <w:r w:rsidR="009F4F6E" w:rsidRPr="008B0FD2">
        <w:t xml:space="preserve"> and the fact that the evidence would only be used in rebuttal if required.</w:t>
      </w:r>
      <w:r w:rsidR="009F4F6E" w:rsidRPr="008B0FD2">
        <w:rPr>
          <w:rStyle w:val="FootnoteReference"/>
        </w:rPr>
        <w:footnoteReference w:id="555"/>
      </w:r>
      <w:r w:rsidR="009F4F6E" w:rsidRPr="008B0FD2">
        <w:t xml:space="preserve"> Attempting to specify every potentially relevant factor may result in unintended gaps.</w:t>
      </w:r>
    </w:p>
    <w:p w14:paraId="6245E027" w14:textId="2B365138" w:rsidR="00513518" w:rsidRDefault="00513518" w:rsidP="00513518"/>
    <w:p w14:paraId="4AA3F8F7" w14:textId="77777777" w:rsidR="00513518" w:rsidRDefault="00513518" w:rsidP="00513518">
      <w:pPr>
        <w:pStyle w:val="QuestionBox"/>
      </w:pPr>
    </w:p>
    <w:p w14:paraId="2DB52D22" w14:textId="5B43947A" w:rsidR="00513518" w:rsidRPr="008B0FD2" w:rsidRDefault="00513518" w:rsidP="00513518">
      <w:pPr>
        <w:pStyle w:val="QuestionBox"/>
      </w:pPr>
      <w:r w:rsidRPr="008B0FD2">
        <w:t>Should</w:t>
      </w:r>
      <w:r>
        <w:t xml:space="preserve"> section </w:t>
      </w:r>
      <w:r w:rsidRPr="008B0FD2">
        <w:t>30(3) be amended to clarify the relevance of each factor? If so, how should this be done? For example, should</w:t>
      </w:r>
      <w:r>
        <w:t xml:space="preserve"> section </w:t>
      </w:r>
      <w:r w:rsidRPr="008B0FD2">
        <w:t xml:space="preserve">30(3) be amended to specify: </w:t>
      </w:r>
    </w:p>
    <w:p w14:paraId="1A913996" w14:textId="77777777" w:rsidR="00513518" w:rsidRPr="008B0FD2" w:rsidRDefault="00513518" w:rsidP="00866891">
      <w:pPr>
        <w:pStyle w:val="Questionabc"/>
        <w:numPr>
          <w:ilvl w:val="0"/>
          <w:numId w:val="62"/>
        </w:numPr>
        <w:ind w:left="1417" w:hanging="425"/>
      </w:pPr>
      <w:r w:rsidRPr="008B0FD2">
        <w:t>which factors are relevant to the public interest in recognising the seriousness of the impropriety and which are relevant to the public interest in having the evidence considered by the fact</w:t>
      </w:r>
      <w:r>
        <w:t>-</w:t>
      </w:r>
      <w:r w:rsidRPr="008B0FD2">
        <w:t>finder at trial; or</w:t>
      </w:r>
    </w:p>
    <w:p w14:paraId="505AE6DD" w14:textId="77777777" w:rsidR="00513518" w:rsidRDefault="00513518" w:rsidP="00513518">
      <w:pPr>
        <w:pStyle w:val="Questionabc"/>
        <w:ind w:left="1418"/>
      </w:pPr>
      <w:r w:rsidRPr="008B0FD2">
        <w:t>which factors may favour admission of the evidence and which factors may favour exclusion of the evidence?</w:t>
      </w:r>
    </w:p>
    <w:p w14:paraId="077E7151" w14:textId="77777777" w:rsidR="00513518" w:rsidRPr="00513518" w:rsidRDefault="00513518" w:rsidP="00513518">
      <w:pPr>
        <w:pStyle w:val="QuestionBox"/>
        <w:rPr>
          <w:lang w:eastAsia="en-US"/>
        </w:rPr>
      </w:pPr>
    </w:p>
    <w:p w14:paraId="439B0CB2" w14:textId="77777777" w:rsidR="009F4F6E" w:rsidRPr="008B0FD2" w:rsidRDefault="009F4F6E" w:rsidP="002E7A6D">
      <w:pPr>
        <w:pStyle w:val="Heading3"/>
      </w:pPr>
      <w:r w:rsidRPr="008B0FD2">
        <w:t>The importance of any right breached and the seriousness of the intrusion on it</w:t>
      </w:r>
    </w:p>
    <w:p w14:paraId="2E42CFEC" w14:textId="7AEE606F" w:rsidR="009F4F6E" w:rsidRPr="008B0FD2" w:rsidRDefault="009F4F6E" w:rsidP="009F4F6E">
      <w:pPr>
        <w:pStyle w:val="BodyText"/>
      </w:pPr>
      <w:r w:rsidRPr="008B0FD2">
        <w:t>Section 30(3)(a) refers to the “the importance of any right breached by the impropriety and the seriousness of the intrusion on it”. It is arguably unclear from that wording whether the importance of any statutory requirements, rules of law or other procedural protections breached, and the extent of that breach, can be considered if they do not amount to a breach of rights under NZBORA. By “procedural protections” we refer to non-statutory guidelines such as the Chief Justice’s Practice Note on Police Questioning.</w:t>
      </w:r>
    </w:p>
    <w:p w14:paraId="542F609B" w14:textId="77777777" w:rsidR="009F4F6E" w:rsidRPr="008B0FD2" w:rsidRDefault="009F4F6E" w:rsidP="009F4F6E">
      <w:pPr>
        <w:pStyle w:val="BodyText"/>
      </w:pPr>
      <w:r w:rsidRPr="008B0FD2">
        <w:t xml:space="preserve">This factor, like the others in section 30(3), was adopted from </w:t>
      </w:r>
      <w:r w:rsidRPr="008B0FD2">
        <w:rPr>
          <w:i/>
          <w:iCs/>
        </w:rPr>
        <w:t>Shaheed</w:t>
      </w:r>
      <w:r w:rsidRPr="008B0FD2">
        <w:t>,</w:t>
      </w:r>
      <w:r w:rsidRPr="008B0FD2">
        <w:rPr>
          <w:i/>
          <w:iCs/>
        </w:rPr>
        <w:t xml:space="preserve"> </w:t>
      </w:r>
      <w:r w:rsidRPr="008B0FD2">
        <w:t xml:space="preserve">which addressed the admissibility of evidence obtained in breach of NZBORA. However, section 30 is not only concerned with breaches of “rights” in this narrow sense. It also applies to evidence obtained in breach of enactments or rules of law aside from NZBORA (although </w:t>
      </w:r>
      <w:r w:rsidRPr="008B0FD2">
        <w:lastRenderedPageBreak/>
        <w:t>sometimes such breaches will also result in NZBORA breaches</w:t>
      </w:r>
      <w:r w:rsidRPr="008B0FD2">
        <w:rPr>
          <w:rStyle w:val="FootnoteReference"/>
        </w:rPr>
        <w:footnoteReference w:id="556"/>
      </w:r>
      <w:r w:rsidRPr="008B0FD2">
        <w:t>) or obtained unfairly (including through breaches of the Practice Note on Police Questioning).</w:t>
      </w:r>
    </w:p>
    <w:p w14:paraId="389A0C46" w14:textId="71BD0B67" w:rsidR="009F4F6E" w:rsidRPr="008B0FD2" w:rsidRDefault="009F4F6E" w:rsidP="009F4F6E">
      <w:pPr>
        <w:pStyle w:val="BodyText"/>
      </w:pPr>
      <w:r w:rsidRPr="008B0FD2">
        <w:t>We consider the importance of any enactment, rule of law or procedural protection breached</w:t>
      </w:r>
      <w:r w:rsidR="00204B99">
        <w:t>,</w:t>
      </w:r>
      <w:r w:rsidRPr="008B0FD2">
        <w:t xml:space="preserve"> and the extent of that breach, are relevant considerations whether or not NZBORA rights are engaged. These factors always need to be evaluated and weighed, even if it is to conclude the rule of law at issue in the particular case is one to which the courts attach comparatively </w:t>
      </w:r>
      <w:r w:rsidRPr="008B0FD2">
        <w:rPr>
          <w:i/>
          <w:iCs/>
        </w:rPr>
        <w:t xml:space="preserve">less </w:t>
      </w:r>
      <w:r w:rsidRPr="008B0FD2">
        <w:t xml:space="preserve">significance. </w:t>
      </w:r>
    </w:p>
    <w:p w14:paraId="08D5BDD6" w14:textId="04551A2D" w:rsidR="009F4F6E" w:rsidRPr="008B0FD2" w:rsidRDefault="009F4F6E" w:rsidP="009F4F6E">
      <w:pPr>
        <w:pStyle w:val="BodyText"/>
      </w:pPr>
      <w:r w:rsidRPr="008B0FD2">
        <w:t>The courts have recognised that any breach of NZBORA will make exclusion more likely.</w:t>
      </w:r>
      <w:r w:rsidRPr="008B0FD2">
        <w:rPr>
          <w:rStyle w:val="FootnoteReference"/>
        </w:rPr>
        <w:footnoteReference w:id="557"/>
      </w:r>
      <w:r w:rsidRPr="008B0FD2">
        <w:t xml:space="preserve"> We do not disagree with that approach. In our view, however, it is also open to the courts to attach particular importance to other relevant rules of law where appropriate. For example, the Practice Note</w:t>
      </w:r>
      <w:r w:rsidR="00282E5F">
        <w:t xml:space="preserve"> on Police Questioning</w:t>
      </w:r>
      <w:r w:rsidRPr="008B0FD2">
        <w:t xml:space="preserve"> provides important procedural protections during interrogations, some of which are long standing and arguably of constitutional significance. The fact that police questioning has been conducted in breach of those protections is significant, regardless of whether there is also a breach of an NZBORA right.</w:t>
      </w:r>
      <w:r w:rsidRPr="008B0FD2">
        <w:rPr>
          <w:rStyle w:val="FootnoteReference"/>
        </w:rPr>
        <w:footnoteReference w:id="558"/>
      </w:r>
    </w:p>
    <w:p w14:paraId="0AE07D82" w14:textId="67D2D147" w:rsidR="009F4F6E" w:rsidRPr="008B0FD2" w:rsidRDefault="009F4F6E" w:rsidP="009F4F6E">
      <w:pPr>
        <w:pStyle w:val="BodyText"/>
      </w:pPr>
      <w:r w:rsidRPr="008B0FD2">
        <w:t xml:space="preserve">In practice, the courts have considered the importance of the protections in the Practice Note </w:t>
      </w:r>
      <w:r w:rsidR="00033675">
        <w:t>on Police Questioning</w:t>
      </w:r>
      <w:r w:rsidR="00603DE2">
        <w:t xml:space="preserve"> </w:t>
      </w:r>
      <w:r w:rsidRPr="008B0FD2">
        <w:t>and the extent to which they were breached under section 30(3)(a).</w:t>
      </w:r>
      <w:r w:rsidRPr="008B0FD2">
        <w:rPr>
          <w:rStyle w:val="FootnoteReference"/>
        </w:rPr>
        <w:footnoteReference w:id="559"/>
      </w:r>
      <w:r w:rsidRPr="008B0FD2">
        <w:t xml:space="preserve"> Amendment may therefore be considered unnecessary. However, the approach of the courts is not necessarily reflected in the wording of section 30(3)(a) (which refers to</w:t>
      </w:r>
      <w:r w:rsidR="00EA3F04">
        <w:t xml:space="preserve"> “</w:t>
      </w:r>
      <w:r w:rsidRPr="008B0FD2">
        <w:t>any righ</w:t>
      </w:r>
      <w:r w:rsidR="008E7C38">
        <w:t>t”</w:t>
      </w:r>
      <w:r w:rsidRPr="008B0FD2">
        <w:t>). It may be desirable to clarify the position for the avoidance of doubt, particularly if other changes to section 30(3) are progressed.</w:t>
      </w:r>
    </w:p>
    <w:p w14:paraId="613B91A2" w14:textId="77777777" w:rsidR="009F4F6E" w:rsidRPr="008B0FD2" w:rsidRDefault="009F4F6E" w:rsidP="009F4F6E">
      <w:pPr>
        <w:pStyle w:val="BodyText"/>
      </w:pPr>
      <w:r w:rsidRPr="008B0FD2">
        <w:t>Finally, we note that section 30(3)(a) refers both to the “the importance of any right breached by the impropriety” and “the seriousness of the intrusion on it”. These are distinct considerations. For example, in NZBORA cases, the courts will often state that the right that has been breached is an important one. That does not detract from the fact that, even in NZBORA cases, the seriousness of the particular intrusion can vary widely from case to case (consider, for example, the difference between a strip search and a perimeter search of a farm property). This distinction between the importance of the right and the seriousness of the intrusion would also apply in cases involving breaches of other (non-NZBORA) statutory requirements, rules or law or procedural protections.</w:t>
      </w:r>
    </w:p>
    <w:p w14:paraId="454ED08A" w14:textId="77777777" w:rsidR="009F4F6E" w:rsidRPr="008B0FD2" w:rsidRDefault="009F4F6E" w:rsidP="002E7A6D">
      <w:pPr>
        <w:pStyle w:val="Heading4"/>
      </w:pPr>
      <w:r w:rsidRPr="008B0FD2">
        <w:t>Option for reform</w:t>
      </w:r>
    </w:p>
    <w:p w14:paraId="7BA30C0E" w14:textId="77777777" w:rsidR="009F4F6E" w:rsidRPr="008B0FD2" w:rsidRDefault="009F4F6E" w:rsidP="009F4F6E">
      <w:pPr>
        <w:pStyle w:val="BodyText"/>
      </w:pPr>
      <w:r w:rsidRPr="008B0FD2">
        <w:t>If reform is considered desirable, section 30(3)(a) could be amended to refer to the importance of any right, statutory requirement, rule of law or procedural protection breached and the extent of that breach. “Procedural protection” would include the requirements of the Practice Note on Police Questioning.</w:t>
      </w:r>
    </w:p>
    <w:p w14:paraId="391271B1" w14:textId="45323351" w:rsidR="009F4F6E" w:rsidRPr="008B0FD2" w:rsidRDefault="009F4F6E" w:rsidP="009F4F6E">
      <w:pPr>
        <w:pStyle w:val="BodyText"/>
      </w:pPr>
      <w:r w:rsidRPr="008B0FD2">
        <w:lastRenderedPageBreak/>
        <w:t xml:space="preserve">If section 30(3) is amended to specify which public interest each factor is relevant to (or, alternatively, whether particular factors may favour admission or exclusion), this factor could be listed </w:t>
      </w:r>
      <w:r w:rsidRPr="008B0FD2" w:rsidDel="002B413C">
        <w:t xml:space="preserve">as </w:t>
      </w:r>
      <w:r w:rsidRPr="008B0FD2">
        <w:t>relevant to the public interest in recognising the seriousness of the impropriety (or as a factor that may favour exclusion of the evidence). We would expect this factor to be applied in an evaluative way</w:t>
      </w:r>
      <w:r w:rsidR="00B14DE0">
        <w:t>,</w:t>
      </w:r>
      <w:r w:rsidRPr="008B0FD2">
        <w:t xml:space="preserve"> for example, if a breach was minor or technical it may be given reduced weight, meaning the public interest in exclusion is assessed as lower overall. </w:t>
      </w:r>
    </w:p>
    <w:p w14:paraId="51D1839A" w14:textId="452D61F8" w:rsidR="007F668B" w:rsidRDefault="007F668B" w:rsidP="007F668B">
      <w:pPr>
        <w:pStyle w:val="QuestionBox"/>
      </w:pPr>
      <w:r>
        <w:rPr>
          <w:noProof/>
        </w:rPr>
        <mc:AlternateContent>
          <mc:Choice Requires="wpg">
            <w:drawing>
              <wp:anchor distT="0" distB="0" distL="114300" distR="114300" simplePos="0" relativeHeight="251658297" behindDoc="1" locked="0" layoutInCell="1" allowOverlap="1" wp14:anchorId="7914388A" wp14:editId="21C64F73">
                <wp:simplePos x="0" y="0"/>
                <wp:positionH relativeFrom="column">
                  <wp:posOffset>-1833</wp:posOffset>
                </wp:positionH>
                <wp:positionV relativeFrom="paragraph">
                  <wp:posOffset>935</wp:posOffset>
                </wp:positionV>
                <wp:extent cx="5760085" cy="2182502"/>
                <wp:effectExtent l="0" t="0" r="0" b="8255"/>
                <wp:wrapNone/>
                <wp:docPr id="1803469597" name="Group 1803469597" descr="Question"/>
                <wp:cNvGraphicFramePr/>
                <a:graphic xmlns:a="http://schemas.openxmlformats.org/drawingml/2006/main">
                  <a:graphicData uri="http://schemas.microsoft.com/office/word/2010/wordprocessingGroup">
                    <wpg:wgp>
                      <wpg:cNvGrpSpPr/>
                      <wpg:grpSpPr>
                        <a:xfrm>
                          <a:off x="0" y="0"/>
                          <a:ext cx="5760085" cy="2182502"/>
                          <a:chOff x="0" y="62865"/>
                          <a:chExt cx="5760085" cy="2182723"/>
                        </a:xfrm>
                      </wpg:grpSpPr>
                      <wps:wsp>
                        <wps:cNvPr id="1477317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979B33" w14:textId="702858AE" w:rsidR="007F668B" w:rsidRDefault="007F668B" w:rsidP="007F668B">
                              <w:pPr>
                                <w:pStyle w:val="BoxTitle"/>
                                <w:spacing w:before="0" w:beforeAutospacing="0"/>
                              </w:pPr>
                              <w:r w:rsidRPr="007F6876">
                                <w:t>QUESTION</w:t>
                              </w:r>
                              <w:r w:rsidR="002C0F3E">
                                <w:t>S</w:t>
                              </w:r>
                            </w:p>
                          </w:txbxContent>
                        </wps:txbx>
                        <wps:bodyPr rot="0" vert="horz" wrap="square" lIns="91440" tIns="0" rIns="0" bIns="45720" anchor="ctr" anchorCtr="0" upright="1">
                          <a:noAutofit/>
                        </wps:bodyPr>
                      </wps:wsp>
                      <wpg:grpSp>
                        <wpg:cNvPr id="36331294" name="Group 53"/>
                        <wpg:cNvGrpSpPr>
                          <a:grpSpLocks/>
                        </wpg:cNvGrpSpPr>
                        <wpg:grpSpPr bwMode="auto">
                          <a:xfrm>
                            <a:off x="0" y="315892"/>
                            <a:ext cx="5760085" cy="1929696"/>
                            <a:chOff x="1837" y="1788"/>
                            <a:chExt cx="9302" cy="20844"/>
                          </a:xfrm>
                        </wpg:grpSpPr>
                        <wps:wsp>
                          <wps:cNvPr id="311063988" name="Freeform 54"/>
                          <wps:cNvSpPr>
                            <a:spLocks/>
                          </wps:cNvSpPr>
                          <wps:spPr bwMode="auto">
                            <a:xfrm>
                              <a:off x="1837" y="1788"/>
                              <a:ext cx="9302" cy="2084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157016" name="Group 1187157016"/>
                        <wpg:cNvGrpSpPr/>
                        <wpg:grpSpPr>
                          <a:xfrm>
                            <a:off x="0" y="494036"/>
                            <a:ext cx="1443794" cy="252000"/>
                            <a:chOff x="-15880" y="0"/>
                            <a:chExt cx="1444379" cy="252068"/>
                          </a:xfrm>
                        </wpg:grpSpPr>
                        <wps:wsp>
                          <wps:cNvPr id="202613032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3661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29F1C8" w14:textId="36086704" w:rsidR="007F668B" w:rsidRPr="00E90B8A" w:rsidRDefault="007F668B" w:rsidP="007F668B">
                                <w:pPr>
                                  <w:pStyle w:val="BoxTitle"/>
                                  <w:spacing w:before="0" w:beforeAutospacing="0"/>
                                  <w:rPr>
                                    <w:sz w:val="18"/>
                                    <w:szCs w:val="18"/>
                                  </w:rPr>
                                </w:pPr>
                                <w:r w:rsidRPr="00E90B8A">
                                  <w:rPr>
                                    <w:sz w:val="18"/>
                                    <w:szCs w:val="18"/>
                                  </w:rPr>
                                  <w:t>Q</w:t>
                                </w:r>
                                <w:r>
                                  <w:rPr>
                                    <w:sz w:val="18"/>
                                    <w:szCs w:val="18"/>
                                  </w:rPr>
                                  <w:t>21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914388A" id="Group 1803469597" o:spid="_x0000_s1179" alt="Question" style="position:absolute;left:0;text-align:left;margin-left:-.15pt;margin-top:.05pt;width:453.55pt;height:171.85pt;z-index:-251658183;mso-height-relative:margin" coordorigin=",628" coordsize="57600,2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">
                <v:shape id="Freeform 52" o:spid="_x0000_s118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A979B33" w14:textId="702858AE" w:rsidR="007F668B" w:rsidRDefault="007F668B" w:rsidP="007F668B">
                        <w:pPr>
                          <w:pStyle w:val="BoxTitle"/>
                          <w:spacing w:before="0" w:beforeAutospacing="0"/>
                        </w:pPr>
                        <w:r w:rsidRPr="007F6876">
                          <w:t>QUESTION</w:t>
                        </w:r>
                        <w:r w:rsidR="002C0F3E">
                          <w:t>S</w:t>
                        </w:r>
                      </w:p>
                    </w:txbxContent>
                  </v:textbox>
                </v:shape>
                <v:group id="Group 53" o:spid="_x0000_s1181" style="position:absolute;top:3158;width:57600;height:19297" coordorigin="1837,1788" coordsize="9302,2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">
                  <v:shape id="Freeform 54" o:spid="_x0000_s1182" style="position:absolute;left:1837;top:1788;width:9302;height:2084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" path="m,l9354,r,7809l,7809,,e" fillcolor="#edf2ea" stroked="f">
                    <v:path arrowok="t" o:connecttype="custom" o:connectlocs="0,2669;9302,2669;9302,23513;0,23513;0,2669" o:connectangles="0,0,0,0,0"/>
                  </v:shape>
                </v:group>
                <v:group id="Group 1187157016" o:spid="_x0000_s118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">
                  <v:shape id="Freeform 58" o:spid="_x0000_s118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" path="m,l1815,e" filled="f" strokecolor="#72ab6a" strokeweight=".5pt">
                    <v:path arrowok="t" o:connecttype="custom" o:connectlocs="0,0;1073495,0" o:connectangles="0,0"/>
                  </v:shape>
                  <v:shape id="Freeform 66" o:spid="_x0000_s118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&#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529F1C8" w14:textId="36086704" w:rsidR="007F668B" w:rsidRPr="00E90B8A" w:rsidRDefault="007F668B" w:rsidP="007F668B">
                          <w:pPr>
                            <w:pStyle w:val="BoxTitle"/>
                            <w:spacing w:before="0" w:beforeAutospacing="0"/>
                            <w:rPr>
                              <w:sz w:val="18"/>
                              <w:szCs w:val="18"/>
                            </w:rPr>
                          </w:pPr>
                          <w:r w:rsidRPr="00E90B8A">
                            <w:rPr>
                              <w:sz w:val="18"/>
                              <w:szCs w:val="18"/>
                            </w:rPr>
                            <w:t>Q</w:t>
                          </w:r>
                          <w:r>
                            <w:rPr>
                              <w:sz w:val="18"/>
                              <w:szCs w:val="18"/>
                            </w:rPr>
                            <w:t>21</w:t>
                          </w:r>
                        </w:p>
                      </w:txbxContent>
                    </v:textbox>
                  </v:shape>
                </v:group>
              </v:group>
            </w:pict>
          </mc:Fallback>
        </mc:AlternateContent>
      </w:r>
    </w:p>
    <w:p w14:paraId="760154A7" w14:textId="77777777" w:rsidR="007F668B" w:rsidRDefault="007F668B" w:rsidP="007F668B">
      <w:pPr>
        <w:pStyle w:val="QuestionBox"/>
      </w:pPr>
    </w:p>
    <w:p w14:paraId="13A06FD7" w14:textId="2C197E49" w:rsidR="009F4F6E" w:rsidRPr="008B0FD2" w:rsidRDefault="009F4F6E" w:rsidP="007F668B">
      <w:pPr>
        <w:pStyle w:val="QuestionBox"/>
      </w:pPr>
      <w:r w:rsidRPr="008B0FD2">
        <w:t xml:space="preserve">Should section 30(3)(a) be amended to refer to the importance of any right, statutory </w:t>
      </w:r>
      <w:r w:rsidRPr="008B0FD2">
        <w:tab/>
        <w:t>requirement, rule of law or procedural protection breached and the extent of that breach?</w:t>
      </w:r>
    </w:p>
    <w:p w14:paraId="1A449DD5" w14:textId="354BCA74" w:rsidR="007F668B" w:rsidRDefault="007F668B" w:rsidP="007F668B">
      <w:pPr>
        <w:pStyle w:val="QuestionBox"/>
      </w:pPr>
      <w:r>
        <w:rPr>
          <w:noProof/>
        </w:rPr>
        <mc:AlternateContent>
          <mc:Choice Requires="wpg">
            <w:drawing>
              <wp:anchor distT="0" distB="0" distL="114300" distR="114300" simplePos="0" relativeHeight="251658298" behindDoc="1" locked="0" layoutInCell="1" allowOverlap="1" wp14:anchorId="03541968" wp14:editId="0EC2F20E">
                <wp:simplePos x="0" y="0"/>
                <wp:positionH relativeFrom="margin">
                  <wp:posOffset>0</wp:posOffset>
                </wp:positionH>
                <wp:positionV relativeFrom="paragraph">
                  <wp:posOffset>204099</wp:posOffset>
                </wp:positionV>
                <wp:extent cx="1443355" cy="251460"/>
                <wp:effectExtent l="0" t="0" r="42545" b="0"/>
                <wp:wrapNone/>
                <wp:docPr id="156" name="Group 156"/>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5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1A5A17" w14:textId="77777777" w:rsidR="007F668B" w:rsidRPr="00E700FF" w:rsidRDefault="007F668B" w:rsidP="007F668B">
                              <w:pPr>
                                <w:pStyle w:val="BoxTitle"/>
                                <w:spacing w:before="0" w:beforeAutospacing="0"/>
                              </w:pPr>
                              <w:r w:rsidRPr="001C1B37">
                                <w:t>Q</w:t>
                              </w:r>
                              <w:r>
                                <w:t>22</w:t>
                              </w:r>
                            </w:p>
                          </w:txbxContent>
                        </wps:txbx>
                        <wps:bodyPr rot="0" vert="horz" wrap="square" lIns="54000" tIns="82800" rIns="91440" bIns="45720" anchor="ctr" anchorCtr="0" upright="1">
                          <a:noAutofit/>
                        </wps:bodyPr>
                      </wps:wsp>
                    </wpg:wgp>
                  </a:graphicData>
                </a:graphic>
              </wp:anchor>
            </w:drawing>
          </mc:Choice>
          <mc:Fallback>
            <w:pict>
              <v:group w14:anchorId="03541968" id="Group 156" o:spid="_x0000_s1186" style="position:absolute;left:0;text-align:left;margin-left:0;margin-top:16.05pt;width:113.65pt;height:19.8pt;z-index:-251658182;mso-position-horizontal-relative:margin"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">
                <v:shape id="Freeform 58" o:spid="_x0000_s118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" path="m,l1815,e" filled="f" strokecolor="#72ab6a" strokeweight=".5pt">
                  <v:path arrowok="t" o:connecttype="custom" o:connectlocs="0,0;1073495,0" o:connectangles="0,0"/>
                </v:shape>
                <v:shape id="Freeform 66" o:spid="_x0000_s118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C1A5A17" w14:textId="77777777" w:rsidR="007F668B" w:rsidRPr="00E700FF" w:rsidRDefault="007F668B" w:rsidP="007F668B">
                        <w:pPr>
                          <w:pStyle w:val="BoxTitle"/>
                          <w:spacing w:before="0" w:beforeAutospacing="0"/>
                        </w:pPr>
                        <w:r w:rsidRPr="001C1B37">
                          <w:t>Q</w:t>
                        </w:r>
                        <w:r>
                          <w:t>22</w:t>
                        </w:r>
                      </w:p>
                    </w:txbxContent>
                  </v:textbox>
                </v:shape>
                <w10:wrap anchorx="margin"/>
              </v:group>
            </w:pict>
          </mc:Fallback>
        </mc:AlternateContent>
      </w:r>
    </w:p>
    <w:p w14:paraId="0CEF4B19" w14:textId="0223DFC2" w:rsidR="009F4F6E" w:rsidRDefault="009F4F6E" w:rsidP="007F668B">
      <w:pPr>
        <w:pStyle w:val="QuestionBox"/>
      </w:pPr>
      <w:r w:rsidRPr="008B0FD2">
        <w:t>Should section 30(3)(a) be listed as relevant to the public interest in recognising the seriousness of the impropriety (or as a factor that may favour exclusion of the evidence)?</w:t>
      </w:r>
    </w:p>
    <w:p w14:paraId="085103B0" w14:textId="77777777" w:rsidR="007F668B" w:rsidRPr="008B0FD2" w:rsidRDefault="007F668B" w:rsidP="007F668B">
      <w:pPr>
        <w:pStyle w:val="QuestionBox"/>
      </w:pPr>
    </w:p>
    <w:p w14:paraId="5320B634" w14:textId="77777777" w:rsidR="009F4F6E" w:rsidRPr="008B0FD2" w:rsidRDefault="009F4F6E" w:rsidP="00624770">
      <w:pPr>
        <w:pStyle w:val="Heading3"/>
      </w:pPr>
      <w:r w:rsidRPr="008B0FD2">
        <w:t xml:space="preserve">Nature of the impropriety </w:t>
      </w:r>
    </w:p>
    <w:p w14:paraId="28FAC49B" w14:textId="77777777" w:rsidR="009F4F6E" w:rsidRPr="008B0FD2" w:rsidRDefault="009F4F6E" w:rsidP="009F4F6E">
      <w:pPr>
        <w:pStyle w:val="BodyText"/>
      </w:pPr>
      <w:r w:rsidRPr="008B0FD2">
        <w:t>Section 30(3)(b) refers to “the nature of the impropriety, in particular, whether it was deliberate, reckless, or done in bad faith”. We have identified three possible issues with this factor and seek submissions on whether amendment is necessary or desirable to address them. The first two issues relate to the wording of section 30(3)(b). The third is whether the relevance of good faith or inadvertence should be clarified. We invite submissions on whether these issues are causing confusion or problems in practice.</w:t>
      </w:r>
    </w:p>
    <w:p w14:paraId="37552E60" w14:textId="77777777" w:rsidR="009F4F6E" w:rsidRPr="008B0FD2" w:rsidRDefault="009F4F6E" w:rsidP="002E7A6D">
      <w:pPr>
        <w:pStyle w:val="Heading4"/>
      </w:pPr>
      <w:r w:rsidRPr="008B0FD2">
        <w:t>Wording of section 30(3)(b)</w:t>
      </w:r>
    </w:p>
    <w:p w14:paraId="59E0D7F7" w14:textId="755D9DC8" w:rsidR="009F4F6E" w:rsidRPr="008B0FD2" w:rsidRDefault="009F4F6E" w:rsidP="009F4F6E">
      <w:pPr>
        <w:pStyle w:val="BodyText"/>
      </w:pPr>
      <w:r w:rsidRPr="008B0FD2">
        <w:t xml:space="preserve">The first potential issue is that the phrase at the start of section 30(3)(b) </w:t>
      </w:r>
      <w:r w:rsidR="00EA0E35">
        <w:t xml:space="preserve">- </w:t>
      </w:r>
      <w:r w:rsidRPr="008B0FD2">
        <w:t>“the nature of the impropriety”</w:t>
      </w:r>
      <w:r w:rsidR="00EA0E35">
        <w:t xml:space="preserve"> - </w:t>
      </w:r>
      <w:r w:rsidRPr="008B0FD2">
        <w:t>may cause confusion. As discussed above, the public interest in recognising the “seriousness of the impropriety” may be viewed as one side of the balancing equation, with many of the factors currently set out in section 30(3) being relevant to that assessment. Given the similarity in language, it is arguably unclear how an inquiry into “the nature of the impropriety” might differ from this overarching public interest assessment.</w:t>
      </w:r>
    </w:p>
    <w:p w14:paraId="21C9F653" w14:textId="6699026F" w:rsidR="009F4F6E" w:rsidRPr="008B0FD2" w:rsidRDefault="009F4F6E" w:rsidP="009F4F6E">
      <w:pPr>
        <w:pStyle w:val="BodyText"/>
      </w:pPr>
      <w:r w:rsidRPr="008B0FD2">
        <w:t xml:space="preserve">While the phrase “nature of the impropriety” in section 30(3)(b) is wide, the examples given in the second part of the paragraph suggest it has a narrower on the knowledge and intent of the people or agency that acted improperly </w:t>
      </w:r>
      <w:r w:rsidR="00EA0E35">
        <w:t xml:space="preserve">- </w:t>
      </w:r>
      <w:r w:rsidRPr="008B0FD2">
        <w:t xml:space="preserve">in particular, whether their conduct was deliberate, reckless or in bad faith. This is how case law on section 30 generally approaches the factor. It is not clear what other types of considerations section 30(3)(b) would capture that are not already captured elsewhere. </w:t>
      </w:r>
    </w:p>
    <w:p w14:paraId="5BFB8E97" w14:textId="13674DB0" w:rsidR="009F4F6E" w:rsidRPr="008B0FD2" w:rsidRDefault="009F4F6E" w:rsidP="009F4F6E">
      <w:pPr>
        <w:pStyle w:val="BodyText"/>
      </w:pPr>
      <w:r w:rsidRPr="008B0FD2">
        <w:t xml:space="preserve">The second potential issue is that, according to some of the </w:t>
      </w:r>
      <w:r w:rsidR="00BD27D1">
        <w:t>preliminary</w:t>
      </w:r>
      <w:r w:rsidRPr="008B0FD2">
        <w:t xml:space="preserve"> feedback we received, the courts may be reluctant to make findings that law enforcement officers acted in bad faith</w:t>
      </w:r>
      <w:r w:rsidR="00EA0E35">
        <w:t>,</w:t>
      </w:r>
      <w:r w:rsidRPr="008B0FD2">
        <w:t xml:space="preserve"> and this, in turn, may mean section 30(3)(b) is given insufficient weight. We invite feedback on whether this is the case. Our snapshot case study did not identify </w:t>
      </w:r>
      <w:r w:rsidRPr="008B0FD2">
        <w:lastRenderedPageBreak/>
        <w:t xml:space="preserve">any findings of bad faith. That is not necessarily surprising </w:t>
      </w:r>
      <w:r w:rsidR="00D57D59">
        <w:t>-</w:t>
      </w:r>
      <w:r w:rsidRPr="008B0FD2">
        <w:t xml:space="preserve"> it may simply reflect that intentional misconduct in the obtaining of evidence is relatively rare. If, however, there is a widespread concern that bad faith is rarely engaged, reframing the section 30(3)(b) factor to remove that language and shift the focus to the knowledge of the person or agency obtaining the evidence may assist. It may help to emphasise that knowingly acting improperly is always a serious matter and should be given significant weight in the balancing test.</w:t>
      </w:r>
    </w:p>
    <w:p w14:paraId="5C9A18C9" w14:textId="77777777" w:rsidR="009F4F6E" w:rsidRPr="008B0FD2" w:rsidRDefault="009F4F6E" w:rsidP="002E7A6D">
      <w:pPr>
        <w:pStyle w:val="Heading5"/>
      </w:pPr>
      <w:r w:rsidRPr="008B0FD2">
        <w:t>Option for reform</w:t>
      </w:r>
    </w:p>
    <w:p w14:paraId="1EB5C05F" w14:textId="77777777" w:rsidR="009F4F6E" w:rsidRPr="008B0FD2" w:rsidRDefault="009F4F6E" w:rsidP="009F4F6E">
      <w:pPr>
        <w:pStyle w:val="BodyText"/>
      </w:pPr>
      <w:r w:rsidRPr="008B0FD2">
        <w:t xml:space="preserve">If reform is considered desirable to address these issues, an option would be to amend section 30(3)(b) to refer to “the extent to which the investigatory techniques used were known, or ought to have been known, to be improper”. This would remove the potentially confusing or problematic references to “the nature of the impropriety” and “bad faith”, instead directing attention to the knowledge of the people or agency obtaining the evidence. </w:t>
      </w:r>
    </w:p>
    <w:p w14:paraId="3DA1BED3" w14:textId="77777777" w:rsidR="009F4F6E" w:rsidRPr="008B0FD2" w:rsidRDefault="009F4F6E" w:rsidP="009F4F6E">
      <w:pPr>
        <w:pStyle w:val="BodyText"/>
      </w:pPr>
      <w:r w:rsidRPr="008B0FD2">
        <w:t>This wording could include conduct that is deliberate or reckless, as well as capturing carelessness and negligence (which are not currently mentioned). Our preliminary view is that carelessness or negligence may also favour exclusion, if to a lesser degree. This conclusion is supported by case law on section 30, which regularly refers to carelessness and negligence as favouring exclusion.</w:t>
      </w:r>
      <w:r w:rsidRPr="008B0FD2">
        <w:rPr>
          <w:rStyle w:val="FootnoteReference"/>
        </w:rPr>
        <w:footnoteReference w:id="560"/>
      </w:r>
      <w:r w:rsidRPr="008B0FD2">
        <w:t xml:space="preserve"> There is arguably a public interest in ensuring that carelessness or negligence in obtaining evidence is not condoned by the criminal justice system. Exclusion in such cases could also encourage training and procedural changes to prevent future breaches of a similar kind. </w:t>
      </w:r>
    </w:p>
    <w:p w14:paraId="012274FB" w14:textId="77777777" w:rsidR="009F4F6E" w:rsidRPr="008B0FD2" w:rsidRDefault="009F4F6E" w:rsidP="002E7A6D">
      <w:pPr>
        <w:pStyle w:val="Heading4"/>
      </w:pPr>
      <w:r w:rsidRPr="008B0FD2">
        <w:t>Relevance of good faith or inadvertence</w:t>
      </w:r>
    </w:p>
    <w:p w14:paraId="21EE69DF" w14:textId="77777777" w:rsidR="009F4F6E" w:rsidRPr="008B0FD2" w:rsidRDefault="009F4F6E" w:rsidP="009F4F6E">
      <w:pPr>
        <w:pStyle w:val="BodyText"/>
      </w:pPr>
      <w:r w:rsidRPr="008B0FD2">
        <w:t xml:space="preserve">Case law suggests there is uncertainty about whether and how the courts should have regard to the fact that an impropriety occurred in good faith or was inadvertent. In both </w:t>
      </w:r>
      <w:r w:rsidRPr="008B0FD2">
        <w:rPr>
          <w:i/>
          <w:iCs/>
        </w:rPr>
        <w:t xml:space="preserve">Shaheed </w:t>
      </w:r>
      <w:r w:rsidRPr="008B0FD2">
        <w:t xml:space="preserve">and </w:t>
      </w:r>
      <w:r w:rsidRPr="008B0FD2">
        <w:rPr>
          <w:i/>
          <w:iCs/>
        </w:rPr>
        <w:t>Williams</w:t>
      </w:r>
      <w:r w:rsidRPr="008B0FD2">
        <w:t>, the Court of Appeal indicated that good faith will usually be a neutral factor because “the good faith of law enforcement agencies is to be expected at all times and is not something which, if present, should then add weight to argument for the admissibility of evidence”.</w:t>
      </w:r>
      <w:r w:rsidRPr="008B0FD2">
        <w:rPr>
          <w:rStyle w:val="FootnoteReference"/>
        </w:rPr>
        <w:footnoteReference w:id="561"/>
      </w:r>
      <w:r w:rsidRPr="008B0FD2">
        <w:t xml:space="preserve"> This approach has been confirmed more recently by the Court of Appeal.</w:t>
      </w:r>
      <w:r w:rsidRPr="008B0FD2">
        <w:rPr>
          <w:rStyle w:val="FootnoteReference"/>
        </w:rPr>
        <w:footnoteReference w:id="562"/>
      </w:r>
      <w:r w:rsidRPr="008B0FD2">
        <w:t xml:space="preserve"> Notwithstanding this, some recent section 30 decisions, including in the Court of Appeal, treat good faith on the part of police (or the absence of bad faith) as favouring admission of the evidence.</w:t>
      </w:r>
      <w:r w:rsidRPr="008B0FD2">
        <w:rPr>
          <w:rStyle w:val="FootnoteReference"/>
        </w:rPr>
        <w:footnoteReference w:id="563"/>
      </w:r>
      <w:r w:rsidRPr="008B0FD2">
        <w:t xml:space="preserve"> </w:t>
      </w:r>
    </w:p>
    <w:p w14:paraId="52605BB1" w14:textId="6C13120A" w:rsidR="009F4F6E" w:rsidRPr="008B0FD2" w:rsidRDefault="009F4F6E" w:rsidP="009F4F6E">
      <w:pPr>
        <w:pStyle w:val="BodyText"/>
      </w:pPr>
      <w:r w:rsidRPr="008B0FD2">
        <w:t xml:space="preserve">We are interested in views on whether the approach in </w:t>
      </w:r>
      <w:r w:rsidRPr="008B0FD2">
        <w:rPr>
          <w:i/>
          <w:iCs/>
        </w:rPr>
        <w:t xml:space="preserve">Shaheed </w:t>
      </w:r>
      <w:r w:rsidRPr="008B0FD2">
        <w:t xml:space="preserve">and </w:t>
      </w:r>
      <w:r w:rsidRPr="008B0FD2">
        <w:rPr>
          <w:i/>
          <w:iCs/>
        </w:rPr>
        <w:t>Williams</w:t>
      </w:r>
      <w:r w:rsidRPr="008B0FD2">
        <w:t xml:space="preserve"> is correct. One view is that the public is entitled to assume that law enforcement officers will not deliberately breach the law or act unfairly. Good faith or inadvertence is simply the absence of an aggravating factor (which will affect the overall assessment of the </w:t>
      </w:r>
      <w:r w:rsidRPr="008B0FD2">
        <w:lastRenderedPageBreak/>
        <w:t xml:space="preserve">seriousness of the impropriety). On this view, treating good faith or inadvertence as positively favouring admission could be seen as undermining the rule of law (by signalling that strict compliance by law enforcement officers is not required) and failing to deter future improprieties (by suggesting to law enforcement agencies that they do not need to improve their processes or educate officers about their responsibilities). </w:t>
      </w:r>
    </w:p>
    <w:p w14:paraId="55AA65CF" w14:textId="77777777" w:rsidR="009F4F6E" w:rsidRPr="008B0FD2" w:rsidRDefault="009F4F6E" w:rsidP="009F4F6E">
      <w:pPr>
        <w:pStyle w:val="BodyText"/>
      </w:pPr>
      <w:r w:rsidRPr="008B0FD2">
        <w:t xml:space="preserve">On the other hand, it is possible that variance in the case law on this point simply reflects the different factual scenarios at issue. There is a risk that legislative reform may reduce the flexibility of the courts to respond to the facts before them. </w:t>
      </w:r>
    </w:p>
    <w:p w14:paraId="0510A9E4" w14:textId="77777777" w:rsidR="009F4F6E" w:rsidRPr="008B0FD2" w:rsidRDefault="009F4F6E" w:rsidP="002E7A6D">
      <w:pPr>
        <w:pStyle w:val="Heading5"/>
      </w:pPr>
      <w:r w:rsidRPr="008B0FD2">
        <w:t>Option for reform</w:t>
      </w:r>
    </w:p>
    <w:p w14:paraId="6B5254AF" w14:textId="5821225F" w:rsidR="009F4F6E" w:rsidRPr="008B0FD2" w:rsidRDefault="007F668B" w:rsidP="009F4F6E">
      <w:pPr>
        <w:pStyle w:val="BodyText"/>
      </w:pPr>
      <w:r>
        <w:rPr>
          <w:noProof/>
        </w:rPr>
        <mc:AlternateContent>
          <mc:Choice Requires="wpg">
            <w:drawing>
              <wp:anchor distT="0" distB="0" distL="114300" distR="114300" simplePos="0" relativeHeight="251658299" behindDoc="1" locked="0" layoutInCell="1" allowOverlap="1" wp14:anchorId="224A4F11" wp14:editId="47D48835">
                <wp:simplePos x="0" y="0"/>
                <wp:positionH relativeFrom="column">
                  <wp:posOffset>-1962</wp:posOffset>
                </wp:positionH>
                <wp:positionV relativeFrom="paragraph">
                  <wp:posOffset>821425</wp:posOffset>
                </wp:positionV>
                <wp:extent cx="5760085" cy="2238289"/>
                <wp:effectExtent l="0" t="0" r="0" b="0"/>
                <wp:wrapNone/>
                <wp:docPr id="164" name="Group 164" descr="Question"/>
                <wp:cNvGraphicFramePr/>
                <a:graphic xmlns:a="http://schemas.openxmlformats.org/drawingml/2006/main">
                  <a:graphicData uri="http://schemas.microsoft.com/office/word/2010/wordprocessingGroup">
                    <wpg:wgp>
                      <wpg:cNvGrpSpPr/>
                      <wpg:grpSpPr>
                        <a:xfrm>
                          <a:off x="0" y="0"/>
                          <a:ext cx="5760085" cy="2238289"/>
                          <a:chOff x="0" y="62865"/>
                          <a:chExt cx="5760085" cy="2238640"/>
                        </a:xfrm>
                      </wpg:grpSpPr>
                      <wps:wsp>
                        <wps:cNvPr id="16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C5624A" w14:textId="4067FB81" w:rsidR="007F668B" w:rsidRDefault="007F668B" w:rsidP="007F668B">
                              <w:pPr>
                                <w:pStyle w:val="BoxTitle"/>
                                <w:spacing w:before="0" w:beforeAutospacing="0"/>
                              </w:pPr>
                              <w:r w:rsidRPr="007F6876">
                                <w:t>QUESTION</w:t>
                              </w:r>
                              <w:r w:rsidR="002C0F3E">
                                <w:t>S</w:t>
                              </w:r>
                            </w:p>
                          </w:txbxContent>
                        </wps:txbx>
                        <wps:bodyPr rot="0" vert="horz" wrap="square" lIns="91440" tIns="0" rIns="0" bIns="45720" anchor="ctr" anchorCtr="0" upright="1">
                          <a:noAutofit/>
                        </wps:bodyPr>
                      </wps:wsp>
                      <wpg:grpSp>
                        <wpg:cNvPr id="166" name="Group 53"/>
                        <wpg:cNvGrpSpPr>
                          <a:grpSpLocks/>
                        </wpg:cNvGrpSpPr>
                        <wpg:grpSpPr bwMode="auto">
                          <a:xfrm>
                            <a:off x="0" y="315892"/>
                            <a:ext cx="5760085" cy="1985613"/>
                            <a:chOff x="1837" y="1788"/>
                            <a:chExt cx="9302" cy="21448"/>
                          </a:xfrm>
                        </wpg:grpSpPr>
                        <wps:wsp>
                          <wps:cNvPr id="167" name="Freeform 54"/>
                          <wps:cNvSpPr>
                            <a:spLocks/>
                          </wps:cNvSpPr>
                          <wps:spPr bwMode="auto">
                            <a:xfrm>
                              <a:off x="1837" y="1788"/>
                              <a:ext cx="9302" cy="2144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68"/>
                        <wpg:cNvGrpSpPr/>
                        <wpg:grpSpPr>
                          <a:xfrm>
                            <a:off x="0" y="494036"/>
                            <a:ext cx="1443794" cy="252000"/>
                            <a:chOff x="-15880" y="0"/>
                            <a:chExt cx="1444379" cy="252068"/>
                          </a:xfrm>
                        </wpg:grpSpPr>
                        <wps:wsp>
                          <wps:cNvPr id="16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50E09C" w14:textId="541716C3" w:rsidR="007F668B" w:rsidRPr="00E90B8A" w:rsidRDefault="007F668B" w:rsidP="007F668B">
                                <w:pPr>
                                  <w:pStyle w:val="BoxTitle"/>
                                  <w:spacing w:before="0" w:beforeAutospacing="0"/>
                                  <w:rPr>
                                    <w:sz w:val="18"/>
                                    <w:szCs w:val="18"/>
                                  </w:rPr>
                                </w:pPr>
                                <w:r w:rsidRPr="00E90B8A">
                                  <w:rPr>
                                    <w:sz w:val="18"/>
                                    <w:szCs w:val="18"/>
                                  </w:rPr>
                                  <w:t>Q</w:t>
                                </w:r>
                                <w:r>
                                  <w:rPr>
                                    <w:sz w:val="18"/>
                                    <w:szCs w:val="18"/>
                                  </w:rPr>
                                  <w:t>2</w:t>
                                </w:r>
                                <w:r w:rsidR="0051171E">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24A4F11" id="Group 164" o:spid="_x0000_s1189" alt="Question" style="position:absolute;left:0;text-align:left;margin-left:-.15pt;margin-top:64.7pt;width:453.55pt;height:176.25pt;z-index:-251658181;mso-height-relative:margin" coordorigin=",628" coordsize="57600,2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">
                <v:shape id="Freeform 52" o:spid="_x0000_s119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6C5624A" w14:textId="4067FB81" w:rsidR="007F668B" w:rsidRDefault="007F668B" w:rsidP="007F668B">
                        <w:pPr>
                          <w:pStyle w:val="BoxTitle"/>
                          <w:spacing w:before="0" w:beforeAutospacing="0"/>
                        </w:pPr>
                        <w:r w:rsidRPr="007F6876">
                          <w:t>QUESTION</w:t>
                        </w:r>
                        <w:r w:rsidR="002C0F3E">
                          <w:t>S</w:t>
                        </w:r>
                      </w:p>
                    </w:txbxContent>
                  </v:textbox>
                </v:shape>
                <v:group id="Group 53" o:spid="_x0000_s1191" style="position:absolute;top:3158;width:57600;height:19857" coordorigin="1837,1788" coordsize="9302,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54" o:spid="_x0000_s1192" style="position:absolute;left:1837;top:1788;width:9302;height:2144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" path="m,l9354,r,7809l,7809,,e" fillcolor="#edf2ea" stroked="f">
                    <v:path arrowok="t" o:connecttype="custom" o:connectlocs="0,2747;9302,2747;9302,24195;0,24195;0,2747" o:connectangles="0,0,0,0,0"/>
                  </v:shape>
                </v:group>
                <v:group id="Group 168" o:spid="_x0000_s119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58" o:spid="_x0000_s119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" path="m,l1815,e" filled="f" strokecolor="#72ab6a" strokeweight=".5pt">
                    <v:path arrowok="t" o:connecttype="custom" o:connectlocs="0,0;1073495,0" o:connectangles="0,0"/>
                  </v:shape>
                  <v:shape id="Freeform 66" o:spid="_x0000_s119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450E09C" w14:textId="541716C3" w:rsidR="007F668B" w:rsidRPr="00E90B8A" w:rsidRDefault="007F668B" w:rsidP="007F668B">
                          <w:pPr>
                            <w:pStyle w:val="BoxTitle"/>
                            <w:spacing w:before="0" w:beforeAutospacing="0"/>
                            <w:rPr>
                              <w:sz w:val="18"/>
                              <w:szCs w:val="18"/>
                            </w:rPr>
                          </w:pPr>
                          <w:r w:rsidRPr="00E90B8A">
                            <w:rPr>
                              <w:sz w:val="18"/>
                              <w:szCs w:val="18"/>
                            </w:rPr>
                            <w:t>Q</w:t>
                          </w:r>
                          <w:r>
                            <w:rPr>
                              <w:sz w:val="18"/>
                              <w:szCs w:val="18"/>
                            </w:rPr>
                            <w:t>2</w:t>
                          </w:r>
                          <w:r w:rsidR="0051171E">
                            <w:rPr>
                              <w:sz w:val="18"/>
                              <w:szCs w:val="18"/>
                            </w:rPr>
                            <w:t>3</w:t>
                          </w:r>
                        </w:p>
                      </w:txbxContent>
                    </v:textbox>
                  </v:shape>
                </v:group>
              </v:group>
            </w:pict>
          </mc:Fallback>
        </mc:AlternateContent>
      </w:r>
      <w:r w:rsidR="009F4F6E" w:rsidRPr="008B0FD2">
        <w:t xml:space="preserve">If section 30(3) is amended to specify which public interest each factor is relevant to (or, alternatively, whether particular factors may favour admission or exclusion), this factor could be listed as relevant to the public interest in recognising the seriousness of the impropriety (or as a factor that may favour exclusion of the evidence). </w:t>
      </w:r>
    </w:p>
    <w:p w14:paraId="5EB87A5F" w14:textId="052784DF" w:rsidR="007F668B" w:rsidRDefault="007F668B" w:rsidP="007F668B">
      <w:pPr>
        <w:pStyle w:val="QuestionBox"/>
      </w:pPr>
    </w:p>
    <w:p w14:paraId="13C26C78" w14:textId="77777777" w:rsidR="007F668B" w:rsidRDefault="007F668B" w:rsidP="007F668B">
      <w:pPr>
        <w:pStyle w:val="QuestionBox"/>
      </w:pPr>
    </w:p>
    <w:p w14:paraId="5087BB01" w14:textId="663B80A0" w:rsidR="009F4F6E" w:rsidRDefault="009F4F6E" w:rsidP="007F668B">
      <w:pPr>
        <w:pStyle w:val="QuestionBox"/>
      </w:pPr>
      <w:r w:rsidRPr="008B0FD2">
        <w:t>Should section 30(3)(b) be amended to refer to “the extent to which the investigatory techniques used were known, or ought to have been known, to be improper”?</w:t>
      </w:r>
    </w:p>
    <w:p w14:paraId="01AB8721" w14:textId="1C830505" w:rsidR="007F668B" w:rsidRPr="008B0FD2" w:rsidRDefault="007F668B" w:rsidP="007F668B">
      <w:pPr>
        <w:pStyle w:val="QuestionBox"/>
      </w:pPr>
      <w:r>
        <w:rPr>
          <w:noProof/>
        </w:rPr>
        <mc:AlternateContent>
          <mc:Choice Requires="wpg">
            <w:drawing>
              <wp:anchor distT="0" distB="0" distL="114300" distR="114300" simplePos="0" relativeHeight="251658300" behindDoc="1" locked="0" layoutInCell="1" allowOverlap="1" wp14:anchorId="5B46FD31" wp14:editId="1221ED78">
                <wp:simplePos x="0" y="0"/>
                <wp:positionH relativeFrom="margin">
                  <wp:posOffset>-1962</wp:posOffset>
                </wp:positionH>
                <wp:positionV relativeFrom="paragraph">
                  <wp:posOffset>180549</wp:posOffset>
                </wp:positionV>
                <wp:extent cx="1443355" cy="251460"/>
                <wp:effectExtent l="0" t="0" r="42545" b="0"/>
                <wp:wrapNone/>
                <wp:docPr id="161" name="Group 161"/>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6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66"/>
                        <wps:cNvSpPr>
                          <a:spLocks/>
                        </wps:cNvSpPr>
                        <wps:spPr bwMode="auto">
                          <a:xfrm>
                            <a:off x="-15880" y="0"/>
                            <a:ext cx="432306"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FB87C3" w14:textId="35933CB3" w:rsidR="007F668B" w:rsidRPr="00E700FF" w:rsidRDefault="007F668B" w:rsidP="007F668B">
                              <w:pPr>
                                <w:pStyle w:val="BoxTitle"/>
                                <w:spacing w:before="0" w:beforeAutospacing="0"/>
                              </w:pPr>
                              <w:r w:rsidRPr="001C1B37">
                                <w:t>Q</w:t>
                              </w:r>
                              <w:r>
                                <w:t>2</w:t>
                              </w:r>
                              <w:r w:rsidR="0051171E">
                                <w:t>4</w:t>
                              </w:r>
                            </w:p>
                          </w:txbxContent>
                        </wps:txbx>
                        <wps:bodyPr rot="0" vert="horz" wrap="square" lIns="54000" tIns="82800" rIns="91440" bIns="45720" anchor="ctr" anchorCtr="0" upright="1">
                          <a:noAutofit/>
                        </wps:bodyPr>
                      </wps:wsp>
                    </wpg:wgp>
                  </a:graphicData>
                </a:graphic>
              </wp:anchor>
            </w:drawing>
          </mc:Choice>
          <mc:Fallback>
            <w:pict>
              <v:group w14:anchorId="5B46FD31" id="Group 161" o:spid="_x0000_s1196" style="position:absolute;left:0;text-align:left;margin-left:-.15pt;margin-top:14.2pt;width:113.65pt;height:19.8pt;z-index:-251658180;mso-position-horizontal-relative:margin"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">
                <v:shape id="Freeform 58" o:spid="_x0000_s119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" path="m,l1815,e" filled="f" strokecolor="#72ab6a" strokeweight=".5pt">
                  <v:path arrowok="t" o:connecttype="custom" o:connectlocs="0,0;1073495,0" o:connectangles="0,0"/>
                </v:shape>
                <v:shape id="Freeform 66" o:spid="_x0000_s1198" style="position:absolute;left:-158;width:432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" adj="-11796480,,5400" path="m,470r642,l642,,,,,470e" fillcolor="#72ab6a" stroked="f">
                  <v:stroke joinstyle="round"/>
                  <v:formulas/>
                  <v:path arrowok="t" o:connecttype="custom" o:connectlocs="0,2317953;431634,2317953;431634,2065885;0,2065885;0,2317953" o:connectangles="0,0,0,0,0" textboxrect="0,0,643,470"/>
                  <v:textbox inset="1.5mm,2.3mm">
                    <w:txbxContent>
                      <w:p w14:paraId="70FB87C3" w14:textId="35933CB3" w:rsidR="007F668B" w:rsidRPr="00E700FF" w:rsidRDefault="007F668B" w:rsidP="007F668B">
                        <w:pPr>
                          <w:pStyle w:val="BoxTitle"/>
                          <w:spacing w:before="0" w:beforeAutospacing="0"/>
                        </w:pPr>
                        <w:r w:rsidRPr="001C1B37">
                          <w:t>Q</w:t>
                        </w:r>
                        <w:r>
                          <w:t>2</w:t>
                        </w:r>
                        <w:r w:rsidR="0051171E">
                          <w:t>4</w:t>
                        </w:r>
                      </w:p>
                    </w:txbxContent>
                  </v:textbox>
                </v:shape>
                <w10:wrap anchorx="margin"/>
              </v:group>
            </w:pict>
          </mc:Fallback>
        </mc:AlternateContent>
      </w:r>
    </w:p>
    <w:p w14:paraId="021DF1E7" w14:textId="4B51CF1A" w:rsidR="009F4F6E" w:rsidRDefault="009F4F6E" w:rsidP="007F668B">
      <w:pPr>
        <w:pStyle w:val="QuestionBox"/>
      </w:pPr>
      <w:r w:rsidRPr="008B0FD2">
        <w:t>Should section 30(3)(b) be listed as relevant to the public interest in recognising the seriousness of the impropriety (or as a factor that may favour exclusion of the evidence)?</w:t>
      </w:r>
    </w:p>
    <w:p w14:paraId="2A0644C5" w14:textId="77777777" w:rsidR="007F668B" w:rsidRPr="008B0FD2" w:rsidRDefault="007F668B" w:rsidP="007F668B">
      <w:pPr>
        <w:pStyle w:val="QuestionBox"/>
      </w:pPr>
    </w:p>
    <w:p w14:paraId="51D5EAE8" w14:textId="77777777" w:rsidR="009F4F6E" w:rsidRPr="008B0FD2" w:rsidRDefault="009F4F6E" w:rsidP="002E7A6D">
      <w:pPr>
        <w:pStyle w:val="Heading3"/>
      </w:pPr>
      <w:r w:rsidRPr="008B0FD2">
        <w:t xml:space="preserve">Nature and quality of the evidence </w:t>
      </w:r>
    </w:p>
    <w:p w14:paraId="16A1A4C5" w14:textId="7C469FDC" w:rsidR="009F4F6E" w:rsidRPr="008B0FD2" w:rsidRDefault="009F4F6E" w:rsidP="009F4F6E">
      <w:pPr>
        <w:pStyle w:val="BodyText"/>
      </w:pPr>
      <w:r w:rsidRPr="008B0FD2">
        <w:t xml:space="preserve">Section 30(3)(c) refers to “the nature and quality of the improperly obtained evidence”. We are interested in views on whether case law is placing too much weight on the centrality of the evidence to the prosecution case when considering this factor at the expense of a proper consideration of the probative value of the evidence. </w:t>
      </w:r>
    </w:p>
    <w:p w14:paraId="523AE5EB" w14:textId="4429DB41" w:rsidR="009F4F6E" w:rsidRPr="008B0FD2" w:rsidRDefault="009F4F6E" w:rsidP="009F4F6E">
      <w:pPr>
        <w:pStyle w:val="BodyText"/>
      </w:pPr>
      <w:r w:rsidRPr="008B0FD2">
        <w:t>The history of the balancing test indicates this factor was intended to focus on the probative value of the evidence, including its reliability.</w:t>
      </w:r>
      <w:r w:rsidRPr="008B0FD2">
        <w:rPr>
          <w:rStyle w:val="FootnoteReference"/>
        </w:rPr>
        <w:footnoteReference w:id="564"/>
      </w:r>
      <w:r w:rsidRPr="008B0FD2">
        <w:t xml:space="preserve"> The reasoning was that</w:t>
      </w:r>
      <w:r w:rsidR="00B61071">
        <w:t>,</w:t>
      </w:r>
      <w:r w:rsidRPr="008B0FD2">
        <w:t xml:space="preserve"> if the evidence is highly probative and reliable, there is a greater public interest in having it considered at trial.</w:t>
      </w:r>
      <w:r w:rsidRPr="008B0FD2">
        <w:rPr>
          <w:rStyle w:val="FootnoteReference"/>
        </w:rPr>
        <w:footnoteReference w:id="565"/>
      </w:r>
      <w:r w:rsidRPr="008B0FD2">
        <w:t xml:space="preserve"> For example, physical evidence is less likely to be tainted by impropriety than defendants’ statements, so its reliability is often not in issue.</w:t>
      </w:r>
      <w:r w:rsidRPr="008B0FD2">
        <w:rPr>
          <w:rStyle w:val="FootnoteReference"/>
        </w:rPr>
        <w:footnoteReference w:id="566"/>
      </w:r>
    </w:p>
    <w:p w14:paraId="389345BC" w14:textId="1BA8FD44" w:rsidR="009F4F6E" w:rsidRPr="008B0FD2" w:rsidRDefault="009F4F6E" w:rsidP="009F4F6E">
      <w:pPr>
        <w:pStyle w:val="BodyText"/>
      </w:pPr>
      <w:r w:rsidRPr="008B0FD2">
        <w:t xml:space="preserve">In </w:t>
      </w:r>
      <w:r w:rsidRPr="008B0FD2">
        <w:rPr>
          <w:i/>
          <w:iCs/>
        </w:rPr>
        <w:t>Shaheed</w:t>
      </w:r>
      <w:r w:rsidRPr="008B0FD2">
        <w:t>, the Court had also indicated that the centrality of the evidence to the prosecution case was a relevant factor.</w:t>
      </w:r>
      <w:r w:rsidRPr="008B0FD2">
        <w:rPr>
          <w:rStyle w:val="FootnoteReference"/>
        </w:rPr>
        <w:footnoteReference w:id="567"/>
      </w:r>
      <w:r w:rsidRPr="008B0FD2">
        <w:t xml:space="preserve"> When the Evidence Bill was introduced, section </w:t>
      </w:r>
      <w:r w:rsidRPr="008B0FD2">
        <w:lastRenderedPageBreak/>
        <w:t>30(3)(c) originally included the words “</w:t>
      </w:r>
      <w:r w:rsidRPr="008B0FD2">
        <w:rPr>
          <w:rFonts w:cstheme="minorBidi"/>
        </w:rPr>
        <w:t xml:space="preserve">in particular whether it is central to the case of the prosecution”. </w:t>
      </w:r>
      <w:r w:rsidRPr="008B0FD2">
        <w:t>However, these words were deleted on the recommendation of the select committee.</w:t>
      </w:r>
      <w:r w:rsidRPr="008B0FD2">
        <w:rPr>
          <w:rStyle w:val="FootnoteReference"/>
        </w:rPr>
        <w:footnoteReference w:id="568"/>
      </w:r>
      <w:r w:rsidRPr="008B0FD2">
        <w:t xml:space="preserve"> The select committee found it difficult to envisage a circumstance where that would be a relevant factor since the seriousness of the offence was already listed as a separate factor.</w:t>
      </w:r>
      <w:r w:rsidRPr="008B0FD2">
        <w:rPr>
          <w:vertAlign w:val="superscript"/>
        </w:rPr>
        <w:footnoteReference w:id="569"/>
      </w:r>
      <w:r w:rsidRPr="008B0FD2">
        <w:t xml:space="preserve"> Nandor Tanczos MP, one of the members of the </w:t>
      </w:r>
      <w:r w:rsidR="00F46C69">
        <w:t>c</w:t>
      </w:r>
      <w:r w:rsidRPr="008B0FD2">
        <w:t>ommittee, explained that the factor was removed because:</w:t>
      </w:r>
      <w:r w:rsidRPr="008B0FD2">
        <w:rPr>
          <w:vertAlign w:val="superscript"/>
        </w:rPr>
        <w:footnoteReference w:id="570"/>
      </w:r>
    </w:p>
    <w:p w14:paraId="04E6FD37" w14:textId="77777777" w:rsidR="009F4F6E" w:rsidRPr="008B0FD2" w:rsidRDefault="009F4F6E" w:rsidP="009F4F6E">
      <w:pPr>
        <w:pStyle w:val="QuoteIndent0"/>
      </w:pPr>
      <w:r w:rsidRPr="008B0FD2">
        <w:t>…the fact that the prosecution relies on that evidence to get the conviction makes it even more important that we exclude it, otherwise we create this enormous temptation for the investigating agencies to deliberately breach rights because that is the only evidence they will get.</w:t>
      </w:r>
    </w:p>
    <w:p w14:paraId="2C8CD823" w14:textId="77777777" w:rsidR="009F4F6E" w:rsidRPr="008B0FD2" w:rsidRDefault="009F4F6E" w:rsidP="009F4F6E">
      <w:pPr>
        <w:pStyle w:val="BodyText"/>
      </w:pPr>
      <w:r w:rsidRPr="008B0FD2">
        <w:t xml:space="preserve">Notwithstanding this, two members of the Supreme Court in </w:t>
      </w:r>
      <w:r w:rsidRPr="008B0FD2">
        <w:rPr>
          <w:i/>
          <w:iCs/>
        </w:rPr>
        <w:t xml:space="preserve">Hamed </w:t>
      </w:r>
      <w:r w:rsidRPr="008B0FD2">
        <w:t>considered that the importance of the evidence to the prosecution case could be taken into account under section 30 (in the context of discussing the nature and quality of the evidence).</w:t>
      </w:r>
      <w:r w:rsidRPr="008B0FD2">
        <w:rPr>
          <w:rStyle w:val="FootnoteReference"/>
        </w:rPr>
        <w:footnoteReference w:id="571"/>
      </w:r>
      <w:r w:rsidRPr="008B0FD2">
        <w:t xml:space="preserve"> </w:t>
      </w:r>
    </w:p>
    <w:p w14:paraId="324C7030" w14:textId="7FE34313" w:rsidR="009F4F6E" w:rsidRPr="008B0FD2" w:rsidRDefault="009F4F6E" w:rsidP="009F4F6E">
      <w:pPr>
        <w:pStyle w:val="BodyText"/>
      </w:pPr>
      <w:r w:rsidRPr="008B0FD2">
        <w:t xml:space="preserve">In its </w:t>
      </w:r>
      <w:r w:rsidR="00F46C69">
        <w:t>S</w:t>
      </w:r>
      <w:r w:rsidRPr="008B0FD2">
        <w:t xml:space="preserve">econd </w:t>
      </w:r>
      <w:r w:rsidR="00F46C69">
        <w:t>R</w:t>
      </w:r>
      <w:r w:rsidRPr="008B0FD2">
        <w:t>eview, the Commission said the centrality of the evidence to the prosecution case is best understood as a separate factor, as the “nature and quality of the evidence” is primarily aimed at its reliability.</w:t>
      </w:r>
      <w:r w:rsidRPr="008B0FD2">
        <w:rPr>
          <w:rStyle w:val="FootnoteReference"/>
        </w:rPr>
        <w:footnoteReference w:id="572"/>
      </w:r>
      <w:r w:rsidRPr="008B0FD2">
        <w:t xml:space="preserve"> The Commission did not recommend specifically referring to the centrality of the evidence in section 30(3) as this would risk over-emphasising its importance.</w:t>
      </w:r>
      <w:r w:rsidRPr="008B0FD2">
        <w:rPr>
          <w:rStyle w:val="FootnoteReference"/>
        </w:rPr>
        <w:footnoteReference w:id="573"/>
      </w:r>
    </w:p>
    <w:p w14:paraId="3978A121" w14:textId="22CDD4A8" w:rsidR="009F4F6E" w:rsidRPr="008B0FD2" w:rsidRDefault="009F4F6E" w:rsidP="009F4F6E">
      <w:pPr>
        <w:pStyle w:val="BodyText"/>
      </w:pPr>
      <w:r w:rsidRPr="008B0FD2">
        <w:t>Since then, some cases have continued to equate section 30(3)(c) with the centrality of the evidence to the prosecution case and treat this as a significant, if not determinative, factor.</w:t>
      </w:r>
      <w:r w:rsidRPr="008B0FD2">
        <w:rPr>
          <w:rStyle w:val="FootnoteReference"/>
        </w:rPr>
        <w:footnoteReference w:id="574"/>
      </w:r>
      <w:r w:rsidRPr="008B0FD2">
        <w:t xml:space="preserve"> In our snapshot case study, the centrality of the evidence was the single most often relied on factor in admitting improperly obtained evidence (cited in 29 out of 40 cases), despite not being identified as a factor in section 30(3). While specific concerns about reliability were taken into account where relevant</w:t>
      </w:r>
      <w:r w:rsidR="008001D0">
        <w:t xml:space="preserve">, </w:t>
      </w:r>
      <w:r w:rsidRPr="008B0FD2">
        <w:t>usually in cases involving defendants’ statements</w:t>
      </w:r>
      <w:r w:rsidR="008001D0">
        <w:t xml:space="preserve">, </w:t>
      </w:r>
      <w:r w:rsidRPr="008B0FD2">
        <w:t>the probative value of the evidence was rarely referred to as favouring admission (although the tendency of the courts to admit physical evidence far more often than confession evidence suggests it may possibly be an unstated factor in some cases).</w:t>
      </w:r>
    </w:p>
    <w:p w14:paraId="63CA3199" w14:textId="29007CCE" w:rsidR="009F4F6E" w:rsidRPr="008B0FD2" w:rsidRDefault="009F4F6E" w:rsidP="009F4F6E">
      <w:pPr>
        <w:pStyle w:val="BodyText"/>
      </w:pPr>
      <w:r w:rsidRPr="008B0FD2">
        <w:t>The current wording of section 30(3)(c) is arguably ambiguous. The “nature and quality of the evidence” can be interpreted as including its importance to the prosecution case (as, indeed, the courts have found) notwithstanding the amendment to the Evidence Bill. We are interested in views on whether it would be preferable for the courts to focus on the probative value of the evidence, including its reliability. Emphasising the centrality of the evidence to the prosecution case may be considered undesirable because:</w:t>
      </w:r>
    </w:p>
    <w:p w14:paraId="5EDDA6C7" w14:textId="77777777" w:rsidR="009F4F6E" w:rsidRPr="008B0FD2" w:rsidRDefault="009F4F6E" w:rsidP="00866891">
      <w:pPr>
        <w:pStyle w:val="BodyText2"/>
        <w:numPr>
          <w:ilvl w:val="3"/>
          <w:numId w:val="37"/>
        </w:numPr>
      </w:pPr>
      <w:r w:rsidRPr="008B0FD2">
        <w:lastRenderedPageBreak/>
        <w:t>Frequent admission of evidence on the basis that it is central to the prosecution case could encourage recklessness or laxity on the part of Police or other investigating agencies attempting to obtain evidence in situations where they have little other evidence against a suspect. It may be seen as condoning an “ends justifies the means” approach.</w:t>
      </w:r>
    </w:p>
    <w:p w14:paraId="78540538" w14:textId="77777777" w:rsidR="009F4F6E" w:rsidRPr="008B0FD2" w:rsidRDefault="009F4F6E" w:rsidP="009F4F6E">
      <w:pPr>
        <w:pStyle w:val="BodyText2"/>
      </w:pPr>
      <w:r w:rsidRPr="008B0FD2">
        <w:t>If the evidence is of relatively low probative value or questionable reliability, it may be inappropriate to treat its centrality to the prosecution case as favouring its admission. It may therefore be preferable in the usual course to focus on the probative value of the particular evidence in question and its tendency to establish guilt.</w:t>
      </w:r>
    </w:p>
    <w:p w14:paraId="4A5928E2" w14:textId="77777777" w:rsidR="009F4F6E" w:rsidRPr="008B0FD2" w:rsidRDefault="009F4F6E" w:rsidP="009F4F6E">
      <w:pPr>
        <w:pStyle w:val="BodyText2"/>
      </w:pPr>
      <w:r w:rsidRPr="008B0FD2">
        <w:t>Evidence that is highly probative will often be central to the prosecution case. If the probative value of the evidence is considered as favouring its admission (consistent with the intent behind section 30(3)(c)), then also factoring in its centrality to the prosecution case may mean the significance of the evidence is given too much weight overall.</w:t>
      </w:r>
    </w:p>
    <w:p w14:paraId="59824389" w14:textId="77777777" w:rsidR="009F4F6E" w:rsidRPr="008B0FD2" w:rsidRDefault="009F4F6E" w:rsidP="002E7A6D">
      <w:pPr>
        <w:pStyle w:val="Heading4"/>
      </w:pPr>
      <w:r w:rsidRPr="008B0FD2">
        <w:t>Option for reform</w:t>
      </w:r>
    </w:p>
    <w:p w14:paraId="7565CC03" w14:textId="77777777" w:rsidR="009F4F6E" w:rsidRPr="008B0FD2" w:rsidRDefault="009F4F6E" w:rsidP="009F4F6E">
      <w:pPr>
        <w:pStyle w:val="BodyText"/>
      </w:pPr>
      <w:r w:rsidRPr="008B0FD2">
        <w:t>If reform is considered desirable, section 30(3)(c) could be amended to refer to the “probative value of the evidence, including its reliability” rather than “the nature and quality of the evidence”. This may help to focus attention on probative value rather than the centrality of the evidence to the prosecution case. We invite feedback on whether this wording would encompass all aspects of the nature and quality of the evidence that the courts ought to consider.</w:t>
      </w:r>
    </w:p>
    <w:p w14:paraId="5D5088D9" w14:textId="77777777" w:rsidR="009F4F6E" w:rsidRPr="008B0FD2" w:rsidRDefault="009F4F6E" w:rsidP="009F4F6E">
      <w:pPr>
        <w:pStyle w:val="BodyText"/>
        <w:tabs>
          <w:tab w:val="num" w:pos="709"/>
        </w:tabs>
      </w:pPr>
      <w:r w:rsidRPr="008B0FD2">
        <w:t>If section 30(3) is amended to specify which public interest each factor is relevant to (or, alternatively, whether particular factors may favour admission or exclusion), this factor could be listed as relevant to the public interest in having the evidence considered by the fact-finder at trial (or as a factor that may favour admission of the evidence).</w:t>
      </w:r>
      <w:r w:rsidRPr="008B0FD2">
        <w:rPr>
          <w:rStyle w:val="FootnoteReference"/>
        </w:rPr>
        <w:footnoteReference w:id="575"/>
      </w:r>
      <w:r w:rsidRPr="008B0FD2">
        <w:t xml:space="preserve"> This is in line with the approach in </w:t>
      </w:r>
      <w:r w:rsidRPr="008B0FD2">
        <w:rPr>
          <w:i/>
          <w:iCs/>
        </w:rPr>
        <w:t>Williams</w:t>
      </w:r>
      <w:r w:rsidRPr="008B0FD2">
        <w:t xml:space="preserve">. </w:t>
      </w:r>
    </w:p>
    <w:p w14:paraId="24AD7922" w14:textId="6DD41DF6" w:rsidR="0051171E" w:rsidRDefault="009E6931" w:rsidP="0051171E">
      <w:pPr>
        <w:pStyle w:val="QuestionBox"/>
      </w:pPr>
      <w:bookmarkStart w:id="121" w:name="_Ref118723160"/>
      <w:r>
        <w:rPr>
          <w:noProof/>
        </w:rPr>
        <mc:AlternateContent>
          <mc:Choice Requires="wpg">
            <w:drawing>
              <wp:anchor distT="0" distB="0" distL="114300" distR="114300" simplePos="0" relativeHeight="251658301" behindDoc="1" locked="0" layoutInCell="1" allowOverlap="1" wp14:anchorId="7D8E58C7" wp14:editId="4D31F7D3">
                <wp:simplePos x="0" y="0"/>
                <wp:positionH relativeFrom="column">
                  <wp:posOffset>1754</wp:posOffset>
                </wp:positionH>
                <wp:positionV relativeFrom="paragraph">
                  <wp:posOffset>20157</wp:posOffset>
                </wp:positionV>
                <wp:extent cx="5760085" cy="2136561"/>
                <wp:effectExtent l="0" t="0" r="0" b="0"/>
                <wp:wrapNone/>
                <wp:docPr id="2081474760" name="Group 2081474760" descr="Question"/>
                <wp:cNvGraphicFramePr/>
                <a:graphic xmlns:a="http://schemas.openxmlformats.org/drawingml/2006/main">
                  <a:graphicData uri="http://schemas.microsoft.com/office/word/2010/wordprocessingGroup">
                    <wpg:wgp>
                      <wpg:cNvGrpSpPr/>
                      <wpg:grpSpPr>
                        <a:xfrm>
                          <a:off x="0" y="0"/>
                          <a:ext cx="5760085" cy="2136561"/>
                          <a:chOff x="0" y="62865"/>
                          <a:chExt cx="5760085" cy="2136896"/>
                        </a:xfrm>
                      </wpg:grpSpPr>
                      <wps:wsp>
                        <wps:cNvPr id="68567363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F42436" w14:textId="659280E7" w:rsidR="009E6931" w:rsidRDefault="009E6931" w:rsidP="009E6931">
                              <w:pPr>
                                <w:pStyle w:val="BoxTitle"/>
                                <w:spacing w:before="0" w:beforeAutospacing="0"/>
                              </w:pPr>
                              <w:r w:rsidRPr="007F6876">
                                <w:t>QUESTION</w:t>
                              </w:r>
                              <w:r w:rsidR="002C0F3E">
                                <w:t>S</w:t>
                              </w:r>
                            </w:p>
                          </w:txbxContent>
                        </wps:txbx>
                        <wps:bodyPr rot="0" vert="horz" wrap="square" lIns="91440" tIns="0" rIns="0" bIns="45720" anchor="ctr" anchorCtr="0" upright="1">
                          <a:noAutofit/>
                        </wps:bodyPr>
                      </wps:wsp>
                      <wpg:grpSp>
                        <wpg:cNvPr id="182270923" name="Group 53"/>
                        <wpg:cNvGrpSpPr>
                          <a:grpSpLocks/>
                        </wpg:cNvGrpSpPr>
                        <wpg:grpSpPr bwMode="auto">
                          <a:xfrm>
                            <a:off x="0" y="315799"/>
                            <a:ext cx="5760085" cy="1883962"/>
                            <a:chOff x="1837" y="1787"/>
                            <a:chExt cx="9302" cy="20350"/>
                          </a:xfrm>
                        </wpg:grpSpPr>
                        <wps:wsp>
                          <wps:cNvPr id="737660002" name="Freeform 54"/>
                          <wps:cNvSpPr>
                            <a:spLocks/>
                          </wps:cNvSpPr>
                          <wps:spPr bwMode="auto">
                            <a:xfrm>
                              <a:off x="1837" y="1787"/>
                              <a:ext cx="9302" cy="2035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5016769" name="Group 1855016769"/>
                        <wpg:cNvGrpSpPr/>
                        <wpg:grpSpPr>
                          <a:xfrm>
                            <a:off x="0" y="494036"/>
                            <a:ext cx="1443794" cy="252000"/>
                            <a:chOff x="-15880" y="0"/>
                            <a:chExt cx="1444379" cy="252068"/>
                          </a:xfrm>
                        </wpg:grpSpPr>
                        <wps:wsp>
                          <wps:cNvPr id="69140223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47895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9BC17A" w14:textId="3BB3FBAC" w:rsidR="009E6931" w:rsidRPr="00E90B8A" w:rsidRDefault="009E6931" w:rsidP="009E6931">
                                <w:pPr>
                                  <w:pStyle w:val="BoxTitle"/>
                                  <w:spacing w:before="0" w:beforeAutospacing="0"/>
                                  <w:rPr>
                                    <w:sz w:val="18"/>
                                    <w:szCs w:val="18"/>
                                  </w:rPr>
                                </w:pPr>
                                <w:r w:rsidRPr="00E90B8A">
                                  <w:rPr>
                                    <w:sz w:val="18"/>
                                    <w:szCs w:val="18"/>
                                  </w:rPr>
                                  <w:t>Q</w:t>
                                </w:r>
                                <w:r>
                                  <w:rPr>
                                    <w:sz w:val="18"/>
                                    <w:szCs w:val="18"/>
                                  </w:rPr>
                                  <w:t>25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D8E58C7" id="Group 2081474760" o:spid="_x0000_s1199" alt="Question" style="position:absolute;left:0;text-align:left;margin-left:.15pt;margin-top:1.6pt;width:453.55pt;height:168.25pt;z-index:-251658179;mso-height-relative:margin" coordorigin=",628" coordsize="57600,2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">
                <v:shape id="Freeform 52" o:spid="_x0000_s120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BF42436" w14:textId="659280E7" w:rsidR="009E6931" w:rsidRDefault="009E6931" w:rsidP="009E6931">
                        <w:pPr>
                          <w:pStyle w:val="BoxTitle"/>
                          <w:spacing w:before="0" w:beforeAutospacing="0"/>
                        </w:pPr>
                        <w:r w:rsidRPr="007F6876">
                          <w:t>QUESTION</w:t>
                        </w:r>
                        <w:r w:rsidR="002C0F3E">
                          <w:t>S</w:t>
                        </w:r>
                      </w:p>
                    </w:txbxContent>
                  </v:textbox>
                </v:shape>
                <v:group id="Group 53" o:spid="_x0000_s1201" style="position:absolute;top:3157;width:57600;height:18840" coordorigin="1837,1787" coordsize="9302,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">
                  <v:shape id="Freeform 54" o:spid="_x0000_s1202" style="position:absolute;left:1837;top:1787;width:9302;height:2035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" path="m,l9354,r,7809l,7809,,e" fillcolor="#edf2ea" stroked="f">
                    <v:path arrowok="t" o:connecttype="custom" o:connectlocs="0,2606;9302,2606;9302,22956;0,22956;0,2606" o:connectangles="0,0,0,0,0"/>
                  </v:shape>
                </v:group>
                <v:group id="Group 1855016769" o:spid="_x0000_s120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">
                  <v:shape id="Freeform 58" o:spid="_x0000_s120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" path="m,l1815,e" filled="f" strokecolor="#72ab6a" strokeweight=".5pt">
                    <v:path arrowok="t" o:connecttype="custom" o:connectlocs="0,0;1073495,0" o:connectangles="0,0"/>
                  </v:shape>
                  <v:shape id="Freeform 66" o:spid="_x0000_s120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B9BC17A" w14:textId="3BB3FBAC" w:rsidR="009E6931" w:rsidRPr="00E90B8A" w:rsidRDefault="009E6931" w:rsidP="009E6931">
                          <w:pPr>
                            <w:pStyle w:val="BoxTitle"/>
                            <w:spacing w:before="0" w:beforeAutospacing="0"/>
                            <w:rPr>
                              <w:sz w:val="18"/>
                              <w:szCs w:val="18"/>
                            </w:rPr>
                          </w:pPr>
                          <w:r w:rsidRPr="00E90B8A">
                            <w:rPr>
                              <w:sz w:val="18"/>
                              <w:szCs w:val="18"/>
                            </w:rPr>
                            <w:t>Q</w:t>
                          </w:r>
                          <w:r>
                            <w:rPr>
                              <w:sz w:val="18"/>
                              <w:szCs w:val="18"/>
                            </w:rPr>
                            <w:t>25</w:t>
                          </w:r>
                        </w:p>
                      </w:txbxContent>
                    </v:textbox>
                  </v:shape>
                </v:group>
              </v:group>
            </w:pict>
          </mc:Fallback>
        </mc:AlternateContent>
      </w:r>
    </w:p>
    <w:p w14:paraId="3F81C87C" w14:textId="77777777" w:rsidR="0051171E" w:rsidRDefault="0051171E" w:rsidP="0051171E">
      <w:pPr>
        <w:pStyle w:val="QuestionBox"/>
      </w:pPr>
    </w:p>
    <w:p w14:paraId="759ECD1D" w14:textId="22C96ED4" w:rsidR="009F4F6E" w:rsidRPr="008B0FD2" w:rsidRDefault="009F4F6E" w:rsidP="0051171E">
      <w:pPr>
        <w:pStyle w:val="QuestionBox"/>
      </w:pPr>
      <w:r w:rsidRPr="008B0FD2">
        <w:t>Should section 30(3)(c) be amended to refer to the “probative value of the evidence, including its reliability” rather than “the nature and quality of the evidence”?</w:t>
      </w:r>
      <w:bookmarkEnd w:id="121"/>
      <w:r w:rsidRPr="008B0FD2">
        <w:t xml:space="preserve"> </w:t>
      </w:r>
    </w:p>
    <w:p w14:paraId="77A289D3" w14:textId="604F2225" w:rsidR="009E6931" w:rsidRDefault="009E6931" w:rsidP="0051171E">
      <w:pPr>
        <w:pStyle w:val="QuestionBox"/>
      </w:pPr>
      <w:r w:rsidRPr="009D06D4">
        <w:rPr>
          <w:noProof/>
          <w:sz w:val="8"/>
          <w:szCs w:val="12"/>
        </w:rPr>
        <mc:AlternateContent>
          <mc:Choice Requires="wpg">
            <w:drawing>
              <wp:anchor distT="0" distB="0" distL="114300" distR="114300" simplePos="0" relativeHeight="251658302" behindDoc="1" locked="0" layoutInCell="1" allowOverlap="1" wp14:anchorId="69EB77E6" wp14:editId="28B36285">
                <wp:simplePos x="0" y="0"/>
                <wp:positionH relativeFrom="margin">
                  <wp:posOffset>0</wp:posOffset>
                </wp:positionH>
                <wp:positionV relativeFrom="paragraph">
                  <wp:posOffset>205658</wp:posOffset>
                </wp:positionV>
                <wp:extent cx="1443355" cy="251460"/>
                <wp:effectExtent l="0" t="0" r="42545" b="0"/>
                <wp:wrapNone/>
                <wp:docPr id="174" name="Group 174"/>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7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760DD4" w14:textId="77777777" w:rsidR="009E6931" w:rsidRPr="00E700FF" w:rsidRDefault="009E6931" w:rsidP="009E6931">
                              <w:pPr>
                                <w:pStyle w:val="BoxTitle"/>
                                <w:spacing w:before="0" w:beforeAutospacing="0"/>
                              </w:pPr>
                              <w:r w:rsidRPr="001C1B37">
                                <w:t>Q</w:t>
                              </w:r>
                              <w:r>
                                <w:t>26</w:t>
                              </w:r>
                            </w:p>
                          </w:txbxContent>
                        </wps:txbx>
                        <wps:bodyPr rot="0" vert="horz" wrap="square" lIns="54000" tIns="82800" rIns="91440" bIns="45720" anchor="ctr" anchorCtr="0" upright="1">
                          <a:noAutofit/>
                        </wps:bodyPr>
                      </wps:wsp>
                    </wpg:wgp>
                  </a:graphicData>
                </a:graphic>
              </wp:anchor>
            </w:drawing>
          </mc:Choice>
          <mc:Fallback>
            <w:pict>
              <v:group w14:anchorId="69EB77E6" id="Group 174" o:spid="_x0000_s1206" style="position:absolute;left:0;text-align:left;margin-left:0;margin-top:16.2pt;width:113.65pt;height:19.8pt;z-index:-251658178;mso-position-horizontal-relative:margin"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">
                <v:shape id="Freeform 58" o:spid="_x0000_s120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" path="m,l1815,e" filled="f" strokecolor="#72ab6a" strokeweight=".5pt">
                  <v:path arrowok="t" o:connecttype="custom" o:connectlocs="0,0;1073495,0" o:connectangles="0,0"/>
                </v:shape>
                <v:shape id="Freeform 66" o:spid="_x0000_s120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7760DD4" w14:textId="77777777" w:rsidR="009E6931" w:rsidRPr="00E700FF" w:rsidRDefault="009E6931" w:rsidP="009E6931">
                        <w:pPr>
                          <w:pStyle w:val="BoxTitle"/>
                          <w:spacing w:before="0" w:beforeAutospacing="0"/>
                        </w:pPr>
                        <w:r w:rsidRPr="001C1B37">
                          <w:t>Q</w:t>
                        </w:r>
                        <w:r>
                          <w:t>26</w:t>
                        </w:r>
                      </w:p>
                    </w:txbxContent>
                  </v:textbox>
                </v:shape>
                <w10:wrap anchorx="margin"/>
              </v:group>
            </w:pict>
          </mc:Fallback>
        </mc:AlternateContent>
      </w:r>
    </w:p>
    <w:p w14:paraId="682FBB08" w14:textId="55C777E3" w:rsidR="009F4F6E" w:rsidRPr="008B0FD2" w:rsidRDefault="009F4F6E" w:rsidP="0051171E">
      <w:pPr>
        <w:pStyle w:val="QuestionBox"/>
      </w:pPr>
      <w:r w:rsidRPr="008B0FD2">
        <w:t>Should section 30(3)(c) be listed as a factor relevant to the public interest in having the evidence considered by the fact-finder at trial (or as a factor that may favour admission of the evidence)?</w:t>
      </w:r>
    </w:p>
    <w:p w14:paraId="0A271885" w14:textId="77777777" w:rsidR="009F4F6E" w:rsidRPr="008B0FD2" w:rsidRDefault="009F4F6E" w:rsidP="002E7A6D">
      <w:pPr>
        <w:pStyle w:val="Heading3"/>
      </w:pPr>
      <w:r w:rsidRPr="008B0FD2">
        <w:lastRenderedPageBreak/>
        <w:t>Seriousness of the offence</w:t>
      </w:r>
    </w:p>
    <w:p w14:paraId="18E46E66" w14:textId="77777777" w:rsidR="009F4F6E" w:rsidRPr="008B0FD2" w:rsidRDefault="009F4F6E" w:rsidP="009F4F6E">
      <w:pPr>
        <w:pStyle w:val="BodyText"/>
      </w:pPr>
      <w:r w:rsidRPr="008B0FD2">
        <w:t xml:space="preserve">Section 30(3)(d) refers to “the seriousness of the offence with which the defendant is charged”. Case law discloses some uncertainty about how the seriousness of the offence is to be weighed, particularly where the reliability of the evidence is in question. </w:t>
      </w:r>
    </w:p>
    <w:p w14:paraId="0E6C0EDB" w14:textId="44ABE591" w:rsidR="009F4F6E" w:rsidRPr="008B0FD2" w:rsidRDefault="009F4F6E" w:rsidP="009F4F6E">
      <w:pPr>
        <w:pStyle w:val="BodyText"/>
      </w:pPr>
      <w:r w:rsidRPr="008B0FD2">
        <w:t xml:space="preserve">In </w:t>
      </w:r>
      <w:r w:rsidRPr="008B0FD2">
        <w:rPr>
          <w:i/>
          <w:iCs/>
        </w:rPr>
        <w:t>Hamed</w:t>
      </w:r>
      <w:r w:rsidRPr="008B0FD2">
        <w:t xml:space="preserve">, two of the </w:t>
      </w:r>
      <w:r w:rsidR="005B4B78">
        <w:t>J</w:t>
      </w:r>
      <w:r w:rsidRPr="008B0FD2">
        <w:t>udges suggested the seriousness of the offence could favour admission or exclusion of the evidence depending on the context.</w:t>
      </w:r>
      <w:r w:rsidRPr="008B0FD2">
        <w:rPr>
          <w:rStyle w:val="FootnoteReference"/>
        </w:rPr>
        <w:footnoteReference w:id="576"/>
      </w:r>
      <w:r w:rsidRPr="008B0FD2">
        <w:t xml:space="preserve"> The Commission noted in its </w:t>
      </w:r>
      <w:r w:rsidR="00C51702">
        <w:t>S</w:t>
      </w:r>
      <w:r w:rsidRPr="008B0FD2">
        <w:t xml:space="preserve">econd </w:t>
      </w:r>
      <w:r w:rsidR="00C51702">
        <w:t>R</w:t>
      </w:r>
      <w:r w:rsidRPr="008B0FD2">
        <w:t>eview that there had been confusion about how the seriousness of an offence was to be measured and whether it favours admission or exclusion.</w:t>
      </w:r>
      <w:r w:rsidRPr="008B0FD2">
        <w:rPr>
          <w:rStyle w:val="FootnoteReference"/>
        </w:rPr>
        <w:footnoteReference w:id="577"/>
      </w:r>
      <w:r w:rsidRPr="008B0FD2">
        <w:t xml:space="preserve"> The Commission considered, however, that this uncertainty had been resolved by the Court of Appeal’s decision in </w:t>
      </w:r>
      <w:r w:rsidRPr="008B0FD2">
        <w:rPr>
          <w:i/>
          <w:iCs/>
        </w:rPr>
        <w:t>Underwood</w:t>
      </w:r>
      <w:r w:rsidRPr="008B0FD2">
        <w:t>.</w:t>
      </w:r>
      <w:r w:rsidRPr="008B0FD2">
        <w:rPr>
          <w:rStyle w:val="FootnoteReference"/>
        </w:rPr>
        <w:footnoteReference w:id="578"/>
      </w:r>
      <w:r w:rsidRPr="008B0FD2">
        <w:t xml:space="preserve"> In </w:t>
      </w:r>
      <w:r w:rsidRPr="008B0FD2">
        <w:rPr>
          <w:i/>
          <w:iCs/>
        </w:rPr>
        <w:t>Underwood</w:t>
      </w:r>
      <w:r w:rsidRPr="008B0FD2">
        <w:t>, the Court said earlier suggestions that the seriousness of the offence can “cut both ways” were misleading to the extent they suggested this factor can independently favour exclusion of the evidence.</w:t>
      </w:r>
      <w:r w:rsidRPr="008B0FD2">
        <w:rPr>
          <w:rStyle w:val="FootnoteReference"/>
        </w:rPr>
        <w:footnoteReference w:id="579"/>
      </w:r>
      <w:r w:rsidRPr="008B0FD2">
        <w:t xml:space="preserve"> The Court said that seriousness </w:t>
      </w:r>
      <w:r w:rsidRPr="008B0FD2">
        <w:rPr>
          <w:i/>
          <w:iCs/>
        </w:rPr>
        <w:t>always</w:t>
      </w:r>
      <w:r w:rsidRPr="008B0FD2">
        <w:t xml:space="preserve"> favours admission, although it acknowledged that where the offence is serious other factors favouring exclusion (such as the importance of the right and the nature of the breach) may assume greater importance.</w:t>
      </w:r>
    </w:p>
    <w:p w14:paraId="6282AC31" w14:textId="77777777" w:rsidR="009F4F6E" w:rsidRPr="008B0FD2" w:rsidRDefault="009F4F6E" w:rsidP="009F4F6E">
      <w:pPr>
        <w:pStyle w:val="BodyText"/>
      </w:pPr>
      <w:r w:rsidRPr="008B0FD2">
        <w:t xml:space="preserve">Case law since 2016 indicates that </w:t>
      </w:r>
      <w:r w:rsidRPr="008B0FD2">
        <w:rPr>
          <w:i/>
        </w:rPr>
        <w:t>Underwood</w:t>
      </w:r>
      <w:r w:rsidRPr="008B0FD2">
        <w:t xml:space="preserve"> may not have resolved matters. There appears to be continued confusion over the significance of the seriousness of the offence, in particular where the reliability of the evidence is in question.</w:t>
      </w:r>
      <w:r w:rsidRPr="008B0FD2">
        <w:rPr>
          <w:rStyle w:val="FootnoteReference"/>
        </w:rPr>
        <w:footnoteReference w:id="580"/>
      </w:r>
      <w:r w:rsidRPr="008B0FD2">
        <w:t xml:space="preserve"> Two Court of Appeal cases decided in 2018 both involved breaches of the Practice Note on Police Questioning giving rise to reliability concerns. In one case, the seriousness of the offence was treated as favouring admission of the evidence (although this was outweighed by other factors)</w:t>
      </w:r>
      <w:r w:rsidRPr="008B0FD2">
        <w:rPr>
          <w:rStyle w:val="FootnoteReference"/>
        </w:rPr>
        <w:footnoteReference w:id="581"/>
      </w:r>
      <w:r w:rsidRPr="008B0FD2">
        <w:t xml:space="preserve"> and in the other as favouring exclusion.</w:t>
      </w:r>
      <w:r w:rsidRPr="008B0FD2">
        <w:rPr>
          <w:rStyle w:val="FootnoteReference"/>
        </w:rPr>
        <w:footnoteReference w:id="582"/>
      </w:r>
      <w:r w:rsidRPr="008B0FD2">
        <w:t xml:space="preserve"> Neither case discussed the reasons for their respective approaches. </w:t>
      </w:r>
    </w:p>
    <w:p w14:paraId="4A14BC53" w14:textId="73A4000D" w:rsidR="009F4F6E" w:rsidRPr="008B0FD2" w:rsidRDefault="009F4F6E" w:rsidP="009F4F6E">
      <w:pPr>
        <w:pStyle w:val="BodyText"/>
      </w:pPr>
      <w:r w:rsidRPr="008B0FD2">
        <w:t>We agree</w:t>
      </w:r>
      <w:r w:rsidRPr="008B0FD2">
        <w:rPr>
          <w:i/>
          <w:iCs/>
        </w:rPr>
        <w:t xml:space="preserve"> </w:t>
      </w:r>
      <w:r w:rsidRPr="008B0FD2">
        <w:t>that</w:t>
      </w:r>
      <w:r w:rsidR="00462C26">
        <w:t>,</w:t>
      </w:r>
      <w:r w:rsidRPr="008B0FD2">
        <w:t xml:space="preserve"> where the reliability of the evidence is in issue, that may impact how the seriousness of the offence should be weighed. The rationale for considering the seriousness of the offence is that it increases the public interest in having the evidence considered at trial. If, however, the reliability of the evidence is in question, there is less reason to believe that its admission will (or should) result in conviction, which reduces that public interest. As well, reliability concerns may be particularly compelling in cases involving serious offending because of the gravity of the consequences for the alleged offender.</w:t>
      </w:r>
    </w:p>
    <w:p w14:paraId="1889A4E8" w14:textId="32A7F5E8" w:rsidR="009F4F6E" w:rsidRPr="008B0FD2" w:rsidRDefault="009F4F6E" w:rsidP="009F4F6E">
      <w:pPr>
        <w:pStyle w:val="BodyText"/>
      </w:pPr>
      <w:r w:rsidRPr="008B0FD2">
        <w:t xml:space="preserve">Our preliminary view, however, is that the seriousness of the offence should not be treated as favouring </w:t>
      </w:r>
      <w:r w:rsidRPr="008B0FD2">
        <w:rPr>
          <w:i/>
          <w:iCs/>
        </w:rPr>
        <w:t xml:space="preserve">exclusion </w:t>
      </w:r>
      <w:r w:rsidRPr="008B0FD2">
        <w:t xml:space="preserve">of the evidence. All suspects are entitled to the same rights </w:t>
      </w:r>
      <w:r w:rsidRPr="008B0FD2">
        <w:lastRenderedPageBreak/>
        <w:t>and procedural protections irrespective of the seriousness of the offence.</w:t>
      </w:r>
      <w:r w:rsidRPr="008B0FD2">
        <w:rPr>
          <w:rStyle w:val="FootnoteReference"/>
        </w:rPr>
        <w:footnoteReference w:id="583"/>
      </w:r>
      <w:r w:rsidRPr="008B0FD2">
        <w:t xml:space="preserve"> Instead, where there are reliability concerns, it may be more appropriate to treat the seriousness of the offence as a neutral factor or to give it reduced weight (depending on the extent of the reliability concerns). The reliability concerns themselves may also be given greater weight. We invite feedback on this approach.</w:t>
      </w:r>
    </w:p>
    <w:p w14:paraId="73880935" w14:textId="77777777" w:rsidR="009F4F6E" w:rsidRPr="008B0FD2" w:rsidRDefault="009F4F6E" w:rsidP="002E7A6D">
      <w:pPr>
        <w:pStyle w:val="Heading4"/>
      </w:pPr>
      <w:r w:rsidRPr="008B0FD2">
        <w:t>Option for reform</w:t>
      </w:r>
    </w:p>
    <w:p w14:paraId="44D6278C" w14:textId="1C06CC03" w:rsidR="009F4F6E" w:rsidRPr="008B0FD2" w:rsidRDefault="009F4F6E" w:rsidP="009F4F6E">
      <w:pPr>
        <w:pStyle w:val="BodyText"/>
      </w:pPr>
      <w:r w:rsidRPr="008B0FD2">
        <w:t xml:space="preserve">If there is support for clarifying </w:t>
      </w:r>
      <w:r w:rsidR="00462C26">
        <w:t xml:space="preserve">to </w:t>
      </w:r>
      <w:r w:rsidRPr="008B0FD2">
        <w:t>which public interest each section 30(3) factor is relevant (or, alternatively, whether particular factors favour admission or exclusion), the seriousness of the offence could be listed as relevant to the public interest in having the evidence considered by the fact-finder at trial (or as a factor that may favour admission of the evidence). This would indicate that the seriousness of the offence does not favour exclusion of the evidence. However, where there are concerns about the reliability of the evidence, it may still be appropriate to give the seriousness of the offence less weight or no weight</w:t>
      </w:r>
      <w:r w:rsidR="00462C26">
        <w:t>,</w:t>
      </w:r>
      <w:r w:rsidRPr="008B0FD2">
        <w:t xml:space="preserve"> meaning that it will be more easily outweighed by the seriousness of the impropriety. </w:t>
      </w:r>
    </w:p>
    <w:p w14:paraId="4068B0EF" w14:textId="2C3D9786" w:rsidR="009E6931" w:rsidRDefault="009E6931" w:rsidP="009E6931">
      <w:pPr>
        <w:pStyle w:val="QuestionBox"/>
      </w:pPr>
      <w:r>
        <w:rPr>
          <w:noProof/>
        </w:rPr>
        <mc:AlternateContent>
          <mc:Choice Requires="wpg">
            <w:drawing>
              <wp:anchor distT="0" distB="0" distL="114300" distR="114300" simplePos="0" relativeHeight="251658303" behindDoc="1" locked="0" layoutInCell="1" allowOverlap="1" wp14:anchorId="51EAC699" wp14:editId="63B78003">
                <wp:simplePos x="0" y="0"/>
                <wp:positionH relativeFrom="column">
                  <wp:posOffset>1754</wp:posOffset>
                </wp:positionH>
                <wp:positionV relativeFrom="paragraph">
                  <wp:posOffset>-1220</wp:posOffset>
                </wp:positionV>
                <wp:extent cx="5760085" cy="1240368"/>
                <wp:effectExtent l="0" t="0" r="0" b="0"/>
                <wp:wrapNone/>
                <wp:docPr id="764517978" name="Group 764517978" descr="Question"/>
                <wp:cNvGraphicFramePr/>
                <a:graphic xmlns:a="http://schemas.openxmlformats.org/drawingml/2006/main">
                  <a:graphicData uri="http://schemas.microsoft.com/office/word/2010/wordprocessingGroup">
                    <wpg:wgp>
                      <wpg:cNvGrpSpPr/>
                      <wpg:grpSpPr>
                        <a:xfrm>
                          <a:off x="0" y="0"/>
                          <a:ext cx="5760085" cy="1240368"/>
                          <a:chOff x="0" y="62865"/>
                          <a:chExt cx="5760085" cy="1240649"/>
                        </a:xfrm>
                      </wpg:grpSpPr>
                      <wps:wsp>
                        <wps:cNvPr id="76451797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74A58A" w14:textId="77777777" w:rsidR="009E6931" w:rsidRDefault="009E6931" w:rsidP="009E6931">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80" name="Group 53"/>
                        <wpg:cNvGrpSpPr>
                          <a:grpSpLocks/>
                        </wpg:cNvGrpSpPr>
                        <wpg:grpSpPr bwMode="auto">
                          <a:xfrm>
                            <a:off x="0" y="315614"/>
                            <a:ext cx="5760085" cy="987900"/>
                            <a:chOff x="1837" y="1785"/>
                            <a:chExt cx="9302" cy="10671"/>
                          </a:xfrm>
                        </wpg:grpSpPr>
                        <wps:wsp>
                          <wps:cNvPr id="764517981" name="Freeform 54"/>
                          <wps:cNvSpPr>
                            <a:spLocks/>
                          </wps:cNvSpPr>
                          <wps:spPr bwMode="auto">
                            <a:xfrm>
                              <a:off x="1837" y="1785"/>
                              <a:ext cx="9302" cy="106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7982" name="Group 764517982"/>
                        <wpg:cNvGrpSpPr/>
                        <wpg:grpSpPr>
                          <a:xfrm>
                            <a:off x="0" y="494036"/>
                            <a:ext cx="1443794" cy="252000"/>
                            <a:chOff x="-15880" y="0"/>
                            <a:chExt cx="1444379" cy="252068"/>
                          </a:xfrm>
                        </wpg:grpSpPr>
                        <wps:wsp>
                          <wps:cNvPr id="76451798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798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6F2A09" w14:textId="19D21B59" w:rsidR="009E6931" w:rsidRPr="00E90B8A" w:rsidRDefault="009E6931" w:rsidP="009E6931">
                                <w:pPr>
                                  <w:pStyle w:val="BoxTitle"/>
                                  <w:spacing w:before="0" w:beforeAutospacing="0"/>
                                  <w:rPr>
                                    <w:sz w:val="18"/>
                                    <w:szCs w:val="18"/>
                                  </w:rPr>
                                </w:pPr>
                                <w:r w:rsidRPr="00E90B8A">
                                  <w:rPr>
                                    <w:sz w:val="18"/>
                                    <w:szCs w:val="18"/>
                                  </w:rPr>
                                  <w:t>Q</w:t>
                                </w:r>
                                <w:r>
                                  <w:rPr>
                                    <w:sz w:val="18"/>
                                    <w:szCs w:val="18"/>
                                  </w:rPr>
                                  <w:t>27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1EAC699" id="Group 764517978" o:spid="_x0000_s1209" alt="Question" style="position:absolute;left:0;text-align:left;margin-left:.15pt;margin-top:-.1pt;width:453.55pt;height:97.65pt;z-index:-251658177;mso-height-relative:margin" coordorigin=",628" coordsize="57600,1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">
                <v:shape id="Freeform 52" o:spid="_x0000_s121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674A58A" w14:textId="77777777" w:rsidR="009E6931" w:rsidRDefault="009E6931" w:rsidP="009E6931">
                        <w:pPr>
                          <w:pStyle w:val="BoxTitle"/>
                          <w:spacing w:before="0" w:beforeAutospacing="0"/>
                        </w:pPr>
                        <w:r w:rsidRPr="007F6876">
                          <w:t>QUESTION</w:t>
                        </w:r>
                      </w:p>
                    </w:txbxContent>
                  </v:textbox>
                </v:shape>
                <v:group id="Group 53" o:spid="_x0000_s1211" style="position:absolute;top:3156;width:57600;height:9879" coordorigin="1837,1785" coordsize="9302,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">
                  <v:shape id="Freeform 54" o:spid="_x0000_s1212" style="position:absolute;left:1837;top:1785;width:9302;height:106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" path="m,l9354,r,7809l,7809,,e" fillcolor="#edf2ea" stroked="f">
                    <v:path arrowok="t" o:connecttype="custom" o:connectlocs="0,1367;9302,1367;9302,12038;0,12038;0,1367" o:connectangles="0,0,0,0,0"/>
                  </v:shape>
                </v:group>
                <v:group id="Group 764517982" o:spid="_x0000_s121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Lm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">
                  <v:shape id="Freeform 58" o:spid="_x0000_s121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" path="m,l1815,e" filled="f" strokecolor="#72ab6a" strokeweight=".5pt">
                    <v:path arrowok="t" o:connecttype="custom" o:connectlocs="0,0;1073495,0" o:connectangles="0,0"/>
                  </v:shape>
                  <v:shape id="Freeform 66" o:spid="_x0000_s121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96F2A09" w14:textId="19D21B59" w:rsidR="009E6931" w:rsidRPr="00E90B8A" w:rsidRDefault="009E6931" w:rsidP="009E6931">
                          <w:pPr>
                            <w:pStyle w:val="BoxTitle"/>
                            <w:spacing w:before="0" w:beforeAutospacing="0"/>
                            <w:rPr>
                              <w:sz w:val="18"/>
                              <w:szCs w:val="18"/>
                            </w:rPr>
                          </w:pPr>
                          <w:r w:rsidRPr="00E90B8A">
                            <w:rPr>
                              <w:sz w:val="18"/>
                              <w:szCs w:val="18"/>
                            </w:rPr>
                            <w:t>Q</w:t>
                          </w:r>
                          <w:r>
                            <w:rPr>
                              <w:sz w:val="18"/>
                              <w:szCs w:val="18"/>
                            </w:rPr>
                            <w:t>27</w:t>
                          </w:r>
                        </w:p>
                      </w:txbxContent>
                    </v:textbox>
                  </v:shape>
                </v:group>
              </v:group>
            </w:pict>
          </mc:Fallback>
        </mc:AlternateContent>
      </w:r>
    </w:p>
    <w:p w14:paraId="26B83FB7" w14:textId="77777777" w:rsidR="009E6931" w:rsidRDefault="009E6931" w:rsidP="009E6931">
      <w:pPr>
        <w:pStyle w:val="QuestionBox"/>
      </w:pPr>
    </w:p>
    <w:p w14:paraId="66B7F1E9" w14:textId="5FA70D5B" w:rsidR="009F4F6E" w:rsidRDefault="009F4F6E" w:rsidP="009E6931">
      <w:pPr>
        <w:pStyle w:val="QuestionBox"/>
      </w:pPr>
      <w:r w:rsidRPr="008B0FD2">
        <w:t>Should section 30(3)(d) be listed as a factor relevant to the public interest in having the evidence considered by the fact-finder at trial (or as a factor that may favour admission of the evidence)?</w:t>
      </w:r>
    </w:p>
    <w:p w14:paraId="5EE3DC23" w14:textId="77777777" w:rsidR="009E6931" w:rsidRPr="008B0FD2" w:rsidRDefault="009E6931" w:rsidP="009E6931">
      <w:pPr>
        <w:pStyle w:val="QuestionBox"/>
      </w:pPr>
    </w:p>
    <w:p w14:paraId="39C85F7F" w14:textId="77777777" w:rsidR="009F4F6E" w:rsidRPr="008B0FD2" w:rsidRDefault="009F4F6E" w:rsidP="002E7A6D">
      <w:pPr>
        <w:pStyle w:val="Heading3"/>
      </w:pPr>
      <w:r w:rsidRPr="008B0FD2">
        <w:t xml:space="preserve">Other investigatory techniques </w:t>
      </w:r>
    </w:p>
    <w:p w14:paraId="57045B89" w14:textId="77777777" w:rsidR="009F4F6E" w:rsidRPr="008B0FD2" w:rsidRDefault="009F4F6E" w:rsidP="009F4F6E">
      <w:pPr>
        <w:pStyle w:val="BodyText"/>
      </w:pPr>
      <w:r w:rsidRPr="008B0FD2">
        <w:t>Section 30(3)(e) directs attention to “whether there were any other investigatory techniques not involving any breach of the rights that were known to be available but were not used”. Both the availability of and</w:t>
      </w:r>
      <w:r w:rsidRPr="008B0FD2">
        <w:rPr>
          <w:i/>
          <w:iCs/>
        </w:rPr>
        <w:t xml:space="preserve"> </w:t>
      </w:r>
      <w:r w:rsidRPr="008B0FD2">
        <w:t>the absence of other investigatory techniques have been treated variously as favouring admission or exclusion of the evidence, or as a neutral factor.</w:t>
      </w:r>
      <w:r w:rsidRPr="008B0FD2">
        <w:rPr>
          <w:rStyle w:val="FootnoteReference"/>
        </w:rPr>
        <w:footnoteReference w:id="584"/>
      </w:r>
      <w:r w:rsidRPr="008B0FD2">
        <w:t xml:space="preserve"> For example, the majority of the Supreme Court in both </w:t>
      </w:r>
      <w:r w:rsidRPr="008B0FD2">
        <w:rPr>
          <w:i/>
          <w:iCs/>
        </w:rPr>
        <w:t xml:space="preserve">Hamed </w:t>
      </w:r>
      <w:r w:rsidRPr="008B0FD2">
        <w:t xml:space="preserve">and </w:t>
      </w:r>
      <w:r w:rsidRPr="008B0FD2">
        <w:rPr>
          <w:i/>
          <w:iCs/>
        </w:rPr>
        <w:t xml:space="preserve">Chetty </w:t>
      </w:r>
      <w:r w:rsidRPr="008B0FD2">
        <w:t xml:space="preserve">treated the </w:t>
      </w:r>
      <w:r w:rsidRPr="008B0FD2">
        <w:rPr>
          <w:i/>
          <w:iCs/>
        </w:rPr>
        <w:t>absence</w:t>
      </w:r>
      <w:r w:rsidRPr="008B0FD2">
        <w:t xml:space="preserve"> of other techniques as favouring admission of the evidence,</w:t>
      </w:r>
      <w:r w:rsidRPr="008B0FD2">
        <w:rPr>
          <w:rStyle w:val="FootnoteReference"/>
        </w:rPr>
        <w:footnoteReference w:id="585"/>
      </w:r>
      <w:r w:rsidRPr="008B0FD2">
        <w:t xml:space="preserve"> while some Court of Appeal and High Court cases have treated the </w:t>
      </w:r>
      <w:r w:rsidRPr="008B0FD2">
        <w:rPr>
          <w:i/>
          <w:iCs/>
        </w:rPr>
        <w:t xml:space="preserve">availability </w:t>
      </w:r>
      <w:r w:rsidRPr="008B0FD2">
        <w:t>of other techniques as favouring admission.</w:t>
      </w:r>
      <w:r w:rsidRPr="008B0FD2">
        <w:rPr>
          <w:rStyle w:val="FootnoteReference"/>
        </w:rPr>
        <w:footnoteReference w:id="586"/>
      </w:r>
    </w:p>
    <w:p w14:paraId="5D386CC9" w14:textId="09CBF7B6" w:rsidR="009F4F6E" w:rsidRPr="008B0FD2" w:rsidRDefault="009F4F6E" w:rsidP="009F4F6E">
      <w:pPr>
        <w:pStyle w:val="BodyText"/>
      </w:pPr>
      <w:r w:rsidRPr="008B0FD2">
        <w:t xml:space="preserve">In its </w:t>
      </w:r>
      <w:r w:rsidR="00AB7AFA">
        <w:t>S</w:t>
      </w:r>
      <w:r w:rsidRPr="008B0FD2">
        <w:t xml:space="preserve">econd </w:t>
      </w:r>
      <w:r w:rsidR="00AB7AFA">
        <w:t>R</w:t>
      </w:r>
      <w:r w:rsidRPr="008B0FD2">
        <w:t>eview, the Commission indicated that the availability of other investigatory techniques will usually favour exclusion of the evidence, explaining:</w:t>
      </w:r>
      <w:r w:rsidRPr="008B0FD2">
        <w:rPr>
          <w:rStyle w:val="FootnoteReference"/>
        </w:rPr>
        <w:footnoteReference w:id="587"/>
      </w:r>
    </w:p>
    <w:p w14:paraId="58B248F0" w14:textId="77777777" w:rsidR="009F4F6E" w:rsidRPr="008B0FD2" w:rsidRDefault="009F4F6E" w:rsidP="009F4F6E">
      <w:pPr>
        <w:pStyle w:val="Quote"/>
      </w:pPr>
      <w:r w:rsidRPr="008B0FD2">
        <w:lastRenderedPageBreak/>
        <w:t>Where police knew of a legitimate way to obtain the evidence and chose not to use it, admitting the evidence may bring the justice system into disrepute.</w:t>
      </w:r>
    </w:p>
    <w:p w14:paraId="4AA50AEF" w14:textId="77777777" w:rsidR="009F4F6E" w:rsidRPr="008B0FD2" w:rsidRDefault="009F4F6E" w:rsidP="009F4F6E">
      <w:pPr>
        <w:pStyle w:val="BodyText"/>
      </w:pPr>
      <w:r w:rsidRPr="008B0FD2">
        <w:t>On the other hand, the Commission considered that the absence</w:t>
      </w:r>
      <w:r w:rsidRPr="008B0FD2">
        <w:rPr>
          <w:i/>
          <w:iCs/>
        </w:rPr>
        <w:t xml:space="preserve"> </w:t>
      </w:r>
      <w:r w:rsidRPr="008B0FD2">
        <w:t>of other known techniques will generally be a neutral factor.</w:t>
      </w:r>
      <w:r w:rsidRPr="008B0FD2">
        <w:rPr>
          <w:rStyle w:val="FootnoteReference"/>
        </w:rPr>
        <w:footnoteReference w:id="588"/>
      </w:r>
      <w:r w:rsidRPr="008B0FD2">
        <w:t xml:space="preserve"> It would be inappropriate to justify improper conduct on the basis that there was no legitimate way to obtain the evidence. It would also be inappropriate to treat the absence of alternatives as favouring exclusion, since the “nature of the impropriety” (including whether it was deliberate) is already considered as a separate factor.</w:t>
      </w:r>
    </w:p>
    <w:p w14:paraId="38A1544F" w14:textId="77777777" w:rsidR="009F4F6E" w:rsidRPr="008B0FD2" w:rsidRDefault="009F4F6E" w:rsidP="009F4F6E">
      <w:pPr>
        <w:pStyle w:val="BodyText"/>
      </w:pPr>
      <w:r w:rsidRPr="008B0FD2">
        <w:t>The Commission did not recommend amending section 30 to clarify how the availability or absence of other techniques should be taken into account. This was largely because it considered that, while the availability of other techniques will usually favour exclusion, it may sometimes be a neutral factor. For example, the Commission suggested that where the “urgency” factor applies, this may “effectively cancel out the availability of alternative techniques”.</w:t>
      </w:r>
      <w:r w:rsidRPr="008B0FD2">
        <w:rPr>
          <w:rStyle w:val="FootnoteReference"/>
        </w:rPr>
        <w:footnoteReference w:id="589"/>
      </w:r>
    </w:p>
    <w:p w14:paraId="202C1A3E" w14:textId="77777777" w:rsidR="009F4F6E" w:rsidRPr="008B0FD2" w:rsidRDefault="009F4F6E" w:rsidP="009F4F6E">
      <w:pPr>
        <w:pStyle w:val="BodyText"/>
      </w:pPr>
      <w:r w:rsidRPr="008B0FD2">
        <w:t xml:space="preserve">Since the Second Review, some cases have taken a different approach to the views expressed by the Commission. Two High Court decisions have treated the </w:t>
      </w:r>
      <w:r w:rsidRPr="008B0FD2">
        <w:rPr>
          <w:i/>
          <w:iCs/>
        </w:rPr>
        <w:t>availability</w:t>
      </w:r>
      <w:r w:rsidRPr="008B0FD2">
        <w:t xml:space="preserve"> of alternative techniques as favouring admission</w:t>
      </w:r>
      <w:r w:rsidRPr="008B0FD2">
        <w:rPr>
          <w:i/>
          <w:iCs/>
        </w:rPr>
        <w:t xml:space="preserve"> </w:t>
      </w:r>
      <w:r w:rsidRPr="008B0FD2">
        <w:t>of the evidence.</w:t>
      </w:r>
      <w:r w:rsidRPr="008B0FD2">
        <w:rPr>
          <w:rStyle w:val="FootnoteReference"/>
        </w:rPr>
        <w:footnoteReference w:id="590"/>
      </w:r>
      <w:r w:rsidRPr="008B0FD2">
        <w:t xml:space="preserve"> In addition,</w:t>
      </w:r>
      <w:r>
        <w:t xml:space="preserve"> in a 2019 case</w:t>
      </w:r>
      <w:r w:rsidRPr="008B0FD2">
        <w:t xml:space="preserve"> the Court of Appeal treated the </w:t>
      </w:r>
      <w:r w:rsidRPr="008B0FD2">
        <w:rPr>
          <w:i/>
          <w:iCs/>
        </w:rPr>
        <w:t>absence</w:t>
      </w:r>
      <w:r w:rsidRPr="008B0FD2">
        <w:t xml:space="preserve"> of other techniques as favouring exclusion of the evidence.</w:t>
      </w:r>
      <w:r w:rsidRPr="008B0FD2">
        <w:rPr>
          <w:rStyle w:val="FootnoteReference"/>
        </w:rPr>
        <w:footnoteReference w:id="591"/>
      </w:r>
      <w:r w:rsidRPr="008B0FD2">
        <w:t xml:space="preserve"> </w:t>
      </w:r>
      <w:r>
        <w:t>In that case,</w:t>
      </w:r>
      <w:r w:rsidRPr="008B0FD2">
        <w:t xml:space="preserve"> the</w:t>
      </w:r>
      <w:r>
        <w:t xml:space="preserve"> type of</w:t>
      </w:r>
      <w:r w:rsidRPr="008B0FD2">
        <w:t xml:space="preserve"> evidence</w:t>
      </w:r>
      <w:r>
        <w:t xml:space="preserve"> involved</w:t>
      </w:r>
      <w:r w:rsidRPr="008B0FD2">
        <w:t xml:space="preserve"> </w:t>
      </w:r>
      <w:r>
        <w:t>was governed by a specific statutory regime that only permitted it to be obtained by consent. Admitting the evidence would therefore have gone against the intent of the statutory regime.</w:t>
      </w:r>
      <w:r w:rsidRPr="008B0FD2">
        <w:t xml:space="preserve"> If accepted, this reasoning</w:t>
      </w:r>
      <w:r w:rsidRPr="008B0FD2">
        <w:rPr>
          <w:i/>
          <w:iCs/>
        </w:rPr>
        <w:t xml:space="preserve"> </w:t>
      </w:r>
      <w:r w:rsidRPr="008B0FD2">
        <w:t>arguably applies more broadly — for example, in relation to warrantless searches not falling within the scope of the specific statutory powers in the Search and Surveillance Act 2012.</w:t>
      </w:r>
      <w:r w:rsidRPr="008B0FD2">
        <w:rPr>
          <w:rStyle w:val="FootnoteReference"/>
        </w:rPr>
        <w:footnoteReference w:id="592"/>
      </w:r>
    </w:p>
    <w:p w14:paraId="56F77132" w14:textId="05D9D5EA" w:rsidR="009F4F6E" w:rsidRPr="008B0FD2" w:rsidRDefault="009F4F6E" w:rsidP="009F4F6E">
      <w:pPr>
        <w:pStyle w:val="BodyText"/>
      </w:pPr>
      <w:r w:rsidRPr="008B0FD2">
        <w:t>We can see some attraction to th</w:t>
      </w:r>
      <w:r>
        <w:t>is</w:t>
      </w:r>
      <w:r w:rsidRPr="008B0FD2">
        <w:t xml:space="preserve"> reasoning. However, if both the availability </w:t>
      </w:r>
      <w:r w:rsidRPr="008B0FD2">
        <w:rPr>
          <w:i/>
          <w:iCs/>
        </w:rPr>
        <w:t>and</w:t>
      </w:r>
      <w:r w:rsidRPr="008B0FD2">
        <w:t xml:space="preserve"> absence of other investigatory techniques can be treated as favouring exclusion of the evidence, the policy basis for this factor and its appropriate application in any given case arguably becomes unclear. </w:t>
      </w:r>
    </w:p>
    <w:p w14:paraId="6DBE7F9A" w14:textId="3089B43E" w:rsidR="009F4F6E" w:rsidRPr="008B0FD2" w:rsidRDefault="009F4F6E" w:rsidP="009F4F6E">
      <w:pPr>
        <w:pStyle w:val="BodyText"/>
      </w:pPr>
      <w:r w:rsidRPr="008B0FD2">
        <w:t>In light of these recent decisions, we seek submissions on whether it is desirable to clarify whether and how the availability or absence of alternative techniques is relevant to the balancing exercise or whether it is better to leave the issue to be clarified through the evolving case law.</w:t>
      </w:r>
    </w:p>
    <w:p w14:paraId="40321B20" w14:textId="77777777" w:rsidR="009F4F6E" w:rsidRPr="008B0FD2" w:rsidRDefault="009F4F6E" w:rsidP="002E7A6D">
      <w:pPr>
        <w:pStyle w:val="Heading4"/>
      </w:pPr>
      <w:r w:rsidRPr="008B0FD2">
        <w:t>Options for reform</w:t>
      </w:r>
    </w:p>
    <w:p w14:paraId="5D476EEB" w14:textId="77777777" w:rsidR="009F4F6E" w:rsidRPr="008B0FD2" w:rsidRDefault="009F4F6E" w:rsidP="009F4F6E">
      <w:pPr>
        <w:pStyle w:val="BodyText"/>
      </w:pPr>
      <w:r w:rsidRPr="008B0FD2">
        <w:t>If reform is considered desirable, we have identified two possible approaches:</w:t>
      </w:r>
    </w:p>
    <w:p w14:paraId="1877147A" w14:textId="11C9A068" w:rsidR="009F4F6E" w:rsidRPr="008B0FD2" w:rsidRDefault="009F4F6E" w:rsidP="00866891">
      <w:pPr>
        <w:pStyle w:val="BodyText2"/>
        <w:numPr>
          <w:ilvl w:val="3"/>
          <w:numId w:val="35"/>
        </w:numPr>
      </w:pPr>
      <w:r w:rsidRPr="008B0FD2">
        <w:rPr>
          <w:b/>
          <w:bCs/>
        </w:rPr>
        <w:lastRenderedPageBreak/>
        <w:t xml:space="preserve">Option 1: </w:t>
      </w:r>
      <w:r w:rsidR="00BB25BA">
        <w:t>R</w:t>
      </w:r>
      <w:r w:rsidRPr="008B0FD2">
        <w:t>epeal section 30(3)(e), leaving the deliberateness of the impropriety to be considered under section 30(3)(b); or</w:t>
      </w:r>
    </w:p>
    <w:p w14:paraId="2B593D66" w14:textId="6AF60915" w:rsidR="009F4F6E" w:rsidRPr="008B0FD2" w:rsidRDefault="009F4F6E" w:rsidP="009F4F6E">
      <w:pPr>
        <w:pStyle w:val="BodyText2"/>
      </w:pPr>
      <w:r w:rsidRPr="008B0FD2">
        <w:rPr>
          <w:b/>
          <w:bCs/>
        </w:rPr>
        <w:t xml:space="preserve">Option 2: </w:t>
      </w:r>
      <w:r w:rsidR="00BB25BA">
        <w:t>A</w:t>
      </w:r>
      <w:r w:rsidRPr="008B0FD2">
        <w:t>mend section 30(3) to clarify the relevance of other investigatory techniques.</w:t>
      </w:r>
    </w:p>
    <w:p w14:paraId="19954AEC" w14:textId="77777777" w:rsidR="009F4F6E" w:rsidRPr="008B0FD2" w:rsidRDefault="009F4F6E" w:rsidP="002E7A6D">
      <w:pPr>
        <w:pStyle w:val="Heading5"/>
      </w:pPr>
      <w:r w:rsidRPr="008B0FD2">
        <w:t>Option 1: Repeal section 30(3)(e)</w:t>
      </w:r>
    </w:p>
    <w:p w14:paraId="0F68038C" w14:textId="395ECA1A" w:rsidR="009F4F6E" w:rsidRPr="008B0FD2" w:rsidRDefault="009F4F6E" w:rsidP="009F4F6E">
      <w:pPr>
        <w:pStyle w:val="BodyText"/>
      </w:pPr>
      <w:r w:rsidRPr="008B0FD2">
        <w:t>The concern underlying this factor appears to be that investigators should not deliberately stray outside the bounds of their lawful authority. Either lawful alternatives are improperly disregarded, or there are no lawful alternatives and police proceed anyway, knowing they are acting unlawfully. If the impropriety is inadvertent then neither of these apply.</w:t>
      </w:r>
      <w:r w:rsidRPr="008B0FD2">
        <w:rPr>
          <w:rStyle w:val="FootnoteReference"/>
        </w:rPr>
        <w:footnoteReference w:id="593"/>
      </w:r>
      <w:r w:rsidRPr="008B0FD2">
        <w:t xml:space="preserve"> </w:t>
      </w:r>
    </w:p>
    <w:p w14:paraId="245CD419" w14:textId="77777777" w:rsidR="009F4F6E" w:rsidRPr="008B0FD2" w:rsidRDefault="009F4F6E" w:rsidP="009F4F6E">
      <w:pPr>
        <w:pStyle w:val="BodyText"/>
      </w:pPr>
      <w:r w:rsidRPr="008B0FD2">
        <w:t>One approach would therefore be to remove this factor altogether and focus instead on whether the conduct was deliberate under section 30(3)(b). The extent of investigators’ knowledge about the bounds of their lawful authority and the other options available to them would be relevant to that assessment.</w:t>
      </w:r>
      <w:r w:rsidRPr="008B0FD2">
        <w:rPr>
          <w:rStyle w:val="FootnoteReference"/>
        </w:rPr>
        <w:footnoteReference w:id="594"/>
      </w:r>
      <w:r w:rsidRPr="008B0FD2">
        <w:t xml:space="preserve"> We are interested in feedback on whether section 30(3)(b) would adequately address the concerns section 30(3)(e) is aimed at.</w:t>
      </w:r>
    </w:p>
    <w:p w14:paraId="18418C71" w14:textId="77777777" w:rsidR="009F4F6E" w:rsidRPr="008B0FD2" w:rsidRDefault="009F4F6E" w:rsidP="00624770">
      <w:pPr>
        <w:pStyle w:val="Heading5"/>
      </w:pPr>
      <w:r w:rsidRPr="008B0FD2">
        <w:t>Option 2: Clarify the relevance of other investigatory techniques</w:t>
      </w:r>
    </w:p>
    <w:p w14:paraId="25B577DC" w14:textId="1A8A1CDB" w:rsidR="009F4F6E" w:rsidRPr="008B0FD2" w:rsidRDefault="009F4F6E" w:rsidP="009F4F6E">
      <w:pPr>
        <w:pStyle w:val="BodyText"/>
      </w:pPr>
      <w:r w:rsidRPr="008B0FD2">
        <w:t xml:space="preserve">Alternatively, section 30 could be amended to clarify which public interest section 30(3)(e) is relevant to (or, alternatively, whether it favours admission or exclusion). As to the known </w:t>
      </w:r>
      <w:r w:rsidRPr="008B0FD2">
        <w:rPr>
          <w:i/>
        </w:rPr>
        <w:t>availability</w:t>
      </w:r>
      <w:r w:rsidRPr="008B0FD2">
        <w:rPr>
          <w:i/>
          <w:iCs/>
        </w:rPr>
        <w:t xml:space="preserve"> </w:t>
      </w:r>
      <w:r w:rsidRPr="008B0FD2">
        <w:t>of other techniques, our preliminary view is that, as the Commission said previously, this will be relevant to the public interest in recognising the seriousness of the impropriety and will generally favour exclusion of the evidence. We invite feedback on this approach.</w:t>
      </w:r>
    </w:p>
    <w:p w14:paraId="3DC3FE3A" w14:textId="070DDDE3" w:rsidR="009F4F6E" w:rsidRPr="008B0FD2" w:rsidRDefault="009F4F6E" w:rsidP="009F4F6E">
      <w:pPr>
        <w:pStyle w:val="BodyText"/>
      </w:pPr>
      <w:r w:rsidRPr="008B0FD2">
        <w:t>It will still be up to the court to decide on the weight and significance to attach to this factor in the circumstances of the case. In our view, though, the availability of other techniques will generally be aggravating. It is likely to be rare that the presence of other factors such as urgency or physical danger would justify treating the known availability of alternatives as neutral. These factors may reduce the overall seriousness of the impropriety so that it is more readily outweighed by the public interest in admitting the evidence. But to also treat the known availability of alternatives as neutral may allow those factors to dominate the assessment of the impropriety.</w:t>
      </w:r>
      <w:r w:rsidRPr="008B0FD2">
        <w:rPr>
          <w:rStyle w:val="FootnoteReference"/>
        </w:rPr>
        <w:footnoteReference w:id="595"/>
      </w:r>
      <w:r w:rsidRPr="008B0FD2">
        <w:t xml:space="preserve"> </w:t>
      </w:r>
      <w:r w:rsidRPr="008B0FD2" w:rsidDel="001D60CB">
        <w:t xml:space="preserve">It may still be appropriate to treat the availability of alternatives as neutral in certain circumstances such as where the breach was inadvertent so the officers involved could not have been expected to pursue alternatives. </w:t>
      </w:r>
      <w:r w:rsidRPr="008B0FD2">
        <w:t>The</w:t>
      </w:r>
      <w:r w:rsidRPr="008B0FD2" w:rsidDel="001D60CB">
        <w:t xml:space="preserve"> permissive wording of section 30(3) would allow for this.</w:t>
      </w:r>
    </w:p>
    <w:p w14:paraId="22FCBF9A" w14:textId="2978F81B" w:rsidR="009F4F6E" w:rsidRPr="008B0FD2" w:rsidRDefault="009F4F6E" w:rsidP="009F4F6E">
      <w:pPr>
        <w:pStyle w:val="BodyText"/>
      </w:pPr>
      <w:r w:rsidRPr="008B0FD2">
        <w:t xml:space="preserve">As to the </w:t>
      </w:r>
      <w:r w:rsidRPr="008B0FD2">
        <w:rPr>
          <w:i/>
        </w:rPr>
        <w:t>absence</w:t>
      </w:r>
      <w:r w:rsidRPr="008B0FD2">
        <w:rPr>
          <w:i/>
          <w:iCs/>
        </w:rPr>
        <w:t xml:space="preserve"> </w:t>
      </w:r>
      <w:r w:rsidRPr="008B0FD2">
        <w:t xml:space="preserve">of known alternative techniques, our preliminary view remains that this should not be treated as favouring admission of the evidence. To do so would be contrary to the rule of law as it would encourage conduct that is outside the bounds of what </w:t>
      </w:r>
      <w:r w:rsidRPr="008B0FD2">
        <w:lastRenderedPageBreak/>
        <w:t xml:space="preserve">Parliament has determined to be proper investigatory conduct. Where there is a lack of clarity about what the law is, that may be taken into account when assessing whether the impropriety was deliberate under section 30(3)(b) (and therefore how serious it was). Ordinarily, the absence of known alternative techniques will be a neutral consideration. </w:t>
      </w:r>
      <w:r>
        <w:t>In</w:t>
      </w:r>
      <w:r w:rsidRPr="008B0FD2">
        <w:t xml:space="preserve"> some situations</w:t>
      </w:r>
      <w:r w:rsidR="00F26180">
        <w:t>,</w:t>
      </w:r>
      <w:r w:rsidRPr="008B0FD2">
        <w:t xml:space="preserve"> the absence of any known lawful means of obtaining the evidence may favour exclusion if it signifies a deliberate choice by Parliament that evidence should not be obtained in the circumstances at issue. Our preliminary view is that section 30(3) does not need to provide for this expressly, as it could be considered under section 30(3)(b) when assessing whether the impropriety was deliberate or as an “other matter”.</w:t>
      </w:r>
    </w:p>
    <w:p w14:paraId="554F4A31" w14:textId="5E47C6DD" w:rsidR="009F4F6E" w:rsidRPr="008B0FD2" w:rsidRDefault="009F4F6E" w:rsidP="009F4F6E">
      <w:pPr>
        <w:pStyle w:val="BodyText"/>
      </w:pPr>
      <w:r w:rsidRPr="008B0FD2">
        <w:t xml:space="preserve">Finally, we note that the section currently refers to other techniques “not involving any breach of rights”. However, as we have discussed in relation to </w:t>
      </w:r>
      <w:r w:rsidR="00EE486A">
        <w:t>section</w:t>
      </w:r>
      <w:r w:rsidRPr="008B0FD2">
        <w:t xml:space="preserve"> 30(3)(a), section 30 is not limited to breaches of rights in the narrow sense. Nor do we see any reason to limit the application of this factor to cases involving breaches of rights. Accordingly, if section 30(3)(e) is retained, it may be desirable to clarify that it applies to other investigatory techniques not involving any </w:t>
      </w:r>
      <w:r w:rsidRPr="008B0FD2">
        <w:rPr>
          <w:i/>
          <w:iCs/>
        </w:rPr>
        <w:t>impropriety</w:t>
      </w:r>
      <w:r w:rsidRPr="008B0FD2">
        <w:t>.</w:t>
      </w:r>
    </w:p>
    <w:p w14:paraId="02BC501A" w14:textId="605EF75B" w:rsidR="009E6931" w:rsidRDefault="009E6931" w:rsidP="009E6931">
      <w:pPr>
        <w:pStyle w:val="QuestionBox"/>
      </w:pPr>
      <w:r>
        <w:rPr>
          <w:noProof/>
        </w:rPr>
        <mc:AlternateContent>
          <mc:Choice Requires="wpg">
            <w:drawing>
              <wp:anchor distT="0" distB="0" distL="114300" distR="114300" simplePos="0" relativeHeight="251658304" behindDoc="1" locked="0" layoutInCell="1" allowOverlap="1" wp14:anchorId="3644471C" wp14:editId="4D2D1A2F">
                <wp:simplePos x="0" y="0"/>
                <wp:positionH relativeFrom="column">
                  <wp:posOffset>1270</wp:posOffset>
                </wp:positionH>
                <wp:positionV relativeFrom="paragraph">
                  <wp:posOffset>18497</wp:posOffset>
                </wp:positionV>
                <wp:extent cx="5760085" cy="2761357"/>
                <wp:effectExtent l="0" t="0" r="0" b="1270"/>
                <wp:wrapNone/>
                <wp:docPr id="470830209" name="Group 470830209" descr="Question"/>
                <wp:cNvGraphicFramePr/>
                <a:graphic xmlns:a="http://schemas.openxmlformats.org/drawingml/2006/main">
                  <a:graphicData uri="http://schemas.microsoft.com/office/word/2010/wordprocessingGroup">
                    <wpg:wgp>
                      <wpg:cNvGrpSpPr/>
                      <wpg:grpSpPr>
                        <a:xfrm>
                          <a:off x="0" y="0"/>
                          <a:ext cx="5760085" cy="2761357"/>
                          <a:chOff x="0" y="62865"/>
                          <a:chExt cx="5760085" cy="2761983"/>
                        </a:xfrm>
                      </wpg:grpSpPr>
                      <wps:wsp>
                        <wps:cNvPr id="68595406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35D2CD" w14:textId="2647361F" w:rsidR="009E6931" w:rsidRDefault="009E6931" w:rsidP="009E6931">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589357446" name="Group 53"/>
                        <wpg:cNvGrpSpPr>
                          <a:grpSpLocks/>
                        </wpg:cNvGrpSpPr>
                        <wpg:grpSpPr bwMode="auto">
                          <a:xfrm>
                            <a:off x="0" y="315614"/>
                            <a:ext cx="5760085" cy="2509234"/>
                            <a:chOff x="1837" y="1785"/>
                            <a:chExt cx="9302" cy="27104"/>
                          </a:xfrm>
                        </wpg:grpSpPr>
                        <wps:wsp>
                          <wps:cNvPr id="1396205386" name="Freeform 54"/>
                          <wps:cNvSpPr>
                            <a:spLocks/>
                          </wps:cNvSpPr>
                          <wps:spPr bwMode="auto">
                            <a:xfrm>
                              <a:off x="1837" y="1785"/>
                              <a:ext cx="9302" cy="271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467644" name="Group 1027467644"/>
                        <wpg:cNvGrpSpPr/>
                        <wpg:grpSpPr>
                          <a:xfrm>
                            <a:off x="0" y="494036"/>
                            <a:ext cx="1443794" cy="252000"/>
                            <a:chOff x="-15880" y="0"/>
                            <a:chExt cx="1444379" cy="252068"/>
                          </a:xfrm>
                        </wpg:grpSpPr>
                        <wps:wsp>
                          <wps:cNvPr id="96154551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67114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219A8C" w14:textId="72B7C241" w:rsidR="009E6931" w:rsidRPr="00E90B8A" w:rsidRDefault="009E6931" w:rsidP="009E6931">
                                <w:pPr>
                                  <w:pStyle w:val="BoxTitle"/>
                                  <w:spacing w:before="0" w:beforeAutospacing="0"/>
                                  <w:rPr>
                                    <w:sz w:val="18"/>
                                    <w:szCs w:val="18"/>
                                  </w:rPr>
                                </w:pPr>
                                <w:r w:rsidRPr="00E90B8A">
                                  <w:rPr>
                                    <w:sz w:val="18"/>
                                    <w:szCs w:val="18"/>
                                  </w:rPr>
                                  <w:t>Q</w:t>
                                </w:r>
                                <w:r>
                                  <w:rPr>
                                    <w:sz w:val="18"/>
                                    <w:szCs w:val="18"/>
                                  </w:rPr>
                                  <w:t>28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644471C" id="Group 470830209" o:spid="_x0000_s1216" alt="Question" style="position:absolute;left:0;text-align:left;margin-left:.1pt;margin-top:1.45pt;width:453.55pt;height:217.45pt;z-index:-251658176;mso-height-relative:margin" coordorigin=",628" coordsize="57600,2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">
                <v:shape id="Freeform 52" o:spid="_x0000_s121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835D2CD" w14:textId="2647361F" w:rsidR="009E6931" w:rsidRDefault="009E6931" w:rsidP="009E6931">
                        <w:pPr>
                          <w:pStyle w:val="BoxTitle"/>
                          <w:spacing w:before="0" w:beforeAutospacing="0"/>
                        </w:pPr>
                        <w:r w:rsidRPr="007F6876">
                          <w:t>QUESTION</w:t>
                        </w:r>
                        <w:r>
                          <w:t>S</w:t>
                        </w:r>
                      </w:p>
                    </w:txbxContent>
                  </v:textbox>
                </v:shape>
                <v:group id="Group 53" o:spid="_x0000_s1218" style="position:absolute;top:3156;width:57600;height:25092" coordorigin="1837,1785" coordsize="9302,2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">
                  <v:shape id="Freeform 54" o:spid="_x0000_s1219" style="position:absolute;left:1837;top:1785;width:9302;height:271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" path="m,l9354,r,7809l,7809,,e" fillcolor="#edf2ea" stroked="f">
                    <v:path arrowok="t" o:connecttype="custom" o:connectlocs="0,3471;9302,3471;9302,30575;0,30575;0,3471" o:connectangles="0,0,0,0,0"/>
                  </v:shape>
                </v:group>
                <v:group id="Group 1027467644" o:spid="_x0000_s122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">
                  <v:shape id="Freeform 58" o:spid="_x0000_s122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" path="m,l1815,e" filled="f" strokecolor="#72ab6a" strokeweight=".5pt">
                    <v:path arrowok="t" o:connecttype="custom" o:connectlocs="0,0;1073495,0" o:connectangles="0,0"/>
                  </v:shape>
                  <v:shape id="Freeform 66" o:spid="_x0000_s122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B219A8C" w14:textId="72B7C241" w:rsidR="009E6931" w:rsidRPr="00E90B8A" w:rsidRDefault="009E6931" w:rsidP="009E6931">
                          <w:pPr>
                            <w:pStyle w:val="BoxTitle"/>
                            <w:spacing w:before="0" w:beforeAutospacing="0"/>
                            <w:rPr>
                              <w:sz w:val="18"/>
                              <w:szCs w:val="18"/>
                            </w:rPr>
                          </w:pPr>
                          <w:r w:rsidRPr="00E90B8A">
                            <w:rPr>
                              <w:sz w:val="18"/>
                              <w:szCs w:val="18"/>
                            </w:rPr>
                            <w:t>Q</w:t>
                          </w:r>
                          <w:r>
                            <w:rPr>
                              <w:sz w:val="18"/>
                              <w:szCs w:val="18"/>
                            </w:rPr>
                            <w:t>28</w:t>
                          </w:r>
                        </w:p>
                      </w:txbxContent>
                    </v:textbox>
                  </v:shape>
                </v:group>
              </v:group>
            </w:pict>
          </mc:Fallback>
        </mc:AlternateContent>
      </w:r>
    </w:p>
    <w:p w14:paraId="3B303803" w14:textId="77777777" w:rsidR="009E6931" w:rsidRDefault="009E6931" w:rsidP="009E6931">
      <w:pPr>
        <w:pStyle w:val="QuestionBox"/>
      </w:pPr>
    </w:p>
    <w:p w14:paraId="5DDE0C12" w14:textId="7CC20B16" w:rsidR="009F4F6E" w:rsidRPr="008B0FD2" w:rsidRDefault="009F4F6E" w:rsidP="009E6931">
      <w:pPr>
        <w:pStyle w:val="QuestionBox"/>
      </w:pPr>
      <w:r w:rsidRPr="008B0FD2">
        <w:t>Should section 30(3)(e) be repealed, leaving knowledge about the extent of lawful authority and other investigatory techniques to be examined as part of the section</w:t>
      </w:r>
      <w:r w:rsidRPr="008B0FD2">
        <w:rPr>
          <w:rFonts w:ascii="Calibri" w:hAnsi="Calibri" w:cs="Calibri"/>
        </w:rPr>
        <w:t> </w:t>
      </w:r>
      <w:r w:rsidRPr="008B0FD2">
        <w:t>30(3)(b) assessment of whether the impropriety was deliberate?</w:t>
      </w:r>
    </w:p>
    <w:p w14:paraId="44A3AC8C" w14:textId="7D620292" w:rsidR="009E6931" w:rsidRDefault="009E6931" w:rsidP="009E6931">
      <w:pPr>
        <w:pStyle w:val="QuestionBox"/>
      </w:pPr>
      <w:r w:rsidRPr="009D06D4">
        <w:rPr>
          <w:noProof/>
          <w:sz w:val="8"/>
          <w:szCs w:val="12"/>
        </w:rPr>
        <mc:AlternateContent>
          <mc:Choice Requires="wpg">
            <w:drawing>
              <wp:anchor distT="0" distB="0" distL="114300" distR="114300" simplePos="0" relativeHeight="251658305" behindDoc="1" locked="0" layoutInCell="1" allowOverlap="1" wp14:anchorId="4B7B6C28" wp14:editId="78F460CB">
                <wp:simplePos x="0" y="0"/>
                <wp:positionH relativeFrom="margin">
                  <wp:posOffset>0</wp:posOffset>
                </wp:positionH>
                <wp:positionV relativeFrom="paragraph">
                  <wp:posOffset>173460</wp:posOffset>
                </wp:positionV>
                <wp:extent cx="1443355" cy="251460"/>
                <wp:effectExtent l="0" t="0" r="42545" b="0"/>
                <wp:wrapNone/>
                <wp:docPr id="183" name="Group 183"/>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8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AACCF1" w14:textId="77777777" w:rsidR="009E6931" w:rsidRPr="00E700FF" w:rsidRDefault="009E6931" w:rsidP="009E6931">
                              <w:pPr>
                                <w:pStyle w:val="BoxTitle"/>
                                <w:spacing w:before="0" w:beforeAutospacing="0"/>
                              </w:pPr>
                              <w:r w:rsidRPr="001C1B37">
                                <w:t>Q</w:t>
                              </w:r>
                              <w:r>
                                <w:t>29</w:t>
                              </w:r>
                            </w:p>
                          </w:txbxContent>
                        </wps:txbx>
                        <wps:bodyPr rot="0" vert="horz" wrap="square" lIns="54000" tIns="82800" rIns="91440" bIns="45720" anchor="ctr" anchorCtr="0" upright="1">
                          <a:noAutofit/>
                        </wps:bodyPr>
                      </wps:wsp>
                    </wpg:wgp>
                  </a:graphicData>
                </a:graphic>
              </wp:anchor>
            </w:drawing>
          </mc:Choice>
          <mc:Fallback>
            <w:pict>
              <v:group w14:anchorId="4B7B6C28" id="Group 183" o:spid="_x0000_s1223" style="position:absolute;left:0;text-align:left;margin-left:0;margin-top:13.65pt;width:113.65pt;height:19.8pt;z-index:-251658175;mso-position-horizontal-relative:margin"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">
                <v:shape id="Freeform 58" o:spid="_x0000_s122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" path="m,l1815,e" filled="f" strokecolor="#72ab6a" strokeweight=".5pt">
                  <v:path arrowok="t" o:connecttype="custom" o:connectlocs="0,0;1073495,0" o:connectangles="0,0"/>
                </v:shape>
                <v:shape id="Freeform 66" o:spid="_x0000_s122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FAACCF1" w14:textId="77777777" w:rsidR="009E6931" w:rsidRPr="00E700FF" w:rsidRDefault="009E6931" w:rsidP="009E6931">
                        <w:pPr>
                          <w:pStyle w:val="BoxTitle"/>
                          <w:spacing w:before="0" w:beforeAutospacing="0"/>
                        </w:pPr>
                        <w:r w:rsidRPr="001C1B37">
                          <w:t>Q</w:t>
                        </w:r>
                        <w:r>
                          <w:t>29</w:t>
                        </w:r>
                      </w:p>
                    </w:txbxContent>
                  </v:textbox>
                </v:shape>
                <w10:wrap anchorx="margin"/>
              </v:group>
            </w:pict>
          </mc:Fallback>
        </mc:AlternateContent>
      </w:r>
    </w:p>
    <w:p w14:paraId="2A81F950" w14:textId="21CE2B5B" w:rsidR="009F4F6E" w:rsidRPr="008B0FD2" w:rsidRDefault="009F4F6E" w:rsidP="009E6931">
      <w:pPr>
        <w:pStyle w:val="QuestionBox"/>
      </w:pPr>
      <w:r w:rsidRPr="008B0FD2">
        <w:t xml:space="preserve">If section 30(3)(e) is retained, should it be: </w:t>
      </w:r>
    </w:p>
    <w:p w14:paraId="574645AE" w14:textId="77777777" w:rsidR="009F4F6E" w:rsidRPr="008B0FD2" w:rsidRDefault="009F4F6E" w:rsidP="00866891">
      <w:pPr>
        <w:pStyle w:val="Questionabc"/>
        <w:numPr>
          <w:ilvl w:val="0"/>
          <w:numId w:val="63"/>
        </w:numPr>
        <w:ind w:left="1417" w:hanging="425"/>
      </w:pPr>
      <w:r w:rsidRPr="008B0FD2">
        <w:t>listed as relevant to the public interest in recognising the seriousness of the impropriety (or as a factor that may favour exclusion of the evidence); and/or</w:t>
      </w:r>
    </w:p>
    <w:p w14:paraId="3DEC1953" w14:textId="77777777" w:rsidR="009F4F6E" w:rsidRDefault="009F4F6E" w:rsidP="009E6931">
      <w:pPr>
        <w:pStyle w:val="Questionabc"/>
      </w:pPr>
      <w:r w:rsidRPr="008B0FD2">
        <w:t xml:space="preserve">amended to clarify that it applies to other techniques not involving any </w:t>
      </w:r>
      <w:r w:rsidRPr="008B0FD2">
        <w:rPr>
          <w:i/>
          <w:iCs/>
        </w:rPr>
        <w:t>impropriety</w:t>
      </w:r>
      <w:r w:rsidRPr="008B0FD2">
        <w:t xml:space="preserve"> (as opposed to any breach of rights)?</w:t>
      </w:r>
    </w:p>
    <w:p w14:paraId="07E6B18B" w14:textId="77777777" w:rsidR="009E6931" w:rsidRPr="009E6931" w:rsidRDefault="009E6931" w:rsidP="009E6931">
      <w:pPr>
        <w:pStyle w:val="QuestionBox"/>
        <w:rPr>
          <w:lang w:eastAsia="en-US"/>
        </w:rPr>
      </w:pPr>
    </w:p>
    <w:p w14:paraId="25945B52" w14:textId="77777777" w:rsidR="009F4F6E" w:rsidRPr="008B0FD2" w:rsidRDefault="009F4F6E" w:rsidP="00624770">
      <w:pPr>
        <w:pStyle w:val="Heading3"/>
      </w:pPr>
      <w:r w:rsidRPr="008B0FD2">
        <w:t xml:space="preserve">Alternative remedies </w:t>
      </w:r>
    </w:p>
    <w:p w14:paraId="47802E48" w14:textId="77777777" w:rsidR="009F4F6E" w:rsidRPr="008B0FD2" w:rsidRDefault="009F4F6E" w:rsidP="009F4F6E">
      <w:pPr>
        <w:pStyle w:val="BodyText"/>
      </w:pPr>
      <w:r w:rsidRPr="008B0FD2">
        <w:t xml:space="preserve">Section 30(3)(f) directs attention to “whether there are alternative remedies to exclusion of the evidence that can adequately provide redress to the defendant”. </w:t>
      </w:r>
    </w:p>
    <w:p w14:paraId="1B7C63AA" w14:textId="0FE9B94D" w:rsidR="009F4F6E" w:rsidRPr="008B0FD2" w:rsidRDefault="009F4F6E" w:rsidP="009F4F6E">
      <w:pPr>
        <w:pStyle w:val="BodyText"/>
      </w:pPr>
      <w:r w:rsidRPr="008B0FD2">
        <w:t xml:space="preserve">In </w:t>
      </w:r>
      <w:r w:rsidRPr="008B0FD2">
        <w:rPr>
          <w:i/>
          <w:iCs/>
        </w:rPr>
        <w:t>Shaheed</w:t>
      </w:r>
      <w:r w:rsidR="006D4B1B">
        <w:t>,</w:t>
      </w:r>
      <w:r w:rsidRPr="008B0FD2">
        <w:rPr>
          <w:i/>
          <w:iCs/>
        </w:rPr>
        <w:t xml:space="preserve"> </w:t>
      </w:r>
      <w:r w:rsidRPr="008B0FD2">
        <w:t>the majority acknowledged that this factor would rarely be relevant because other remedies, such as a declaration that a right has been breached or a reference to the relevant oversight body, are unlikely to provide vindication of the right breached.</w:t>
      </w:r>
      <w:r w:rsidRPr="008B0FD2">
        <w:rPr>
          <w:rStyle w:val="FootnoteReference"/>
        </w:rPr>
        <w:footnoteReference w:id="596"/>
      </w:r>
      <w:r w:rsidRPr="008B0FD2">
        <w:t xml:space="preserve"> An award of compensation or a reduction in sentence would likely lead to a “perception that the police could now breach the rules and still secure … a result</w:t>
      </w:r>
      <w:r w:rsidR="00834A42">
        <w:t>”.</w:t>
      </w:r>
      <w:r w:rsidRPr="008B0FD2">
        <w:rPr>
          <w:rStyle w:val="FootnoteReference"/>
        </w:rPr>
        <w:footnoteReference w:id="597"/>
      </w:r>
      <w:r w:rsidRPr="008B0FD2">
        <w:t xml:space="preserve"> Given these </w:t>
      </w:r>
      <w:r w:rsidRPr="008B0FD2">
        <w:lastRenderedPageBreak/>
        <w:t>observations, it is unclear why the availability of alternative remedies was included in section 30.</w:t>
      </w:r>
      <w:r w:rsidRPr="008B0FD2">
        <w:rPr>
          <w:rStyle w:val="FootnoteReference"/>
        </w:rPr>
        <w:footnoteReference w:id="598"/>
      </w:r>
    </w:p>
    <w:p w14:paraId="0E082CA1" w14:textId="77777777" w:rsidR="009F4F6E" w:rsidRPr="008B0FD2" w:rsidRDefault="009F4F6E" w:rsidP="009F4F6E">
      <w:pPr>
        <w:pStyle w:val="BodyText"/>
      </w:pPr>
      <w:r w:rsidRPr="008B0FD2">
        <w:t xml:space="preserve">The courts have frequently reinforced the view expressed in </w:t>
      </w:r>
      <w:r w:rsidRPr="008B0FD2">
        <w:rPr>
          <w:i/>
          <w:iCs/>
        </w:rPr>
        <w:t xml:space="preserve">Shaheed </w:t>
      </w:r>
      <w:r w:rsidRPr="008B0FD2">
        <w:t>that there will rarely be any effective alternatives to exclusion.</w:t>
      </w:r>
      <w:r w:rsidRPr="008B0FD2">
        <w:rPr>
          <w:rStyle w:val="FootnoteReference"/>
        </w:rPr>
        <w:footnoteReference w:id="599"/>
      </w:r>
      <w:r w:rsidRPr="008B0FD2">
        <w:t xml:space="preserve"> Our snapshot case study identified just two cases (out of 70) in which the availability of alternative remedies was treated as relevant.</w:t>
      </w:r>
      <w:r w:rsidRPr="008B0FD2">
        <w:rPr>
          <w:rStyle w:val="FootnoteReference"/>
        </w:rPr>
        <w:footnoteReference w:id="600"/>
      </w:r>
      <w:r w:rsidRPr="008B0FD2">
        <w:t xml:space="preserve"> However, because the availability of alternative remedies is identified as a relevant factor in section 30(3), the courts routinely address it by stating that there is no adequate alternative remedy available.</w:t>
      </w:r>
    </w:p>
    <w:p w14:paraId="6AA4D4FB" w14:textId="77777777" w:rsidR="009F4F6E" w:rsidRPr="008B0FD2" w:rsidRDefault="009F4F6E" w:rsidP="009F4F6E">
      <w:pPr>
        <w:pStyle w:val="BodyText"/>
      </w:pPr>
      <w:r w:rsidRPr="008B0FD2">
        <w:t xml:space="preserve">We also note there is a lack of clarity about how the </w:t>
      </w:r>
      <w:r w:rsidRPr="008B0FD2">
        <w:rPr>
          <w:i/>
          <w:iCs/>
        </w:rPr>
        <w:t>absence</w:t>
      </w:r>
      <w:r w:rsidRPr="008B0FD2">
        <w:t xml:space="preserve"> of alternative remedies is relevant to the section 30 assessment. It is sometimes treated as a neutral factor or irrelevant</w:t>
      </w:r>
      <w:r w:rsidRPr="008B0FD2">
        <w:rPr>
          <w:rStyle w:val="FootnoteReference"/>
        </w:rPr>
        <w:footnoteReference w:id="601"/>
      </w:r>
      <w:r w:rsidRPr="008B0FD2">
        <w:t xml:space="preserve"> and sometimes as a factor favouring exclusion of the evidence.</w:t>
      </w:r>
      <w:r w:rsidRPr="008B0FD2">
        <w:rPr>
          <w:rStyle w:val="FootnoteReference"/>
        </w:rPr>
        <w:footnoteReference w:id="602"/>
      </w:r>
    </w:p>
    <w:p w14:paraId="508B9FBD" w14:textId="77777777" w:rsidR="009F4F6E" w:rsidRPr="008B0FD2" w:rsidRDefault="009F4F6E" w:rsidP="00624770">
      <w:pPr>
        <w:pStyle w:val="Heading4"/>
      </w:pPr>
      <w:r w:rsidRPr="008B0FD2">
        <w:t xml:space="preserve">Option for reform </w:t>
      </w:r>
    </w:p>
    <w:p w14:paraId="177BE77C" w14:textId="77777777" w:rsidR="009F4F6E" w:rsidRPr="008B0FD2" w:rsidRDefault="009F4F6E" w:rsidP="009F4F6E">
      <w:pPr>
        <w:pStyle w:val="BodyText"/>
      </w:pPr>
      <w:r w:rsidRPr="008B0FD2">
        <w:t xml:space="preserve">We invite submissions on whether it would be preferable to repeal section 30(3)(f) to simplify the application of the balancing test. In the rare case where an appropriate alternative remedy might be available, it could still be considered given the list in section 30(3) is non-exhaustive. Repealing section 30(3)(f) may also help to clarify that the </w:t>
      </w:r>
      <w:r w:rsidRPr="008B0FD2">
        <w:rPr>
          <w:i/>
          <w:iCs/>
        </w:rPr>
        <w:t xml:space="preserve">absence </w:t>
      </w:r>
      <w:r w:rsidRPr="008B0FD2">
        <w:t>of alternative remedies is not normally a factor that requires consideration. Our preliminary view is that this is properly treated as a neutral factor.</w:t>
      </w:r>
    </w:p>
    <w:p w14:paraId="076C4103" w14:textId="6CB4D578" w:rsidR="009F4F6E" w:rsidRPr="008B0FD2" w:rsidRDefault="009F4F6E" w:rsidP="009F4F6E">
      <w:pPr>
        <w:pStyle w:val="BodyText"/>
      </w:pPr>
      <w:r w:rsidRPr="008B0FD2">
        <w:t xml:space="preserve">If this factor is retained and section 30(3) is amended to specify which public interest each factor is relevant to (or, alternatively, whether particular factors may favour admission or exclusion), the availability of alternative remedies could be listed as relevant to the public interest in having the evidence considered by the fact-finder at trial (or as a factor that may favour admission of the evidence). This may help to clarify that the </w:t>
      </w:r>
      <w:r w:rsidRPr="008B0FD2">
        <w:rPr>
          <w:i/>
          <w:iCs/>
        </w:rPr>
        <w:t>absence</w:t>
      </w:r>
      <w:r w:rsidRPr="008B0FD2">
        <w:t xml:space="preserve"> of alternative remedies is not generally relevant.</w:t>
      </w:r>
    </w:p>
    <w:p w14:paraId="0C415BD1" w14:textId="0CD438CE" w:rsidR="009E6931" w:rsidRDefault="009E6931" w:rsidP="009E6931">
      <w:pPr>
        <w:pStyle w:val="QuestionBox"/>
      </w:pPr>
      <w:r>
        <w:rPr>
          <w:noProof/>
        </w:rPr>
        <mc:AlternateContent>
          <mc:Choice Requires="wpg">
            <w:drawing>
              <wp:anchor distT="0" distB="0" distL="114300" distR="114300" simplePos="0" relativeHeight="251658306" behindDoc="1" locked="0" layoutInCell="1" allowOverlap="1" wp14:anchorId="4493F686" wp14:editId="72177595">
                <wp:simplePos x="0" y="0"/>
                <wp:positionH relativeFrom="column">
                  <wp:posOffset>-1962</wp:posOffset>
                </wp:positionH>
                <wp:positionV relativeFrom="paragraph">
                  <wp:posOffset>-2824</wp:posOffset>
                </wp:positionV>
                <wp:extent cx="5760085" cy="968990"/>
                <wp:effectExtent l="0" t="0" r="0" b="3175"/>
                <wp:wrapNone/>
                <wp:docPr id="92416978" name="Group 92416978" descr="Question"/>
                <wp:cNvGraphicFramePr/>
                <a:graphic xmlns:a="http://schemas.openxmlformats.org/drawingml/2006/main">
                  <a:graphicData uri="http://schemas.microsoft.com/office/word/2010/wordprocessingGroup">
                    <wpg:wgp>
                      <wpg:cNvGrpSpPr/>
                      <wpg:grpSpPr>
                        <a:xfrm>
                          <a:off x="0" y="0"/>
                          <a:ext cx="5760085" cy="968990"/>
                          <a:chOff x="0" y="62865"/>
                          <a:chExt cx="5760085" cy="969210"/>
                        </a:xfrm>
                      </wpg:grpSpPr>
                      <wps:wsp>
                        <wps:cNvPr id="101079368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0CBE80" w14:textId="77777777" w:rsidR="009E6931" w:rsidRDefault="009E6931" w:rsidP="009E6931">
                              <w:pPr>
                                <w:pStyle w:val="BoxTitle"/>
                                <w:spacing w:before="0" w:beforeAutospacing="0"/>
                              </w:pPr>
                              <w:r w:rsidRPr="007F6876">
                                <w:t>QUESTION</w:t>
                              </w:r>
                            </w:p>
                          </w:txbxContent>
                        </wps:txbx>
                        <wps:bodyPr rot="0" vert="horz" wrap="square" lIns="91440" tIns="0" rIns="0" bIns="45720" anchor="ctr" anchorCtr="0" upright="1">
                          <a:noAutofit/>
                        </wps:bodyPr>
                      </wps:wsp>
                      <wpg:grpSp>
                        <wpg:cNvPr id="2048843413" name="Group 53"/>
                        <wpg:cNvGrpSpPr>
                          <a:grpSpLocks/>
                        </wpg:cNvGrpSpPr>
                        <wpg:grpSpPr bwMode="auto">
                          <a:xfrm>
                            <a:off x="0" y="315614"/>
                            <a:ext cx="5760085" cy="716461"/>
                            <a:chOff x="1837" y="1785"/>
                            <a:chExt cx="9302" cy="7739"/>
                          </a:xfrm>
                        </wpg:grpSpPr>
                        <wps:wsp>
                          <wps:cNvPr id="146557298" name="Freeform 54"/>
                          <wps:cNvSpPr>
                            <a:spLocks/>
                          </wps:cNvSpPr>
                          <wps:spPr bwMode="auto">
                            <a:xfrm>
                              <a:off x="1837" y="1785"/>
                              <a:ext cx="9302" cy="773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538051" name="Group 642538051"/>
                        <wpg:cNvGrpSpPr/>
                        <wpg:grpSpPr>
                          <a:xfrm>
                            <a:off x="0" y="494036"/>
                            <a:ext cx="1443794" cy="252000"/>
                            <a:chOff x="-15880" y="0"/>
                            <a:chExt cx="1444379" cy="252068"/>
                          </a:xfrm>
                        </wpg:grpSpPr>
                        <wps:wsp>
                          <wps:cNvPr id="144088442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19230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1277E4" w14:textId="7F9ECD32" w:rsidR="009E6931" w:rsidRPr="00E90B8A" w:rsidRDefault="009E6931" w:rsidP="009E6931">
                                <w:pPr>
                                  <w:pStyle w:val="BoxTitle"/>
                                  <w:spacing w:before="0" w:beforeAutospacing="0"/>
                                  <w:rPr>
                                    <w:sz w:val="18"/>
                                    <w:szCs w:val="18"/>
                                  </w:rPr>
                                </w:pPr>
                                <w:r w:rsidRPr="00E90B8A">
                                  <w:rPr>
                                    <w:sz w:val="18"/>
                                    <w:szCs w:val="18"/>
                                  </w:rPr>
                                  <w:t>Q</w:t>
                                </w:r>
                                <w:r>
                                  <w:rPr>
                                    <w:sz w:val="18"/>
                                    <w:szCs w:val="18"/>
                                  </w:rPr>
                                  <w:t>30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493F686" id="Group 92416978" o:spid="_x0000_s1226" alt="Question" style="position:absolute;left:0;text-align:left;margin-left:-.15pt;margin-top:-.2pt;width:453.55pt;height:76.3pt;z-index:-251658174;mso-height-relative:margin" coordorigin=",628" coordsize="57600,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">
                <v:shape id="Freeform 52" o:spid="_x0000_s122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10CBE80" w14:textId="77777777" w:rsidR="009E6931" w:rsidRDefault="009E6931" w:rsidP="009E6931">
                        <w:pPr>
                          <w:pStyle w:val="BoxTitle"/>
                          <w:spacing w:before="0" w:beforeAutospacing="0"/>
                        </w:pPr>
                        <w:r w:rsidRPr="007F6876">
                          <w:t>QUESTION</w:t>
                        </w:r>
                      </w:p>
                    </w:txbxContent>
                  </v:textbox>
                </v:shape>
                <v:group id="Group 53" o:spid="_x0000_s1228" style="position:absolute;top:3156;width:57600;height:7164" coordorigin="1837,1785" coordsize="9302,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">
                  <v:shape id="Freeform 54" o:spid="_x0000_s1229" style="position:absolute;left:1837;top:1785;width:9302;height:773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" path="m,l9354,r,7809l,7809,,e" fillcolor="#edf2ea" stroked="f">
                    <v:path arrowok="t" o:connecttype="custom" o:connectlocs="0,991;9302,991;9302,8730;0,8730;0,991" o:connectangles="0,0,0,0,0"/>
                  </v:shape>
                </v:group>
                <v:group id="Group 642538051" o:spid="_x0000_s123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">
                  <v:shape id="Freeform 58" o:spid="_x0000_s123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" path="m,l1815,e" filled="f" strokecolor="#72ab6a" strokeweight=".5pt">
                    <v:path arrowok="t" o:connecttype="custom" o:connectlocs="0,0;1073495,0" o:connectangles="0,0"/>
                  </v:shape>
                  <v:shape id="Freeform 66" o:spid="_x0000_s123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E1277E4" w14:textId="7F9ECD32" w:rsidR="009E6931" w:rsidRPr="00E90B8A" w:rsidRDefault="009E6931" w:rsidP="009E6931">
                          <w:pPr>
                            <w:pStyle w:val="BoxTitle"/>
                            <w:spacing w:before="0" w:beforeAutospacing="0"/>
                            <w:rPr>
                              <w:sz w:val="18"/>
                              <w:szCs w:val="18"/>
                            </w:rPr>
                          </w:pPr>
                          <w:r w:rsidRPr="00E90B8A">
                            <w:rPr>
                              <w:sz w:val="18"/>
                              <w:szCs w:val="18"/>
                            </w:rPr>
                            <w:t>Q</w:t>
                          </w:r>
                          <w:r>
                            <w:rPr>
                              <w:sz w:val="18"/>
                              <w:szCs w:val="18"/>
                            </w:rPr>
                            <w:t>30</w:t>
                          </w:r>
                        </w:p>
                      </w:txbxContent>
                    </v:textbox>
                  </v:shape>
                </v:group>
              </v:group>
            </w:pict>
          </mc:Fallback>
        </mc:AlternateContent>
      </w:r>
    </w:p>
    <w:p w14:paraId="49430EFA" w14:textId="77777777" w:rsidR="009E6931" w:rsidRDefault="009E6931" w:rsidP="009E6931">
      <w:pPr>
        <w:pStyle w:val="QuestionBox"/>
      </w:pPr>
    </w:p>
    <w:p w14:paraId="5F06D612" w14:textId="426C2137" w:rsidR="009F4F6E" w:rsidRPr="008B0FD2" w:rsidRDefault="009F4F6E" w:rsidP="009E6931">
      <w:pPr>
        <w:pStyle w:val="QuestionBox"/>
      </w:pPr>
      <w:r w:rsidRPr="008B0FD2">
        <w:t>Should section 30(3)(f) be repealed?</w:t>
      </w:r>
    </w:p>
    <w:p w14:paraId="6649EE97" w14:textId="77777777" w:rsidR="009E6931" w:rsidRDefault="009E6931" w:rsidP="009E6931">
      <w:pPr>
        <w:pStyle w:val="QuestionBox"/>
      </w:pPr>
    </w:p>
    <w:p w14:paraId="33B1B9C6" w14:textId="77777777" w:rsidR="009E6931" w:rsidRDefault="009E6931" w:rsidP="009E6931">
      <w:pPr>
        <w:pStyle w:val="QuestionBox"/>
      </w:pPr>
    </w:p>
    <w:p w14:paraId="1BF2CF52" w14:textId="3EBB0190" w:rsidR="009E6931" w:rsidRDefault="009E6931" w:rsidP="009E6931">
      <w:pPr>
        <w:pStyle w:val="QuestionBox"/>
      </w:pPr>
      <w:r>
        <w:rPr>
          <w:noProof/>
        </w:rPr>
        <w:lastRenderedPageBreak/>
        <mc:AlternateContent>
          <mc:Choice Requires="wpg">
            <w:drawing>
              <wp:anchor distT="0" distB="0" distL="114300" distR="114300" simplePos="0" relativeHeight="251658307" behindDoc="1" locked="0" layoutInCell="1" allowOverlap="1" wp14:anchorId="2737C84E" wp14:editId="48862F1E">
                <wp:simplePos x="0" y="0"/>
                <wp:positionH relativeFrom="column">
                  <wp:posOffset>-1962</wp:posOffset>
                </wp:positionH>
                <wp:positionV relativeFrom="paragraph">
                  <wp:posOffset>-2322</wp:posOffset>
                </wp:positionV>
                <wp:extent cx="5760085" cy="1289701"/>
                <wp:effectExtent l="0" t="0" r="0" b="5715"/>
                <wp:wrapNone/>
                <wp:docPr id="1311995306" name="Group 1311995306" descr="Question"/>
                <wp:cNvGraphicFramePr/>
                <a:graphic xmlns:a="http://schemas.openxmlformats.org/drawingml/2006/main">
                  <a:graphicData uri="http://schemas.microsoft.com/office/word/2010/wordprocessingGroup">
                    <wpg:wgp>
                      <wpg:cNvGrpSpPr/>
                      <wpg:grpSpPr>
                        <a:xfrm>
                          <a:off x="0" y="0"/>
                          <a:ext cx="5760085" cy="1289701"/>
                          <a:chOff x="0" y="62865"/>
                          <a:chExt cx="5760085" cy="1289993"/>
                        </a:xfrm>
                      </wpg:grpSpPr>
                      <wps:wsp>
                        <wps:cNvPr id="107694090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DA822F" w14:textId="77777777" w:rsidR="009E6931" w:rsidRDefault="009E6931" w:rsidP="009E6931">
                              <w:pPr>
                                <w:pStyle w:val="BoxTitle"/>
                                <w:spacing w:before="0" w:beforeAutospacing="0"/>
                              </w:pPr>
                              <w:r w:rsidRPr="007F6876">
                                <w:t>QUESTION</w:t>
                              </w:r>
                            </w:p>
                          </w:txbxContent>
                        </wps:txbx>
                        <wps:bodyPr rot="0" vert="horz" wrap="square" lIns="91440" tIns="0" rIns="0" bIns="45720" anchor="ctr" anchorCtr="0" upright="1">
                          <a:noAutofit/>
                        </wps:bodyPr>
                      </wps:wsp>
                      <wpg:grpSp>
                        <wpg:cNvPr id="1803582729" name="Group 53"/>
                        <wpg:cNvGrpSpPr>
                          <a:grpSpLocks/>
                        </wpg:cNvGrpSpPr>
                        <wpg:grpSpPr bwMode="auto">
                          <a:xfrm>
                            <a:off x="0" y="315614"/>
                            <a:ext cx="5760085" cy="1037244"/>
                            <a:chOff x="1837" y="1785"/>
                            <a:chExt cx="9302" cy="11204"/>
                          </a:xfrm>
                        </wpg:grpSpPr>
                        <wps:wsp>
                          <wps:cNvPr id="1186709999" name="Freeform 54"/>
                          <wps:cNvSpPr>
                            <a:spLocks/>
                          </wps:cNvSpPr>
                          <wps:spPr bwMode="auto">
                            <a:xfrm>
                              <a:off x="1837" y="1785"/>
                              <a:ext cx="9302" cy="112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093001" name="Group 927093001"/>
                        <wpg:cNvGrpSpPr/>
                        <wpg:grpSpPr>
                          <a:xfrm>
                            <a:off x="0" y="494036"/>
                            <a:ext cx="1443794" cy="252000"/>
                            <a:chOff x="-15880" y="0"/>
                            <a:chExt cx="1444379" cy="252068"/>
                          </a:xfrm>
                        </wpg:grpSpPr>
                        <wps:wsp>
                          <wps:cNvPr id="204526551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7784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DF0E39" w14:textId="1AFF7FCC" w:rsidR="009E6931" w:rsidRPr="00E90B8A" w:rsidRDefault="009E6931" w:rsidP="009E6931">
                                <w:pPr>
                                  <w:pStyle w:val="BoxTitle"/>
                                  <w:spacing w:before="0" w:beforeAutospacing="0"/>
                                  <w:rPr>
                                    <w:sz w:val="18"/>
                                    <w:szCs w:val="18"/>
                                  </w:rPr>
                                </w:pPr>
                                <w:r w:rsidRPr="00E90B8A">
                                  <w:rPr>
                                    <w:sz w:val="18"/>
                                    <w:szCs w:val="18"/>
                                  </w:rPr>
                                  <w:t>Q</w:t>
                                </w:r>
                                <w:r>
                                  <w:rPr>
                                    <w:sz w:val="18"/>
                                    <w:szCs w:val="18"/>
                                  </w:rPr>
                                  <w:t>31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737C84E" id="Group 1311995306" o:spid="_x0000_s1233" alt="Question" style="position:absolute;left:0;text-align:left;margin-left:-.15pt;margin-top:-.2pt;width:453.55pt;height:101.55pt;z-index:-251658173;mso-height-relative:margin" coordorigin=",628" coordsize="57600,1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">
                <v:shape id="Freeform 52" o:spid="_x0000_s123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2DA822F" w14:textId="77777777" w:rsidR="009E6931" w:rsidRDefault="009E6931" w:rsidP="009E6931">
                        <w:pPr>
                          <w:pStyle w:val="BoxTitle"/>
                          <w:spacing w:before="0" w:beforeAutospacing="0"/>
                        </w:pPr>
                        <w:r w:rsidRPr="007F6876">
                          <w:t>QUESTION</w:t>
                        </w:r>
                      </w:p>
                    </w:txbxContent>
                  </v:textbox>
                </v:shape>
                <v:group id="Group 53" o:spid="_x0000_s1235" style="position:absolute;top:3156;width:57600;height:10372" coordorigin="1837,1785" coordsize="9302,1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">
                  <v:shape id="Freeform 54" o:spid="_x0000_s1236" style="position:absolute;left:1837;top:1785;width:9302;height:112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" path="m,l9354,r,7809l,7809,,e" fillcolor="#edf2ea" stroked="f">
                    <v:path arrowok="t" o:connecttype="custom" o:connectlocs="0,1435;9302,1435;9302,12639;0,12639;0,1435" o:connectangles="0,0,0,0,0"/>
                  </v:shape>
                </v:group>
                <v:group id="Group 927093001" o:spid="_x0000_s123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">
                  <v:shape id="Freeform 58" o:spid="_x0000_s123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" path="m,l1815,e" filled="f" strokecolor="#72ab6a" strokeweight=".5pt">
                    <v:path arrowok="t" o:connecttype="custom" o:connectlocs="0,0;1073495,0" o:connectangles="0,0"/>
                  </v:shape>
                  <v:shape id="Freeform 66" o:spid="_x0000_s123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7DF0E39" w14:textId="1AFF7FCC" w:rsidR="009E6931" w:rsidRPr="00E90B8A" w:rsidRDefault="009E6931" w:rsidP="009E6931">
                          <w:pPr>
                            <w:pStyle w:val="BoxTitle"/>
                            <w:spacing w:before="0" w:beforeAutospacing="0"/>
                            <w:rPr>
                              <w:sz w:val="18"/>
                              <w:szCs w:val="18"/>
                            </w:rPr>
                          </w:pPr>
                          <w:r w:rsidRPr="00E90B8A">
                            <w:rPr>
                              <w:sz w:val="18"/>
                              <w:szCs w:val="18"/>
                            </w:rPr>
                            <w:t>Q</w:t>
                          </w:r>
                          <w:r>
                            <w:rPr>
                              <w:sz w:val="18"/>
                              <w:szCs w:val="18"/>
                            </w:rPr>
                            <w:t>31</w:t>
                          </w:r>
                        </w:p>
                      </w:txbxContent>
                    </v:textbox>
                  </v:shape>
                </v:group>
              </v:group>
            </w:pict>
          </mc:Fallback>
        </mc:AlternateContent>
      </w:r>
    </w:p>
    <w:p w14:paraId="4E670FEB" w14:textId="77777777" w:rsidR="009E6931" w:rsidRDefault="009E6931" w:rsidP="009E6931">
      <w:pPr>
        <w:pStyle w:val="QuestionBox"/>
      </w:pPr>
    </w:p>
    <w:p w14:paraId="244F6368" w14:textId="4D0831B0" w:rsidR="009F4F6E" w:rsidRDefault="009F4F6E" w:rsidP="009E6931">
      <w:pPr>
        <w:pStyle w:val="QuestionBox"/>
      </w:pPr>
      <w:r w:rsidRPr="008B0FD2">
        <w:t>If section 30(3)(f) is retained, should it be listed as relevant to the public interest in having the evidence considered by the fact-finder at trial (or as a factor that may favour admission of the evidence)?</w:t>
      </w:r>
    </w:p>
    <w:p w14:paraId="7F1D1E9F" w14:textId="77777777" w:rsidR="009E6931" w:rsidRPr="008B0FD2" w:rsidRDefault="009E6931" w:rsidP="009E6931">
      <w:pPr>
        <w:pStyle w:val="QuestionBox"/>
      </w:pPr>
    </w:p>
    <w:p w14:paraId="14A551B8" w14:textId="77777777" w:rsidR="009F4F6E" w:rsidRPr="008B0FD2" w:rsidRDefault="009F4F6E" w:rsidP="00624770">
      <w:pPr>
        <w:pStyle w:val="Heading3"/>
      </w:pPr>
      <w:r w:rsidRPr="008B0FD2">
        <w:t>Risk to safety or urgency</w:t>
      </w:r>
    </w:p>
    <w:p w14:paraId="253CB784" w14:textId="77777777" w:rsidR="009F4F6E" w:rsidRPr="008B0FD2" w:rsidRDefault="009F4F6E" w:rsidP="009F4F6E">
      <w:pPr>
        <w:pStyle w:val="BodyText"/>
      </w:pPr>
      <w:r w:rsidRPr="008B0FD2">
        <w:t xml:space="preserve">Section 30(3)(g) refers to “whether the impropriety was necessary to avoid apprehended physical danger to the Police or others”. Section 30(3)(h) permits consideration of whether there was any urgency in obtaining the improperly obtained evidence. The Court of Appeal in </w:t>
      </w:r>
      <w:r w:rsidRPr="008B0FD2">
        <w:rPr>
          <w:i/>
          <w:iCs/>
        </w:rPr>
        <w:t xml:space="preserve">Shaheed </w:t>
      </w:r>
      <w:r w:rsidRPr="008B0FD2">
        <w:t xml:space="preserve">and </w:t>
      </w:r>
      <w:r w:rsidRPr="008B0FD2">
        <w:rPr>
          <w:i/>
          <w:iCs/>
        </w:rPr>
        <w:t xml:space="preserve">Williams </w:t>
      </w:r>
      <w:r w:rsidRPr="008B0FD2">
        <w:t>saw urgency as reducing the seriousness of the breach of rights.</w:t>
      </w:r>
      <w:r w:rsidRPr="008B0FD2">
        <w:rPr>
          <w:rStyle w:val="FootnoteReference"/>
        </w:rPr>
        <w:footnoteReference w:id="603"/>
      </w:r>
    </w:p>
    <w:p w14:paraId="25591B38" w14:textId="77777777" w:rsidR="009F4F6E" w:rsidRPr="008B0FD2" w:rsidRDefault="009F4F6E" w:rsidP="009F4F6E">
      <w:pPr>
        <w:pStyle w:val="BodyText"/>
      </w:pPr>
      <w:r w:rsidRPr="008B0FD2">
        <w:t xml:space="preserve">Prior to </w:t>
      </w:r>
      <w:r w:rsidRPr="008B0FD2">
        <w:rPr>
          <w:i/>
          <w:iCs/>
        </w:rPr>
        <w:t>Shaheed</w:t>
      </w:r>
      <w:r w:rsidRPr="008B0FD2">
        <w:t>, urgency was recognised as a possible exception to the general rule that an unlawful search is “unreasonable” for the purposes of section</w:t>
      </w:r>
      <w:r w:rsidRPr="008B0FD2">
        <w:rPr>
          <w:rFonts w:ascii="Calibri" w:hAnsi="Calibri" w:cs="Calibri"/>
        </w:rPr>
        <w:t> </w:t>
      </w:r>
      <w:r w:rsidRPr="008B0FD2">
        <w:t>21 of NZBORA.</w:t>
      </w:r>
      <w:r w:rsidRPr="008B0FD2">
        <w:rPr>
          <w:rStyle w:val="FootnoteReference"/>
        </w:rPr>
        <w:footnoteReference w:id="604"/>
      </w:r>
      <w:r w:rsidRPr="008B0FD2">
        <w:t xml:space="preserve"> The Court of Appeal in </w:t>
      </w:r>
      <w:r w:rsidRPr="008B0FD2">
        <w:rPr>
          <w:i/>
          <w:iCs/>
        </w:rPr>
        <w:t>Williams</w:t>
      </w:r>
      <w:r w:rsidRPr="008B0FD2">
        <w:t xml:space="preserve"> found that should no longer be the case.</w:t>
      </w:r>
      <w:r w:rsidRPr="008B0FD2">
        <w:rPr>
          <w:rStyle w:val="FootnoteReference"/>
        </w:rPr>
        <w:footnoteReference w:id="605"/>
      </w:r>
      <w:r w:rsidRPr="008B0FD2">
        <w:t xml:space="preserve"> The Court considered it more appropriate to take urgency into account when determining the admissibility of the evidence under the balancing test. </w:t>
      </w:r>
    </w:p>
    <w:p w14:paraId="66760C22" w14:textId="63CB048C" w:rsidR="009F4F6E" w:rsidRPr="008B0FD2" w:rsidRDefault="009F4F6E" w:rsidP="009F4F6E">
      <w:pPr>
        <w:pStyle w:val="BodyText"/>
      </w:pPr>
      <w:r w:rsidRPr="008B0FD2">
        <w:t>Six years after the Act was enacted, the Search and Surveillance Act 2012 came into force. Under that Act, constables have express warrantless powers to address urgent situations and risks to the safety of any person. These include:</w:t>
      </w:r>
    </w:p>
    <w:p w14:paraId="59BC578E" w14:textId="77777777" w:rsidR="009F4F6E" w:rsidRPr="008B0FD2" w:rsidRDefault="009F4F6E" w:rsidP="00866891">
      <w:pPr>
        <w:pStyle w:val="BodyText2"/>
        <w:numPr>
          <w:ilvl w:val="3"/>
          <w:numId w:val="36"/>
        </w:numPr>
      </w:pPr>
      <w:r w:rsidRPr="008B0FD2">
        <w:t>warrantless powers of entry and search to avoid the loss of an offender or evidential material;</w:t>
      </w:r>
      <w:r w:rsidRPr="008B0FD2">
        <w:rPr>
          <w:rStyle w:val="FootnoteReference"/>
        </w:rPr>
        <w:footnoteReference w:id="606"/>
      </w:r>
    </w:p>
    <w:p w14:paraId="2977CF4F" w14:textId="77777777" w:rsidR="009F4F6E" w:rsidRPr="008B0FD2" w:rsidRDefault="009F4F6E" w:rsidP="009F4F6E">
      <w:pPr>
        <w:pStyle w:val="BodyText2"/>
      </w:pPr>
      <w:r w:rsidRPr="008B0FD2">
        <w:t>powers to take any action necessary to avert a risk to the life or safety of any person that requires an emergency response, or to prevent offending likely to cause injury to any person or serious damage to property;</w:t>
      </w:r>
      <w:r w:rsidRPr="008B0FD2">
        <w:rPr>
          <w:rStyle w:val="FootnoteReference"/>
        </w:rPr>
        <w:footnoteReference w:id="607"/>
      </w:r>
    </w:p>
    <w:p w14:paraId="7458D2AD" w14:textId="77777777" w:rsidR="009F4F6E" w:rsidRPr="008B0FD2" w:rsidRDefault="009F4F6E" w:rsidP="009F4F6E">
      <w:pPr>
        <w:pStyle w:val="BodyText2"/>
      </w:pPr>
      <w:r w:rsidRPr="008B0FD2">
        <w:t>warrantless powers of search and seizure relating to possession of arms.</w:t>
      </w:r>
      <w:r w:rsidRPr="008B0FD2">
        <w:rPr>
          <w:rStyle w:val="FootnoteReference"/>
        </w:rPr>
        <w:footnoteReference w:id="608"/>
      </w:r>
    </w:p>
    <w:p w14:paraId="0E9733E8" w14:textId="77777777" w:rsidR="009F4F6E" w:rsidRPr="008B0FD2" w:rsidRDefault="009F4F6E" w:rsidP="009F4F6E">
      <w:pPr>
        <w:pStyle w:val="BodyText"/>
      </w:pPr>
      <w:r w:rsidRPr="008B0FD2">
        <w:t>Since 2012, there have been examples in case law of urgency or risks to safety being relied on as favouring admission of the evidence even though the impropriety involved a search or seizure outside the scope of the warrantless powers in the Search and Surveillance Act.</w:t>
      </w:r>
      <w:r w:rsidRPr="008B0FD2">
        <w:rPr>
          <w:rStyle w:val="FootnoteReference"/>
        </w:rPr>
        <w:footnoteReference w:id="609"/>
      </w:r>
    </w:p>
    <w:p w14:paraId="59AF04E6" w14:textId="42CC2360" w:rsidR="009F4F6E" w:rsidRPr="008B0FD2" w:rsidRDefault="009F4F6E" w:rsidP="009F4F6E">
      <w:pPr>
        <w:pStyle w:val="BodyText"/>
      </w:pPr>
      <w:r w:rsidRPr="008B0FD2">
        <w:t xml:space="preserve">It has been argued that urgency and apprehended physical danger should no longer affect the section 30 analysis as the relevant warrantless powers should be relied on. The authors of </w:t>
      </w:r>
      <w:r w:rsidRPr="008B0FD2">
        <w:rPr>
          <w:i/>
          <w:iCs/>
        </w:rPr>
        <w:t xml:space="preserve">Mahoney on Evidence </w:t>
      </w:r>
      <w:r w:rsidRPr="008B0FD2">
        <w:t xml:space="preserve">suggest the balancing exercise should not be used to </w:t>
      </w:r>
      <w:r w:rsidRPr="008B0FD2">
        <w:lastRenderedPageBreak/>
        <w:t>legitimise illegal police conduct that does not fit within the boundaries explicitly set by the legislature.</w:t>
      </w:r>
      <w:r w:rsidRPr="008B0FD2">
        <w:rPr>
          <w:rStyle w:val="FootnoteReference"/>
        </w:rPr>
        <w:footnoteReference w:id="610"/>
      </w:r>
      <w:r w:rsidRPr="008B0FD2">
        <w:t xml:space="preserve"> Parliament has provided specific powers to address urgent situations to the extent it considered appropriate. If evidence has been found to be improperly obtained, Police (or another relevant agency) have acted outside those powers. If there are gaps in those powers, it may be more appropriate to address those through amendments to the empowering provisions rather than through the section 30 balancing test.</w:t>
      </w:r>
    </w:p>
    <w:p w14:paraId="2A5BDF8C" w14:textId="3369F6D1" w:rsidR="009F4F6E" w:rsidRPr="008B0FD2" w:rsidRDefault="009F4F6E" w:rsidP="009F4F6E">
      <w:pPr>
        <w:pStyle w:val="BodyText"/>
      </w:pPr>
      <w:r w:rsidRPr="008B0FD2">
        <w:t xml:space="preserve">The contrary argument is that sections 30(3)(g) and (h) are necessary to ensure urgency and risks to safety can be considered in a range of situations. The operation of section 30 is not limited to cases involving entry, search and other powers set out in the Search and Surveillance Act. It is possible that urgency or danger to a person may, for example, be a factor in a police interview being conducted improperly. The warrantless powers in the Search and Surveillance Act also do not apply to law enforcement agencies other than Police </w:t>
      </w:r>
      <w:r w:rsidR="00D03ACE">
        <w:t>-</w:t>
      </w:r>
      <w:r w:rsidRPr="008B0FD2">
        <w:t xml:space="preserve"> although they often have extensive warrantless powers under separate legislation (which are not limited to urgent situations).</w:t>
      </w:r>
      <w:r w:rsidRPr="008B0FD2">
        <w:rPr>
          <w:rStyle w:val="FootnoteReference"/>
        </w:rPr>
        <w:footnoteReference w:id="611"/>
      </w:r>
      <w:r w:rsidRPr="008B0FD2">
        <w:t xml:space="preserve"> Finally, sometimes a warrantless power would have been available in the circumstances but the officers involved failed to identify and invoke it.</w:t>
      </w:r>
      <w:r w:rsidRPr="008B0FD2">
        <w:rPr>
          <w:rStyle w:val="FootnoteReference"/>
        </w:rPr>
        <w:footnoteReference w:id="612"/>
      </w:r>
      <w:r w:rsidRPr="008B0FD2">
        <w:t xml:space="preserve"> Such a failure may be more understandable in high risk or urgent situations and less likely to signal systemic issues that should be addressed to prevent future breaches. </w:t>
      </w:r>
    </w:p>
    <w:p w14:paraId="219BB83B" w14:textId="77777777" w:rsidR="009F4F6E" w:rsidRPr="008B0FD2" w:rsidRDefault="009F4F6E" w:rsidP="00624770">
      <w:pPr>
        <w:pStyle w:val="Heading4"/>
      </w:pPr>
      <w:r w:rsidRPr="008B0FD2">
        <w:t>Options for reform</w:t>
      </w:r>
    </w:p>
    <w:p w14:paraId="6DF77603" w14:textId="77777777" w:rsidR="009F4F6E" w:rsidRPr="008B0FD2" w:rsidRDefault="009F4F6E" w:rsidP="009F4F6E">
      <w:pPr>
        <w:pStyle w:val="BodyText"/>
      </w:pPr>
      <w:r w:rsidRPr="008B0FD2">
        <w:t>In light of the above, we seek submissions on whether sections 30(3)(g) and (h) should be retained or repealed. Because section 30(3) is non-exhaustive, if these factors were repealed, urgency or physical danger could still be considered in exceptional cases. However, repealing the factors would indicate that they are not ordinarily relevant to the balancing test.</w:t>
      </w:r>
    </w:p>
    <w:p w14:paraId="49775557" w14:textId="77777777" w:rsidR="009F4F6E" w:rsidRPr="008B0FD2" w:rsidRDefault="009F4F6E" w:rsidP="009F4F6E">
      <w:pPr>
        <w:pStyle w:val="BodyText"/>
      </w:pPr>
      <w:r w:rsidRPr="008B0FD2">
        <w:t>We invite feedback on whether there are likely to be situations where evidence is obtained in urgent situations not adequately covered by warrantless powers (including by law enforcement agencies other than police).</w:t>
      </w:r>
    </w:p>
    <w:p w14:paraId="0211B503" w14:textId="77777777" w:rsidR="009F4F6E" w:rsidRPr="008B0FD2" w:rsidRDefault="009F4F6E" w:rsidP="009F4F6E">
      <w:pPr>
        <w:pStyle w:val="BodyText"/>
      </w:pPr>
      <w:r w:rsidRPr="008B0FD2">
        <w:t xml:space="preserve">If section 30(3) is amended to specify which public interest each factor is relevant to, sections 30(3)(g) and (h) (if retained) could be listed as relevant to the public interest in recognising the seriousness of the impropriety. Unlike the other factors on this side of the balancing equation, we would see these factors as </w:t>
      </w:r>
      <w:r w:rsidRPr="008B0FD2">
        <w:rPr>
          <w:i/>
          <w:iCs/>
        </w:rPr>
        <w:t xml:space="preserve">reducing </w:t>
      </w:r>
      <w:r w:rsidRPr="008B0FD2">
        <w:t xml:space="preserve">the seriousness of the impropriety and hence reducing the public interest in exclusion of the evidence. Alternatively, if the factors are simply divided into those that may favour admission or exclusion, sections 30(3)(g) and (h) could be listed as factors that may favour admission of the evidence. </w:t>
      </w:r>
    </w:p>
    <w:p w14:paraId="1120F6DC" w14:textId="77777777" w:rsidR="009E6931" w:rsidRDefault="009E6931" w:rsidP="009E6931">
      <w:pPr>
        <w:pStyle w:val="QuestionBox"/>
      </w:pPr>
    </w:p>
    <w:p w14:paraId="163AECB8" w14:textId="160B1565" w:rsidR="009E6931" w:rsidRDefault="009E6931" w:rsidP="009E6931">
      <w:pPr>
        <w:pStyle w:val="QuestionBox"/>
      </w:pPr>
      <w:r>
        <w:rPr>
          <w:noProof/>
        </w:rPr>
        <w:lastRenderedPageBreak/>
        <mc:AlternateContent>
          <mc:Choice Requires="wpg">
            <w:drawing>
              <wp:anchor distT="0" distB="0" distL="114300" distR="114300" simplePos="0" relativeHeight="251658308" behindDoc="1" locked="0" layoutInCell="1" allowOverlap="1" wp14:anchorId="42408F72" wp14:editId="472044B6">
                <wp:simplePos x="0" y="0"/>
                <wp:positionH relativeFrom="column">
                  <wp:posOffset>-1962</wp:posOffset>
                </wp:positionH>
                <wp:positionV relativeFrom="paragraph">
                  <wp:posOffset>-2322</wp:posOffset>
                </wp:positionV>
                <wp:extent cx="5760085" cy="1828845"/>
                <wp:effectExtent l="0" t="0" r="0" b="0"/>
                <wp:wrapNone/>
                <wp:docPr id="2100937779" name="Group 2100937779" descr="Question"/>
                <wp:cNvGraphicFramePr/>
                <a:graphic xmlns:a="http://schemas.openxmlformats.org/drawingml/2006/main">
                  <a:graphicData uri="http://schemas.microsoft.com/office/word/2010/wordprocessingGroup">
                    <wpg:wgp>
                      <wpg:cNvGrpSpPr/>
                      <wpg:grpSpPr>
                        <a:xfrm>
                          <a:off x="0" y="0"/>
                          <a:ext cx="5760085" cy="1828845"/>
                          <a:chOff x="0" y="62865"/>
                          <a:chExt cx="5760085" cy="1829260"/>
                        </a:xfrm>
                      </wpg:grpSpPr>
                      <wps:wsp>
                        <wps:cNvPr id="144792543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A6B6DB" w14:textId="655374B6" w:rsidR="009E6931" w:rsidRDefault="009E6931" w:rsidP="009E6931">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1087831728" name="Group 53"/>
                        <wpg:cNvGrpSpPr>
                          <a:grpSpLocks/>
                        </wpg:cNvGrpSpPr>
                        <wpg:grpSpPr bwMode="auto">
                          <a:xfrm>
                            <a:off x="0" y="315614"/>
                            <a:ext cx="5760085" cy="1576511"/>
                            <a:chOff x="1837" y="1785"/>
                            <a:chExt cx="9302" cy="17029"/>
                          </a:xfrm>
                        </wpg:grpSpPr>
                        <wps:wsp>
                          <wps:cNvPr id="1414209986" name="Freeform 54"/>
                          <wps:cNvSpPr>
                            <a:spLocks/>
                          </wps:cNvSpPr>
                          <wps:spPr bwMode="auto">
                            <a:xfrm>
                              <a:off x="1837" y="1785"/>
                              <a:ext cx="9302" cy="1702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252358" name="Group 636252358"/>
                        <wpg:cNvGrpSpPr/>
                        <wpg:grpSpPr>
                          <a:xfrm>
                            <a:off x="0" y="494036"/>
                            <a:ext cx="1443794" cy="252000"/>
                            <a:chOff x="-15880" y="0"/>
                            <a:chExt cx="1444379" cy="252068"/>
                          </a:xfrm>
                        </wpg:grpSpPr>
                        <wps:wsp>
                          <wps:cNvPr id="82448200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1093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86CBB3" w14:textId="46776DF9" w:rsidR="009E6931" w:rsidRPr="00E90B8A" w:rsidRDefault="009E6931" w:rsidP="009E6931">
                                <w:pPr>
                                  <w:pStyle w:val="BoxTitle"/>
                                  <w:spacing w:before="0" w:beforeAutospacing="0"/>
                                  <w:rPr>
                                    <w:sz w:val="18"/>
                                    <w:szCs w:val="18"/>
                                  </w:rPr>
                                </w:pPr>
                                <w:r w:rsidRPr="00E90B8A">
                                  <w:rPr>
                                    <w:sz w:val="18"/>
                                    <w:szCs w:val="18"/>
                                  </w:rPr>
                                  <w:t>Q</w:t>
                                </w:r>
                                <w:r>
                                  <w:rPr>
                                    <w:sz w:val="18"/>
                                    <w:szCs w:val="18"/>
                                  </w:rPr>
                                  <w:t>32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2408F72" id="Group 2100937779" o:spid="_x0000_s1240" alt="Question" style="position:absolute;left:0;text-align:left;margin-left:-.15pt;margin-top:-.2pt;width:453.55pt;height:2in;z-index:-251658172;mso-height-relative:margin" coordorigin=",628" coordsize="57600,1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">
                <v:shape id="Freeform 52" o:spid="_x0000_s124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3A6B6DB" w14:textId="655374B6" w:rsidR="009E6931" w:rsidRDefault="009E6931" w:rsidP="009E6931">
                        <w:pPr>
                          <w:pStyle w:val="BoxTitle"/>
                          <w:spacing w:before="0" w:beforeAutospacing="0"/>
                        </w:pPr>
                        <w:r w:rsidRPr="007F6876">
                          <w:t>QUESTION</w:t>
                        </w:r>
                        <w:r>
                          <w:t>S</w:t>
                        </w:r>
                      </w:p>
                    </w:txbxContent>
                  </v:textbox>
                </v:shape>
                <v:group id="Group 53" o:spid="_x0000_s1242" style="position:absolute;top:3156;width:57600;height:15765" coordorigin="1837,1785" coordsize="9302,1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">
                  <v:shape id="Freeform 54" o:spid="_x0000_s1243" style="position:absolute;left:1837;top:1785;width:9302;height:1702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" path="m,l9354,r,7809l,7809,,e" fillcolor="#edf2ea" stroked="f">
                    <v:path arrowok="t" o:connecttype="custom" o:connectlocs="0,2181;9302,2181;9302,19210;0,19210;0,2181" o:connectangles="0,0,0,0,0"/>
                  </v:shape>
                </v:group>
                <v:group id="Group 636252358" o:spid="_x0000_s124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">
                  <v:shape id="Freeform 58" o:spid="_x0000_s124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" path="m,l1815,e" filled="f" strokecolor="#72ab6a" strokeweight=".5pt">
                    <v:path arrowok="t" o:connecttype="custom" o:connectlocs="0,0;1073495,0" o:connectangles="0,0"/>
                  </v:shape>
                  <v:shape id="Freeform 66" o:spid="_x0000_s124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A86CBB3" w14:textId="46776DF9" w:rsidR="009E6931" w:rsidRPr="00E90B8A" w:rsidRDefault="009E6931" w:rsidP="009E6931">
                          <w:pPr>
                            <w:pStyle w:val="BoxTitle"/>
                            <w:spacing w:before="0" w:beforeAutospacing="0"/>
                            <w:rPr>
                              <w:sz w:val="18"/>
                              <w:szCs w:val="18"/>
                            </w:rPr>
                          </w:pPr>
                          <w:r w:rsidRPr="00E90B8A">
                            <w:rPr>
                              <w:sz w:val="18"/>
                              <w:szCs w:val="18"/>
                            </w:rPr>
                            <w:t>Q</w:t>
                          </w:r>
                          <w:r>
                            <w:rPr>
                              <w:sz w:val="18"/>
                              <w:szCs w:val="18"/>
                            </w:rPr>
                            <w:t>32</w:t>
                          </w:r>
                        </w:p>
                      </w:txbxContent>
                    </v:textbox>
                  </v:shape>
                </v:group>
              </v:group>
            </w:pict>
          </mc:Fallback>
        </mc:AlternateContent>
      </w:r>
    </w:p>
    <w:p w14:paraId="7750384D" w14:textId="77777777" w:rsidR="009E6931" w:rsidRDefault="009E6931" w:rsidP="009E6931">
      <w:pPr>
        <w:pStyle w:val="QuestionBox"/>
      </w:pPr>
    </w:p>
    <w:p w14:paraId="7C59F5B9" w14:textId="6A8E7CA2" w:rsidR="009F4F6E" w:rsidRPr="008B0FD2" w:rsidRDefault="009F4F6E" w:rsidP="009E6931">
      <w:pPr>
        <w:pStyle w:val="QuestionBox"/>
      </w:pPr>
      <w:r w:rsidRPr="008B0FD2">
        <w:t>Should sections 30(3)(g) and (h) be repealed?</w:t>
      </w:r>
    </w:p>
    <w:p w14:paraId="1EC2F0A1" w14:textId="1F88C77C" w:rsidR="009E6931" w:rsidRDefault="009E6931" w:rsidP="009E6931">
      <w:pPr>
        <w:pStyle w:val="QuestionBox"/>
      </w:pPr>
      <w:r w:rsidRPr="009D06D4">
        <w:rPr>
          <w:noProof/>
          <w:sz w:val="8"/>
          <w:szCs w:val="12"/>
        </w:rPr>
        <mc:AlternateContent>
          <mc:Choice Requires="wpg">
            <w:drawing>
              <wp:anchor distT="0" distB="0" distL="114300" distR="114300" simplePos="0" relativeHeight="251658309" behindDoc="1" locked="0" layoutInCell="1" allowOverlap="1" wp14:anchorId="7F9E0E1A" wp14:editId="4414998C">
                <wp:simplePos x="0" y="0"/>
                <wp:positionH relativeFrom="margin">
                  <wp:posOffset>0</wp:posOffset>
                </wp:positionH>
                <wp:positionV relativeFrom="paragraph">
                  <wp:posOffset>190026</wp:posOffset>
                </wp:positionV>
                <wp:extent cx="1443355" cy="251460"/>
                <wp:effectExtent l="0" t="0" r="42545" b="0"/>
                <wp:wrapNone/>
                <wp:docPr id="764517962" name="Group 764517962"/>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6451796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796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61CD2E" w14:textId="77777777" w:rsidR="009E6931" w:rsidRPr="00E700FF" w:rsidRDefault="009E6931" w:rsidP="009E6931">
                              <w:pPr>
                                <w:pStyle w:val="BoxTitle"/>
                                <w:spacing w:before="0" w:beforeAutospacing="0"/>
                              </w:pPr>
                              <w:r w:rsidRPr="001C1B37">
                                <w:t>Q</w:t>
                              </w:r>
                              <w:r>
                                <w:t>33</w:t>
                              </w:r>
                            </w:p>
                          </w:txbxContent>
                        </wps:txbx>
                        <wps:bodyPr rot="0" vert="horz" wrap="square" lIns="54000" tIns="82800" rIns="91440" bIns="45720" anchor="ctr" anchorCtr="0" upright="1">
                          <a:noAutofit/>
                        </wps:bodyPr>
                      </wps:wsp>
                    </wpg:wgp>
                  </a:graphicData>
                </a:graphic>
              </wp:anchor>
            </w:drawing>
          </mc:Choice>
          <mc:Fallback>
            <w:pict>
              <v:group w14:anchorId="7F9E0E1A" id="Group 764517962" o:spid="_x0000_s1247" style="position:absolute;left:0;text-align:left;margin-left:0;margin-top:14.95pt;width:113.65pt;height:19.8pt;z-index:-251658171;mso-position-horizontal-relative:margin"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">
                <v:shape id="Freeform 58" o:spid="_x0000_s124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" path="m,l1815,e" filled="f" strokecolor="#72ab6a" strokeweight=".5pt">
                  <v:path arrowok="t" o:connecttype="custom" o:connectlocs="0,0;1073495,0" o:connectangles="0,0"/>
                </v:shape>
                <v:shape id="Freeform 66" o:spid="_x0000_s124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761CD2E" w14:textId="77777777" w:rsidR="009E6931" w:rsidRPr="00E700FF" w:rsidRDefault="009E6931" w:rsidP="009E6931">
                        <w:pPr>
                          <w:pStyle w:val="BoxTitle"/>
                          <w:spacing w:before="0" w:beforeAutospacing="0"/>
                        </w:pPr>
                        <w:r w:rsidRPr="001C1B37">
                          <w:t>Q</w:t>
                        </w:r>
                        <w:r>
                          <w:t>33</w:t>
                        </w:r>
                      </w:p>
                    </w:txbxContent>
                  </v:textbox>
                </v:shape>
                <w10:wrap anchorx="margin"/>
              </v:group>
            </w:pict>
          </mc:Fallback>
        </mc:AlternateContent>
      </w:r>
    </w:p>
    <w:p w14:paraId="2234BEE9" w14:textId="22B1F175" w:rsidR="009F4F6E" w:rsidRDefault="009F4F6E" w:rsidP="009E6931">
      <w:pPr>
        <w:pStyle w:val="QuestionBox"/>
      </w:pPr>
      <w:r w:rsidRPr="008B0FD2">
        <w:t>If sections 30(3)(g) and (h) are retained, should they be listed as</w:t>
      </w:r>
      <w:r w:rsidR="00F33AE2">
        <w:t xml:space="preserve"> </w:t>
      </w:r>
      <w:r w:rsidRPr="008B0FD2">
        <w:t>relevant to the public interest in recognising the seriousness of the impropriety (or as a factor that may favour admission of the evidence)?</w:t>
      </w:r>
    </w:p>
    <w:p w14:paraId="10B89131" w14:textId="77777777" w:rsidR="009E6931" w:rsidRPr="008B0FD2" w:rsidRDefault="009E6931" w:rsidP="009E6931">
      <w:pPr>
        <w:pStyle w:val="QuestionBox"/>
      </w:pPr>
    </w:p>
    <w:p w14:paraId="5C8CAF0F" w14:textId="77777777" w:rsidR="009F4F6E" w:rsidRPr="008B0FD2" w:rsidRDefault="009F4F6E" w:rsidP="00624770">
      <w:pPr>
        <w:pStyle w:val="Heading3"/>
      </w:pPr>
      <w:r w:rsidRPr="008B0FD2">
        <w:t>Practicalities of policing</w:t>
      </w:r>
    </w:p>
    <w:p w14:paraId="1C24B80E" w14:textId="77777777" w:rsidR="009F4F6E" w:rsidRPr="008B0FD2" w:rsidRDefault="009F4F6E" w:rsidP="009F4F6E">
      <w:pPr>
        <w:pStyle w:val="BodyText"/>
      </w:pPr>
      <w:r w:rsidRPr="008B0FD2">
        <w:t>New Zealand Police provided preliminary feedback that it continues to have concerns about how readily the courts turn to section 30 over relatively technical breaches, given the practical realities of policing.</w:t>
      </w:r>
      <w:r w:rsidRPr="008B0FD2">
        <w:rPr>
          <w:rStyle w:val="FootnoteReference"/>
        </w:rPr>
        <w:footnoteReference w:id="613"/>
      </w:r>
      <w:r w:rsidRPr="008B0FD2">
        <w:t xml:space="preserve"> </w:t>
      </w:r>
    </w:p>
    <w:p w14:paraId="47B5B040" w14:textId="77777777" w:rsidR="009F4F6E" w:rsidRPr="008B0FD2" w:rsidRDefault="009F4F6E" w:rsidP="009F4F6E">
      <w:pPr>
        <w:pStyle w:val="BodyText"/>
      </w:pPr>
      <w:r w:rsidRPr="008B0FD2">
        <w:t>During the Commission’s Second Review, Police submitted that section 30 should be amended to enable consideration of the “practical realities of policing”. The Commission considered this submission but did not recommend amendment, noting these kinds of considerations are already taken into account in assessing the nature of the impropriety and whether there was urgency in obtaining the evidence.</w:t>
      </w:r>
      <w:r w:rsidRPr="008B0FD2">
        <w:rPr>
          <w:rStyle w:val="FootnoteReference"/>
        </w:rPr>
        <w:footnoteReference w:id="614"/>
      </w:r>
    </w:p>
    <w:p w14:paraId="203765D0" w14:textId="77777777" w:rsidR="009F4F6E" w:rsidRPr="008B0FD2" w:rsidRDefault="009F4F6E" w:rsidP="009F4F6E">
      <w:pPr>
        <w:pStyle w:val="BodyText"/>
      </w:pPr>
      <w:r w:rsidRPr="008B0FD2">
        <w:t>Our preliminary view remains the same. We also add that considering matters such as resource constraints and the level of experience of officers appears to assume that section 30 is primarily concerned with the culpability of the individual officers involved. That is not the case. Section 30 is not punitive in nature.</w:t>
      </w:r>
      <w:r w:rsidRPr="008B0FD2">
        <w:rPr>
          <w:rStyle w:val="FootnoteReference"/>
        </w:rPr>
        <w:footnoteReference w:id="615"/>
      </w:r>
      <w:r w:rsidRPr="008B0FD2">
        <w:t xml:space="preserve"> It is primar</w:t>
      </w:r>
      <w:r>
        <w:t>il</w:t>
      </w:r>
      <w:r w:rsidRPr="008B0FD2">
        <w:t>y aimed at maintaining the integrity of the justice system. This may involve incentivising systemic change to avoid future improprieties, but it does not aim to punish individuals.</w:t>
      </w:r>
    </w:p>
    <w:p w14:paraId="084998E2" w14:textId="7AB1199E" w:rsidR="009F4F6E" w:rsidRPr="008B0FD2" w:rsidRDefault="009F4F6E" w:rsidP="009F4F6E">
      <w:pPr>
        <w:pStyle w:val="BodyText"/>
      </w:pPr>
      <w:r w:rsidRPr="008B0FD2">
        <w:t>It seems likely that</w:t>
      </w:r>
      <w:r w:rsidR="00F33AE2">
        <w:t>,</w:t>
      </w:r>
      <w:r w:rsidRPr="008B0FD2">
        <w:t xml:space="preserve"> in some cases</w:t>
      </w:r>
      <w:r w:rsidR="00F33AE2">
        <w:t>,</w:t>
      </w:r>
      <w:r w:rsidRPr="008B0FD2">
        <w:t xml:space="preserve"> the “practical realities of policing” will reflect systemic reasons for an impropriety, such as inadequate resourcing or training. The fact that an impropriety resulted from these types of systemic issues increases the likelihood that similar conduct will occur in future unless changes are made. Admitting evidence in such situations may indicate to the public that the justice system does not take the rule of law seriously.</w:t>
      </w:r>
    </w:p>
    <w:p w14:paraId="0A7AD20C" w14:textId="7BF98A60" w:rsidR="009F4F6E" w:rsidRPr="008B0FD2" w:rsidRDefault="009F4F6E" w:rsidP="009F4F6E">
      <w:pPr>
        <w:pStyle w:val="BodyText"/>
      </w:pPr>
      <w:r w:rsidRPr="008B0FD2">
        <w:t>Accordingly, our preliminary view is that no amendment to section 30 is required to enable greater consideration of the practicalities of policing.</w:t>
      </w:r>
      <w:r w:rsidR="00A2649D">
        <w:t xml:space="preserve"> </w:t>
      </w:r>
      <w:r w:rsidRPr="008B0FD2">
        <w:t>However, we invite submissions on whether there are situations where the practicalities of policing should be taken into account but are not currently.</w:t>
      </w:r>
    </w:p>
    <w:p w14:paraId="73F39AAA" w14:textId="04784960" w:rsidR="009E6931" w:rsidRDefault="009E6931" w:rsidP="009E6931">
      <w:pPr>
        <w:pStyle w:val="QuestionBox"/>
      </w:pPr>
      <w:r>
        <w:rPr>
          <w:noProof/>
        </w:rPr>
        <mc:AlternateContent>
          <mc:Choice Requires="wpg">
            <w:drawing>
              <wp:anchor distT="0" distB="0" distL="114300" distR="114300" simplePos="0" relativeHeight="251658310" behindDoc="1" locked="0" layoutInCell="1" allowOverlap="1" wp14:anchorId="15A3962F" wp14:editId="3FC5464A">
                <wp:simplePos x="0" y="0"/>
                <wp:positionH relativeFrom="column">
                  <wp:posOffset>0</wp:posOffset>
                </wp:positionH>
                <wp:positionV relativeFrom="paragraph">
                  <wp:posOffset>0</wp:posOffset>
                </wp:positionV>
                <wp:extent cx="5760085" cy="1076172"/>
                <wp:effectExtent l="0" t="0" r="0" b="0"/>
                <wp:wrapNone/>
                <wp:docPr id="1633179268" name="Group 1633179268" descr="Question"/>
                <wp:cNvGraphicFramePr/>
                <a:graphic xmlns:a="http://schemas.openxmlformats.org/drawingml/2006/main">
                  <a:graphicData uri="http://schemas.microsoft.com/office/word/2010/wordprocessingGroup">
                    <wpg:wgp>
                      <wpg:cNvGrpSpPr/>
                      <wpg:grpSpPr>
                        <a:xfrm>
                          <a:off x="0" y="0"/>
                          <a:ext cx="5760085" cy="1076172"/>
                          <a:chOff x="0" y="62865"/>
                          <a:chExt cx="5760085" cy="1076416"/>
                        </a:xfrm>
                      </wpg:grpSpPr>
                      <wps:wsp>
                        <wps:cNvPr id="105653476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722751" w14:textId="77777777" w:rsidR="009E6931" w:rsidRDefault="009E6931" w:rsidP="009E6931">
                              <w:pPr>
                                <w:pStyle w:val="BoxTitle"/>
                                <w:spacing w:before="0" w:beforeAutospacing="0"/>
                              </w:pPr>
                              <w:r w:rsidRPr="007F6876">
                                <w:t>QUESTION</w:t>
                              </w:r>
                            </w:p>
                          </w:txbxContent>
                        </wps:txbx>
                        <wps:bodyPr rot="0" vert="horz" wrap="square" lIns="91440" tIns="0" rIns="0" bIns="45720" anchor="ctr" anchorCtr="0" upright="1">
                          <a:noAutofit/>
                        </wps:bodyPr>
                      </wps:wsp>
                      <wpg:grpSp>
                        <wpg:cNvPr id="1225782052" name="Group 53"/>
                        <wpg:cNvGrpSpPr>
                          <a:grpSpLocks/>
                        </wpg:cNvGrpSpPr>
                        <wpg:grpSpPr bwMode="auto">
                          <a:xfrm>
                            <a:off x="0" y="315707"/>
                            <a:ext cx="5760085" cy="823574"/>
                            <a:chOff x="1837" y="1786"/>
                            <a:chExt cx="9302" cy="8896"/>
                          </a:xfrm>
                        </wpg:grpSpPr>
                        <wps:wsp>
                          <wps:cNvPr id="1759513700" name="Freeform 54"/>
                          <wps:cNvSpPr>
                            <a:spLocks/>
                          </wps:cNvSpPr>
                          <wps:spPr bwMode="auto">
                            <a:xfrm>
                              <a:off x="1837" y="1786"/>
                              <a:ext cx="9302" cy="889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193410" name="Group 279193410"/>
                        <wpg:cNvGrpSpPr/>
                        <wpg:grpSpPr>
                          <a:xfrm>
                            <a:off x="0" y="494036"/>
                            <a:ext cx="1443794" cy="252000"/>
                            <a:chOff x="-15880" y="0"/>
                            <a:chExt cx="1444379" cy="252068"/>
                          </a:xfrm>
                        </wpg:grpSpPr>
                        <wps:wsp>
                          <wps:cNvPr id="143187960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19555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80B1C0" w14:textId="2F422D21" w:rsidR="009E6931" w:rsidRPr="00E90B8A" w:rsidRDefault="009E6931" w:rsidP="009E6931">
                                <w:pPr>
                                  <w:pStyle w:val="BoxTitle"/>
                                  <w:spacing w:before="0" w:beforeAutospacing="0"/>
                                  <w:rPr>
                                    <w:sz w:val="18"/>
                                    <w:szCs w:val="18"/>
                                  </w:rPr>
                                </w:pPr>
                                <w:r w:rsidRPr="00E90B8A">
                                  <w:rPr>
                                    <w:sz w:val="18"/>
                                    <w:szCs w:val="18"/>
                                  </w:rPr>
                                  <w:t>Q</w:t>
                                </w:r>
                                <w:r>
                                  <w:rPr>
                                    <w:sz w:val="18"/>
                                    <w:szCs w:val="18"/>
                                  </w:rPr>
                                  <w:t>3</w:t>
                                </w:r>
                                <w:r w:rsidR="00223251">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5A3962F" id="Group 1633179268" o:spid="_x0000_s1250" alt="Question" style="position:absolute;left:0;text-align:left;margin-left:0;margin-top:0;width:453.55pt;height:84.75pt;z-index:-251658170;mso-height-relative:margin" coordorigin=",628" coordsize="57600,1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">
                <v:shape id="Freeform 52" o:spid="_x0000_s125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3722751" w14:textId="77777777" w:rsidR="009E6931" w:rsidRDefault="009E6931" w:rsidP="009E6931">
                        <w:pPr>
                          <w:pStyle w:val="BoxTitle"/>
                          <w:spacing w:before="0" w:beforeAutospacing="0"/>
                        </w:pPr>
                        <w:r w:rsidRPr="007F6876">
                          <w:t>QUESTION</w:t>
                        </w:r>
                      </w:p>
                    </w:txbxContent>
                  </v:textbox>
                </v:shape>
                <v:group id="Group 53" o:spid="_x0000_s1252" style="position:absolute;top:3157;width:57600;height:8235" coordorigin="1837,1786" coordsize="9302,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">
                  <v:shape id="Freeform 54" o:spid="_x0000_s1253" style="position:absolute;left:1837;top:1786;width:9302;height:889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" path="m,l9354,r,7809l,7809,,e" fillcolor="#edf2ea" stroked="f">
                    <v:path arrowok="t" o:connecttype="custom" o:connectlocs="0,1139;9302,1139;9302,10035;0,10035;0,1139" o:connectangles="0,0,0,0,0"/>
                  </v:shape>
                </v:group>
                <v:group id="Group 279193410" o:spid="_x0000_s125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">
                  <v:shape id="Freeform 58" o:spid="_x0000_s125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" path="m,l1815,e" filled="f" strokecolor="#72ab6a" strokeweight=".5pt">
                    <v:path arrowok="t" o:connecttype="custom" o:connectlocs="0,0;1073495,0" o:connectangles="0,0"/>
                  </v:shape>
                  <v:shape id="Freeform 66" o:spid="_x0000_s125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C80B1C0" w14:textId="2F422D21" w:rsidR="009E6931" w:rsidRPr="00E90B8A" w:rsidRDefault="009E6931" w:rsidP="009E6931">
                          <w:pPr>
                            <w:pStyle w:val="BoxTitle"/>
                            <w:spacing w:before="0" w:beforeAutospacing="0"/>
                            <w:rPr>
                              <w:sz w:val="18"/>
                              <w:szCs w:val="18"/>
                            </w:rPr>
                          </w:pPr>
                          <w:r w:rsidRPr="00E90B8A">
                            <w:rPr>
                              <w:sz w:val="18"/>
                              <w:szCs w:val="18"/>
                            </w:rPr>
                            <w:t>Q</w:t>
                          </w:r>
                          <w:r>
                            <w:rPr>
                              <w:sz w:val="18"/>
                              <w:szCs w:val="18"/>
                            </w:rPr>
                            <w:t>3</w:t>
                          </w:r>
                          <w:r w:rsidR="00223251">
                            <w:rPr>
                              <w:sz w:val="18"/>
                              <w:szCs w:val="18"/>
                            </w:rPr>
                            <w:t>4</w:t>
                          </w:r>
                        </w:p>
                      </w:txbxContent>
                    </v:textbox>
                  </v:shape>
                </v:group>
              </v:group>
            </w:pict>
          </mc:Fallback>
        </mc:AlternateContent>
      </w:r>
    </w:p>
    <w:p w14:paraId="73321AEA" w14:textId="77777777" w:rsidR="009E6931" w:rsidRDefault="009E6931" w:rsidP="009E6931">
      <w:pPr>
        <w:pStyle w:val="QuestionBox"/>
      </w:pPr>
    </w:p>
    <w:p w14:paraId="24D8D5D3" w14:textId="638151F5" w:rsidR="009F4F6E" w:rsidRPr="008B0FD2" w:rsidRDefault="009F4F6E" w:rsidP="009E6931">
      <w:pPr>
        <w:pStyle w:val="QuestionBox"/>
      </w:pPr>
      <w:r w:rsidRPr="008B0FD2">
        <w:t xml:space="preserve">Is any amendment to section 30 necessary or desirable to enable judges to take account of the practicalities of policing? </w:t>
      </w:r>
    </w:p>
    <w:p w14:paraId="2D8FD3B9" w14:textId="77777777" w:rsidR="009F4F6E" w:rsidRPr="008B0FD2" w:rsidRDefault="009F4F6E" w:rsidP="00624770">
      <w:pPr>
        <w:pStyle w:val="Heading3"/>
      </w:pPr>
      <w:r w:rsidRPr="008B0FD2">
        <w:lastRenderedPageBreak/>
        <w:t>Other factors</w:t>
      </w:r>
    </w:p>
    <w:p w14:paraId="01BA3268" w14:textId="406EA977" w:rsidR="009F4F6E" w:rsidRPr="008B0FD2" w:rsidRDefault="009F4F6E" w:rsidP="009F4F6E">
      <w:pPr>
        <w:pStyle w:val="BodyText"/>
      </w:pPr>
      <w:r w:rsidRPr="008B0FD2">
        <w:t xml:space="preserve">In Chapter 6 </w:t>
      </w:r>
      <w:r w:rsidR="00554428">
        <w:t>we discuss</w:t>
      </w:r>
      <w:r w:rsidRPr="008B0FD2">
        <w:t xml:space="preserve"> the option of amending section 30(3) to clarify that the risk the investigatory techniques used would produce unreliable evidence can be taken into account as a factor in the balancing exercise. If section 30 is amended to specify which factors favour admission or exclusion, this factor (if adopted) could be listed as relevant to the public interest in recognising the seriousness of the impropriety (or as a factor that may favour exclusion of the evidence). This is reflected in our model provision in the Appendix to this chapter.</w:t>
      </w:r>
    </w:p>
    <w:p w14:paraId="5F2C7D39" w14:textId="2A016021" w:rsidR="009F4F6E" w:rsidRPr="008B0FD2" w:rsidRDefault="009F4F6E" w:rsidP="009F4F6E">
      <w:pPr>
        <w:pStyle w:val="BodyText"/>
      </w:pPr>
      <w:r w:rsidRPr="008B0FD2">
        <w:t>This consideration of reliability risks would be in addition to the court having regard to the actual reliability of the evidence in question when assessing its probative value under section 30(3)(c). As discussed above, we suggest section 30(3)(c) is more relevant to the second public interest (in having the evidence considered by the fact</w:t>
      </w:r>
      <w:r w:rsidR="00B03141">
        <w:t>-</w:t>
      </w:r>
      <w:r w:rsidRPr="008B0FD2">
        <w:t>finder at trial).</w:t>
      </w:r>
    </w:p>
    <w:p w14:paraId="48CCCB73" w14:textId="77777777" w:rsidR="009F4F6E" w:rsidRPr="008B0FD2" w:rsidRDefault="009F4F6E" w:rsidP="009F4F6E">
      <w:pPr>
        <w:pStyle w:val="BodyText"/>
      </w:pPr>
      <w:r w:rsidRPr="008B0FD2">
        <w:t>Our review of the case law did not identify any other factors that we think ought to be included in section 30(3) (subject to our discussion on causation below). However, we welcome any feedback on that. We also invite feedback on any additional amendments that should be made to the factors.</w:t>
      </w:r>
    </w:p>
    <w:p w14:paraId="73A5E027" w14:textId="59492668" w:rsidR="009F4F6E" w:rsidRPr="008B0FD2" w:rsidRDefault="009F4F6E" w:rsidP="009F4F6E">
      <w:pPr>
        <w:pStyle w:val="BodyText"/>
      </w:pPr>
      <w:r w:rsidRPr="008B0FD2">
        <w:t xml:space="preserve">It was suggested to us </w:t>
      </w:r>
      <w:r w:rsidR="00FF2028">
        <w:t>in preliminary feedback</w:t>
      </w:r>
      <w:r w:rsidR="00FF5047">
        <w:t xml:space="preserve"> from stakeholders</w:t>
      </w:r>
      <w:r w:rsidRPr="008B0FD2">
        <w:t xml:space="preserve"> that section 30(3) should include a factor explicitly referencing the need to deter future improprieties. As noted above, we consider deterrence may </w:t>
      </w:r>
      <w:r w:rsidR="0035299E">
        <w:t xml:space="preserve">be </w:t>
      </w:r>
      <w:r w:rsidRPr="008B0FD2">
        <w:t xml:space="preserve">an appropriate policy goal under section 30. However, our preliminary view is that adding deterrence as a factor is unnecessary. Consideration of the other factors (such as those in sections 30(3)(a), (b) and (e)) is already likely to result in exclusion where the impropriety is sufficiently serious to warrant a deterrent approach. In particular, there is a risk that recognising the need for deterrence as a separate factor would duplicate the assessment under section 30(3)(b), which focuses on whether the impropriety was deliberate. </w:t>
      </w:r>
    </w:p>
    <w:p w14:paraId="3D952F28" w14:textId="77777777" w:rsidR="009F4F6E" w:rsidRPr="008B0FD2" w:rsidRDefault="009F4F6E" w:rsidP="009F4F6E">
      <w:pPr>
        <w:pStyle w:val="BodyText"/>
      </w:pPr>
      <w:r w:rsidRPr="008B0FD2">
        <w:t>We also think it would likely be difficult in most cases for a judge to know whether deterrence is relevant and how it should be weighed. For example, if a police officer has conducted a warrantless search outside the scope of their warrantless powers or has omitted information from a search warrant application, how is a judge to assess the likelihood that similar breaches might occur in future or whether exclusion would have a meaningful deterrent effect? In a rare case where a judge does have information to suggest that exclusion may be necessary to create organisational incentives (for example, to correct inadequate training of or guidance to enforcement officers), that could already be considered as an “other matter”. We invite feedback on this approach.</w:t>
      </w:r>
    </w:p>
    <w:p w14:paraId="1F3ED618" w14:textId="01403F19" w:rsidR="009F4F6E" w:rsidRPr="008B0FD2" w:rsidRDefault="00BD27D1" w:rsidP="009F4F6E">
      <w:pPr>
        <w:pStyle w:val="BodyText"/>
      </w:pPr>
      <w:r>
        <w:t>Preliminary</w:t>
      </w:r>
      <w:r w:rsidR="009F4F6E" w:rsidRPr="008B0FD2">
        <w:t xml:space="preserve"> feedback also raised the possibility of referring to the extent to which the impropriety intrudes on expectations of privacy. We agree that this will be relevant to the seriousness of an impropriety where it involved a search (as opposed to, for example, improprieties during an interview process). Our preliminary view, however, is that it is already captured by section 30(3)(a) (the importance of any right breached and the extent of the breach). The courts consider reasonable expectations of privacy when determining whether there has been a breach of section 21 of NZBORA (unreasonable </w:t>
      </w:r>
      <w:r w:rsidR="009F4F6E" w:rsidRPr="008B0FD2">
        <w:lastRenderedPageBreak/>
        <w:t>search and seizure).</w:t>
      </w:r>
      <w:r w:rsidR="009F4F6E" w:rsidRPr="008B0FD2">
        <w:rPr>
          <w:rStyle w:val="FootnoteReference"/>
        </w:rPr>
        <w:footnoteReference w:id="616"/>
      </w:r>
      <w:r w:rsidR="009F4F6E" w:rsidRPr="008B0FD2">
        <w:t xml:space="preserve"> Assessing the extent of the breach under section 30(3)(a) of the Act will therefore involve considering the privacy interests involved and the extent of the intrusion on them. Case law suggests this already occurs.</w:t>
      </w:r>
      <w:r w:rsidR="009F4F6E" w:rsidRPr="008B0FD2">
        <w:rPr>
          <w:rStyle w:val="FootnoteReference"/>
        </w:rPr>
        <w:footnoteReference w:id="617"/>
      </w:r>
      <w:r w:rsidR="009F4F6E" w:rsidRPr="008B0FD2">
        <w:t xml:space="preserve"> Furthermore, adding a separate factor relating to privacy interests may suggest that the right to be secure against unreasonable search and seizure has greater significance than other rights, which </w:t>
      </w:r>
      <w:r w:rsidR="00223251">
        <w:rPr>
          <w:noProof/>
        </w:rPr>
        <mc:AlternateContent>
          <mc:Choice Requires="wpg">
            <w:drawing>
              <wp:anchor distT="0" distB="0" distL="114300" distR="114300" simplePos="0" relativeHeight="251658311" behindDoc="1" locked="0" layoutInCell="1" allowOverlap="1" wp14:anchorId="70A1BDEE" wp14:editId="45D067C4">
                <wp:simplePos x="0" y="0"/>
                <wp:positionH relativeFrom="column">
                  <wp:posOffset>-2540</wp:posOffset>
                </wp:positionH>
                <wp:positionV relativeFrom="paragraph">
                  <wp:posOffset>1218565</wp:posOffset>
                </wp:positionV>
                <wp:extent cx="5760085" cy="920750"/>
                <wp:effectExtent l="0" t="0" r="0" b="0"/>
                <wp:wrapNone/>
                <wp:docPr id="1227520706" name="Group 1227520706" descr="Question"/>
                <wp:cNvGraphicFramePr/>
                <a:graphic xmlns:a="http://schemas.openxmlformats.org/drawingml/2006/main">
                  <a:graphicData uri="http://schemas.microsoft.com/office/word/2010/wordprocessingGroup">
                    <wpg:wgp>
                      <wpg:cNvGrpSpPr/>
                      <wpg:grpSpPr>
                        <a:xfrm>
                          <a:off x="0" y="0"/>
                          <a:ext cx="5760085" cy="920750"/>
                          <a:chOff x="0" y="62865"/>
                          <a:chExt cx="5760085" cy="921440"/>
                        </a:xfrm>
                      </wpg:grpSpPr>
                      <wps:wsp>
                        <wps:cNvPr id="127803454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8626AF" w14:textId="77777777" w:rsidR="00223251" w:rsidRDefault="00223251" w:rsidP="00223251">
                              <w:pPr>
                                <w:pStyle w:val="BoxTitle"/>
                                <w:spacing w:before="0" w:beforeAutospacing="0"/>
                              </w:pPr>
                              <w:r w:rsidRPr="007F6876">
                                <w:t>QUESTION</w:t>
                              </w:r>
                            </w:p>
                          </w:txbxContent>
                        </wps:txbx>
                        <wps:bodyPr rot="0" vert="horz" wrap="square" lIns="91440" tIns="0" rIns="0" bIns="45720" anchor="ctr" anchorCtr="0" upright="1">
                          <a:noAutofit/>
                        </wps:bodyPr>
                      </wps:wsp>
                      <wpg:grpSp>
                        <wpg:cNvPr id="1816055081" name="Group 53"/>
                        <wpg:cNvGrpSpPr>
                          <a:grpSpLocks/>
                        </wpg:cNvGrpSpPr>
                        <wpg:grpSpPr bwMode="auto">
                          <a:xfrm>
                            <a:off x="0" y="315614"/>
                            <a:ext cx="5760085" cy="668691"/>
                            <a:chOff x="1837" y="1785"/>
                            <a:chExt cx="9302" cy="7223"/>
                          </a:xfrm>
                        </wpg:grpSpPr>
                        <wps:wsp>
                          <wps:cNvPr id="1196263149" name="Freeform 54"/>
                          <wps:cNvSpPr>
                            <a:spLocks/>
                          </wps:cNvSpPr>
                          <wps:spPr bwMode="auto">
                            <a:xfrm>
                              <a:off x="1837" y="1785"/>
                              <a:ext cx="9302" cy="722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493262" name="Group 1853493262"/>
                        <wpg:cNvGrpSpPr/>
                        <wpg:grpSpPr>
                          <a:xfrm>
                            <a:off x="0" y="494036"/>
                            <a:ext cx="1443794" cy="252000"/>
                            <a:chOff x="-15880" y="0"/>
                            <a:chExt cx="1444379" cy="252068"/>
                          </a:xfrm>
                        </wpg:grpSpPr>
                        <wps:wsp>
                          <wps:cNvPr id="109378896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36591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A2BDCC" w14:textId="738763CD" w:rsidR="00223251" w:rsidRPr="00E90B8A" w:rsidRDefault="00223251" w:rsidP="00223251">
                                <w:pPr>
                                  <w:pStyle w:val="BoxTitle"/>
                                  <w:spacing w:before="0" w:beforeAutospacing="0"/>
                                  <w:rPr>
                                    <w:sz w:val="18"/>
                                    <w:szCs w:val="18"/>
                                  </w:rPr>
                                </w:pPr>
                                <w:r w:rsidRPr="00E90B8A">
                                  <w:rPr>
                                    <w:sz w:val="18"/>
                                    <w:szCs w:val="18"/>
                                  </w:rPr>
                                  <w:t>Q</w:t>
                                </w:r>
                                <w:r>
                                  <w:rPr>
                                    <w:sz w:val="18"/>
                                    <w:szCs w:val="18"/>
                                  </w:rPr>
                                  <w:t>35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0A1BDEE" id="Group 1227520706" o:spid="_x0000_s1257" alt="Question" style="position:absolute;left:0;text-align:left;margin-left:-.2pt;margin-top:95.95pt;width:453.55pt;height:72.5pt;z-index:-251658169;mso-height-relative:margin" coordorigin=",628" coordsize="57600,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">
                <v:shape id="Freeform 52" o:spid="_x0000_s125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98626AF" w14:textId="77777777" w:rsidR="00223251" w:rsidRDefault="00223251" w:rsidP="00223251">
                        <w:pPr>
                          <w:pStyle w:val="BoxTitle"/>
                          <w:spacing w:before="0" w:beforeAutospacing="0"/>
                        </w:pPr>
                        <w:r w:rsidRPr="007F6876">
                          <w:t>QUESTION</w:t>
                        </w:r>
                      </w:p>
                    </w:txbxContent>
                  </v:textbox>
                </v:shape>
                <v:group id="Group 53" o:spid="_x0000_s1259" style="position:absolute;top:3156;width:57600;height:6687" coordorigin="1837,1785" coordsize="9302,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">
                  <v:shape id="Freeform 54" o:spid="_x0000_s1260" style="position:absolute;left:1837;top:1785;width:9302;height:722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" path="m,l9354,r,7809l,7809,,e" fillcolor="#edf2ea" stroked="f">
                    <v:path arrowok="t" o:connecttype="custom" o:connectlocs="0,925;9302,925;9302,8148;0,8148;0,925" o:connectangles="0,0,0,0,0"/>
                  </v:shape>
                </v:group>
                <v:group id="Group 1853493262" o:spid="_x0000_s126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">
                  <v:shape id="Freeform 58" o:spid="_x0000_s126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" path="m,l1815,e" filled="f" strokecolor="#72ab6a" strokeweight=".5pt">
                    <v:path arrowok="t" o:connecttype="custom" o:connectlocs="0,0;1073495,0" o:connectangles="0,0"/>
                  </v:shape>
                  <v:shape id="Freeform 66" o:spid="_x0000_s126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FA2BDCC" w14:textId="738763CD" w:rsidR="00223251" w:rsidRPr="00E90B8A" w:rsidRDefault="00223251" w:rsidP="00223251">
                          <w:pPr>
                            <w:pStyle w:val="BoxTitle"/>
                            <w:spacing w:before="0" w:beforeAutospacing="0"/>
                            <w:rPr>
                              <w:sz w:val="18"/>
                              <w:szCs w:val="18"/>
                            </w:rPr>
                          </w:pPr>
                          <w:r w:rsidRPr="00E90B8A">
                            <w:rPr>
                              <w:sz w:val="18"/>
                              <w:szCs w:val="18"/>
                            </w:rPr>
                            <w:t>Q</w:t>
                          </w:r>
                          <w:r>
                            <w:rPr>
                              <w:sz w:val="18"/>
                              <w:szCs w:val="18"/>
                            </w:rPr>
                            <w:t>35</w:t>
                          </w:r>
                        </w:p>
                      </w:txbxContent>
                    </v:textbox>
                  </v:shape>
                </v:group>
              </v:group>
            </w:pict>
          </mc:Fallback>
        </mc:AlternateContent>
      </w:r>
      <w:r w:rsidR="009F4F6E" w:rsidRPr="008B0FD2">
        <w:t>is not necessarily the case. Again, we invite feedback on this approach.</w:t>
      </w:r>
    </w:p>
    <w:p w14:paraId="537B28F8" w14:textId="5EE7E4C5" w:rsidR="00223251" w:rsidRDefault="00223251" w:rsidP="00223251">
      <w:pPr>
        <w:pStyle w:val="QuestionBox"/>
      </w:pPr>
    </w:p>
    <w:p w14:paraId="389AE669" w14:textId="77777777" w:rsidR="00223251" w:rsidRDefault="00223251" w:rsidP="00223251">
      <w:pPr>
        <w:pStyle w:val="QuestionBox"/>
      </w:pPr>
    </w:p>
    <w:p w14:paraId="48A811E9" w14:textId="36DF8916" w:rsidR="009F4F6E" w:rsidRDefault="009F4F6E" w:rsidP="00223251">
      <w:pPr>
        <w:pStyle w:val="QuestionBox"/>
      </w:pPr>
      <w:r w:rsidRPr="008B0FD2">
        <w:t>Are any other amendments to the section 30(3) factors necessary or desirable?</w:t>
      </w:r>
    </w:p>
    <w:p w14:paraId="7963E391" w14:textId="77777777" w:rsidR="00223251" w:rsidRPr="008B0FD2" w:rsidRDefault="00223251" w:rsidP="00223251">
      <w:pPr>
        <w:pStyle w:val="QuestionBox"/>
      </w:pPr>
    </w:p>
    <w:p w14:paraId="72C40483" w14:textId="77777777" w:rsidR="009F4F6E" w:rsidRPr="008B0FD2" w:rsidRDefault="009F4F6E" w:rsidP="00624770">
      <w:pPr>
        <w:pStyle w:val="Heading2"/>
      </w:pPr>
      <w:bookmarkStart w:id="122" w:name="_Toc126330131"/>
      <w:bookmarkStart w:id="123" w:name="_Toc131003073"/>
      <w:bookmarkStart w:id="124" w:name="_Toc132962572"/>
      <w:r w:rsidRPr="008B0FD2">
        <w:t>The role of causation under section 30(5)</w:t>
      </w:r>
      <w:bookmarkEnd w:id="122"/>
      <w:bookmarkEnd w:id="123"/>
      <w:bookmarkEnd w:id="124"/>
      <w:r w:rsidRPr="008B0FD2">
        <w:t xml:space="preserve"> </w:t>
      </w:r>
    </w:p>
    <w:p w14:paraId="64EE12DE" w14:textId="77777777" w:rsidR="009F4F6E" w:rsidRPr="008B0FD2" w:rsidRDefault="009F4F6E" w:rsidP="009F4F6E">
      <w:pPr>
        <w:pStyle w:val="BodyText"/>
      </w:pPr>
      <w:r w:rsidRPr="008B0FD2">
        <w:t xml:space="preserve">For evidence to be “improperly obtained” under section 30(5)(a) or (b), it must have been obtained “in consequence” of the breach. While there is no causative language in section 30(5)(c) in relation to the unfairness limb, the Supreme Court in </w:t>
      </w:r>
      <w:r w:rsidRPr="008B0FD2">
        <w:rPr>
          <w:i/>
          <w:iCs/>
        </w:rPr>
        <w:t xml:space="preserve">Chetty </w:t>
      </w:r>
      <w:r w:rsidRPr="008B0FD2">
        <w:t>held there must “almost always” be a causative link between the unfairness and the obtaining of the evidence.</w:t>
      </w:r>
      <w:r w:rsidRPr="008B0FD2">
        <w:rPr>
          <w:rStyle w:val="FootnoteReference"/>
        </w:rPr>
        <w:footnoteReference w:id="618"/>
      </w:r>
    </w:p>
    <w:p w14:paraId="1C56C377" w14:textId="77777777" w:rsidR="009F4F6E" w:rsidRPr="008B0FD2" w:rsidRDefault="009F4F6E" w:rsidP="00624770">
      <w:pPr>
        <w:pStyle w:val="Heading3"/>
      </w:pPr>
      <w:r w:rsidRPr="008B0FD2">
        <w:t>Is it unclear how causation should be assessed?</w:t>
      </w:r>
    </w:p>
    <w:p w14:paraId="47956686" w14:textId="63046166" w:rsidR="009F4F6E" w:rsidRPr="008B0FD2" w:rsidRDefault="009F4F6E" w:rsidP="009F4F6E">
      <w:pPr>
        <w:pStyle w:val="BodyText"/>
      </w:pPr>
      <w:r w:rsidRPr="008B0FD2">
        <w:t xml:space="preserve">The courts have applied various tests in deciding whether a causal link is established. Stevens J, surveying the case law on causation in </w:t>
      </w:r>
      <w:r w:rsidRPr="008B0FD2">
        <w:rPr>
          <w:i/>
          <w:iCs/>
        </w:rPr>
        <w:t>W (CA226</w:t>
      </w:r>
      <w:r w:rsidR="00C40CE4">
        <w:rPr>
          <w:i/>
          <w:iCs/>
        </w:rPr>
        <w:t>/</w:t>
      </w:r>
      <w:r w:rsidRPr="008B0FD2">
        <w:rPr>
          <w:i/>
          <w:iCs/>
        </w:rPr>
        <w:t>2019) v R</w:t>
      </w:r>
      <w:r w:rsidRPr="008B0FD2">
        <w:t>, said:</w:t>
      </w:r>
      <w:r w:rsidRPr="008B0FD2">
        <w:rPr>
          <w:rStyle w:val="FootnoteReference"/>
        </w:rPr>
        <w:footnoteReference w:id="619"/>
      </w:r>
    </w:p>
    <w:p w14:paraId="498B08A8" w14:textId="77777777" w:rsidR="009F4F6E" w:rsidRPr="008B0FD2" w:rsidRDefault="009F4F6E" w:rsidP="009F4F6E">
      <w:pPr>
        <w:pStyle w:val="Quote"/>
      </w:pPr>
      <w:r w:rsidRPr="008B0FD2">
        <w:t xml:space="preserve">This Court has, understandably, described the “in consequence of” wording in s 30(5) in different ways. These include whether the connection between the breach and the evidence is “sufficiently immediate to establish causation” or whether the link between the impropriety and the evidence is “too attenuated” to be causative. Another variant is that evidence cannot be unfairly obtained “if it would have been obtained irrespective of the unfairness relied upon”. In </w:t>
      </w:r>
      <w:r w:rsidRPr="008B0FD2">
        <w:rPr>
          <w:i/>
          <w:iCs/>
        </w:rPr>
        <w:t xml:space="preserve">Boskell v R </w:t>
      </w:r>
      <w:r w:rsidRPr="008B0FD2">
        <w:t>this Court spoke of the need for the impropriety to have a “material or operative effect” on the defendant’s decision to speak to the police.</w:t>
      </w:r>
    </w:p>
    <w:p w14:paraId="75D7F709" w14:textId="77777777" w:rsidR="009F4F6E" w:rsidRPr="008B0FD2" w:rsidRDefault="009F4F6E" w:rsidP="009F4F6E">
      <w:pPr>
        <w:pStyle w:val="BodyText"/>
      </w:pPr>
      <w:r w:rsidRPr="008B0FD2">
        <w:t>Another often-cited formulation requires a “real and substantial connection” between the breach and the obtaining of the evidence.</w:t>
      </w:r>
      <w:r w:rsidRPr="008B0FD2">
        <w:rPr>
          <w:rStyle w:val="FootnoteReference"/>
        </w:rPr>
        <w:footnoteReference w:id="620"/>
      </w:r>
    </w:p>
    <w:p w14:paraId="792D0495" w14:textId="77777777" w:rsidR="009F4F6E" w:rsidRPr="008B0FD2" w:rsidRDefault="009F4F6E" w:rsidP="009F4F6E">
      <w:pPr>
        <w:pStyle w:val="BodyText"/>
      </w:pPr>
      <w:r w:rsidRPr="008B0FD2">
        <w:t xml:space="preserve">Where a sufficient causal connection is found, the Supreme Court has held that the strength of that causal connection may be taken into account as part of the balancing </w:t>
      </w:r>
      <w:r w:rsidRPr="008B0FD2">
        <w:lastRenderedPageBreak/>
        <w:t>process.</w:t>
      </w:r>
      <w:r w:rsidRPr="008B0FD2">
        <w:rPr>
          <w:rStyle w:val="FootnoteReference"/>
        </w:rPr>
        <w:footnoteReference w:id="621"/>
      </w:r>
      <w:r w:rsidRPr="008B0FD2">
        <w:t xml:space="preserve"> While the point was not expressly addressed, presumably the strength of the causal connection would be considered as an “other matter” under section 30(3).</w:t>
      </w:r>
    </w:p>
    <w:p w14:paraId="4F15D31F" w14:textId="2342E581" w:rsidR="009F4F6E" w:rsidRPr="008B0FD2" w:rsidRDefault="009F4F6E" w:rsidP="009F4F6E">
      <w:pPr>
        <w:pStyle w:val="BodyText"/>
      </w:pPr>
      <w:r w:rsidRPr="008B0FD2">
        <w:t>In some cases, the courts have found a lack of causation in relation to a defendant’s statement made following an impropriety on the basis that the statement would have been made anyway.</w:t>
      </w:r>
      <w:r w:rsidRPr="008B0FD2">
        <w:rPr>
          <w:rStyle w:val="FootnoteReference"/>
        </w:rPr>
        <w:footnoteReference w:id="622"/>
      </w:r>
      <w:r w:rsidRPr="008B0FD2">
        <w:t xml:space="preserve"> This represents a strict approach to causation, where the court considers what would have happened “but for” the impropriety. For example, in </w:t>
      </w:r>
      <w:r w:rsidRPr="008B0FD2">
        <w:rPr>
          <w:i/>
          <w:iCs/>
        </w:rPr>
        <w:t>W</w:t>
      </w:r>
      <w:r w:rsidR="00380C95">
        <w:rPr>
          <w:i/>
          <w:iCs/>
        </w:rPr>
        <w:t xml:space="preserve"> (SC 38/2019)</w:t>
      </w:r>
      <w:r w:rsidRPr="008B0FD2">
        <w:rPr>
          <w:i/>
          <w:iCs/>
        </w:rPr>
        <w:t xml:space="preserve"> v R</w:t>
      </w:r>
      <w:r w:rsidR="007D59FA">
        <w:t>,</w:t>
      </w:r>
      <w:r w:rsidRPr="008B0FD2">
        <w:rPr>
          <w:i/>
          <w:iCs/>
        </w:rPr>
        <w:t xml:space="preserve"> </w:t>
      </w:r>
      <w:r w:rsidRPr="008B0FD2">
        <w:t>the defendant was detained but was not told of the reason for his detention, his right to instruct a lawyer or his right to refrain from making a statement before being questioned.</w:t>
      </w:r>
      <w:r w:rsidRPr="008B0FD2">
        <w:rPr>
          <w:vertAlign w:val="superscript"/>
        </w:rPr>
        <w:footnoteReference w:id="623"/>
      </w:r>
      <w:r w:rsidRPr="008B0FD2">
        <w:t xml:space="preserve"> The majority of the Court of Appeal found that a section 30 analysis was not required because, despite these breaches, the defendant in fact knew why police wanted to question him and made the statement for his own purposes.</w:t>
      </w:r>
      <w:r w:rsidRPr="008B0FD2">
        <w:rPr>
          <w:vertAlign w:val="superscript"/>
        </w:rPr>
        <w:footnoteReference w:id="624"/>
      </w:r>
      <w:r w:rsidRPr="008B0FD2">
        <w:t xml:space="preserve"> Mallon J dissented on the causation point, noting the need for caution in conducting hypothetical assessments that potentially excuse the impropriety.</w:t>
      </w:r>
      <w:r w:rsidRPr="008B0FD2">
        <w:rPr>
          <w:vertAlign w:val="superscript"/>
        </w:rPr>
        <w:footnoteReference w:id="625"/>
      </w:r>
    </w:p>
    <w:p w14:paraId="13512401" w14:textId="710C8FA0" w:rsidR="009F4F6E" w:rsidRPr="008B0FD2" w:rsidRDefault="009F4F6E" w:rsidP="009F4F6E">
      <w:pPr>
        <w:pStyle w:val="BodyText"/>
      </w:pPr>
      <w:r w:rsidRPr="008B0FD2">
        <w:t xml:space="preserve">In other cases, the courts have taken a more generous approach to establishing causation. In </w:t>
      </w:r>
      <w:r w:rsidRPr="008B0FD2">
        <w:rPr>
          <w:i/>
          <w:iCs/>
        </w:rPr>
        <w:t>R v Perry</w:t>
      </w:r>
      <w:r w:rsidR="002C24E0">
        <w:t>,</w:t>
      </w:r>
      <w:r w:rsidRPr="008B0FD2">
        <w:rPr>
          <w:i/>
          <w:iCs/>
        </w:rPr>
        <w:t xml:space="preserve"> </w:t>
      </w:r>
      <w:r w:rsidRPr="008B0FD2">
        <w:t>the majority of the Supreme Court found a defendant’s statement to be improperly obtained and proceeded to the balancing test despite having “distinct reservations whether the associated impropriety can be said to have been causative of the decision made by the respondent to resume the making of his statement to the police”.</w:t>
      </w:r>
      <w:r w:rsidRPr="008B0FD2">
        <w:rPr>
          <w:rStyle w:val="FootnoteReference"/>
        </w:rPr>
        <w:footnoteReference w:id="626"/>
      </w:r>
      <w:r w:rsidRPr="008B0FD2">
        <w:t xml:space="preserve"> On this approach, causation is essentially assumed unless there is clear evidence to the contrary. The emphasis is placed on the balancing test, in which the extent of the causal connection may be taken into account as one relevant factor.</w:t>
      </w:r>
      <w:r w:rsidRPr="008B0FD2">
        <w:rPr>
          <w:rStyle w:val="FootnoteReference"/>
        </w:rPr>
        <w:footnoteReference w:id="627"/>
      </w:r>
    </w:p>
    <w:p w14:paraId="2ADF08BD" w14:textId="77777777" w:rsidR="009F4F6E" w:rsidRPr="008B0FD2" w:rsidRDefault="009F4F6E" w:rsidP="00624770">
      <w:pPr>
        <w:pStyle w:val="Heading3"/>
      </w:pPr>
      <w:r w:rsidRPr="008B0FD2">
        <w:t>Is legislative reform necessary or desirable?</w:t>
      </w:r>
    </w:p>
    <w:p w14:paraId="495F1459" w14:textId="77777777" w:rsidR="009F4F6E" w:rsidRPr="008B0FD2" w:rsidRDefault="009F4F6E" w:rsidP="009F4F6E">
      <w:pPr>
        <w:pStyle w:val="BodyText"/>
      </w:pPr>
      <w:r w:rsidRPr="008B0FD2">
        <w:t>The approach taken to causation has a significant impact on the outcome of section 30 decisions. If the court finds no sufficient causative link between the impropriety and the obtaining of the evidence, then the evidence is not “improperly obtained” and the balancing test is not engaged. The evidence will be admitted without further analysis under section 30, irrespective of the seriousness of the impropriety.</w:t>
      </w:r>
    </w:p>
    <w:p w14:paraId="5F9C846E" w14:textId="3B6D54C2" w:rsidR="009F4F6E" w:rsidRPr="008B0FD2" w:rsidRDefault="009F4F6E" w:rsidP="009F4F6E">
      <w:pPr>
        <w:pStyle w:val="BodyText"/>
      </w:pPr>
      <w:r w:rsidRPr="008B0FD2">
        <w:t>Given the different approaches taken by the courts and the importance of the causation assessment to the outcome in individual cases, we seek submissions on whether it is desirable to clarify the role of causation and</w:t>
      </w:r>
      <w:r w:rsidR="00094A9C">
        <w:t>,</w:t>
      </w:r>
      <w:r w:rsidRPr="008B0FD2">
        <w:t xml:space="preserve"> if so, what approach should be preferred.</w:t>
      </w:r>
    </w:p>
    <w:p w14:paraId="12915198" w14:textId="77777777" w:rsidR="009F4F6E" w:rsidRPr="008B0FD2" w:rsidRDefault="009F4F6E" w:rsidP="009F4F6E">
      <w:pPr>
        <w:pStyle w:val="BodyText"/>
      </w:pPr>
      <w:r w:rsidRPr="008B0FD2">
        <w:t xml:space="preserve">On one view, a generous approach to causation (like that taken by the Supreme Court in </w:t>
      </w:r>
      <w:r w:rsidRPr="008B0FD2">
        <w:rPr>
          <w:i/>
          <w:iCs/>
        </w:rPr>
        <w:t>Perry</w:t>
      </w:r>
      <w:r w:rsidRPr="008B0FD2">
        <w:t>) is appropriate at the threshold stage of determining whether the evidence was improperly obtained.</w:t>
      </w:r>
      <w:r w:rsidRPr="008B0FD2">
        <w:rPr>
          <w:rStyle w:val="FootnoteReference"/>
        </w:rPr>
        <w:footnoteReference w:id="628"/>
      </w:r>
      <w:r w:rsidRPr="008B0FD2">
        <w:t xml:space="preserve"> A stricter approach that considers what would have occurred “but for” the breach requires an assessment that is necessarily speculative. In addition, </w:t>
      </w:r>
      <w:r w:rsidRPr="008B0FD2">
        <w:lastRenderedPageBreak/>
        <w:t xml:space="preserve">rationalising the admission of evidence </w:t>
      </w:r>
      <w:r w:rsidRPr="008B0FD2" w:rsidDel="00C61341">
        <w:t>solely</w:t>
      </w:r>
      <w:r w:rsidRPr="008B0FD2">
        <w:t xml:space="preserve"> on the basis that it would have been obtained anyway may be seen as inconsistent with the policy behind section 30. If evidence is obtained during a sequence of events associated with improper conduct, its admission may detrimentally affect the credibility of the justice system whether or not it might have been obtained anyway. Taking a strict approach to causation at this threshold stage risks disregarding breaches of important rights and procedural protections.</w:t>
      </w:r>
    </w:p>
    <w:p w14:paraId="6BF401B1" w14:textId="77777777" w:rsidR="009F4F6E" w:rsidRPr="008B0FD2" w:rsidRDefault="009F4F6E" w:rsidP="009F4F6E">
      <w:pPr>
        <w:pStyle w:val="BodyText"/>
      </w:pPr>
      <w:r w:rsidRPr="008B0FD2">
        <w:t>If a generous view of causation were adopted at the point of determining whether evidence has been “improperly obtained”, any attenuation of causation could still be taken into account in the balancing test (either as an “other matter” under section 30(3) or as a separate factor, as we discuss below). This would allow the courts to have regard to the fact that the causative link is tenuous when deciding whether to admit the evidence. However, engaging in the balancing test would mean there is a transparent consideration of the overall public interest before admitting evidence obtained in circumstances that may be seen as tainted by improper conduct.</w:t>
      </w:r>
    </w:p>
    <w:p w14:paraId="0AF1DC77" w14:textId="77777777" w:rsidR="009F4F6E" w:rsidRPr="008B0FD2" w:rsidRDefault="009F4F6E" w:rsidP="009F4F6E">
      <w:pPr>
        <w:pStyle w:val="BodyText"/>
      </w:pPr>
      <w:r w:rsidRPr="008B0FD2" w:rsidDel="00647A06">
        <w:t xml:space="preserve">If </w:t>
      </w:r>
      <w:r w:rsidRPr="008B0FD2" w:rsidDel="00077536">
        <w:t>this approach</w:t>
      </w:r>
      <w:r w:rsidRPr="008B0FD2">
        <w:t xml:space="preserve"> is favoured, possible amendments include:</w:t>
      </w:r>
    </w:p>
    <w:p w14:paraId="7BA369C3" w14:textId="77777777" w:rsidR="009F4F6E" w:rsidRPr="008B0FD2" w:rsidRDefault="009F4F6E" w:rsidP="00866891">
      <w:pPr>
        <w:pStyle w:val="BodyTextnonum"/>
        <w:numPr>
          <w:ilvl w:val="3"/>
          <w:numId w:val="28"/>
        </w:numPr>
      </w:pPr>
      <w:r w:rsidRPr="008B0FD2">
        <w:t>amending section 30(5)(a) and (b) to broaden the wording around the required causal link (for example, “in consequence of” could be replaced with “in connection with”); and/or</w:t>
      </w:r>
    </w:p>
    <w:p w14:paraId="471D684F" w14:textId="77777777" w:rsidR="009F4F6E" w:rsidRPr="008B0FD2" w:rsidRDefault="009F4F6E" w:rsidP="00866891">
      <w:pPr>
        <w:pStyle w:val="BodyTextnonum"/>
        <w:numPr>
          <w:ilvl w:val="3"/>
          <w:numId w:val="28"/>
        </w:numPr>
        <w:rPr>
          <w:szCs w:val="20"/>
        </w:rPr>
      </w:pPr>
      <w:r w:rsidRPr="008B0FD2">
        <w:t xml:space="preserve">amending section 30(3) to provide that the extent of the causative connection between the impropriety and the obtaining of the evidence is a relevant factor in the balancing test (consistently with the Supreme Court decision in </w:t>
      </w:r>
      <w:r w:rsidRPr="008B0FD2">
        <w:rPr>
          <w:i/>
          <w:iCs/>
        </w:rPr>
        <w:t>Chetty</w:t>
      </w:r>
      <w:r>
        <w:t>).</w:t>
      </w:r>
      <w:r w:rsidRPr="008B0FD2">
        <w:rPr>
          <w:rStyle w:val="FootnoteReference"/>
        </w:rPr>
        <w:footnoteReference w:id="629"/>
      </w:r>
    </w:p>
    <w:p w14:paraId="4E376BF3" w14:textId="24318883" w:rsidR="009F4F6E" w:rsidRPr="008B0FD2" w:rsidRDefault="009F4F6E" w:rsidP="009F4F6E">
      <w:pPr>
        <w:pStyle w:val="BodyText"/>
      </w:pPr>
      <w:r w:rsidRPr="008B0FD2">
        <w:t>Alternatively, the current wording could be retained if it is considered desirable for the courts to tailor their approach to causation to the particular case. It is arguable, for example, that a generous approach to causation is more appropriate in relation to defendants’ statements (given the danger of speculating about what a defendant may have done but for the breach). A stricter approach to causation may be considered desirable where physical evidence is involved to avoid unnecessary use of court time.</w:t>
      </w:r>
      <w:r w:rsidRPr="008B0FD2" w:rsidDel="0083725E">
        <w:t xml:space="preserve"> </w:t>
      </w:r>
      <w:r w:rsidRPr="008B0FD2">
        <w:t>The current approach of the courts allows different approaches to causation in different circumstances.</w:t>
      </w:r>
    </w:p>
    <w:p w14:paraId="33D18C9A" w14:textId="64F2EEAF" w:rsidR="00223251" w:rsidRDefault="00223251" w:rsidP="00223251">
      <w:pPr>
        <w:pStyle w:val="QuestionBox"/>
      </w:pPr>
      <w:r>
        <w:rPr>
          <w:noProof/>
        </w:rPr>
        <mc:AlternateContent>
          <mc:Choice Requires="wpg">
            <w:drawing>
              <wp:anchor distT="0" distB="0" distL="114300" distR="114300" simplePos="0" relativeHeight="251658312" behindDoc="1" locked="0" layoutInCell="1" allowOverlap="1" wp14:anchorId="56BBA73C" wp14:editId="04E9FAD3">
                <wp:simplePos x="0" y="0"/>
                <wp:positionH relativeFrom="column">
                  <wp:posOffset>0</wp:posOffset>
                </wp:positionH>
                <wp:positionV relativeFrom="paragraph">
                  <wp:posOffset>0</wp:posOffset>
                </wp:positionV>
                <wp:extent cx="5760085" cy="1076172"/>
                <wp:effectExtent l="0" t="0" r="0" b="0"/>
                <wp:wrapNone/>
                <wp:docPr id="1023427296" name="Group 1023427296" descr="Question"/>
                <wp:cNvGraphicFramePr/>
                <a:graphic xmlns:a="http://schemas.openxmlformats.org/drawingml/2006/main">
                  <a:graphicData uri="http://schemas.microsoft.com/office/word/2010/wordprocessingGroup">
                    <wpg:wgp>
                      <wpg:cNvGrpSpPr/>
                      <wpg:grpSpPr>
                        <a:xfrm>
                          <a:off x="0" y="0"/>
                          <a:ext cx="5760085" cy="1076172"/>
                          <a:chOff x="0" y="62865"/>
                          <a:chExt cx="5760085" cy="1076416"/>
                        </a:xfrm>
                      </wpg:grpSpPr>
                      <wps:wsp>
                        <wps:cNvPr id="92343351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01A9B8" w14:textId="77777777" w:rsidR="00223251" w:rsidRDefault="00223251" w:rsidP="00223251">
                              <w:pPr>
                                <w:pStyle w:val="BoxTitle"/>
                                <w:spacing w:before="0" w:beforeAutospacing="0"/>
                              </w:pPr>
                              <w:r w:rsidRPr="007F6876">
                                <w:t>QUESTION</w:t>
                              </w:r>
                            </w:p>
                          </w:txbxContent>
                        </wps:txbx>
                        <wps:bodyPr rot="0" vert="horz" wrap="square" lIns="91440" tIns="0" rIns="0" bIns="45720" anchor="ctr" anchorCtr="0" upright="1">
                          <a:noAutofit/>
                        </wps:bodyPr>
                      </wps:wsp>
                      <wpg:grpSp>
                        <wpg:cNvPr id="847653300" name="Group 53"/>
                        <wpg:cNvGrpSpPr>
                          <a:grpSpLocks/>
                        </wpg:cNvGrpSpPr>
                        <wpg:grpSpPr bwMode="auto">
                          <a:xfrm>
                            <a:off x="0" y="315707"/>
                            <a:ext cx="5760085" cy="823574"/>
                            <a:chOff x="1837" y="1786"/>
                            <a:chExt cx="9302" cy="8896"/>
                          </a:xfrm>
                        </wpg:grpSpPr>
                        <wps:wsp>
                          <wps:cNvPr id="267235683" name="Freeform 54"/>
                          <wps:cNvSpPr>
                            <a:spLocks/>
                          </wps:cNvSpPr>
                          <wps:spPr bwMode="auto">
                            <a:xfrm>
                              <a:off x="1837" y="1786"/>
                              <a:ext cx="9302" cy="889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323926" name="Group 1269323926"/>
                        <wpg:cNvGrpSpPr/>
                        <wpg:grpSpPr>
                          <a:xfrm>
                            <a:off x="0" y="494036"/>
                            <a:ext cx="1443794" cy="252000"/>
                            <a:chOff x="-15880" y="0"/>
                            <a:chExt cx="1444379" cy="252068"/>
                          </a:xfrm>
                        </wpg:grpSpPr>
                        <wps:wsp>
                          <wps:cNvPr id="153066970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79127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99A340" w14:textId="77777777" w:rsidR="00223251" w:rsidRPr="00E90B8A" w:rsidRDefault="00223251" w:rsidP="00223251">
                                <w:pPr>
                                  <w:pStyle w:val="BoxTitle"/>
                                  <w:spacing w:before="0" w:beforeAutospacing="0"/>
                                  <w:rPr>
                                    <w:sz w:val="18"/>
                                    <w:szCs w:val="18"/>
                                  </w:rPr>
                                </w:pPr>
                                <w:r w:rsidRPr="00E90B8A">
                                  <w:rPr>
                                    <w:sz w:val="18"/>
                                    <w:szCs w:val="18"/>
                                  </w:rPr>
                                  <w:t>Q</w:t>
                                </w:r>
                                <w:r>
                                  <w:rPr>
                                    <w:sz w:val="18"/>
                                    <w:szCs w:val="18"/>
                                  </w:rPr>
                                  <w:t>36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6BBA73C" id="Group 1023427296" o:spid="_x0000_s1264" alt="Question" style="position:absolute;left:0;text-align:left;margin-left:0;margin-top:0;width:453.55pt;height:84.75pt;z-index:-251658168;mso-height-relative:margin" coordorigin=",628" coordsize="57600,1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">
                <v:shape id="Freeform 52" o:spid="_x0000_s126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601A9B8" w14:textId="77777777" w:rsidR="00223251" w:rsidRDefault="00223251" w:rsidP="00223251">
                        <w:pPr>
                          <w:pStyle w:val="BoxTitle"/>
                          <w:spacing w:before="0" w:beforeAutospacing="0"/>
                        </w:pPr>
                        <w:r w:rsidRPr="007F6876">
                          <w:t>QUESTION</w:t>
                        </w:r>
                      </w:p>
                    </w:txbxContent>
                  </v:textbox>
                </v:shape>
                <v:group id="Group 53" o:spid="_x0000_s1266" style="position:absolute;top:3157;width:57600;height:8235" coordorigin="1837,1786" coordsize="9302,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">
                  <v:shape id="Freeform 54" o:spid="_x0000_s1267" style="position:absolute;left:1837;top:1786;width:9302;height:889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" path="m,l9354,r,7809l,7809,,e" fillcolor="#edf2ea" stroked="f">
                    <v:path arrowok="t" o:connecttype="custom" o:connectlocs="0,1139;9302,1139;9302,10035;0,10035;0,1139" o:connectangles="0,0,0,0,0"/>
                  </v:shape>
                </v:group>
                <v:group id="Group 1269323926" o:spid="_x0000_s126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">
                  <v:shape id="Freeform 58" o:spid="_x0000_s126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" path="m,l1815,e" filled="f" strokecolor="#72ab6a" strokeweight=".5pt">
                    <v:path arrowok="t" o:connecttype="custom" o:connectlocs="0,0;1073495,0" o:connectangles="0,0"/>
                  </v:shape>
                  <v:shape id="Freeform 66" o:spid="_x0000_s127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E99A340" w14:textId="77777777" w:rsidR="00223251" w:rsidRPr="00E90B8A" w:rsidRDefault="00223251" w:rsidP="00223251">
                          <w:pPr>
                            <w:pStyle w:val="BoxTitle"/>
                            <w:spacing w:before="0" w:beforeAutospacing="0"/>
                            <w:rPr>
                              <w:sz w:val="18"/>
                              <w:szCs w:val="18"/>
                            </w:rPr>
                          </w:pPr>
                          <w:r w:rsidRPr="00E90B8A">
                            <w:rPr>
                              <w:sz w:val="18"/>
                              <w:szCs w:val="18"/>
                            </w:rPr>
                            <w:t>Q</w:t>
                          </w:r>
                          <w:r>
                            <w:rPr>
                              <w:sz w:val="18"/>
                              <w:szCs w:val="18"/>
                            </w:rPr>
                            <w:t>36</w:t>
                          </w:r>
                        </w:p>
                      </w:txbxContent>
                    </v:textbox>
                  </v:shape>
                </v:group>
              </v:group>
            </w:pict>
          </mc:Fallback>
        </mc:AlternateContent>
      </w:r>
    </w:p>
    <w:p w14:paraId="20B40A73" w14:textId="77777777" w:rsidR="00223251" w:rsidRDefault="00223251" w:rsidP="00223251">
      <w:pPr>
        <w:pStyle w:val="QuestionBox"/>
      </w:pPr>
    </w:p>
    <w:p w14:paraId="3F352D88" w14:textId="090BB1E3" w:rsidR="009F4F6E" w:rsidRDefault="009F4F6E" w:rsidP="00223251">
      <w:pPr>
        <w:pStyle w:val="QuestionBox"/>
      </w:pPr>
      <w:r w:rsidRPr="008B0FD2">
        <w:t xml:space="preserve">Are any amendments to section 30 necessary or desirable to clarify the approach to causation? </w:t>
      </w:r>
    </w:p>
    <w:p w14:paraId="4AD35610" w14:textId="77777777" w:rsidR="00223251" w:rsidRPr="008B0FD2" w:rsidRDefault="00223251" w:rsidP="00223251">
      <w:pPr>
        <w:pStyle w:val="QuestionBox"/>
      </w:pPr>
    </w:p>
    <w:p w14:paraId="06915893" w14:textId="77777777" w:rsidR="00971DAA" w:rsidRDefault="00971DAA">
      <w:pPr>
        <w:widowControl w:val="0"/>
        <w:spacing w:after="200" w:line="276" w:lineRule="auto"/>
        <w:rPr>
          <w:rFonts w:ascii="Metropolis" w:eastAsia="Times New Roman" w:hAnsi="Metropolis" w:cs="Times New Roman"/>
          <w:b/>
          <w:caps/>
          <w:color w:val="73AB6E"/>
          <w:szCs w:val="24"/>
          <w:lang w:eastAsia="en-AU"/>
        </w:rPr>
      </w:pPr>
      <w:bookmarkStart w:id="125" w:name="_Toc131003074"/>
      <w:bookmarkStart w:id="126" w:name="_Toc132962573"/>
      <w:r>
        <w:br w:type="page"/>
      </w:r>
    </w:p>
    <w:p w14:paraId="76209597" w14:textId="6C2FF330" w:rsidR="009F4F6E" w:rsidRPr="008B0FD2" w:rsidRDefault="009F4F6E" w:rsidP="00624770">
      <w:pPr>
        <w:pStyle w:val="Heading2"/>
      </w:pPr>
      <w:r w:rsidRPr="008B0FD2">
        <w:lastRenderedPageBreak/>
        <w:t>Appendix – a model provision</w:t>
      </w:r>
      <w:bookmarkEnd w:id="125"/>
      <w:bookmarkEnd w:id="126"/>
    </w:p>
    <w:p w14:paraId="5B17C43B" w14:textId="2FC009CE" w:rsidR="009F4F6E" w:rsidRPr="008B0FD2" w:rsidRDefault="009F4F6E" w:rsidP="009F4F6E">
      <w:pPr>
        <w:pStyle w:val="BodyText"/>
      </w:pPr>
      <w:r w:rsidRPr="008B0FD2">
        <w:t>Most of the issues discussed in this chapter relate to the application of the section 30 balancing test. To facilitate feedback on our options for reform, we set out below a model provision illustrating how some of these options could be incorporated. This model provision is not intended to indicate our preference for a particular approach. It does not address all the options discussed in this chapter (where there is more than one) nor the issue of causation.</w:t>
      </w:r>
    </w:p>
    <w:p w14:paraId="39CFE75F" w14:textId="77777777" w:rsidR="009F4F6E" w:rsidRPr="008B0FD2" w:rsidRDefault="009F4F6E" w:rsidP="009F4F6E">
      <w:pPr>
        <w:pStyle w:val="BodyText"/>
      </w:pPr>
      <w:r w:rsidRPr="008B0FD2">
        <w:t xml:space="preserve">The model provision includes subsections that could replace the current subsections 30(1)—30(3). Some existing provisions that we do not propose changing are included for context, with optional new text shown in italics. </w:t>
      </w:r>
    </w:p>
    <w:tbl>
      <w:tblPr>
        <w:tblStyle w:val="TableGrid"/>
        <w:tblW w:w="8363" w:type="dxa"/>
        <w:tblInd w:w="709" w:type="dxa"/>
        <w:shd w:val="clear" w:color="auto" w:fill="EDF2EA"/>
        <w:tblLook w:val="04A0" w:firstRow="1" w:lastRow="0" w:firstColumn="1" w:lastColumn="0" w:noHBand="0" w:noVBand="1"/>
      </w:tblPr>
      <w:tblGrid>
        <w:gridCol w:w="8363"/>
      </w:tblGrid>
      <w:tr w:rsidR="00223251" w14:paraId="49A0AE42" w14:textId="77777777" w:rsidTr="00A95E2B">
        <w:tc>
          <w:tcPr>
            <w:tcW w:w="8363" w:type="dxa"/>
            <w:tcBorders>
              <w:top w:val="nil"/>
              <w:left w:val="nil"/>
              <w:bottom w:val="nil"/>
              <w:right w:val="nil"/>
            </w:tcBorders>
            <w:shd w:val="clear" w:color="auto" w:fill="EDF2EA"/>
          </w:tcPr>
          <w:p w14:paraId="3449FC49" w14:textId="55CCEC17" w:rsidR="00223251" w:rsidRPr="008B0FD2" w:rsidRDefault="00223251" w:rsidP="00866891">
            <w:pPr>
              <w:pStyle w:val="R1RecommendationText"/>
              <w:numPr>
                <w:ilvl w:val="1"/>
                <w:numId w:val="65"/>
              </w:numPr>
              <w:pBdr>
                <w:top w:val="none" w:sz="0" w:space="0" w:color="auto"/>
                <w:left w:val="none" w:sz="0" w:space="0" w:color="auto"/>
                <w:bottom w:val="none" w:sz="0" w:space="0" w:color="auto"/>
                <w:right w:val="none" w:sz="0" w:space="0" w:color="auto"/>
              </w:pBdr>
              <w:shd w:val="clear" w:color="auto" w:fill="auto"/>
              <w:spacing w:before="240" w:after="120"/>
              <w:ind w:left="595" w:right="113" w:hanging="425"/>
              <w:rPr>
                <w:i/>
                <w:iCs/>
              </w:rPr>
            </w:pPr>
            <w:r w:rsidRPr="008B0FD2">
              <w:rPr>
                <w:i/>
                <w:iCs/>
              </w:rPr>
              <w:t>The purpose of this section is to maintain an effective and credible system of justice.</w:t>
            </w:r>
          </w:p>
          <w:p w14:paraId="15603BFD" w14:textId="28C59673" w:rsidR="00223251" w:rsidRPr="008B0FD2" w:rsidRDefault="00223251" w:rsidP="00866891">
            <w:pPr>
              <w:pStyle w:val="R1RecommendationText"/>
              <w:numPr>
                <w:ilvl w:val="1"/>
                <w:numId w:val="65"/>
              </w:numPr>
              <w:pBdr>
                <w:top w:val="none" w:sz="0" w:space="0" w:color="auto"/>
                <w:left w:val="none" w:sz="0" w:space="0" w:color="auto"/>
                <w:bottom w:val="none" w:sz="0" w:space="0" w:color="auto"/>
                <w:right w:val="none" w:sz="0" w:space="0" w:color="auto"/>
              </w:pBdr>
              <w:shd w:val="clear" w:color="auto" w:fill="auto"/>
              <w:spacing w:after="120"/>
              <w:ind w:left="595" w:right="113" w:hanging="425"/>
            </w:pPr>
            <w:r w:rsidRPr="008B0FD2">
              <w:t>This section applies to a criminal proceeding in which the prosecution offers or proposes to offer evidence if—</w:t>
            </w:r>
          </w:p>
          <w:p w14:paraId="27EA069E" w14:textId="42BBDE17" w:rsidR="00223251" w:rsidRPr="008B0FD2" w:rsidRDefault="00223251" w:rsidP="00866891">
            <w:pPr>
              <w:pStyle w:val="R1RecommendationText"/>
              <w:numPr>
                <w:ilvl w:val="3"/>
                <w:numId w:val="64"/>
              </w:numPr>
              <w:pBdr>
                <w:top w:val="none" w:sz="0" w:space="0" w:color="auto"/>
                <w:left w:val="none" w:sz="0" w:space="0" w:color="auto"/>
                <w:bottom w:val="none" w:sz="0" w:space="0" w:color="auto"/>
                <w:right w:val="none" w:sz="0" w:space="0" w:color="auto"/>
              </w:pBdr>
              <w:shd w:val="clear" w:color="auto" w:fill="auto"/>
              <w:spacing w:after="120"/>
              <w:ind w:left="992" w:right="113" w:hanging="425"/>
            </w:pPr>
            <w:r w:rsidRPr="008B0FD2">
              <w:t>the defendant or, if applicable, a co-defendant against whom the evidence is offered raises, on the basis of an evidential foundation, the issue of whether the evidence was improperly obtained and informs the prosecution of the grounds for raising the issue; or</w:t>
            </w:r>
          </w:p>
          <w:p w14:paraId="580CAD98" w14:textId="1586FBA6" w:rsidR="00223251" w:rsidRPr="008B0FD2" w:rsidRDefault="00223251" w:rsidP="00866891">
            <w:pPr>
              <w:pStyle w:val="R1RecommendationText"/>
              <w:numPr>
                <w:ilvl w:val="3"/>
                <w:numId w:val="64"/>
              </w:numPr>
              <w:pBdr>
                <w:top w:val="none" w:sz="0" w:space="0" w:color="auto"/>
                <w:left w:val="none" w:sz="0" w:space="0" w:color="auto"/>
                <w:bottom w:val="none" w:sz="0" w:space="0" w:color="auto"/>
                <w:right w:val="none" w:sz="0" w:space="0" w:color="auto"/>
              </w:pBdr>
              <w:shd w:val="clear" w:color="auto" w:fill="auto"/>
              <w:spacing w:after="120"/>
              <w:ind w:left="992" w:right="113" w:hanging="425"/>
            </w:pPr>
            <w:r w:rsidRPr="008B0FD2">
              <w:t xml:space="preserve">the </w:t>
            </w:r>
            <w:r>
              <w:t>j</w:t>
            </w:r>
            <w:r w:rsidRPr="008B0FD2">
              <w:t>udge raises the issue of whether the evidence was improperly obtained and informs the prosecution of the grounds for raising the issue.</w:t>
            </w:r>
          </w:p>
          <w:p w14:paraId="796C8405" w14:textId="192FB915" w:rsidR="00223251" w:rsidRPr="008B0FD2" w:rsidRDefault="00223251" w:rsidP="00866891">
            <w:pPr>
              <w:pStyle w:val="R1RecommendationText"/>
              <w:numPr>
                <w:ilvl w:val="1"/>
                <w:numId w:val="65"/>
              </w:numPr>
              <w:pBdr>
                <w:top w:val="none" w:sz="0" w:space="0" w:color="auto"/>
                <w:left w:val="none" w:sz="0" w:space="0" w:color="auto"/>
                <w:bottom w:val="none" w:sz="0" w:space="0" w:color="auto"/>
                <w:right w:val="none" w:sz="0" w:space="0" w:color="auto"/>
              </w:pBdr>
              <w:shd w:val="clear" w:color="auto" w:fill="auto"/>
              <w:spacing w:after="120"/>
              <w:ind w:left="595" w:right="113" w:hanging="425"/>
            </w:pPr>
            <w:r w:rsidRPr="008B0FD2">
              <w:t>The judge must—</w:t>
            </w:r>
          </w:p>
          <w:p w14:paraId="5311B1EB" w14:textId="2A66F92B" w:rsidR="00223251" w:rsidRPr="008B0FD2" w:rsidRDefault="00223251" w:rsidP="00866891">
            <w:pPr>
              <w:pStyle w:val="R1RecommendationText"/>
              <w:numPr>
                <w:ilvl w:val="0"/>
                <w:numId w:val="66"/>
              </w:numPr>
              <w:pBdr>
                <w:top w:val="none" w:sz="0" w:space="0" w:color="auto"/>
                <w:left w:val="none" w:sz="0" w:space="0" w:color="auto"/>
                <w:bottom w:val="none" w:sz="0" w:space="0" w:color="auto"/>
                <w:right w:val="none" w:sz="0" w:space="0" w:color="auto"/>
              </w:pBdr>
              <w:shd w:val="clear" w:color="auto" w:fill="auto"/>
              <w:spacing w:after="120"/>
              <w:ind w:left="1028" w:right="113" w:hanging="425"/>
            </w:pPr>
            <w:r w:rsidRPr="008B0FD2">
              <w:t>find, on the balance of probabilities, whether or not the evidence was improperly obtained; and</w:t>
            </w:r>
          </w:p>
          <w:p w14:paraId="68E3792F" w14:textId="464F704B" w:rsidR="00223251" w:rsidRPr="008B0FD2" w:rsidRDefault="00223251" w:rsidP="00866891">
            <w:pPr>
              <w:pStyle w:val="R1RecommendationText"/>
              <w:numPr>
                <w:ilvl w:val="0"/>
                <w:numId w:val="66"/>
              </w:numPr>
              <w:pBdr>
                <w:top w:val="none" w:sz="0" w:space="0" w:color="auto"/>
                <w:left w:val="none" w:sz="0" w:space="0" w:color="auto"/>
                <w:bottom w:val="none" w:sz="0" w:space="0" w:color="auto"/>
                <w:right w:val="none" w:sz="0" w:space="0" w:color="auto"/>
              </w:pBdr>
              <w:shd w:val="clear" w:color="auto" w:fill="auto"/>
              <w:spacing w:after="120"/>
              <w:ind w:left="1028" w:right="113" w:hanging="425"/>
              <w:rPr>
                <w:b/>
                <w:bCs/>
              </w:rPr>
            </w:pPr>
            <w:r w:rsidRPr="008B0FD2">
              <w:t xml:space="preserve">if the </w:t>
            </w:r>
            <w:r>
              <w:t>j</w:t>
            </w:r>
            <w:r w:rsidRPr="008B0FD2">
              <w:t>udge finds that the evidence has been improperly obtained,</w:t>
            </w:r>
          </w:p>
          <w:p w14:paraId="79ACE0BB" w14:textId="77777777" w:rsidR="00223251" w:rsidRPr="008B0FD2" w:rsidRDefault="00223251" w:rsidP="0001180E">
            <w:pPr>
              <w:pStyle w:val="R1RecommendationText"/>
              <w:numPr>
                <w:ilvl w:val="0"/>
                <w:numId w:val="0"/>
              </w:numPr>
              <w:pBdr>
                <w:top w:val="none" w:sz="0" w:space="0" w:color="auto"/>
                <w:left w:val="none" w:sz="0" w:space="0" w:color="auto"/>
                <w:bottom w:val="none" w:sz="0" w:space="0" w:color="auto"/>
                <w:right w:val="none" w:sz="0" w:space="0" w:color="auto"/>
              </w:pBdr>
              <w:shd w:val="clear" w:color="auto" w:fill="auto"/>
              <w:spacing w:after="120"/>
              <w:ind w:left="113" w:right="113"/>
              <w:rPr>
                <w:b/>
                <w:bCs/>
                <w:i/>
                <w:iCs/>
              </w:rPr>
            </w:pPr>
            <w:r w:rsidRPr="008B0FD2">
              <w:rPr>
                <w:b/>
                <w:bCs/>
                <w:i/>
                <w:iCs/>
              </w:rPr>
              <w:t xml:space="preserve">EITHER </w:t>
            </w:r>
          </w:p>
          <w:p w14:paraId="78364BE8" w14:textId="26EF975F" w:rsidR="00223251" w:rsidRPr="008B0FD2" w:rsidRDefault="00223251" w:rsidP="0001180E">
            <w:pPr>
              <w:pStyle w:val="R1RecommendationText"/>
              <w:numPr>
                <w:ilvl w:val="0"/>
                <w:numId w:val="0"/>
              </w:numPr>
              <w:pBdr>
                <w:top w:val="none" w:sz="0" w:space="0" w:color="auto"/>
                <w:left w:val="none" w:sz="0" w:space="0" w:color="auto"/>
                <w:bottom w:val="none" w:sz="0" w:space="0" w:color="auto"/>
                <w:right w:val="none" w:sz="0" w:space="0" w:color="auto"/>
              </w:pBdr>
              <w:shd w:val="clear" w:color="auto" w:fill="auto"/>
              <w:spacing w:after="120"/>
              <w:ind w:left="113" w:right="113"/>
              <w:rPr>
                <w:i/>
                <w:iCs/>
              </w:rPr>
            </w:pPr>
            <w:r w:rsidRPr="008B0FD2">
              <w:rPr>
                <w:i/>
                <w:iCs/>
              </w:rPr>
              <w:t>determine whether exclusion is proportionate to the impropriety by balancing the public interest in recognising the seriousness of the impropriety against the public interest in having the evidence considered by the fact-finder at trial.</w:t>
            </w:r>
          </w:p>
          <w:p w14:paraId="560B0BBA" w14:textId="77777777" w:rsidR="00223251" w:rsidRPr="008B0FD2" w:rsidRDefault="00223251" w:rsidP="0001180E">
            <w:pPr>
              <w:pStyle w:val="R1RecommendationText"/>
              <w:numPr>
                <w:ilvl w:val="0"/>
                <w:numId w:val="0"/>
              </w:numPr>
              <w:pBdr>
                <w:top w:val="none" w:sz="0" w:space="0" w:color="auto"/>
                <w:left w:val="none" w:sz="0" w:space="0" w:color="auto"/>
                <w:bottom w:val="none" w:sz="0" w:space="0" w:color="auto"/>
                <w:right w:val="none" w:sz="0" w:space="0" w:color="auto"/>
              </w:pBdr>
              <w:shd w:val="clear" w:color="auto" w:fill="auto"/>
              <w:spacing w:after="120"/>
              <w:ind w:left="113" w:right="113"/>
              <w:rPr>
                <w:b/>
                <w:bCs/>
                <w:i/>
                <w:iCs/>
              </w:rPr>
            </w:pPr>
            <w:r w:rsidRPr="008B0FD2">
              <w:rPr>
                <w:b/>
                <w:bCs/>
                <w:i/>
                <w:iCs/>
              </w:rPr>
              <w:t>OR (if an onus is placed on the prosecution)</w:t>
            </w:r>
          </w:p>
          <w:p w14:paraId="00CDAF92" w14:textId="508ED27B" w:rsidR="00223251" w:rsidRPr="008B0FD2" w:rsidRDefault="00223251" w:rsidP="0001180E">
            <w:pPr>
              <w:pStyle w:val="R1RecommendationText"/>
              <w:numPr>
                <w:ilvl w:val="0"/>
                <w:numId w:val="0"/>
              </w:numPr>
              <w:pBdr>
                <w:top w:val="none" w:sz="0" w:space="0" w:color="auto"/>
                <w:left w:val="none" w:sz="0" w:space="0" w:color="auto"/>
                <w:bottom w:val="none" w:sz="0" w:space="0" w:color="auto"/>
                <w:right w:val="none" w:sz="0" w:space="0" w:color="auto"/>
              </w:pBdr>
              <w:shd w:val="clear" w:color="auto" w:fill="auto"/>
              <w:spacing w:after="120"/>
              <w:ind w:left="113" w:right="113"/>
              <w:rPr>
                <w:i/>
                <w:iCs/>
              </w:rPr>
            </w:pPr>
            <w:r w:rsidRPr="008B0FD2">
              <w:rPr>
                <w:i/>
                <w:iCs/>
              </w:rPr>
              <w:t>exclude the evidence unless satisfied that the public interest in having the evidence considered by the fact-finder at trial outweighs the public interest in recognising the seriousness of the impropriety.</w:t>
            </w:r>
          </w:p>
          <w:p w14:paraId="6DD53513" w14:textId="08902C1E" w:rsidR="00223251" w:rsidRPr="008B0FD2" w:rsidRDefault="00223251" w:rsidP="00866891">
            <w:pPr>
              <w:pStyle w:val="R1RecommendationText"/>
              <w:numPr>
                <w:ilvl w:val="0"/>
                <w:numId w:val="67"/>
              </w:numPr>
              <w:pBdr>
                <w:top w:val="none" w:sz="0" w:space="0" w:color="auto"/>
                <w:left w:val="none" w:sz="0" w:space="0" w:color="auto"/>
                <w:bottom w:val="none" w:sz="0" w:space="0" w:color="auto"/>
                <w:right w:val="none" w:sz="0" w:space="0" w:color="auto"/>
              </w:pBdr>
              <w:shd w:val="clear" w:color="auto" w:fill="auto"/>
              <w:spacing w:after="120"/>
              <w:ind w:left="604" w:right="113" w:hanging="425"/>
              <w:rPr>
                <w:b/>
                <w:bCs/>
                <w:i/>
                <w:iCs/>
              </w:rPr>
            </w:pPr>
            <w:r w:rsidRPr="00971DAA">
              <w:rPr>
                <w:i/>
                <w:iCs/>
              </w:rPr>
              <w:t xml:space="preserve">For the purposes of subsection (2), when assessing the public interest in </w:t>
            </w:r>
            <w:r w:rsidRPr="008B0FD2">
              <w:rPr>
                <w:i/>
                <w:iCs/>
              </w:rPr>
              <w:t xml:space="preserve">recognising the seriousness of the impropriety, the court may, among any other matters, have regard to the following factors: </w:t>
            </w:r>
          </w:p>
          <w:p w14:paraId="27620D38" w14:textId="62226E03" w:rsidR="00223251" w:rsidRPr="008B0FD2" w:rsidRDefault="00223251" w:rsidP="00866891">
            <w:pPr>
              <w:pStyle w:val="R1RecommendationText"/>
              <w:numPr>
                <w:ilvl w:val="0"/>
                <w:numId w:val="68"/>
              </w:numPr>
              <w:pBdr>
                <w:top w:val="none" w:sz="0" w:space="0" w:color="auto"/>
                <w:left w:val="none" w:sz="0" w:space="0" w:color="auto"/>
                <w:bottom w:val="none" w:sz="0" w:space="0" w:color="auto"/>
                <w:right w:val="none" w:sz="0" w:space="0" w:color="auto"/>
              </w:pBdr>
              <w:shd w:val="clear" w:color="auto" w:fill="auto"/>
              <w:spacing w:after="120"/>
              <w:ind w:left="1030" w:right="113" w:hanging="426"/>
              <w:rPr>
                <w:i/>
                <w:iCs/>
              </w:rPr>
            </w:pPr>
            <w:r w:rsidRPr="008B0FD2">
              <w:rPr>
                <w:i/>
                <w:iCs/>
              </w:rPr>
              <w:t>the importance of any right, statutory requirement, rule of law or procedural protection breached and the extent of that breach;</w:t>
            </w:r>
          </w:p>
          <w:p w14:paraId="77A1F156" w14:textId="7AA2C5BA" w:rsidR="00223251" w:rsidRPr="008B0FD2" w:rsidRDefault="00223251" w:rsidP="00866891">
            <w:pPr>
              <w:pStyle w:val="R1RecommendationText"/>
              <w:numPr>
                <w:ilvl w:val="0"/>
                <w:numId w:val="68"/>
              </w:numPr>
              <w:pBdr>
                <w:top w:val="none" w:sz="0" w:space="0" w:color="auto"/>
                <w:left w:val="none" w:sz="0" w:space="0" w:color="auto"/>
                <w:bottom w:val="none" w:sz="0" w:space="0" w:color="auto"/>
                <w:right w:val="none" w:sz="0" w:space="0" w:color="auto"/>
              </w:pBdr>
              <w:shd w:val="clear" w:color="auto" w:fill="auto"/>
              <w:spacing w:after="120"/>
              <w:ind w:left="1028" w:right="113" w:hanging="425"/>
              <w:rPr>
                <w:i/>
                <w:iCs/>
              </w:rPr>
            </w:pPr>
            <w:r w:rsidRPr="008B0FD2">
              <w:rPr>
                <w:i/>
                <w:iCs/>
              </w:rPr>
              <w:t xml:space="preserve">the extent to which the investigatory techniques used were known, or ought to have been known, to be improper; </w:t>
            </w:r>
          </w:p>
          <w:p w14:paraId="1AB461D6" w14:textId="618F4E65" w:rsidR="00223251" w:rsidRPr="008B0FD2" w:rsidRDefault="00223251" w:rsidP="00866891">
            <w:pPr>
              <w:pStyle w:val="R1RecommendationText"/>
              <w:numPr>
                <w:ilvl w:val="0"/>
                <w:numId w:val="68"/>
              </w:numPr>
              <w:pBdr>
                <w:top w:val="none" w:sz="0" w:space="0" w:color="auto"/>
                <w:left w:val="none" w:sz="0" w:space="0" w:color="auto"/>
                <w:bottom w:val="none" w:sz="0" w:space="0" w:color="auto"/>
                <w:right w:val="none" w:sz="0" w:space="0" w:color="auto"/>
              </w:pBdr>
              <w:shd w:val="clear" w:color="auto" w:fill="auto"/>
              <w:spacing w:after="120"/>
              <w:ind w:left="1028" w:right="113" w:hanging="425"/>
              <w:rPr>
                <w:i/>
                <w:iCs/>
                <w:lang w:val="en-GB"/>
              </w:rPr>
            </w:pPr>
            <w:r w:rsidRPr="00971DAA">
              <w:lastRenderedPageBreak/>
              <w:t>the</w:t>
            </w:r>
            <w:r w:rsidRPr="008B0FD2">
              <w:rPr>
                <w:i/>
                <w:iCs/>
              </w:rPr>
              <w:t xml:space="preserve"> risk that the investigatory </w:t>
            </w:r>
            <w:r w:rsidRPr="008B0FD2">
              <w:rPr>
                <w:i/>
                <w:iCs/>
                <w:lang w:val="en-GB"/>
              </w:rPr>
              <w:t xml:space="preserve">techniques </w:t>
            </w:r>
            <w:r w:rsidRPr="008B0FD2">
              <w:rPr>
                <w:i/>
                <w:iCs/>
              </w:rPr>
              <w:t xml:space="preserve">used </w:t>
            </w:r>
            <w:r w:rsidRPr="008B0FD2">
              <w:rPr>
                <w:i/>
                <w:iCs/>
                <w:lang w:val="en-GB"/>
              </w:rPr>
              <w:t>would produce unreliable evidence;</w:t>
            </w:r>
          </w:p>
          <w:p w14:paraId="151A104F" w14:textId="5D48AB3D" w:rsidR="00223251" w:rsidRPr="008B0FD2" w:rsidRDefault="00223251" w:rsidP="00866891">
            <w:pPr>
              <w:pStyle w:val="R1RecommendationText"/>
              <w:numPr>
                <w:ilvl w:val="0"/>
                <w:numId w:val="68"/>
              </w:numPr>
              <w:pBdr>
                <w:top w:val="none" w:sz="0" w:space="0" w:color="auto"/>
                <w:left w:val="none" w:sz="0" w:space="0" w:color="auto"/>
                <w:bottom w:val="none" w:sz="0" w:space="0" w:color="auto"/>
                <w:right w:val="none" w:sz="0" w:space="0" w:color="auto"/>
              </w:pBdr>
              <w:shd w:val="clear" w:color="auto" w:fill="auto"/>
              <w:spacing w:after="120"/>
              <w:ind w:left="1028" w:right="113" w:hanging="425"/>
              <w:rPr>
                <w:i/>
                <w:iCs/>
              </w:rPr>
            </w:pPr>
            <w:r w:rsidRPr="008B0FD2">
              <w:rPr>
                <w:i/>
                <w:iCs/>
              </w:rPr>
              <w:t>the extent to which the impropriety was necessary to avoid apprehended physical danger to the Police or others;</w:t>
            </w:r>
          </w:p>
          <w:p w14:paraId="23F057B4" w14:textId="60DBEC12" w:rsidR="00223251" w:rsidRPr="008B0FD2" w:rsidRDefault="00223251" w:rsidP="00866891">
            <w:pPr>
              <w:pStyle w:val="R1RecommendationText"/>
              <w:numPr>
                <w:ilvl w:val="0"/>
                <w:numId w:val="68"/>
              </w:numPr>
              <w:pBdr>
                <w:top w:val="none" w:sz="0" w:space="0" w:color="auto"/>
                <w:left w:val="none" w:sz="0" w:space="0" w:color="auto"/>
                <w:bottom w:val="none" w:sz="0" w:space="0" w:color="auto"/>
                <w:right w:val="none" w:sz="0" w:space="0" w:color="auto"/>
              </w:pBdr>
              <w:shd w:val="clear" w:color="auto" w:fill="auto"/>
              <w:spacing w:after="120"/>
              <w:ind w:left="1028" w:right="113" w:hanging="425"/>
              <w:rPr>
                <w:i/>
                <w:iCs/>
              </w:rPr>
            </w:pPr>
            <w:r w:rsidRPr="00971DAA">
              <w:t>the</w:t>
            </w:r>
            <w:r w:rsidRPr="008B0FD2">
              <w:rPr>
                <w:i/>
                <w:iCs/>
              </w:rPr>
              <w:t xml:space="preserve"> extent to which the impropriety was influenced by urgency in obtaining the improperly obtained evidence.</w:t>
            </w:r>
          </w:p>
          <w:p w14:paraId="56616649" w14:textId="377787F4" w:rsidR="00223251" w:rsidRPr="008B0FD2" w:rsidRDefault="00223251" w:rsidP="00866891">
            <w:pPr>
              <w:pStyle w:val="R1RecommendationText"/>
              <w:numPr>
                <w:ilvl w:val="0"/>
                <w:numId w:val="67"/>
              </w:numPr>
              <w:pBdr>
                <w:top w:val="none" w:sz="0" w:space="0" w:color="auto"/>
                <w:left w:val="none" w:sz="0" w:space="0" w:color="auto"/>
                <w:bottom w:val="none" w:sz="0" w:space="0" w:color="auto"/>
                <w:right w:val="none" w:sz="0" w:space="0" w:color="auto"/>
              </w:pBdr>
              <w:shd w:val="clear" w:color="auto" w:fill="auto"/>
              <w:spacing w:after="120"/>
              <w:ind w:left="604" w:right="113" w:hanging="425"/>
              <w:rPr>
                <w:b/>
                <w:bCs/>
                <w:i/>
                <w:iCs/>
              </w:rPr>
            </w:pPr>
            <w:r w:rsidRPr="008B0FD2">
              <w:rPr>
                <w:i/>
                <w:iCs/>
              </w:rPr>
              <w:t>For the purposes of subsection (2), when assessing the public interest in having the evidence considered by the fact-finder at trial, the court may, among any other matters, have regard to the following factors:</w:t>
            </w:r>
          </w:p>
          <w:p w14:paraId="719DECD0" w14:textId="601A78E9" w:rsidR="00223251" w:rsidRPr="00971DAA" w:rsidRDefault="00223251" w:rsidP="00866891">
            <w:pPr>
              <w:pStyle w:val="R1RecommendationText"/>
              <w:numPr>
                <w:ilvl w:val="0"/>
                <w:numId w:val="69"/>
              </w:numPr>
              <w:pBdr>
                <w:top w:val="none" w:sz="0" w:space="0" w:color="auto"/>
                <w:left w:val="none" w:sz="0" w:space="0" w:color="auto"/>
                <w:bottom w:val="none" w:sz="0" w:space="0" w:color="auto"/>
                <w:right w:val="none" w:sz="0" w:space="0" w:color="auto"/>
              </w:pBdr>
              <w:shd w:val="clear" w:color="auto" w:fill="auto"/>
              <w:spacing w:after="120"/>
              <w:ind w:left="1030" w:right="113" w:hanging="426"/>
              <w:rPr>
                <w:i/>
                <w:iCs/>
              </w:rPr>
            </w:pPr>
            <w:r w:rsidRPr="008B0FD2">
              <w:rPr>
                <w:i/>
                <w:iCs/>
              </w:rPr>
              <w:t>the probative value of the evidence, including its reliability;</w:t>
            </w:r>
            <w:r w:rsidRPr="008B0FD2">
              <w:rPr>
                <w:i/>
                <w:iCs/>
              </w:rPr>
              <w:tab/>
            </w:r>
          </w:p>
          <w:p w14:paraId="5292CFC9" w14:textId="5ACD0ADD" w:rsidR="00223251" w:rsidRPr="008B0FD2" w:rsidRDefault="00223251" w:rsidP="00866891">
            <w:pPr>
              <w:pStyle w:val="R1RecommendationText"/>
              <w:numPr>
                <w:ilvl w:val="0"/>
                <w:numId w:val="69"/>
              </w:numPr>
              <w:pBdr>
                <w:top w:val="none" w:sz="0" w:space="0" w:color="auto"/>
                <w:left w:val="none" w:sz="0" w:space="0" w:color="auto"/>
                <w:bottom w:val="none" w:sz="0" w:space="0" w:color="auto"/>
                <w:right w:val="none" w:sz="0" w:space="0" w:color="auto"/>
              </w:pBdr>
              <w:shd w:val="clear" w:color="auto" w:fill="auto"/>
              <w:spacing w:after="120"/>
              <w:ind w:left="1030" w:right="113" w:hanging="426"/>
              <w:rPr>
                <w:i/>
                <w:iCs/>
              </w:rPr>
            </w:pPr>
            <w:r w:rsidRPr="008B0FD2">
              <w:rPr>
                <w:i/>
                <w:iCs/>
              </w:rPr>
              <w:t>the seriousness of the offence with which the defendant is charged.</w:t>
            </w:r>
          </w:p>
          <w:p w14:paraId="653A4555" w14:textId="77777777" w:rsidR="00223251" w:rsidRPr="00187987" w:rsidRDefault="00223251" w:rsidP="0001180E">
            <w:pPr>
              <w:pStyle w:val="R1RecommendationText"/>
              <w:numPr>
                <w:ilvl w:val="0"/>
                <w:numId w:val="0"/>
              </w:numPr>
              <w:pBdr>
                <w:top w:val="none" w:sz="0" w:space="0" w:color="auto"/>
                <w:left w:val="none" w:sz="0" w:space="0" w:color="auto"/>
                <w:bottom w:val="none" w:sz="0" w:space="0" w:color="auto"/>
                <w:right w:val="none" w:sz="0" w:space="0" w:color="auto"/>
              </w:pBdr>
              <w:shd w:val="clear" w:color="auto" w:fill="auto"/>
              <w:spacing w:after="120"/>
              <w:ind w:left="113" w:right="113"/>
              <w:rPr>
                <w:b/>
                <w:bCs/>
              </w:rPr>
            </w:pPr>
            <w:r w:rsidRPr="008B0FD2">
              <w:t>…</w:t>
            </w:r>
          </w:p>
          <w:p w14:paraId="134498A5" w14:textId="77777777" w:rsidR="00223251" w:rsidRDefault="00223251" w:rsidP="009F4F6E">
            <w:pPr>
              <w:widowControl w:val="0"/>
              <w:spacing w:after="200" w:line="276" w:lineRule="auto"/>
              <w:rPr>
                <w:sz w:val="22"/>
                <w:lang w:val="en-US"/>
              </w:rPr>
            </w:pPr>
          </w:p>
        </w:tc>
      </w:tr>
    </w:tbl>
    <w:p w14:paraId="078B2D07" w14:textId="77777777" w:rsidR="009F4F6E" w:rsidRDefault="009F4F6E" w:rsidP="009F4F6E">
      <w:pPr>
        <w:widowControl w:val="0"/>
        <w:spacing w:after="200" w:line="276" w:lineRule="auto"/>
        <w:rPr>
          <w:lang w:val="en-US"/>
        </w:rPr>
      </w:pPr>
    </w:p>
    <w:p w14:paraId="014B1D4B" w14:textId="77777777" w:rsidR="009F4F6E" w:rsidRDefault="009F4F6E" w:rsidP="00EE0189">
      <w:pPr>
        <w:pStyle w:val="BodyText"/>
        <w:numPr>
          <w:ilvl w:val="0"/>
          <w:numId w:val="0"/>
        </w:numPr>
        <w:ind w:left="709"/>
      </w:pPr>
    </w:p>
    <w:p w14:paraId="568EE70A" w14:textId="18703C29" w:rsidR="00662072" w:rsidRPr="00BE0B5B" w:rsidRDefault="00662072" w:rsidP="00EE0189">
      <w:pPr>
        <w:pStyle w:val="BodyText"/>
        <w:numPr>
          <w:ilvl w:val="0"/>
          <w:numId w:val="0"/>
        </w:numPr>
        <w:ind w:left="709"/>
      </w:pPr>
      <w:r w:rsidRPr="00D37FCE">
        <w:rPr>
          <w:rFonts w:eastAsiaTheme="minorHAnsi"/>
          <w:noProof/>
          <w:lang w:eastAsia="en-NZ"/>
        </w:rPr>
        <mc:AlternateContent>
          <mc:Choice Requires="wpg">
            <w:drawing>
              <wp:anchor distT="0" distB="0" distL="114300" distR="114300" simplePos="0" relativeHeight="251658273" behindDoc="1" locked="0" layoutInCell="1" allowOverlap="1" wp14:anchorId="24C0B3E2" wp14:editId="0FC1A76B">
                <wp:simplePos x="0" y="0"/>
                <wp:positionH relativeFrom="page">
                  <wp:posOffset>1080135</wp:posOffset>
                </wp:positionH>
                <wp:positionV relativeFrom="paragraph">
                  <wp:posOffset>18415</wp:posOffset>
                </wp:positionV>
                <wp:extent cx="2411730" cy="1270"/>
                <wp:effectExtent l="0" t="19050" r="26670" b="17780"/>
                <wp:wrapNone/>
                <wp:docPr id="764518284" name="Group 764518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28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A055E" id="Group 764518284" o:spid="_x0000_s1026" style="position:absolute;margin-left:85.05pt;margin-top:1.45pt;width:189.9pt;height:.1pt;z-index:-25165820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39AF7F1E" w14:textId="77777777" w:rsidR="009F4F6E" w:rsidRPr="00D37FCE" w:rsidRDefault="009F4F6E" w:rsidP="009F4F6E">
      <w:pPr>
        <w:spacing w:line="200" w:lineRule="exact"/>
        <w:rPr>
          <w:szCs w:val="20"/>
        </w:rPr>
      </w:pPr>
    </w:p>
    <w:p w14:paraId="4AD7A89B" w14:textId="77777777" w:rsidR="00987B63" w:rsidRDefault="00987B63" w:rsidP="009F4F6E">
      <w:pPr>
        <w:tabs>
          <w:tab w:val="left" w:pos="709"/>
        </w:tabs>
        <w:jc w:val="both"/>
        <w:rPr>
          <w:rFonts w:eastAsia="Times New Roman" w:cs="Times New Roman"/>
          <w:vanish/>
          <w:color w:val="000000" w:themeColor="text1"/>
          <w:szCs w:val="24"/>
          <w:lang w:eastAsia="en-AU"/>
        </w:rPr>
      </w:pPr>
    </w:p>
    <w:bookmarkEnd w:id="84"/>
    <w:p w14:paraId="7D18EF99" w14:textId="77777777" w:rsidR="009F4F6E" w:rsidRDefault="009F4F6E" w:rsidP="009F4F6E">
      <w:pPr>
        <w:tabs>
          <w:tab w:val="left" w:pos="709"/>
        </w:tabs>
        <w:jc w:val="both"/>
        <w:rPr>
          <w:rFonts w:eastAsia="Times New Roman" w:cs="Times New Roman"/>
          <w:vanish/>
          <w:color w:val="000000" w:themeColor="text1"/>
          <w:szCs w:val="24"/>
          <w:lang w:eastAsia="en-AU"/>
        </w:rPr>
      </w:pPr>
    </w:p>
    <w:p w14:paraId="407D4909" w14:textId="77777777" w:rsidR="009F4F6E" w:rsidRDefault="009F4F6E" w:rsidP="009F4F6E">
      <w:pPr>
        <w:tabs>
          <w:tab w:val="left" w:pos="709"/>
        </w:tabs>
        <w:jc w:val="both"/>
        <w:rPr>
          <w:rFonts w:eastAsia="Times New Roman" w:cs="Times New Roman"/>
          <w:vanish/>
          <w:color w:val="000000" w:themeColor="text1"/>
          <w:szCs w:val="24"/>
          <w:lang w:eastAsia="en-AU"/>
        </w:rPr>
      </w:pPr>
    </w:p>
    <w:p w14:paraId="1849B6BD" w14:textId="77777777" w:rsidR="009F4F6E" w:rsidRDefault="009F4F6E" w:rsidP="009F4F6E">
      <w:pPr>
        <w:tabs>
          <w:tab w:val="left" w:pos="709"/>
        </w:tabs>
        <w:jc w:val="both"/>
        <w:rPr>
          <w:rFonts w:eastAsia="Times New Roman" w:cs="Times New Roman"/>
          <w:vanish/>
          <w:color w:val="000000" w:themeColor="text1"/>
          <w:szCs w:val="24"/>
          <w:lang w:eastAsia="en-AU"/>
        </w:rPr>
      </w:pPr>
    </w:p>
    <w:p w14:paraId="3E47059A" w14:textId="77777777" w:rsidR="009F4F6E" w:rsidRDefault="009F4F6E" w:rsidP="009F4F6E">
      <w:pPr>
        <w:tabs>
          <w:tab w:val="left" w:pos="709"/>
        </w:tabs>
        <w:jc w:val="both"/>
        <w:rPr>
          <w:rFonts w:eastAsia="Times New Roman" w:cs="Times New Roman"/>
          <w:vanish/>
          <w:color w:val="000000" w:themeColor="text1"/>
          <w:szCs w:val="24"/>
          <w:lang w:eastAsia="en-AU"/>
        </w:rPr>
      </w:pPr>
    </w:p>
    <w:p w14:paraId="140A8EB8" w14:textId="77777777" w:rsidR="009F4F6E" w:rsidRPr="009F4F6E" w:rsidRDefault="009F4F6E" w:rsidP="009F4F6E">
      <w:pPr>
        <w:tabs>
          <w:tab w:val="left" w:pos="709"/>
        </w:tabs>
        <w:jc w:val="both"/>
        <w:rPr>
          <w:rFonts w:eastAsia="Times New Roman" w:cs="Times New Roman"/>
          <w:vanish/>
          <w:color w:val="000000" w:themeColor="text1"/>
          <w:szCs w:val="24"/>
          <w:lang w:eastAsia="en-AU"/>
        </w:rPr>
      </w:pPr>
    </w:p>
    <w:p w14:paraId="6DB95DAD" w14:textId="55AC44C9" w:rsidR="0019322C" w:rsidRDefault="0019322C" w:rsidP="000E0B4B">
      <w:pPr>
        <w:pStyle w:val="HEADING2topchapter-notinTOC"/>
        <w:pageBreakBefore w:val="0"/>
        <w:rPr>
          <w:noProof/>
        </w:rPr>
        <w:sectPr w:rsidR="0019322C" w:rsidSect="00FD6721">
          <w:headerReference w:type="default" r:id="rId42"/>
          <w:footnotePr>
            <w:numRestart w:val="eachSect"/>
          </w:footnotePr>
          <w:type w:val="nextColumn"/>
          <w:pgSz w:w="11907" w:h="16840" w:code="9"/>
          <w:pgMar w:top="1134" w:right="1134" w:bottom="1134" w:left="1701" w:header="499" w:footer="46" w:gutter="0"/>
          <w:cols w:space="720"/>
        </w:sectPr>
      </w:pPr>
    </w:p>
    <w:p w14:paraId="7B4BB526" w14:textId="69D5A4A9" w:rsidR="0019322C" w:rsidRPr="00D37FCE" w:rsidRDefault="0019322C" w:rsidP="0019322C">
      <w:pPr>
        <w:pStyle w:val="HEADING2topchapter-notinTOC"/>
        <w:rPr>
          <w:sz w:val="21"/>
          <w:szCs w:val="21"/>
        </w:rPr>
      </w:pPr>
      <w:r w:rsidRPr="00D37FCE">
        <w:lastRenderedPageBreak/>
        <w:t>CHAPTER</w:t>
      </w:r>
      <w:r w:rsidRPr="00D37FCE">
        <w:rPr>
          <w:sz w:val="21"/>
          <w:szCs w:val="21"/>
        </w:rPr>
        <w:t xml:space="preserve"> </w:t>
      </w:r>
      <w:r w:rsidR="00685EE9">
        <w:rPr>
          <w:sz w:val="21"/>
          <w:szCs w:val="21"/>
        </w:rPr>
        <w:t>8</w:t>
      </w:r>
    </w:p>
    <w:p w14:paraId="22716406" w14:textId="77777777" w:rsidR="0019322C" w:rsidRPr="00D37FCE" w:rsidRDefault="0019322C" w:rsidP="0019322C">
      <w:pPr>
        <w:spacing w:line="200" w:lineRule="exact"/>
        <w:rPr>
          <w:szCs w:val="20"/>
        </w:rPr>
      </w:pPr>
      <w:r w:rsidRPr="00D37FCE">
        <w:rPr>
          <w:noProof/>
          <w:lang w:eastAsia="en-NZ"/>
        </w:rPr>
        <mc:AlternateContent>
          <mc:Choice Requires="wpg">
            <w:drawing>
              <wp:anchor distT="0" distB="0" distL="114300" distR="114300" simplePos="0" relativeHeight="251658259" behindDoc="1" locked="0" layoutInCell="1" allowOverlap="1" wp14:anchorId="3C5EC274" wp14:editId="1A56A0C7">
                <wp:simplePos x="0" y="0"/>
                <wp:positionH relativeFrom="page">
                  <wp:posOffset>1076653</wp:posOffset>
                </wp:positionH>
                <wp:positionV relativeFrom="paragraph">
                  <wp:posOffset>53975</wp:posOffset>
                </wp:positionV>
                <wp:extent cx="1332230" cy="1270"/>
                <wp:effectExtent l="0" t="19050" r="1270" b="17780"/>
                <wp:wrapNone/>
                <wp:docPr id="764517963" name="Group 764517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796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080D1" id="Group 764517963" o:spid="_x0000_s1026" style="position:absolute;margin-left:84.8pt;margin-top:4.25pt;width:104.9pt;height:.1pt;z-index:-25165822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7316FF56" w14:textId="0E7E9258" w:rsidR="0019322C" w:rsidRPr="005D33A4" w:rsidRDefault="00727860" w:rsidP="0019322C">
      <w:pPr>
        <w:pStyle w:val="Heading1"/>
        <w:rPr>
          <w:rFonts w:eastAsia="Metropolis Black"/>
        </w:rPr>
      </w:pPr>
      <w:bookmarkStart w:id="127" w:name="_Toc132962574"/>
      <w:r>
        <w:rPr>
          <w:color w:val="FFFFFF" w:themeColor="background1"/>
          <w:sz w:val="2"/>
          <w:szCs w:val="2"/>
        </w:rPr>
        <w:t>8</w:t>
      </w:r>
      <w:r w:rsidR="0019322C" w:rsidRPr="00D37FCE">
        <w:rPr>
          <w:color w:val="FFFFFF" w:themeColor="background1"/>
          <w:sz w:val="2"/>
          <w:szCs w:val="2"/>
        </w:rPr>
        <w:t xml:space="preserve"> </w:t>
      </w:r>
      <w:r w:rsidR="009A39B7" w:rsidRPr="009A39B7">
        <w:rPr>
          <w:rFonts w:eastAsia="Metropolis Black"/>
        </w:rPr>
        <w:t>Prison informants and incentivised witnesses</w:t>
      </w:r>
      <w:bookmarkEnd w:id="127"/>
      <w:r w:rsidR="005D33A4">
        <w:rPr>
          <w:rFonts w:eastAsia="Metropolis Black"/>
        </w:rPr>
        <w:t xml:space="preserve"> </w:t>
      </w:r>
    </w:p>
    <w:p w14:paraId="544E792E" w14:textId="77777777" w:rsidR="0019322C" w:rsidRPr="00D37FCE" w:rsidRDefault="0019322C" w:rsidP="0019322C">
      <w:pPr>
        <w:spacing w:line="200" w:lineRule="exact"/>
        <w:rPr>
          <w:szCs w:val="20"/>
        </w:rPr>
      </w:pPr>
      <w:r w:rsidRPr="00D37FCE">
        <w:rPr>
          <w:noProof/>
          <w:lang w:eastAsia="en-NZ"/>
        </w:rPr>
        <mc:AlternateContent>
          <mc:Choice Requires="wpg">
            <w:drawing>
              <wp:anchor distT="0" distB="0" distL="114300" distR="114300" simplePos="0" relativeHeight="251658260" behindDoc="1" locked="0" layoutInCell="1" allowOverlap="1" wp14:anchorId="0862B475" wp14:editId="4DB1AEE4">
                <wp:simplePos x="0" y="0"/>
                <wp:positionH relativeFrom="page">
                  <wp:posOffset>1087427</wp:posOffset>
                </wp:positionH>
                <wp:positionV relativeFrom="paragraph">
                  <wp:posOffset>71755</wp:posOffset>
                </wp:positionV>
                <wp:extent cx="1332230" cy="1270"/>
                <wp:effectExtent l="0" t="19050" r="1270" b="17780"/>
                <wp:wrapNone/>
                <wp:docPr id="764517965" name="Group 764517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796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648D3" id="Group 764517965" o:spid="_x0000_s1026" style="position:absolute;margin-left:85.6pt;margin-top:5.65pt;width:104.9pt;height:.1pt;z-index:-25165822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HoBOd/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51549550" w14:textId="10FABFB5" w:rsidR="00A95324" w:rsidRDefault="00A95324" w:rsidP="00A95324">
      <w:pPr>
        <w:pStyle w:val="BodyTextalphalist"/>
        <w:ind w:left="0" w:firstLine="0"/>
      </w:pPr>
    </w:p>
    <w:p w14:paraId="5D1F662E" w14:textId="067CC5A0" w:rsidR="00A95324" w:rsidRDefault="00A95324" w:rsidP="00A95324">
      <w:pPr>
        <w:rPr>
          <w:lang w:eastAsia="zh-TW"/>
        </w:rPr>
      </w:pPr>
    </w:p>
    <w:p w14:paraId="189FD22C" w14:textId="7BB639CD" w:rsidR="00A95324" w:rsidRDefault="001A4A55" w:rsidP="00A95324">
      <w:r w:rsidRPr="00D37FCE">
        <w:rPr>
          <w:rFonts w:eastAsia="Metropolis"/>
          <w:noProof/>
        </w:rPr>
        <mc:AlternateContent>
          <mc:Choice Requires="wpg">
            <w:drawing>
              <wp:anchor distT="0" distB="0" distL="114300" distR="114300" simplePos="0" relativeHeight="251658274" behindDoc="1" locked="0" layoutInCell="1" allowOverlap="1" wp14:anchorId="125DB3F1" wp14:editId="5AF953ED">
                <wp:simplePos x="0" y="0"/>
                <wp:positionH relativeFrom="column">
                  <wp:posOffset>-1962</wp:posOffset>
                </wp:positionH>
                <wp:positionV relativeFrom="paragraph">
                  <wp:posOffset>27296</wp:posOffset>
                </wp:positionV>
                <wp:extent cx="5792470" cy="2647755"/>
                <wp:effectExtent l="0" t="0" r="0" b="635"/>
                <wp:wrapNone/>
                <wp:docPr id="764518319" name="Group 764518319"/>
                <wp:cNvGraphicFramePr/>
                <a:graphic xmlns:a="http://schemas.openxmlformats.org/drawingml/2006/main">
                  <a:graphicData uri="http://schemas.microsoft.com/office/word/2010/wordprocessingGroup">
                    <wpg:wgp>
                      <wpg:cNvGrpSpPr/>
                      <wpg:grpSpPr>
                        <a:xfrm>
                          <a:off x="0" y="0"/>
                          <a:ext cx="5792470" cy="2647755"/>
                          <a:chOff x="0" y="-4768"/>
                          <a:chExt cx="5793105" cy="1867916"/>
                        </a:xfrm>
                      </wpg:grpSpPr>
                      <wpg:grpSp>
                        <wpg:cNvPr id="764518320" name="Group 53"/>
                        <wpg:cNvGrpSpPr>
                          <a:grpSpLocks/>
                        </wpg:cNvGrpSpPr>
                        <wpg:grpSpPr bwMode="auto">
                          <a:xfrm>
                            <a:off x="0" y="314089"/>
                            <a:ext cx="5793105" cy="1549059"/>
                            <a:chOff x="1837" y="1790"/>
                            <a:chExt cx="9354" cy="16725"/>
                          </a:xfrm>
                        </wpg:grpSpPr>
                        <wps:wsp>
                          <wps:cNvPr id="764518321" name="Freeform 54"/>
                          <wps:cNvSpPr>
                            <a:spLocks/>
                          </wps:cNvSpPr>
                          <wps:spPr bwMode="auto">
                            <a:xfrm>
                              <a:off x="1837" y="1790"/>
                              <a:ext cx="9354" cy="1672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22"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E7C529" w14:textId="77777777" w:rsidR="00A95324" w:rsidRDefault="00A95324" w:rsidP="00A95324">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125DB3F1" id="Group 764518319" o:spid="_x0000_s1271" style="position:absolute;margin-left:-.15pt;margin-top:2.15pt;width:456.1pt;height:208.5pt;z-index:-251658206;mso-height-relative:margin" coordorigin=",-47" coordsize="57931,1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">
                <v:group id="Group 53" o:spid="_x0000_s1272" style="position:absolute;top:3140;width:57931;height:15491" coordorigin="1837,1790" coordsize="9354,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">
                  <v:shape id="Freeform 54" o:spid="_x0000_s1273" style="position:absolute;left:1837;top:1790;width:9354;height:1672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" path="m,l9354,r,7809l,7809,,e" fillcolor="#edf2ea" stroked="f">
                    <v:path arrowok="t" o:connecttype="custom" o:connectlocs="0,2142;9354,2142;9354,18867;0,18867;0,2142" o:connectangles="0,0,0,0,0"/>
                  </v:shape>
                </v:group>
                <v:shape id="Freeform 52" o:spid="_x0000_s1274"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6CE7C529" w14:textId="77777777" w:rsidR="00A95324" w:rsidRDefault="00A95324" w:rsidP="00A95324">
                        <w:pPr>
                          <w:pStyle w:val="BoxTitle"/>
                          <w:spacing w:before="60" w:beforeAutospacing="0"/>
                        </w:pPr>
                        <w:r>
                          <w:t>INTRODUCTION</w:t>
                        </w:r>
                      </w:p>
                    </w:txbxContent>
                  </v:textbox>
                </v:shape>
              </v:group>
            </w:pict>
          </mc:Fallback>
        </mc:AlternateContent>
      </w:r>
    </w:p>
    <w:p w14:paraId="464EA532" w14:textId="77777777" w:rsidR="00A95324" w:rsidRDefault="00A95324" w:rsidP="00A95324">
      <w:pPr>
        <w:pStyle w:val="QuestionBox"/>
        <w:tabs>
          <w:tab w:val="clear" w:pos="709"/>
        </w:tabs>
        <w:ind w:left="0"/>
        <w:rPr>
          <w:rFonts w:eastAsia="Metropolis"/>
          <w:noProof/>
        </w:rPr>
      </w:pPr>
    </w:p>
    <w:p w14:paraId="3CC3304F" w14:textId="77777777" w:rsidR="00971DAA" w:rsidRPr="00971DAA" w:rsidRDefault="00971DAA" w:rsidP="001A4A55">
      <w:pPr>
        <w:pStyle w:val="QuestionBox"/>
        <w:ind w:left="284"/>
        <w:rPr>
          <w:sz w:val="10"/>
          <w:szCs w:val="14"/>
        </w:rPr>
      </w:pPr>
    </w:p>
    <w:p w14:paraId="5597BB25" w14:textId="10FFB4AE" w:rsidR="00AE4030" w:rsidRDefault="003F3238" w:rsidP="001A4A55">
      <w:pPr>
        <w:pStyle w:val="QuestionBox"/>
        <w:ind w:left="284"/>
      </w:pPr>
      <w:r>
        <w:t xml:space="preserve">In this chapter, we consider </w:t>
      </w:r>
      <w:r w:rsidR="00C052B9">
        <w:t xml:space="preserve">and seek feedback on </w:t>
      </w:r>
      <w:r w:rsidR="00C452BF">
        <w:t>whether the current approach</w:t>
      </w:r>
      <w:r w:rsidR="00C052B9">
        <w:t xml:space="preserve"> under the Act is sufficient to address the risks posed by </w:t>
      </w:r>
      <w:r w:rsidR="008B79B6">
        <w:t>evidence from prison informants and other incentivised witnesses</w:t>
      </w:r>
      <w:r w:rsidR="00C052B9">
        <w:t>. We seek feedback on</w:t>
      </w:r>
      <w:r w:rsidR="00AE4030">
        <w:t xml:space="preserve"> issues relating to:</w:t>
      </w:r>
      <w:r>
        <w:t xml:space="preserve"> </w:t>
      </w:r>
    </w:p>
    <w:p w14:paraId="52244661" w14:textId="2F5818BE" w:rsidR="00A95324" w:rsidRDefault="009163C5" w:rsidP="00866891">
      <w:pPr>
        <w:pStyle w:val="QuestionBox"/>
        <w:numPr>
          <w:ilvl w:val="0"/>
          <w:numId w:val="22"/>
        </w:numPr>
      </w:pPr>
      <w:r>
        <w:t>the admissibility of prison informant evidence;</w:t>
      </w:r>
    </w:p>
    <w:p w14:paraId="3F408E1B" w14:textId="77777777" w:rsidR="00C052B9" w:rsidRDefault="009163C5" w:rsidP="00866891">
      <w:pPr>
        <w:pStyle w:val="QuestionBox"/>
        <w:numPr>
          <w:ilvl w:val="0"/>
          <w:numId w:val="22"/>
        </w:numPr>
      </w:pPr>
      <w:r>
        <w:t>the use of judicial directions</w:t>
      </w:r>
      <w:r w:rsidR="00C052B9">
        <w:t>;</w:t>
      </w:r>
    </w:p>
    <w:p w14:paraId="51D8DC41" w14:textId="77777777" w:rsidR="009960D5" w:rsidRDefault="009960D5" w:rsidP="00866891">
      <w:pPr>
        <w:pStyle w:val="QuestionBox"/>
        <w:numPr>
          <w:ilvl w:val="0"/>
          <w:numId w:val="22"/>
        </w:numPr>
      </w:pPr>
      <w:r>
        <w:t>the need for any additional safeguards; and</w:t>
      </w:r>
    </w:p>
    <w:p w14:paraId="4F8106FB" w14:textId="01FA9DA0" w:rsidR="009163C5" w:rsidRDefault="009960D5" w:rsidP="00866891">
      <w:pPr>
        <w:pStyle w:val="QuestionBox"/>
        <w:numPr>
          <w:ilvl w:val="0"/>
          <w:numId w:val="22"/>
        </w:numPr>
      </w:pPr>
      <w:r>
        <w:t xml:space="preserve">the scope of any proposed amendments or additional safeguards. </w:t>
      </w:r>
      <w:r w:rsidR="009163C5">
        <w:t xml:space="preserve"> </w:t>
      </w:r>
    </w:p>
    <w:p w14:paraId="67B63409" w14:textId="77777777" w:rsidR="003F3238" w:rsidRPr="002D4453" w:rsidRDefault="003F3238" w:rsidP="00A95324">
      <w:pPr>
        <w:pStyle w:val="QuestionBox"/>
        <w:ind w:left="0"/>
        <w:rPr>
          <w:rFonts w:eastAsia="Metropolis"/>
          <w:noProof/>
        </w:rPr>
      </w:pPr>
    </w:p>
    <w:p w14:paraId="78922B43" w14:textId="77777777" w:rsidR="00116092" w:rsidRDefault="00116092" w:rsidP="00116092">
      <w:pPr>
        <w:pStyle w:val="Heading2"/>
      </w:pPr>
      <w:bookmarkStart w:id="128" w:name="_Toc132962575"/>
      <w:r>
        <w:t>Background</w:t>
      </w:r>
      <w:bookmarkEnd w:id="128"/>
    </w:p>
    <w:p w14:paraId="497E2B3F" w14:textId="77777777" w:rsidR="00116092" w:rsidRPr="00116092" w:rsidRDefault="00116092" w:rsidP="00866891">
      <w:pPr>
        <w:pStyle w:val="ListParagraph"/>
        <w:numPr>
          <w:ilvl w:val="0"/>
          <w:numId w:val="28"/>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1A929C0F" w14:textId="36DFF9C7" w:rsidR="00116092" w:rsidRDefault="00116092" w:rsidP="009F4F6E">
      <w:pPr>
        <w:pStyle w:val="BodyText"/>
        <w:tabs>
          <w:tab w:val="num" w:pos="709"/>
          <w:tab w:val="num" w:pos="1425"/>
        </w:tabs>
      </w:pPr>
      <w:r>
        <w:t>Prison informant evidence is evidence in a criminal proceeding of a defendant’s statement purportedly made to another person while they were detained and offered by that other person (the prison informant).</w:t>
      </w:r>
      <w:r>
        <w:rPr>
          <w:rStyle w:val="FootnoteReference"/>
        </w:rPr>
        <w:footnoteReference w:id="630"/>
      </w:r>
      <w:r>
        <w:t xml:space="preserve"> This type of evidence is also sometimes referred to as “jailhouse snitch” or “cellmate confession” evidence. Such evidence is typically inculpatory and offered by the prosecution, although sometimes the defendant might seek to offer prison informant evidence that is exculpatory in nature.</w:t>
      </w:r>
      <w:r>
        <w:rPr>
          <w:rStyle w:val="FootnoteReference"/>
        </w:rPr>
        <w:footnoteReference w:id="631"/>
      </w:r>
    </w:p>
    <w:p w14:paraId="0579A287" w14:textId="77777777" w:rsidR="00116092" w:rsidRDefault="00116092" w:rsidP="009F4F6E">
      <w:pPr>
        <w:pStyle w:val="BodyText"/>
      </w:pPr>
      <w:r>
        <w:lastRenderedPageBreak/>
        <w:t>Prison informants often give their evidence in return for, or in the expectation or hope of, some advantage or benefit to them.</w:t>
      </w:r>
      <w:r>
        <w:rPr>
          <w:rStyle w:val="FootnoteReference"/>
        </w:rPr>
        <w:footnoteReference w:id="632"/>
      </w:r>
      <w:r>
        <w:t xml:space="preserve"> These incentives can take various forms, ranging from the relatively trivial (improved prison conditions or preferential treatment from authorities in the future) to the more significant (early parole, reduced charges or sentence, or dismissal of charges).</w:t>
      </w:r>
      <w:r>
        <w:rPr>
          <w:rStyle w:val="FootnoteReference"/>
        </w:rPr>
        <w:footnoteReference w:id="633"/>
      </w:r>
      <w:r>
        <w:t xml:space="preserve"> </w:t>
      </w:r>
    </w:p>
    <w:p w14:paraId="265CB590" w14:textId="653F28E3" w:rsidR="00116092" w:rsidRDefault="00116092" w:rsidP="009F4F6E">
      <w:pPr>
        <w:pStyle w:val="BodyText"/>
      </w:pPr>
      <w:r>
        <w:t>Similar incentives can exist in the criminal justice system beyond the prison environment. Some witnesses may give evidence of a defendant’s alleged guilt in exchange for some advantage or benefit operating in the criminal justice context, even if the information they seek to share was not obtained in a detention setting. At the end of this chapter</w:t>
      </w:r>
      <w:r w:rsidR="0065653F">
        <w:t>,</w:t>
      </w:r>
      <w:r>
        <w:t xml:space="preserve"> we consider the implications of extending any reform measures to this broader class of “incentivised witnesses”.</w:t>
      </w:r>
    </w:p>
    <w:p w14:paraId="4DAE28B5" w14:textId="77777777" w:rsidR="00116092" w:rsidRDefault="00116092" w:rsidP="00116092">
      <w:pPr>
        <w:pStyle w:val="Heading3"/>
      </w:pPr>
      <w:r>
        <w:t xml:space="preserve">The nature of prison informant evidence </w:t>
      </w:r>
    </w:p>
    <w:p w14:paraId="2D5C87F7" w14:textId="77777777" w:rsidR="00116092" w:rsidRDefault="00116092" w:rsidP="009F4F6E">
      <w:pPr>
        <w:pStyle w:val="BodyText"/>
      </w:pPr>
      <w:r>
        <w:t>Prison informants can be the recipients of confessions or other inculpatory statements that may otherwise not be disclosed by the defendant.</w:t>
      </w:r>
      <w:r>
        <w:rPr>
          <w:rStyle w:val="FootnoteReference"/>
        </w:rPr>
        <w:footnoteReference w:id="634"/>
      </w:r>
      <w:r>
        <w:t xml:space="preserve"> This type of evidence can therefore be “highly probative” of the defendant’s guilt and an important tool in the prosecution’s case.</w:t>
      </w:r>
      <w:r>
        <w:rPr>
          <w:rStyle w:val="FootnoteReference"/>
        </w:rPr>
        <w:footnoteReference w:id="635"/>
      </w:r>
    </w:p>
    <w:p w14:paraId="51D8CAE6" w14:textId="77777777" w:rsidR="00116092" w:rsidRDefault="00116092" w:rsidP="009F4F6E">
      <w:pPr>
        <w:pStyle w:val="BodyText"/>
      </w:pPr>
      <w:r>
        <w:t>An emerging body of social science evidence points to two key risks associated with the use of prison informant evidence:</w:t>
      </w:r>
      <w:r>
        <w:rPr>
          <w:rStyle w:val="FootnoteReference"/>
        </w:rPr>
        <w:footnoteReference w:id="636"/>
      </w:r>
    </w:p>
    <w:p w14:paraId="04ECADEE" w14:textId="5F60ED6C" w:rsidR="00116092" w:rsidRDefault="00116092" w:rsidP="00866891">
      <w:pPr>
        <w:pStyle w:val="BodyTextnonum"/>
        <w:numPr>
          <w:ilvl w:val="3"/>
          <w:numId w:val="25"/>
        </w:numPr>
      </w:pPr>
      <w:r>
        <w:t>First, prison informant evidence is typically characterised as being unreliable.</w:t>
      </w:r>
      <w:r>
        <w:rPr>
          <w:rStyle w:val="FootnoteReference"/>
        </w:rPr>
        <w:footnoteReference w:id="637"/>
      </w:r>
      <w:r>
        <w:t xml:space="preserve"> This is because, </w:t>
      </w:r>
      <w:r w:rsidRPr="00CA614A">
        <w:t>as noted above</w:t>
      </w:r>
      <w:r>
        <w:t xml:space="preserve">, prison informants are often incentivised to give their evidence. Many informants have a history of dishonesty and may be capable of presenting a convincing account of the details of a defendant’s alleged offending, </w:t>
      </w:r>
      <w:r>
        <w:lastRenderedPageBreak/>
        <w:t>even under pressure in the trial setting.</w:t>
      </w:r>
      <w:r w:rsidRPr="00BD4BB2">
        <w:rPr>
          <w:rStyle w:val="FootnoteReference"/>
        </w:rPr>
        <w:t xml:space="preserve"> </w:t>
      </w:r>
      <w:r>
        <w:rPr>
          <w:rStyle w:val="FootnoteReference"/>
        </w:rPr>
        <w:footnoteReference w:id="638"/>
      </w:r>
      <w:r>
        <w:t xml:space="preserve"> Additionally, they will frequently have access to information about a high-profile case through other sources (such as media coverage or word</w:t>
      </w:r>
      <w:r w:rsidR="00FD66E8">
        <w:t xml:space="preserve"> </w:t>
      </w:r>
      <w:r>
        <w:t>of</w:t>
      </w:r>
      <w:r w:rsidR="00FD66E8">
        <w:t xml:space="preserve"> </w:t>
      </w:r>
      <w:r>
        <w:t>mouth) and so be able to create a plausible account of a defendant’s alleged actions or role.</w:t>
      </w:r>
      <w:r>
        <w:rPr>
          <w:rStyle w:val="FootnoteReference"/>
        </w:rPr>
        <w:footnoteReference w:id="639"/>
      </w:r>
      <w:r>
        <w:t xml:space="preserve"> As one commentor has noted, </w:t>
      </w:r>
      <w:r w:rsidR="00016526">
        <w:t>“</w:t>
      </w:r>
      <w:r>
        <w:t>[t]he combination of having both a motivation and a ready willingness to lie creates an abnormally high risk of false evidence being provided”.</w:t>
      </w:r>
      <w:r>
        <w:rPr>
          <w:rStyle w:val="FootnoteReference"/>
        </w:rPr>
        <w:footnoteReference w:id="640"/>
      </w:r>
    </w:p>
    <w:p w14:paraId="06D924CF" w14:textId="77777777" w:rsidR="00116092" w:rsidRDefault="00116092" w:rsidP="00866891">
      <w:pPr>
        <w:pStyle w:val="BodyTextnonum"/>
        <w:numPr>
          <w:ilvl w:val="3"/>
          <w:numId w:val="25"/>
        </w:numPr>
      </w:pPr>
      <w:r>
        <w:t>Second, juries may give the evidence undue weight, even when warned that it may be unreliable. Evidence suggests that juries find prison informant evidence highly persuasive.</w:t>
      </w:r>
      <w:r>
        <w:rPr>
          <w:rStyle w:val="FootnoteReference"/>
        </w:rPr>
        <w:footnoteReference w:id="641"/>
      </w:r>
      <w:r>
        <w:t xml:space="preserve"> This has been attributed variously to the “fundamental attribution error” (a psychological phenomenon whereby people attribute the behaviour of others to personal factors such as honesty or a desire to “do the right thing” rather than situational factors such as the promise of a reward);</w:t>
      </w:r>
      <w:r>
        <w:rPr>
          <w:rStyle w:val="FootnoteReference"/>
        </w:rPr>
        <w:footnoteReference w:id="642"/>
      </w:r>
      <w:r>
        <w:t xml:space="preserve"> the fact that prison informants may be capable of lying convincingly;</w:t>
      </w:r>
      <w:r>
        <w:rPr>
          <w:rStyle w:val="FootnoteReference"/>
        </w:rPr>
        <w:footnoteReference w:id="643"/>
      </w:r>
      <w:r>
        <w:t xml:space="preserve"> and the lack of proper records of incentives promised or received making it difficult to truly assess the motivations of the informant.</w:t>
      </w:r>
      <w:r>
        <w:rPr>
          <w:rStyle w:val="FootnoteReference"/>
        </w:rPr>
        <w:footnoteReference w:id="644"/>
      </w:r>
    </w:p>
    <w:p w14:paraId="5365C628" w14:textId="5A5B0BC5" w:rsidR="00116092" w:rsidRDefault="00116092" w:rsidP="009F4F6E">
      <w:pPr>
        <w:pStyle w:val="BodyText"/>
      </w:pPr>
      <w:r>
        <w:t xml:space="preserve">While it is difficult to measure these risks with absolute certainty, the use of prison informant evidence has been linked to miscarriages of justice. In </w:t>
      </w:r>
      <w:r>
        <w:rPr>
          <w:i/>
          <w:iCs/>
        </w:rPr>
        <w:t>W</w:t>
      </w:r>
      <w:r w:rsidR="00380C95">
        <w:rPr>
          <w:i/>
          <w:iCs/>
        </w:rPr>
        <w:t xml:space="preserve"> (SC 38/2019)</w:t>
      </w:r>
      <w:r>
        <w:rPr>
          <w:i/>
          <w:iCs/>
        </w:rPr>
        <w:t xml:space="preserve"> v R</w:t>
      </w:r>
      <w:r w:rsidR="00E17AA6" w:rsidRPr="00E17AA6">
        <w:t>,</w:t>
      </w:r>
      <w:r>
        <w:rPr>
          <w:i/>
          <w:iCs/>
        </w:rPr>
        <w:t xml:space="preserve"> </w:t>
      </w:r>
      <w:r>
        <w:t xml:space="preserve">te Kōti Mana Nui | Supreme Court referred to three major studies from the United States </w:t>
      </w:r>
      <w:r w:rsidR="00185272">
        <w:t>that</w:t>
      </w:r>
      <w:r>
        <w:t xml:space="preserve"> made a link between prison informant evidence and wrongful convictions. Although they noted that such studies cannot be directly extrapolated to Aotearoa New Zealand, both the majority and the minority concluded that they carry considerable weight.</w:t>
      </w:r>
      <w:r>
        <w:rPr>
          <w:rStyle w:val="FootnoteReference"/>
        </w:rPr>
        <w:footnoteReference w:id="645"/>
      </w:r>
      <w:r>
        <w:t xml:space="preserve"> </w:t>
      </w:r>
    </w:p>
    <w:p w14:paraId="026FC5C6" w14:textId="725B281F" w:rsidR="00116092" w:rsidRPr="0054540E" w:rsidRDefault="00116092" w:rsidP="009F4F6E">
      <w:pPr>
        <w:pStyle w:val="BodyText"/>
      </w:pPr>
      <w:r w:rsidRPr="000019FB">
        <w:rPr>
          <w:szCs w:val="20"/>
        </w:rPr>
        <w:t>In New Zealand, there have been cases of wrongful conviction that have rested in part on false prison informant evidence</w:t>
      </w:r>
      <w:r>
        <w:rPr>
          <w:szCs w:val="20"/>
        </w:rPr>
        <w:t xml:space="preserve">, including </w:t>
      </w:r>
      <w:r w:rsidRPr="000019FB">
        <w:rPr>
          <w:szCs w:val="20"/>
        </w:rPr>
        <w:t xml:space="preserve">the cases </w:t>
      </w:r>
      <w:r>
        <w:rPr>
          <w:szCs w:val="20"/>
        </w:rPr>
        <w:t>against</w:t>
      </w:r>
      <w:r w:rsidRPr="000019FB">
        <w:rPr>
          <w:szCs w:val="20"/>
        </w:rPr>
        <w:t xml:space="preserve"> Mauha Fawcett, Teina Pora and Arthur Allan Thomas.</w:t>
      </w:r>
      <w:r w:rsidRPr="000019FB">
        <w:rPr>
          <w:rStyle w:val="FootnoteReference"/>
          <w:szCs w:val="20"/>
        </w:rPr>
        <w:footnoteReference w:id="646"/>
      </w:r>
      <w:r w:rsidRPr="000019FB">
        <w:rPr>
          <w:szCs w:val="20"/>
        </w:rPr>
        <w:t xml:space="preserve"> These cases, and others where prison informant evidence has featured, can be high-profile and attract significant media and public attention.</w:t>
      </w:r>
      <w:r w:rsidRPr="000019FB">
        <w:rPr>
          <w:rStyle w:val="FootnoteReference"/>
          <w:szCs w:val="20"/>
        </w:rPr>
        <w:footnoteReference w:id="647"/>
      </w:r>
      <w:r w:rsidRPr="000019FB">
        <w:rPr>
          <w:szCs w:val="20"/>
        </w:rPr>
        <w:t xml:space="preserve"> In November 2019, a petition entitled “Stop Jailhouse Informants From </w:t>
      </w:r>
      <w:r w:rsidRPr="000019FB">
        <w:rPr>
          <w:szCs w:val="20"/>
        </w:rPr>
        <w:lastRenderedPageBreak/>
        <w:t>Causing Wrongful Convictions” was presented to Parliament. It called for an amendment to the</w:t>
      </w:r>
      <w:r w:rsidR="00D11920">
        <w:rPr>
          <w:szCs w:val="20"/>
        </w:rPr>
        <w:t xml:space="preserve"> Evidence</w:t>
      </w:r>
      <w:r w:rsidRPr="000019FB">
        <w:rPr>
          <w:szCs w:val="20"/>
        </w:rPr>
        <w:t xml:space="preserve"> Act</w:t>
      </w:r>
      <w:r w:rsidR="00D11920">
        <w:rPr>
          <w:szCs w:val="20"/>
        </w:rPr>
        <w:t xml:space="preserve"> </w:t>
      </w:r>
      <w:r w:rsidR="0003741C">
        <w:rPr>
          <w:szCs w:val="20"/>
        </w:rPr>
        <w:t xml:space="preserve">2006 </w:t>
      </w:r>
      <w:r w:rsidRPr="000019FB">
        <w:rPr>
          <w:szCs w:val="20"/>
        </w:rPr>
        <w:t>to permit the use of prison informant evidence only whe</w:t>
      </w:r>
      <w:r>
        <w:rPr>
          <w:szCs w:val="20"/>
        </w:rPr>
        <w:t>re</w:t>
      </w:r>
      <w:r w:rsidRPr="000019FB">
        <w:rPr>
          <w:szCs w:val="20"/>
        </w:rPr>
        <w:t xml:space="preserve"> the Solicitor-General provides written approval. The petition </w:t>
      </w:r>
      <w:r>
        <w:rPr>
          <w:szCs w:val="20"/>
        </w:rPr>
        <w:t>is currently before</w:t>
      </w:r>
      <w:r w:rsidRPr="000019FB">
        <w:rPr>
          <w:szCs w:val="20"/>
        </w:rPr>
        <w:t xml:space="preserve"> the Justice Select Committee.</w:t>
      </w:r>
      <w:r>
        <w:rPr>
          <w:rStyle w:val="FootnoteReference"/>
          <w:szCs w:val="20"/>
        </w:rPr>
        <w:footnoteReference w:id="648"/>
      </w:r>
    </w:p>
    <w:p w14:paraId="1502FD39" w14:textId="77777777" w:rsidR="00116092" w:rsidRPr="0054540E" w:rsidRDefault="00116092" w:rsidP="00116092">
      <w:pPr>
        <w:pStyle w:val="Heading3"/>
      </w:pPr>
      <w:r>
        <w:t xml:space="preserve">The current law </w:t>
      </w:r>
    </w:p>
    <w:p w14:paraId="2EB92158" w14:textId="07315D79" w:rsidR="00116092" w:rsidRDefault="00116092" w:rsidP="009F4F6E">
      <w:pPr>
        <w:pStyle w:val="BodyText"/>
      </w:pPr>
      <w:r>
        <w:t>The Act</w:t>
      </w:r>
      <w:r w:rsidR="00EC181F">
        <w:t xml:space="preserve"> </w:t>
      </w:r>
      <w:r>
        <w:t>does not specifically address the admissibility of prison informant evidence. Instead, the general admissibility provisions in sections 7 and 8 apply.</w:t>
      </w:r>
      <w:r>
        <w:rPr>
          <w:rStyle w:val="FootnoteReference"/>
        </w:rPr>
        <w:footnoteReference w:id="649"/>
      </w:r>
      <w:r>
        <w:t xml:space="preserve"> This means that</w:t>
      </w:r>
      <w:r w:rsidR="00A87B9A">
        <w:t>,</w:t>
      </w:r>
      <w:r>
        <w:t xml:space="preserve"> to be admissible, prison informant evidence must be relevant, and its probative value must outweigh the risk that the evidence will have an unfairly prejudicial effect on the proceeding.</w:t>
      </w:r>
    </w:p>
    <w:p w14:paraId="0F40E8D7" w14:textId="3A4C77EC" w:rsidR="00116092" w:rsidRDefault="00116092" w:rsidP="009F4F6E">
      <w:pPr>
        <w:pStyle w:val="BodyText"/>
      </w:pPr>
      <w:r>
        <w:t>This reflects the position at common law, where prison informant evidence of a confession made by the defendant was admissible as an exception to the rule against hearsay.</w:t>
      </w:r>
      <w:r>
        <w:rPr>
          <w:rStyle w:val="FootnoteReference"/>
        </w:rPr>
        <w:footnoteReference w:id="650"/>
      </w:r>
      <w:r>
        <w:t xml:space="preserve"> Prior to the enactment of the Act, cellmate confessions were relied upon in a number of high-profile cases,</w:t>
      </w:r>
      <w:r>
        <w:rPr>
          <w:rStyle w:val="FootnoteReference"/>
        </w:rPr>
        <w:footnoteReference w:id="651"/>
      </w:r>
      <w:r>
        <w:t xml:space="preserve"> with the caveat that this type of evidence could still be excluded if it was of limited probative value and would cause considerable prejudice on the facts of a particular case.</w:t>
      </w:r>
      <w:r>
        <w:rPr>
          <w:rStyle w:val="FootnoteReference"/>
        </w:rPr>
        <w:footnoteReference w:id="652"/>
      </w:r>
    </w:p>
    <w:p w14:paraId="4831389A" w14:textId="06CCAF43" w:rsidR="00116092" w:rsidRDefault="00116092" w:rsidP="009F4F6E">
      <w:pPr>
        <w:pStyle w:val="BodyText"/>
      </w:pPr>
      <w:r>
        <w:t>T</w:t>
      </w:r>
      <w:r w:rsidR="008F4F33">
        <w:t>e Aka Matua o te Ture | Law</w:t>
      </w:r>
      <w:r>
        <w:t xml:space="preserve"> Commission did not explicitly address prison informant evidence in its preliminary paper or final report on the Evidence Code. At </w:t>
      </w:r>
      <w:r w:rsidRPr="00544459">
        <w:t>s</w:t>
      </w:r>
      <w:r w:rsidRPr="000E020A">
        <w:t>elect committee</w:t>
      </w:r>
      <w:r>
        <w:t xml:space="preserve"> stage, the Ministry of Justice advised, in response to a submission raising concerns about the absence of restrictions for prison informant evidence, that sections 7 and 8 provided sufficient protection and that more specific safeguards were not required.</w:t>
      </w:r>
      <w:r>
        <w:rPr>
          <w:rStyle w:val="FootnoteReference"/>
        </w:rPr>
        <w:footnoteReference w:id="653"/>
      </w:r>
    </w:p>
    <w:p w14:paraId="23554423" w14:textId="1FA91909" w:rsidR="00116092" w:rsidRDefault="00116092" w:rsidP="009F4F6E">
      <w:pPr>
        <w:pStyle w:val="BodyText"/>
      </w:pPr>
      <w:r>
        <w:t xml:space="preserve">The Act does, however, recognise the reliability concerns associated with prison informant evidence that is admitted in court by providing for judicial directions under section 122. Section 122 requires a judge to consider giving a reliability warning in relation </w:t>
      </w:r>
      <w:r>
        <w:lastRenderedPageBreak/>
        <w:t>to certain types of evidence</w:t>
      </w:r>
      <w:r w:rsidR="002B2AAE">
        <w:t>,</w:t>
      </w:r>
      <w:r>
        <w:t xml:space="preserve"> including, at section 122(2)(d) “evidence of a statement by the defendant to another person made while both the defendant and the other person were detained in prison, a Police station or another place of detention</w:t>
      </w:r>
      <w:r w:rsidR="00834A42">
        <w:t>”.</w:t>
      </w:r>
      <w:r>
        <w:t xml:space="preserve"> This provision was added to the Evidence Bill at </w:t>
      </w:r>
      <w:r w:rsidRPr="001B48D7">
        <w:t>select committee</w:t>
      </w:r>
      <w:r>
        <w:t xml:space="preserve"> stage in response to specific concerns about the reliability of prison informant evidence.</w:t>
      </w:r>
      <w:r>
        <w:rPr>
          <w:rStyle w:val="FootnoteReference"/>
        </w:rPr>
        <w:footnoteReference w:id="654"/>
      </w:r>
    </w:p>
    <w:p w14:paraId="1923C48A" w14:textId="77777777" w:rsidR="00116092" w:rsidRDefault="00116092" w:rsidP="009F4F6E">
      <w:pPr>
        <w:pStyle w:val="BodyText"/>
      </w:pPr>
      <w:r>
        <w:t>Section 122(2)(c) also requires the judge to consider giving a warning in relation to “evidence given by a witness who may have a motive to give false evidence that is prejudicial to a defendant”, potentially covering a wider class of incentivised witnesses.</w:t>
      </w:r>
    </w:p>
    <w:p w14:paraId="0C37A319" w14:textId="0011CF07" w:rsidR="00116092" w:rsidRDefault="00116092" w:rsidP="00116092">
      <w:pPr>
        <w:pStyle w:val="Heading3"/>
      </w:pPr>
      <w:r>
        <w:t xml:space="preserve">Previous Law Commission </w:t>
      </w:r>
      <w:r w:rsidR="00A8121A">
        <w:t>r</w:t>
      </w:r>
      <w:r>
        <w:t>eviews</w:t>
      </w:r>
    </w:p>
    <w:p w14:paraId="4D78BC11" w14:textId="26544910" w:rsidR="00116092" w:rsidRDefault="00116092" w:rsidP="009F4F6E">
      <w:pPr>
        <w:pStyle w:val="BodyText"/>
      </w:pPr>
      <w:r>
        <w:t xml:space="preserve">Previous Commission reviews only briefly touched on issues related to prison informant evidence. The 2013 Review </w:t>
      </w:r>
      <w:r w:rsidR="00A8121A">
        <w:t xml:space="preserve">of the Act </w:t>
      </w:r>
      <w:r>
        <w:t>considered whether section 122 should be amended to provide further guidance as to when a warning should be given, or as to the content of warnings.</w:t>
      </w:r>
      <w:r>
        <w:rPr>
          <w:rStyle w:val="FootnoteReference"/>
        </w:rPr>
        <w:footnoteReference w:id="655"/>
      </w:r>
      <w:r>
        <w:t xml:space="preserve"> The Commission concluded that further legislative guidance would be unhelpful. Section 122 covers a range of evidence</w:t>
      </w:r>
      <w:r w:rsidR="0001277B">
        <w:t>,</w:t>
      </w:r>
      <w:r>
        <w:t xml:space="preserve"> which makes it difficult to prescribe the circumstances in which a direction should be given, or the content therein. This was properly a role for the judge on a case-by-case basis.</w:t>
      </w:r>
      <w:r>
        <w:rPr>
          <w:rStyle w:val="FootnoteReference"/>
        </w:rPr>
        <w:footnoteReference w:id="656"/>
      </w:r>
    </w:p>
    <w:p w14:paraId="2BD3A4AE" w14:textId="60301F79" w:rsidR="00116092" w:rsidRPr="00754708" w:rsidRDefault="00116092" w:rsidP="009F4F6E">
      <w:pPr>
        <w:pStyle w:val="BodyText"/>
      </w:pPr>
      <w:r>
        <w:t>The</w:t>
      </w:r>
      <w:r w:rsidR="001C127B">
        <w:t xml:space="preserve"> Commission’s</w:t>
      </w:r>
      <w:r>
        <w:t xml:space="preserve"> Second Review </w:t>
      </w:r>
      <w:r w:rsidR="001C127B">
        <w:t xml:space="preserve">of the Act </w:t>
      </w:r>
      <w:r>
        <w:t>noted the issue of prison informant evidence in response to two submissions arguing for it to be subject to specific controls in the Act.</w:t>
      </w:r>
      <w:r>
        <w:rPr>
          <w:rStyle w:val="FootnoteReference"/>
        </w:rPr>
        <w:footnoteReference w:id="657"/>
      </w:r>
      <w:r>
        <w:t xml:space="preserve"> The Commission noted the Supreme Court’s decision in </w:t>
      </w:r>
      <w:r>
        <w:rPr>
          <w:i/>
          <w:iCs/>
        </w:rPr>
        <w:t xml:space="preserve">Hudson v R </w:t>
      </w:r>
      <w:r>
        <w:t>as the leading authority on this issue at that point in time and agreed that this type of evidence “may pose significant risks and requires careful scrutiny”.</w:t>
      </w:r>
      <w:r>
        <w:rPr>
          <w:rStyle w:val="FootnoteReference"/>
        </w:rPr>
        <w:footnoteReference w:id="658"/>
      </w:r>
      <w:r>
        <w:t xml:space="preserve"> In the absence of problems in practice, however, it concluded that the issue of prison informant evidence was beyond the scope of an operational review.</w:t>
      </w:r>
    </w:p>
    <w:p w14:paraId="71616C24" w14:textId="77777777" w:rsidR="00116092" w:rsidRDefault="00116092" w:rsidP="00116092">
      <w:pPr>
        <w:pStyle w:val="Heading2"/>
      </w:pPr>
      <w:bookmarkStart w:id="129" w:name="_Toc132962576"/>
      <w:r>
        <w:t>Issues for consideration</w:t>
      </w:r>
      <w:bookmarkEnd w:id="129"/>
    </w:p>
    <w:p w14:paraId="417EA57A" w14:textId="77777777" w:rsidR="00116092" w:rsidRDefault="00116092" w:rsidP="009F4F6E">
      <w:pPr>
        <w:pStyle w:val="BodyText"/>
      </w:pPr>
      <w:r>
        <w:t>The issues we consider in this chapter relate to whether the current law, including the recent guidance from the Supreme Court,</w:t>
      </w:r>
      <w:r>
        <w:rPr>
          <w:rStyle w:val="FootnoteReference"/>
        </w:rPr>
        <w:footnoteReference w:id="659"/>
      </w:r>
      <w:r>
        <w:t xml:space="preserve"> is sufficient to address the risks posed by prison informant evidence. Below we consider:</w:t>
      </w:r>
    </w:p>
    <w:p w14:paraId="329F11A9" w14:textId="77777777" w:rsidR="00116092" w:rsidRDefault="00116092" w:rsidP="00866891">
      <w:pPr>
        <w:pStyle w:val="BodyTextnonum"/>
        <w:numPr>
          <w:ilvl w:val="3"/>
          <w:numId w:val="25"/>
        </w:numPr>
      </w:pPr>
      <w:r>
        <w:t>the admissibility of prison informant evidence:</w:t>
      </w:r>
    </w:p>
    <w:p w14:paraId="1B756028" w14:textId="77777777" w:rsidR="00116092" w:rsidRDefault="00116092" w:rsidP="00866891">
      <w:pPr>
        <w:pStyle w:val="BodyTextnonum"/>
        <w:numPr>
          <w:ilvl w:val="3"/>
          <w:numId w:val="25"/>
        </w:numPr>
      </w:pPr>
      <w:r>
        <w:t>the use of judicial directions in relation to prison informant evidence that is admitted at trial;</w:t>
      </w:r>
    </w:p>
    <w:p w14:paraId="00F69742" w14:textId="77777777" w:rsidR="00116092" w:rsidRDefault="00116092" w:rsidP="00866891">
      <w:pPr>
        <w:pStyle w:val="BodyTextnonum"/>
        <w:numPr>
          <w:ilvl w:val="3"/>
          <w:numId w:val="25"/>
        </w:numPr>
      </w:pPr>
      <w:r>
        <w:t>whether additional safeguards are appropriate, either in addition to or as an alternative to reform of the Act; and</w:t>
      </w:r>
    </w:p>
    <w:p w14:paraId="0F155F59" w14:textId="77777777" w:rsidR="00116092" w:rsidRDefault="00116092" w:rsidP="00866891">
      <w:pPr>
        <w:pStyle w:val="BodyTextnonum"/>
        <w:numPr>
          <w:ilvl w:val="3"/>
          <w:numId w:val="25"/>
        </w:numPr>
      </w:pPr>
      <w:r>
        <w:lastRenderedPageBreak/>
        <w:t>whether any proposed amendments or additional safeguards should also apply to other incentivised witnesses.</w:t>
      </w:r>
    </w:p>
    <w:p w14:paraId="41F79ECB" w14:textId="77777777" w:rsidR="00116092" w:rsidRDefault="00116092" w:rsidP="00116092">
      <w:pPr>
        <w:pStyle w:val="Heading2"/>
      </w:pPr>
      <w:bookmarkStart w:id="130" w:name="_Toc132962577"/>
      <w:r>
        <w:t>Admissibility of prison informant evidence</w:t>
      </w:r>
      <w:bookmarkEnd w:id="130"/>
    </w:p>
    <w:p w14:paraId="53939F55" w14:textId="77777777" w:rsidR="00116092" w:rsidRDefault="00116092" w:rsidP="009F4F6E">
      <w:pPr>
        <w:pStyle w:val="BodyText"/>
      </w:pPr>
      <w:r>
        <w:t xml:space="preserve">While the Act does not specifically address the admissibility of prison informant evidence, a body of case law has developed on the topic. In </w:t>
      </w:r>
      <w:r>
        <w:rPr>
          <w:i/>
          <w:iCs/>
        </w:rPr>
        <w:t>Hudson v R</w:t>
      </w:r>
      <w:r w:rsidR="00E17AA6" w:rsidRPr="00E17AA6">
        <w:t>,</w:t>
      </w:r>
      <w:r>
        <w:rPr>
          <w:i/>
          <w:iCs/>
        </w:rPr>
        <w:t xml:space="preserve"> </w:t>
      </w:r>
      <w:r>
        <w:t>the Supreme Court confirmed that there was no presumption that prison informant evidence is inadmissible.</w:t>
      </w:r>
      <w:r>
        <w:rPr>
          <w:rStyle w:val="FootnoteReference"/>
        </w:rPr>
        <w:footnoteReference w:id="660"/>
      </w:r>
      <w:r>
        <w:t xml:space="preserve"> Such a presumption would be inconsistent with the Act’s intention that “reliability decisions should be made by a properly cautioned jury”.</w:t>
      </w:r>
      <w:r>
        <w:rPr>
          <w:rStyle w:val="FootnoteReference"/>
        </w:rPr>
        <w:footnoteReference w:id="661"/>
      </w:r>
      <w:r>
        <w:t xml:space="preserve"> The Court acknowledged the reliability risks of this type of evidence, however, and held that this was a class of evidence requiring “careful scrutiny”.</w:t>
      </w:r>
      <w:r>
        <w:rPr>
          <w:rStyle w:val="FootnoteReference"/>
        </w:rPr>
        <w:footnoteReference w:id="662"/>
      </w:r>
      <w:r>
        <w:t xml:space="preserve"> The Court recognised there may be scope for the exclusion of prison informant evidence under sections 7 and 8 of the Act.</w:t>
      </w:r>
    </w:p>
    <w:p w14:paraId="61547045" w14:textId="26619927" w:rsidR="00116092" w:rsidRDefault="00116092" w:rsidP="009F4F6E">
      <w:pPr>
        <w:pStyle w:val="BodyText"/>
      </w:pPr>
      <w:r>
        <w:t xml:space="preserve">In </w:t>
      </w:r>
      <w:r>
        <w:rPr>
          <w:i/>
          <w:iCs/>
        </w:rPr>
        <w:t xml:space="preserve">W </w:t>
      </w:r>
      <w:r w:rsidR="00380C95">
        <w:rPr>
          <w:i/>
          <w:iCs/>
        </w:rPr>
        <w:t>(SC 38/2019)</w:t>
      </w:r>
      <w:r>
        <w:rPr>
          <w:i/>
          <w:iCs/>
        </w:rPr>
        <w:t xml:space="preserve"> v R </w:t>
      </w:r>
      <w:r>
        <w:t xml:space="preserve">and </w:t>
      </w:r>
      <w:r>
        <w:rPr>
          <w:i/>
          <w:iCs/>
        </w:rPr>
        <w:t>R v Roigard</w:t>
      </w:r>
      <w:r w:rsidR="00E17AA6" w:rsidRPr="00E17AA6">
        <w:t>,</w:t>
      </w:r>
      <w:r>
        <w:rPr>
          <w:i/>
          <w:iCs/>
        </w:rPr>
        <w:t xml:space="preserve"> </w:t>
      </w:r>
      <w:r>
        <w:t>heard by the Supreme Court concurrently, the Court examined the extent to which reliability issues could be considered in determining whether prison informant evidence was relevant under section 7 and whether its probative value is outweighed by the risk of unfair prejudice under section 8.</w:t>
      </w:r>
      <w:r>
        <w:rPr>
          <w:rStyle w:val="FootnoteReference"/>
        </w:rPr>
        <w:footnoteReference w:id="663"/>
      </w:r>
      <w:r>
        <w:t xml:space="preserve"> The Court considered that the exclusion of evidence under section 7 on the basis of unreliability will be rare and confined to cases where “the evidence is so unreliable that it could not be accepted or given any weight at all by a reasonable judge or jury”.</w:t>
      </w:r>
      <w:r>
        <w:rPr>
          <w:rStyle w:val="FootnoteReference"/>
        </w:rPr>
        <w:footnoteReference w:id="664"/>
      </w:r>
      <w:r>
        <w:t xml:space="preserve"> However, the reliability of prison informant evidence could be considered under section 8, under which the judge is undertaking a gatekeeping role.</w:t>
      </w:r>
      <w:r>
        <w:rPr>
          <w:rStyle w:val="FootnoteReference"/>
        </w:rPr>
        <w:footnoteReference w:id="665"/>
      </w:r>
    </w:p>
    <w:p w14:paraId="7F63F296" w14:textId="77777777" w:rsidR="00116092" w:rsidRDefault="00116092" w:rsidP="009F4F6E">
      <w:pPr>
        <w:pStyle w:val="BodyText"/>
      </w:pPr>
      <w:r>
        <w:t xml:space="preserve">The Court agreed with the decision in </w:t>
      </w:r>
      <w:r w:rsidRPr="008D048B">
        <w:rPr>
          <w:i/>
          <w:iCs/>
        </w:rPr>
        <w:t xml:space="preserve">Hudson </w:t>
      </w:r>
      <w:r>
        <w:t>that prison informant evidence required “careful scrutiny” under section 8 and outlined a framework for assessing prison informant evidence in the course of that balancing exercise.</w:t>
      </w:r>
      <w:r>
        <w:rPr>
          <w:rStyle w:val="FootnoteReference"/>
        </w:rPr>
        <w:footnoteReference w:id="666"/>
      </w:r>
      <w:r>
        <w:t xml:space="preserve"> Here, the majority and the minority differed in their approaches. The majority stated:</w:t>
      </w:r>
      <w:r>
        <w:rPr>
          <w:rStyle w:val="FootnoteReference"/>
        </w:rPr>
        <w:footnoteReference w:id="667"/>
      </w:r>
    </w:p>
    <w:p w14:paraId="385E576F" w14:textId="6EA63151" w:rsidR="00116092" w:rsidRDefault="00116092" w:rsidP="001B4231">
      <w:pPr>
        <w:pStyle w:val="QuoteIndent1"/>
        <w:ind w:left="1843" w:hanging="283"/>
      </w:pPr>
      <w:r>
        <w:t xml:space="preserve">(a) The concern in undertaking this evaluation is to determine whether the connection between the evidence and proof is worth the price to be paid by admitting it in evidence. </w:t>
      </w:r>
    </w:p>
    <w:p w14:paraId="164D0961" w14:textId="78BED1AE" w:rsidR="00116092" w:rsidRDefault="00116092" w:rsidP="001B4231">
      <w:pPr>
        <w:pStyle w:val="QuoteIndent1"/>
        <w:ind w:left="1843" w:hanging="283"/>
      </w:pPr>
      <w:r>
        <w:t xml:space="preserve">(b) In undertaking the gatekeeping role, reliability may be considered by the judge in balancing, in the usual way, the probative value of the proposed evidence against the risk of illegitimate prejudice. That reliability assessment should be made without applying any artificial limits or presumptions such as taking the evidence at its highest. </w:t>
      </w:r>
    </w:p>
    <w:p w14:paraId="246D8FBA" w14:textId="4B7EF7B9" w:rsidR="00116092" w:rsidRDefault="00116092" w:rsidP="001B4231">
      <w:pPr>
        <w:pStyle w:val="QuoteIndent1"/>
        <w:ind w:left="1843" w:hanging="283"/>
      </w:pPr>
      <w:r>
        <w:t xml:space="preserve">(c) The relevant factors will include consideration of the sorts of concerns about this evidence as has been discussed and which might include, for example, that the credibility of the witness in an informant context has previously been doubted, any incentives or expectations of preferences at play (including the inability of the </w:t>
      </w:r>
      <w:r>
        <w:lastRenderedPageBreak/>
        <w:t xml:space="preserve">prosecution to confirm whether incentives have been offered or given), and the likely weight to be attached to this evidence. </w:t>
      </w:r>
    </w:p>
    <w:p w14:paraId="1A2FA2F9" w14:textId="60F24341" w:rsidR="00116092" w:rsidRDefault="00116092" w:rsidP="001B4231">
      <w:pPr>
        <w:pStyle w:val="QuoteIndent1"/>
        <w:ind w:left="1843" w:hanging="283"/>
      </w:pPr>
      <w:r>
        <w:t>(d) On the other hand, the exercise is not that of a mini trial. The judge will be making his or her assessment in the absence of the full picture of the evidence as it may emerge at trial.</w:t>
      </w:r>
    </w:p>
    <w:p w14:paraId="308BDA1D" w14:textId="490B06A7" w:rsidR="00116092" w:rsidRDefault="00116092" w:rsidP="001B4231">
      <w:pPr>
        <w:pStyle w:val="QuoteIndent1"/>
        <w:ind w:left="1843" w:hanging="283"/>
      </w:pPr>
      <w:r>
        <w:t xml:space="preserve">(e) Finally, the constitutional role of the jury as fact-finder needs to be respected. As has been indicated, the statutory scheme and the authorities, particularly Hudson, which we are not overruling, envisage that the court will utilise other mechanisms such as clear judicial directions to the jury to address the generic risk of unfair prejudice. </w:t>
      </w:r>
    </w:p>
    <w:p w14:paraId="003B5219" w14:textId="77777777" w:rsidR="00116092" w:rsidRDefault="00116092" w:rsidP="009F4F6E">
      <w:pPr>
        <w:pStyle w:val="BodyText"/>
      </w:pPr>
      <w:r>
        <w:t>The minority agreed with that approach but went further, proposing a more detailed framework to guide the scrutiny of prison informant evidence under section 8, based on what is known about the risks associated with this type of evidence.</w:t>
      </w:r>
      <w:r>
        <w:rPr>
          <w:rStyle w:val="FootnoteReference"/>
        </w:rPr>
        <w:footnoteReference w:id="668"/>
      </w:r>
      <w:r>
        <w:t xml:space="preserve"> Summarised, the considerations were as follows:</w:t>
      </w:r>
    </w:p>
    <w:p w14:paraId="7EC92819" w14:textId="77777777" w:rsidR="00116092" w:rsidRDefault="00116092" w:rsidP="00866891">
      <w:pPr>
        <w:pStyle w:val="BodyTextnonum"/>
        <w:numPr>
          <w:ilvl w:val="3"/>
          <w:numId w:val="28"/>
        </w:numPr>
      </w:pPr>
      <w:r>
        <w:t xml:space="preserve">Considerations relevant to probative value: </w:t>
      </w:r>
    </w:p>
    <w:p w14:paraId="06144EEF" w14:textId="77777777" w:rsidR="00116092" w:rsidRDefault="00116092" w:rsidP="00866891">
      <w:pPr>
        <w:pStyle w:val="BodyTextIndent2"/>
        <w:numPr>
          <w:ilvl w:val="5"/>
          <w:numId w:val="38"/>
        </w:numPr>
      </w:pPr>
      <w:r>
        <w:t>the significance of the evidence to a matter at issue;</w:t>
      </w:r>
    </w:p>
    <w:p w14:paraId="5424CE76" w14:textId="77777777" w:rsidR="00116092" w:rsidRDefault="00116092" w:rsidP="00866891">
      <w:pPr>
        <w:pStyle w:val="BodyTextIndent2"/>
        <w:numPr>
          <w:ilvl w:val="5"/>
          <w:numId w:val="38"/>
        </w:numPr>
      </w:pPr>
      <w:r>
        <w:t xml:space="preserve">any indications the evidence is unreliable or untrue (such as its plausibility and whether it is consistent with other evidence); </w:t>
      </w:r>
    </w:p>
    <w:p w14:paraId="23116214" w14:textId="77777777" w:rsidR="00116092" w:rsidRDefault="00116092" w:rsidP="00866891">
      <w:pPr>
        <w:pStyle w:val="BodyTextIndent2"/>
        <w:numPr>
          <w:ilvl w:val="5"/>
          <w:numId w:val="38"/>
        </w:numPr>
      </w:pPr>
      <w:r>
        <w:t>whether the evidence is incentivised (or any indications it might have been, such as the timing of the evidence);</w:t>
      </w:r>
    </w:p>
    <w:p w14:paraId="6CEC719B" w14:textId="77777777" w:rsidR="00116092" w:rsidRDefault="00116092" w:rsidP="00866891">
      <w:pPr>
        <w:pStyle w:val="BodyTextIndent2"/>
        <w:numPr>
          <w:ilvl w:val="5"/>
          <w:numId w:val="38"/>
        </w:numPr>
      </w:pPr>
      <w:r>
        <w:t xml:space="preserve">whether the witness had other motives to lie; </w:t>
      </w:r>
    </w:p>
    <w:p w14:paraId="45CF2711" w14:textId="77777777" w:rsidR="00116092" w:rsidRDefault="00116092" w:rsidP="00866891">
      <w:pPr>
        <w:pStyle w:val="BodyTextIndent2"/>
        <w:numPr>
          <w:ilvl w:val="5"/>
          <w:numId w:val="38"/>
        </w:numPr>
      </w:pPr>
      <w:r>
        <w:t>whether the witness has a record of lying; and</w:t>
      </w:r>
    </w:p>
    <w:p w14:paraId="371A9669" w14:textId="77777777" w:rsidR="00116092" w:rsidRDefault="00116092" w:rsidP="00866891">
      <w:pPr>
        <w:pStyle w:val="BodyTextIndent2"/>
        <w:numPr>
          <w:ilvl w:val="5"/>
          <w:numId w:val="38"/>
        </w:numPr>
      </w:pPr>
      <w:r>
        <w:t xml:space="preserve">other circumstances relevant to the collection of the evidence (such as indications the witness could have obtained relevant details from interactions with the police). </w:t>
      </w:r>
    </w:p>
    <w:p w14:paraId="12090ED1" w14:textId="77777777" w:rsidR="00116092" w:rsidRDefault="00116092" w:rsidP="00866891">
      <w:pPr>
        <w:pStyle w:val="BodyTextnonum"/>
        <w:numPr>
          <w:ilvl w:val="3"/>
          <w:numId w:val="28"/>
        </w:numPr>
      </w:pPr>
      <w:r>
        <w:t>Considerations relevant to risk of unfair prejudice:</w:t>
      </w:r>
    </w:p>
    <w:p w14:paraId="008A2525" w14:textId="77777777" w:rsidR="00116092" w:rsidRDefault="00116092" w:rsidP="00866891">
      <w:pPr>
        <w:pStyle w:val="BodyTextIndent2"/>
        <w:numPr>
          <w:ilvl w:val="5"/>
          <w:numId w:val="39"/>
        </w:numPr>
      </w:pPr>
      <w:r>
        <w:t>collateral prejudice (if the evidence necessarily implies the defendant was in prison on an unrelated charges); and</w:t>
      </w:r>
    </w:p>
    <w:p w14:paraId="4EBFBF47" w14:textId="2731A904" w:rsidR="00116092" w:rsidRDefault="00116092" w:rsidP="00866891">
      <w:pPr>
        <w:pStyle w:val="BodyTextIndent2"/>
        <w:numPr>
          <w:ilvl w:val="5"/>
          <w:numId w:val="38"/>
        </w:numPr>
      </w:pPr>
      <w:r>
        <w:t xml:space="preserve">cumulative prejudice (the risk that if multiple witnesses in this category are called, a </w:t>
      </w:r>
      <w:r w:rsidR="00E97CFE">
        <w:t>fact-finder</w:t>
      </w:r>
      <w:r>
        <w:t xml:space="preserve"> may see their evidence as corroborating each other when properly assessed it does not).</w:t>
      </w:r>
    </w:p>
    <w:p w14:paraId="2D19E189" w14:textId="77777777" w:rsidR="00116092" w:rsidRDefault="00116092" w:rsidP="009F4F6E">
      <w:pPr>
        <w:pStyle w:val="BodyText"/>
      </w:pPr>
      <w:r>
        <w:t>Applying that framework, the minority reached different conclusions on admissibility.</w:t>
      </w:r>
      <w:r>
        <w:rPr>
          <w:rStyle w:val="FootnoteReference"/>
        </w:rPr>
        <w:footnoteReference w:id="669"/>
      </w:r>
      <w:r>
        <w:t xml:space="preserve"> The majority rejected this framework on the basis that the factors identified would cross the threshold into matters properly reserved for trial and cross-examination.</w:t>
      </w:r>
      <w:r>
        <w:rPr>
          <w:rStyle w:val="FootnoteReference"/>
        </w:rPr>
        <w:footnoteReference w:id="670"/>
      </w:r>
    </w:p>
    <w:p w14:paraId="54EE026F" w14:textId="2BEBF37C" w:rsidR="00116092" w:rsidRDefault="00116092" w:rsidP="009F4F6E">
      <w:pPr>
        <w:pStyle w:val="BodyText"/>
      </w:pPr>
      <w:r>
        <w:t>The Court also considered that additional non-legislative safeguards were “important and necessary”,</w:t>
      </w:r>
      <w:r>
        <w:rPr>
          <w:rStyle w:val="FootnoteReference"/>
        </w:rPr>
        <w:footnoteReference w:id="671"/>
      </w:r>
      <w:r>
        <w:t xml:space="preserve"> including further guidance for prosecutors on the use of prison informant </w:t>
      </w:r>
      <w:r>
        <w:lastRenderedPageBreak/>
        <w:t xml:space="preserve">evidence </w:t>
      </w:r>
      <w:r w:rsidR="002D076F">
        <w:t>that</w:t>
      </w:r>
      <w:r>
        <w:t xml:space="preserve"> the Solicitor-General was in the process of considering.</w:t>
      </w:r>
      <w:r>
        <w:rPr>
          <w:rStyle w:val="FootnoteReference"/>
        </w:rPr>
        <w:footnoteReference w:id="672"/>
      </w:r>
      <w:r>
        <w:t xml:space="preserve"> The Solicitor-General subsequently published guidelines for prosecutors on the use of prison informant evidence in August 2021.</w:t>
      </w:r>
      <w:r>
        <w:rPr>
          <w:rStyle w:val="FootnoteReference"/>
        </w:rPr>
        <w:footnoteReference w:id="673"/>
      </w:r>
      <w:r>
        <w:t xml:space="preserve"> They set out guiding principles and a non-exhaustive list of factors affecting reliability that should be considered by prosecutors when deciding whether to offer prison informant evidence in court. The factors address the prison informant’s motive (including whether the information was solicited or offered and any offers or promises made to the informant), the circumstances of the alleged interactions with the defendant (including the plausibility of the informant’s account), the existence of confirmatory evidence, opportunity to concoct and the character and state of the informant (including their conviction history and whether and how they have given prison informant evidence in the past).</w:t>
      </w:r>
      <w:r>
        <w:rPr>
          <w:rStyle w:val="FootnoteReference"/>
        </w:rPr>
        <w:footnoteReference w:id="674"/>
      </w:r>
    </w:p>
    <w:p w14:paraId="49E048F8" w14:textId="77777777" w:rsidR="00116092" w:rsidRDefault="00116092" w:rsidP="00116092">
      <w:pPr>
        <w:pStyle w:val="Heading3"/>
      </w:pPr>
      <w:r>
        <w:t>Is the current approach adequate to address the risks associated with prison informant evidence?</w:t>
      </w:r>
    </w:p>
    <w:p w14:paraId="3C5C3A78" w14:textId="1505DB93" w:rsidR="00116092" w:rsidRDefault="00116092" w:rsidP="009F4F6E">
      <w:pPr>
        <w:pStyle w:val="BodyText"/>
      </w:pPr>
      <w:r w:rsidRPr="00E76AE8">
        <w:t xml:space="preserve">As discussed above, the risks associated with prison informant evidence are considerable. This was acknowledged by the Supreme Court in </w:t>
      </w:r>
      <w:r w:rsidRPr="00E76AE8">
        <w:rPr>
          <w:i/>
          <w:iCs/>
        </w:rPr>
        <w:t xml:space="preserve">W </w:t>
      </w:r>
      <w:r w:rsidR="00380C95">
        <w:rPr>
          <w:i/>
          <w:iCs/>
        </w:rPr>
        <w:t xml:space="preserve">(SC 38/2019) </w:t>
      </w:r>
      <w:r w:rsidRPr="00E76AE8">
        <w:rPr>
          <w:i/>
          <w:iCs/>
        </w:rPr>
        <w:t>v R</w:t>
      </w:r>
      <w:r w:rsidR="00E17AA6" w:rsidRPr="00E17AA6">
        <w:t>,</w:t>
      </w:r>
      <w:r w:rsidRPr="00E76AE8">
        <w:rPr>
          <w:i/>
          <w:iCs/>
        </w:rPr>
        <w:t xml:space="preserve"> </w:t>
      </w:r>
      <w:r w:rsidRPr="00E76AE8">
        <w:t>which represents an</w:t>
      </w:r>
      <w:r w:rsidRPr="00274FB4">
        <w:rPr>
          <w:rStyle w:val="cf01"/>
          <w:szCs w:val="20"/>
        </w:rPr>
        <w:t xml:space="preserve"> </w:t>
      </w:r>
      <w:r>
        <w:t>“important shift in emphasis” in bolstering the role of the judicial gatekeeper with regard to reliability.</w:t>
      </w:r>
      <w:r>
        <w:rPr>
          <w:rStyle w:val="FootnoteReference"/>
        </w:rPr>
        <w:footnoteReference w:id="675"/>
      </w:r>
      <w:r>
        <w:t xml:space="preserve"> The division between the majority and minority, however, highlights disagreement as to how this gatekeeping role should be approached. Additionally, the Court itself called for further safeguards to address the risks of prison informant evidence, suggesting that it did not consider the current legal framework, even with the guidance set out in that decision, was sufficient to guard against these risks.</w:t>
      </w:r>
    </w:p>
    <w:p w14:paraId="393BE868" w14:textId="2B57DD3C" w:rsidR="00116092" w:rsidRDefault="00116092" w:rsidP="009F4F6E">
      <w:pPr>
        <w:pStyle w:val="BodyText"/>
      </w:pPr>
      <w:r>
        <w:t xml:space="preserve">It is difficult to assess the extent of any continuing concerns in practice. Not enough time has passed to be able to identify the impact of the Court’s decisions in </w:t>
      </w:r>
      <w:r w:rsidRPr="00796B5E">
        <w:rPr>
          <w:i/>
          <w:iCs/>
        </w:rPr>
        <w:t xml:space="preserve">W </w:t>
      </w:r>
      <w:r w:rsidR="00380C95">
        <w:rPr>
          <w:i/>
          <w:iCs/>
        </w:rPr>
        <w:t>(SC 38/2019)</w:t>
      </w:r>
      <w:r w:rsidRPr="00796B5E">
        <w:rPr>
          <w:i/>
          <w:iCs/>
        </w:rPr>
        <w:t xml:space="preserve"> v R </w:t>
      </w:r>
      <w:r>
        <w:t xml:space="preserve">and </w:t>
      </w:r>
      <w:r w:rsidRPr="00796B5E">
        <w:rPr>
          <w:i/>
          <w:iCs/>
        </w:rPr>
        <w:t xml:space="preserve">Roigard </w:t>
      </w:r>
      <w:r>
        <w:t xml:space="preserve">or the Solicitor-General’s guidance, on admissibility decisions. </w:t>
      </w:r>
    </w:p>
    <w:p w14:paraId="4A4FBD51" w14:textId="1EFF33D4" w:rsidR="00116092" w:rsidRDefault="00BD27D1" w:rsidP="009F4F6E">
      <w:pPr>
        <w:pStyle w:val="BodyText"/>
      </w:pPr>
      <w:r>
        <w:t>Preliminary</w:t>
      </w:r>
      <w:r w:rsidR="00116092">
        <w:t xml:space="preserve"> feedback from stakeholders, however, suggests that there is still concern about this type of evidence and whether the mechanisms and processes in place are sufficient to protect against the risks it poses. Commentors have observed that further protections may be desirable, noting that the Supreme Court was constrained in its approach by the Act.</w:t>
      </w:r>
      <w:r w:rsidR="00116092">
        <w:rPr>
          <w:rStyle w:val="FootnoteReference"/>
        </w:rPr>
        <w:footnoteReference w:id="676"/>
      </w:r>
    </w:p>
    <w:p w14:paraId="701E969A" w14:textId="319ADC0E" w:rsidR="00116092" w:rsidRDefault="00EC2230" w:rsidP="009F4F6E">
      <w:pPr>
        <w:pStyle w:val="BodyText"/>
      </w:pPr>
      <w:r w:rsidRPr="00EC2230">
        <w:rPr>
          <w:noProof/>
        </w:rPr>
        <mc:AlternateContent>
          <mc:Choice Requires="wpg">
            <w:drawing>
              <wp:anchor distT="0" distB="0" distL="114300" distR="114300" simplePos="0" relativeHeight="251658313" behindDoc="1" locked="0" layoutInCell="1" allowOverlap="1" wp14:anchorId="576DA75C" wp14:editId="13624E39">
                <wp:simplePos x="0" y="0"/>
                <wp:positionH relativeFrom="column">
                  <wp:posOffset>0</wp:posOffset>
                </wp:positionH>
                <wp:positionV relativeFrom="paragraph">
                  <wp:posOffset>620082</wp:posOffset>
                </wp:positionV>
                <wp:extent cx="5760085" cy="1075690"/>
                <wp:effectExtent l="0" t="0" r="0" b="0"/>
                <wp:wrapNone/>
                <wp:docPr id="764517992" name="Group 764517992" descr="Question"/>
                <wp:cNvGraphicFramePr/>
                <a:graphic xmlns:a="http://schemas.openxmlformats.org/drawingml/2006/main">
                  <a:graphicData uri="http://schemas.microsoft.com/office/word/2010/wordprocessingGroup">
                    <wpg:wgp>
                      <wpg:cNvGrpSpPr/>
                      <wpg:grpSpPr>
                        <a:xfrm>
                          <a:off x="0" y="0"/>
                          <a:ext cx="5760085" cy="1075690"/>
                          <a:chOff x="0" y="62865"/>
                          <a:chExt cx="5760085" cy="1076415"/>
                        </a:xfrm>
                      </wpg:grpSpPr>
                      <wps:wsp>
                        <wps:cNvPr id="76451799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3FEBBA" w14:textId="77777777" w:rsidR="00EC2230" w:rsidRDefault="00EC2230" w:rsidP="00EC2230">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94" name="Group 53"/>
                        <wpg:cNvGrpSpPr>
                          <a:grpSpLocks/>
                        </wpg:cNvGrpSpPr>
                        <wpg:grpSpPr bwMode="auto">
                          <a:xfrm>
                            <a:off x="0" y="315799"/>
                            <a:ext cx="5760085" cy="823481"/>
                            <a:chOff x="1837" y="1787"/>
                            <a:chExt cx="9302" cy="8895"/>
                          </a:xfrm>
                        </wpg:grpSpPr>
                        <wps:wsp>
                          <wps:cNvPr id="764517995" name="Freeform 54"/>
                          <wps:cNvSpPr>
                            <a:spLocks/>
                          </wps:cNvSpPr>
                          <wps:spPr bwMode="auto">
                            <a:xfrm>
                              <a:off x="1837" y="1787"/>
                              <a:ext cx="9302" cy="889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7996" name="Group 764517996"/>
                        <wpg:cNvGrpSpPr/>
                        <wpg:grpSpPr>
                          <a:xfrm>
                            <a:off x="0" y="494036"/>
                            <a:ext cx="1443794" cy="252000"/>
                            <a:chOff x="-15880" y="0"/>
                            <a:chExt cx="1444379" cy="252068"/>
                          </a:xfrm>
                        </wpg:grpSpPr>
                        <wps:wsp>
                          <wps:cNvPr id="76451799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799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B3D7DD" w14:textId="77777777" w:rsidR="00EC2230" w:rsidRPr="00E90B8A" w:rsidRDefault="00EC2230" w:rsidP="00EC2230">
                                <w:pPr>
                                  <w:pStyle w:val="BoxTitle"/>
                                  <w:spacing w:before="0" w:beforeAutospacing="0"/>
                                  <w:rPr>
                                    <w:sz w:val="18"/>
                                    <w:szCs w:val="18"/>
                                  </w:rPr>
                                </w:pPr>
                                <w:r w:rsidRPr="00E90B8A">
                                  <w:rPr>
                                    <w:sz w:val="18"/>
                                    <w:szCs w:val="18"/>
                                  </w:rPr>
                                  <w:t>Q</w:t>
                                </w:r>
                                <w:r>
                                  <w:rPr>
                                    <w:sz w:val="18"/>
                                    <w:szCs w:val="18"/>
                                  </w:rPr>
                                  <w:t>37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76DA75C" id="Group 764517992" o:spid="_x0000_s1275" alt="Question" style="position:absolute;left:0;text-align:left;margin-left:0;margin-top:48.85pt;width:453.55pt;height:84.7pt;z-index:-251658167;mso-height-relative:margin" coordorigin=",628" coordsize="57600,1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">
                <v:shape id="Freeform 52" o:spid="_x0000_s127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63FEBBA" w14:textId="77777777" w:rsidR="00EC2230" w:rsidRDefault="00EC2230" w:rsidP="00EC2230">
                        <w:pPr>
                          <w:pStyle w:val="BoxTitle"/>
                          <w:spacing w:before="0" w:beforeAutospacing="0"/>
                        </w:pPr>
                        <w:r w:rsidRPr="007F6876">
                          <w:t>QUESTION</w:t>
                        </w:r>
                      </w:p>
                    </w:txbxContent>
                  </v:textbox>
                </v:shape>
                <v:group id="Group 53" o:spid="_x0000_s1277" style="position:absolute;top:3157;width:57600;height:8235" coordorigin="1837,1787" coordsize="9302,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nU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">
                  <v:shape id="Freeform 54" o:spid="_x0000_s1278" style="position:absolute;left:1837;top:1787;width:9302;height:889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" path="m,l9354,r,7809l,7809,,e" fillcolor="#edf2ea" stroked="f">
                    <v:path arrowok="t" o:connecttype="custom" o:connectlocs="0,1139;9302,1139;9302,10034;0,10034;0,1139" o:connectangles="0,0,0,0,0"/>
                  </v:shape>
                </v:group>
                <v:group id="Group 764517996" o:spid="_x0000_s127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">
                  <v:shape id="Freeform 58" o:spid="_x0000_s128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" path="m,l1815,e" filled="f" strokecolor="#72ab6a" strokeweight=".5pt">
                    <v:path arrowok="t" o:connecttype="custom" o:connectlocs="0,0;1073495,0" o:connectangles="0,0"/>
                  </v:shape>
                  <v:shape id="Freeform 66" o:spid="_x0000_s128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DB3D7DD" w14:textId="77777777" w:rsidR="00EC2230" w:rsidRPr="00E90B8A" w:rsidRDefault="00EC2230" w:rsidP="00EC2230">
                          <w:pPr>
                            <w:pStyle w:val="BoxTitle"/>
                            <w:spacing w:before="0" w:beforeAutospacing="0"/>
                            <w:rPr>
                              <w:sz w:val="18"/>
                              <w:szCs w:val="18"/>
                            </w:rPr>
                          </w:pPr>
                          <w:r w:rsidRPr="00E90B8A">
                            <w:rPr>
                              <w:sz w:val="18"/>
                              <w:szCs w:val="18"/>
                            </w:rPr>
                            <w:t>Q</w:t>
                          </w:r>
                          <w:r>
                            <w:rPr>
                              <w:sz w:val="18"/>
                              <w:szCs w:val="18"/>
                            </w:rPr>
                            <w:t>37</w:t>
                          </w:r>
                        </w:p>
                      </w:txbxContent>
                    </v:textbox>
                  </v:shape>
                </v:group>
              </v:group>
            </w:pict>
          </mc:Fallback>
        </mc:AlternateContent>
      </w:r>
      <w:r w:rsidR="00116092">
        <w:t xml:space="preserve">Accordingly, we seek submissions on whether the current approach, including the recent guidance from the Supreme Court and the Solicitor-General’s guidelines for prosecutors, is sufficient to address the risks posed by prison informant evidence. </w:t>
      </w:r>
    </w:p>
    <w:p w14:paraId="21D3F9A3" w14:textId="5951C90D" w:rsidR="00EC2230" w:rsidRPr="00EC2230" w:rsidRDefault="00EC2230" w:rsidP="00EC2230">
      <w:pPr>
        <w:pStyle w:val="QuestionBox"/>
      </w:pPr>
    </w:p>
    <w:p w14:paraId="3B700FD0" w14:textId="77777777" w:rsidR="00EC2230" w:rsidRPr="00EC2230" w:rsidRDefault="00EC2230" w:rsidP="00EC2230">
      <w:pPr>
        <w:pStyle w:val="QuestionBox"/>
        <w:rPr>
          <w:sz w:val="18"/>
          <w:szCs w:val="22"/>
        </w:rPr>
      </w:pPr>
    </w:p>
    <w:p w14:paraId="60848B67" w14:textId="3E4D6D8A" w:rsidR="00116092" w:rsidRPr="00F66C60" w:rsidRDefault="00116092" w:rsidP="00EC2230">
      <w:pPr>
        <w:pStyle w:val="QuestionBox"/>
      </w:pPr>
      <w:r>
        <w:t xml:space="preserve">Is the current approach to the admissibility of prison informant evidence adequate to address the risks associated with this type of evidence? </w:t>
      </w:r>
    </w:p>
    <w:p w14:paraId="57E4D931" w14:textId="3ACE732C" w:rsidR="00116092" w:rsidRDefault="00123AAE" w:rsidP="00116092">
      <w:pPr>
        <w:pStyle w:val="Heading3"/>
      </w:pPr>
      <w:r>
        <w:lastRenderedPageBreak/>
        <w:t>O</w:t>
      </w:r>
      <w:r w:rsidR="00116092">
        <w:t>ptions for reform</w:t>
      </w:r>
    </w:p>
    <w:p w14:paraId="016D006D" w14:textId="77777777" w:rsidR="00116092" w:rsidRDefault="00116092" w:rsidP="009F4F6E">
      <w:pPr>
        <w:pStyle w:val="BodyText"/>
        <w:tabs>
          <w:tab w:val="num" w:pos="709"/>
        </w:tabs>
      </w:pPr>
      <w:r>
        <w:t xml:space="preserve">If the current approach is considered inadequate to address the risks associated with prison informant evidence, a new statutory provision to control the admissibility of prison informant evidence could be inserted into the Act. </w:t>
      </w:r>
    </w:p>
    <w:p w14:paraId="4DB5FDFC" w14:textId="2C975EE3" w:rsidR="00116092" w:rsidRDefault="00116092" w:rsidP="009F4F6E">
      <w:pPr>
        <w:pStyle w:val="BodyText"/>
        <w:tabs>
          <w:tab w:val="num" w:pos="709"/>
        </w:tabs>
      </w:pPr>
      <w:r>
        <w:t xml:space="preserve">Introducing a new admissibility provision would run counter to the traditional common law approach and guiding principle of the Act that reliability is generally a matter for a properly cautioned </w:t>
      </w:r>
      <w:r w:rsidR="00AC7AF5">
        <w:t>fact-finder</w:t>
      </w:r>
      <w:r>
        <w:t>. There is precedent, however, for the Act to impose specific reliability thresholds for other types of evidence that carry significant reliability concerns</w:t>
      </w:r>
      <w:r w:rsidR="00FA5058">
        <w:t>,</w:t>
      </w:r>
      <w:r>
        <w:t xml:space="preserve"> including section 28 (exclusion of unreliable statements), section 45 (visual identification evidence) and section 46 (voice identification evidence). These types of evidence, like prison informant evidence, are frequently identified as the categories of evidence most often associated with miscarriages of justice.</w:t>
      </w:r>
      <w:r>
        <w:rPr>
          <w:rStyle w:val="FootnoteReference"/>
        </w:rPr>
        <w:footnoteReference w:id="677"/>
      </w:r>
      <w:r>
        <w:t xml:space="preserve"> On the other hand, the decision of the Supreme Court in </w:t>
      </w:r>
      <w:r>
        <w:rPr>
          <w:i/>
          <w:iCs/>
        </w:rPr>
        <w:t xml:space="preserve">W </w:t>
      </w:r>
      <w:r w:rsidR="00380C95">
        <w:rPr>
          <w:i/>
          <w:iCs/>
        </w:rPr>
        <w:t>(SC 38/2019)</w:t>
      </w:r>
      <w:r>
        <w:rPr>
          <w:i/>
          <w:iCs/>
        </w:rPr>
        <w:t xml:space="preserve"> v R </w:t>
      </w:r>
      <w:r>
        <w:t>clearly signals a move to a more active gatekeeping role for judges in assessing reliability of prison informant evidence under section 8. This may mean a separate admissibility provision for this type of evidence is unnecessary.</w:t>
      </w:r>
    </w:p>
    <w:p w14:paraId="59DD82B7" w14:textId="0EF245C2" w:rsidR="00116092" w:rsidRDefault="00116092" w:rsidP="009F4F6E">
      <w:pPr>
        <w:pStyle w:val="BodyText"/>
      </w:pPr>
      <w:r>
        <w:t>There are also drawbacks associated with introducing more statutory controls on the admissibility of prison informant evidence. Many of these are practical. Requiring more intensive pre-trial consideration of admissibility would have associated administrative and logistical costs (although this may build on existing processes for pre-trial admissibility hearings). Additionally, both the courts and commentors have warned against turning the admissibility inquiry into a “mini trial”, noting that it takes place in the absence of the full picture of evidence that may emerge at trial in the context of the evidence as a whole</w:t>
      </w:r>
      <w:r w:rsidR="005434A0">
        <w:t>,</w:t>
      </w:r>
      <w:r>
        <w:t xml:space="preserve"> and through examination and cross-examination of witnesses.</w:t>
      </w:r>
      <w:r>
        <w:rPr>
          <w:rStyle w:val="FootnoteReference"/>
        </w:rPr>
        <w:footnoteReference w:id="678"/>
      </w:r>
      <w:r>
        <w:t xml:space="preserve"> Finally, there is a general risk that codifying the factors to be taken into account will create inflexibility of application. </w:t>
      </w:r>
    </w:p>
    <w:p w14:paraId="21EC8771" w14:textId="5A9AE858" w:rsidR="00116092" w:rsidRDefault="00116092" w:rsidP="009F4F6E">
      <w:pPr>
        <w:pStyle w:val="BodyText"/>
        <w:tabs>
          <w:tab w:val="num" w:pos="709"/>
        </w:tabs>
      </w:pPr>
      <w:r>
        <w:t xml:space="preserve">If a new provision to control the admissibility of prison informant evidence is considered desirable, it could take the form of any or all of the options outlined below. We particularly welcome feedback on the factors outlined under Option 3 as matters to be taken into account when making a decision on admissibility. </w:t>
      </w:r>
    </w:p>
    <w:p w14:paraId="0A14AF2E" w14:textId="77777777" w:rsidR="00116092" w:rsidRDefault="00116092" w:rsidP="009F4F6E">
      <w:pPr>
        <w:pStyle w:val="BodyText"/>
        <w:tabs>
          <w:tab w:val="num" w:pos="709"/>
        </w:tabs>
      </w:pPr>
      <w:r>
        <w:t>We do not discuss the option of a complete exclusion of prison informant evidence, as has been argued for in some overseas jurisdictions.</w:t>
      </w:r>
      <w:r>
        <w:rPr>
          <w:rStyle w:val="FootnoteReference"/>
        </w:rPr>
        <w:footnoteReference w:id="679"/>
      </w:r>
      <w:r>
        <w:t xml:space="preserve"> We do not consider this to be a feasible option for two reasons. First, it would be incompatible with the scheme of the Act which takes as one of its fundamental principles that if evidence is relevant, it is admissible, with that assessment to be carried out on a case-by-case basis. Second, it would be a disproportionate response to the nature of the problem in New Zealand </w:t>
      </w:r>
      <w:r>
        <w:lastRenderedPageBreak/>
        <w:t>(where there is no evidence of a widespread snitching “scam” that has been identified in other jurisdictions).</w:t>
      </w:r>
      <w:r>
        <w:rPr>
          <w:rStyle w:val="FootnoteReference"/>
        </w:rPr>
        <w:footnoteReference w:id="680"/>
      </w:r>
    </w:p>
    <w:p w14:paraId="569122DE" w14:textId="77777777" w:rsidR="00116092" w:rsidRDefault="00116092" w:rsidP="00116092">
      <w:pPr>
        <w:pStyle w:val="Heading4"/>
      </w:pPr>
      <w:r>
        <w:t>Option 1: A reliability threshold</w:t>
      </w:r>
    </w:p>
    <w:p w14:paraId="18F39078" w14:textId="413BE825" w:rsidR="00116092" w:rsidRDefault="00116092" w:rsidP="009F4F6E">
      <w:pPr>
        <w:pStyle w:val="BodyText"/>
      </w:pPr>
      <w:r>
        <w:t xml:space="preserve">This option would introduce a new reliability threshold for prison informant evidence. The Act could provide that evidence of a statement by the defendant to another person made while both the defendant and the other person were detained in prison, a police station or another place of detention, is only admissible if it meets a certain threshold of reliability. For example, the Act could require that the circumstances relating to the making of the defendant’s statement provide reasonable assurance that the evidence being offered is reliable. This would adopt the same reliability threshold as for hearsay statements (section 18). Alternatively, the reliability threshold could be more focused on ensuring reasonable assurance that the statement was in fact made at all (reflecting the observations of the Supreme Court in </w:t>
      </w:r>
      <w:r w:rsidRPr="00CC53FA">
        <w:rPr>
          <w:i/>
          <w:iCs/>
        </w:rPr>
        <w:t>Hudson</w:t>
      </w:r>
      <w:r>
        <w:t>).</w:t>
      </w:r>
      <w:r>
        <w:rPr>
          <w:rStyle w:val="FootnoteReference"/>
        </w:rPr>
        <w:footnoteReference w:id="681"/>
      </w:r>
      <w:r>
        <w:t xml:space="preserve"> </w:t>
      </w:r>
    </w:p>
    <w:p w14:paraId="52F9FBB2" w14:textId="77777777" w:rsidR="00116092" w:rsidRDefault="00116092" w:rsidP="00116092">
      <w:pPr>
        <w:pStyle w:val="Heading4"/>
      </w:pPr>
      <w:r>
        <w:t>Option 2: A presumption of exclusion and a reliability threshold</w:t>
      </w:r>
    </w:p>
    <w:p w14:paraId="5B39CD07" w14:textId="6BC66974" w:rsidR="00116092" w:rsidRDefault="00116092" w:rsidP="009F4F6E">
      <w:pPr>
        <w:pStyle w:val="BodyText"/>
      </w:pPr>
      <w:r>
        <w:t>This option would create a presumption of exclusion of prison informant evidence that could be displaced only if the judge is satisfied, to a certain threshold of reliability, that the circumstances relating to the statement provide reasonable assurance that the statement is reliable. This would operate similar</w:t>
      </w:r>
      <w:r w:rsidR="00C24C17">
        <w:t>ly</w:t>
      </w:r>
      <w:r>
        <w:t xml:space="preserve"> to the exclusion of unreliable statements (section 28). </w:t>
      </w:r>
    </w:p>
    <w:p w14:paraId="537B7EED" w14:textId="77777777" w:rsidR="00116092" w:rsidRDefault="00116092" w:rsidP="009F4F6E">
      <w:pPr>
        <w:pStyle w:val="BodyText"/>
        <w:tabs>
          <w:tab w:val="clear" w:pos="709"/>
        </w:tabs>
      </w:pPr>
      <w:r>
        <w:t>The creation of a presumption of exclusion would recognise the extent of the risk of unreliability associated with this type of evidence by making exclusion the default position and requiring a clear justification for its use, thus aligning it with the way similarly risky and unreliable types of evidence are treated by the Act.</w:t>
      </w:r>
    </w:p>
    <w:p w14:paraId="43C12DD4" w14:textId="7C694058" w:rsidR="00116092" w:rsidRDefault="00116092" w:rsidP="009F4F6E">
      <w:pPr>
        <w:pStyle w:val="BodyText"/>
        <w:tabs>
          <w:tab w:val="clear" w:pos="709"/>
        </w:tabs>
      </w:pPr>
      <w:r>
        <w:t xml:space="preserve">We welcome views on what standard should displace </w:t>
      </w:r>
      <w:r w:rsidRPr="009362E3">
        <w:t>the presumption</w:t>
      </w:r>
      <w:r>
        <w:t xml:space="preserve"> of exclusion under this option – whether it should be a test of “balance of probabilities” or one of “beyond reasonable doubt”. Both are used at various points in the Act.</w:t>
      </w:r>
      <w:r w:rsidRPr="000974A3">
        <w:rPr>
          <w:rStyle w:val="FootnoteReference"/>
        </w:rPr>
        <w:t xml:space="preserve"> </w:t>
      </w:r>
      <w:r>
        <w:rPr>
          <w:rStyle w:val="FootnoteReference"/>
        </w:rPr>
        <w:footnoteReference w:id="682"/>
      </w:r>
      <w:r>
        <w:t xml:space="preserve"> A decision on this point would turn on the desired stringency of approach by the judge. “Beyond reasonable doubt” would signal a higher threshold for admitting this type of evidence, which may be justified on the basis of the risks it poses and the need for judges to carry out a more thorough examination of reliability in light of the problems </w:t>
      </w:r>
      <w:r w:rsidR="00C24C17">
        <w:t>fact-finders</w:t>
      </w:r>
      <w:r>
        <w:t xml:space="preserve"> experience in weighing it appropriately.</w:t>
      </w:r>
      <w:r>
        <w:rPr>
          <w:rStyle w:val="FootnoteReference"/>
        </w:rPr>
        <w:footnoteReference w:id="683"/>
      </w:r>
      <w:r>
        <w:t xml:space="preserve"> “Balance of probabilities” would signal that this type of evidence requires careful consideration of whether the evidence should be put to a </w:t>
      </w:r>
      <w:r w:rsidR="00C24C17">
        <w:t>fact-finders</w:t>
      </w:r>
      <w:r>
        <w:t xml:space="preserve"> who will make the final decision as to reliability.</w:t>
      </w:r>
      <w:r>
        <w:rPr>
          <w:rStyle w:val="FootnoteReference"/>
        </w:rPr>
        <w:footnoteReference w:id="684"/>
      </w:r>
    </w:p>
    <w:p w14:paraId="6507EEC9" w14:textId="77777777" w:rsidR="00116092" w:rsidRDefault="00116092" w:rsidP="00116092">
      <w:pPr>
        <w:pStyle w:val="Heading4"/>
      </w:pPr>
      <w:r>
        <w:lastRenderedPageBreak/>
        <w:t>Option 3: A statement of the factors to be taken into account when determining admissibility</w:t>
      </w:r>
    </w:p>
    <w:p w14:paraId="7C608DE0" w14:textId="35BB4E14" w:rsidR="00116092" w:rsidRDefault="00116092" w:rsidP="009F4F6E">
      <w:pPr>
        <w:pStyle w:val="BodyText"/>
      </w:pPr>
      <w:r>
        <w:t>Option 3 is to include in the Act a statement of relevant factors the court should take into account when determining whether prison informant evidence should be admitted in a proceeding. This option could be combined with Option 1 and/or Option 2. This would be similar to the approach taken in existing sections 28, 45 and 46</w:t>
      </w:r>
      <w:r w:rsidR="00C24C17">
        <w:t>,</w:t>
      </w:r>
      <w:r>
        <w:t xml:space="preserve"> which all contain a subsection outlining a non-exhaustive list of matters for a judge to take into account when considering whether to admit or exclude evidence.</w:t>
      </w:r>
    </w:p>
    <w:p w14:paraId="1F2FCA0E" w14:textId="29DB9E7A" w:rsidR="00116092" w:rsidRDefault="00116092" w:rsidP="009F4F6E">
      <w:pPr>
        <w:pStyle w:val="BodyText"/>
        <w:tabs>
          <w:tab w:val="num" w:pos="709"/>
        </w:tabs>
      </w:pPr>
      <w:r>
        <w:t xml:space="preserve">The differing approaches between the majority and the minority in </w:t>
      </w:r>
      <w:r>
        <w:rPr>
          <w:i/>
          <w:iCs/>
        </w:rPr>
        <w:t xml:space="preserve">W </w:t>
      </w:r>
      <w:r w:rsidR="00380C95">
        <w:rPr>
          <w:i/>
          <w:iCs/>
        </w:rPr>
        <w:t>(SC 38/2019)</w:t>
      </w:r>
      <w:r>
        <w:rPr>
          <w:i/>
          <w:iCs/>
        </w:rPr>
        <w:t xml:space="preserve"> v R </w:t>
      </w:r>
      <w:r>
        <w:t>highlight some of the difficulties with determining what the relevant factors should be under this option. The majority adopted a more circumscribed approach to the reliability assessment, and rejected the minority’s more detailed approach on the basis that the factors identified by them would cross the threshold into matters properly reserved for trial and cross-examination.</w:t>
      </w:r>
      <w:r>
        <w:rPr>
          <w:rStyle w:val="FootnoteReference"/>
        </w:rPr>
        <w:footnoteReference w:id="685"/>
      </w:r>
    </w:p>
    <w:p w14:paraId="07674259" w14:textId="1EAEAF6A" w:rsidR="00116092" w:rsidRDefault="000008A7" w:rsidP="009F4F6E">
      <w:pPr>
        <w:pStyle w:val="BodyText"/>
        <w:tabs>
          <w:tab w:val="clear" w:pos="709"/>
        </w:tabs>
      </w:pPr>
      <w:r>
        <w:t>Preliminary</w:t>
      </w:r>
      <w:r w:rsidR="00116092">
        <w:t xml:space="preserve"> research and feedback suggests, however, that the minority’s framework may be a more helpful guide to the circumstances that are relevant to the admissibility of prison informant evidence. Associate Professor </w:t>
      </w:r>
      <w:r w:rsidR="00116092" w:rsidRPr="002F479D">
        <w:t>Scott Optican</w:t>
      </w:r>
      <w:r w:rsidR="00116092">
        <w:t xml:space="preserve"> notes that the minority approach represents a “more granular and schematic inquiry” that draws more directly on the social science evidence on the risks of prison informant evidence compared to the majority</w:t>
      </w:r>
      <w:r w:rsidR="00986765">
        <w:t>,</w:t>
      </w:r>
      <w:r w:rsidR="00116092">
        <w:t xml:space="preserve"> which is more akin to the “typical” section 8 exercise.</w:t>
      </w:r>
      <w:r w:rsidR="00116092">
        <w:rPr>
          <w:rStyle w:val="FootnoteReference"/>
        </w:rPr>
        <w:footnoteReference w:id="686"/>
      </w:r>
      <w:r w:rsidR="00116092">
        <w:t xml:space="preserve"> Associate Professor </w:t>
      </w:r>
      <w:r w:rsidR="00116092" w:rsidRPr="002F479D">
        <w:t>Anna High</w:t>
      </w:r>
      <w:r w:rsidR="00116092">
        <w:t>, while not expressly accepting or rejecting either view, supports a broad inquiry encompassing the content of the evidence, the circumstances in which the evidence was offered and the circumstances relating to the veracity of the witness. High notes that a broad approach would be similar to the approach taken in other parts of the Act (for example, the hearsay reliability test).</w:t>
      </w:r>
      <w:r w:rsidR="00116092">
        <w:rPr>
          <w:rStyle w:val="FootnoteReference"/>
        </w:rPr>
        <w:footnoteReference w:id="687"/>
      </w:r>
      <w:r w:rsidR="00116092">
        <w:t xml:space="preserve"> </w:t>
      </w:r>
    </w:p>
    <w:p w14:paraId="1F68F9D8" w14:textId="6C3C597C" w:rsidR="00116092" w:rsidRPr="00E76AE8" w:rsidRDefault="00116092" w:rsidP="009F4F6E">
      <w:pPr>
        <w:pStyle w:val="BodyText"/>
        <w:tabs>
          <w:tab w:val="clear" w:pos="709"/>
        </w:tabs>
      </w:pPr>
      <w:r>
        <w:t xml:space="preserve">Should the minority’s approach in </w:t>
      </w:r>
      <w:r>
        <w:rPr>
          <w:i/>
          <w:iCs/>
        </w:rPr>
        <w:t xml:space="preserve">W </w:t>
      </w:r>
      <w:r w:rsidR="00380C95">
        <w:rPr>
          <w:i/>
          <w:iCs/>
        </w:rPr>
        <w:t xml:space="preserve">(SC 38/2019) </w:t>
      </w:r>
      <w:r>
        <w:rPr>
          <w:i/>
          <w:iCs/>
        </w:rPr>
        <w:t xml:space="preserve">v R </w:t>
      </w:r>
      <w:r>
        <w:t>be preferred, the list of relevant factors could include the following (as far as they are relevant to the case):</w:t>
      </w:r>
      <w:r>
        <w:rPr>
          <w:i/>
          <w:iCs/>
        </w:rPr>
        <w:t xml:space="preserve"> </w:t>
      </w:r>
    </w:p>
    <w:p w14:paraId="19459F13" w14:textId="77777777" w:rsidR="00116092" w:rsidRDefault="00116092" w:rsidP="00866891">
      <w:pPr>
        <w:pStyle w:val="BodyText2"/>
        <w:numPr>
          <w:ilvl w:val="3"/>
          <w:numId w:val="40"/>
        </w:numPr>
      </w:pPr>
      <w:r>
        <w:t>the significance of the evidence to the facts at hand, including the importance of those facts to the proceedings and the probative nature of the evidence presented;</w:t>
      </w:r>
    </w:p>
    <w:p w14:paraId="1EF459F2" w14:textId="77777777" w:rsidR="00116092" w:rsidRDefault="00116092" w:rsidP="009F4F6E">
      <w:pPr>
        <w:pStyle w:val="BodyText2"/>
      </w:pPr>
      <w:r>
        <w:t>any indications that the evidence is unreliable or untrue, including whether it is consistent with evidence that is already known or whether it has led to the discovery of other evidence;</w:t>
      </w:r>
    </w:p>
    <w:p w14:paraId="1F2B5BAD" w14:textId="77777777" w:rsidR="00116092" w:rsidRDefault="00116092" w:rsidP="009F4F6E">
      <w:pPr>
        <w:pStyle w:val="BodyText2"/>
      </w:pPr>
      <w:r>
        <w:t>the circumstances in which the statement was allegedly obtained, including whether it could have been constructed on the basis of facts and information gained from other sources;</w:t>
      </w:r>
    </w:p>
    <w:p w14:paraId="5D68CF9E" w14:textId="77777777" w:rsidR="00116092" w:rsidRDefault="00116092" w:rsidP="009F4F6E">
      <w:pPr>
        <w:pStyle w:val="BodyText2"/>
      </w:pPr>
      <w:r>
        <w:t>whether the witness has been incentivised to give their evidence, and the nature of any such incentives offered or received;</w:t>
      </w:r>
    </w:p>
    <w:p w14:paraId="18F1BD16" w14:textId="77777777" w:rsidR="00116092" w:rsidRDefault="00116092" w:rsidP="009F4F6E">
      <w:pPr>
        <w:pStyle w:val="BodyText2"/>
      </w:pPr>
      <w:r>
        <w:t>whether the witness has any other motives to offer unreliable evidence; and</w:t>
      </w:r>
    </w:p>
    <w:p w14:paraId="0CEFC2EC" w14:textId="77777777" w:rsidR="00116092" w:rsidRDefault="00116092" w:rsidP="009F4F6E">
      <w:pPr>
        <w:pStyle w:val="BodyText2"/>
      </w:pPr>
      <w:r>
        <w:t>whether the witness has a record of lying.</w:t>
      </w:r>
    </w:p>
    <w:p w14:paraId="6515879D" w14:textId="77777777" w:rsidR="00116092" w:rsidRDefault="00116092" w:rsidP="009F4F6E">
      <w:pPr>
        <w:pStyle w:val="BodyText"/>
        <w:tabs>
          <w:tab w:val="num" w:pos="709"/>
        </w:tabs>
      </w:pPr>
      <w:r>
        <w:lastRenderedPageBreak/>
        <w:t>The factors guiding the reliability test will depend on what information is available to help assess reliability – and this turns on the nature of record-keeping (discussed in more detail under additional safeguards below).</w:t>
      </w:r>
    </w:p>
    <w:p w14:paraId="79C31B75" w14:textId="4EF1FF8A" w:rsidR="00302B37" w:rsidRDefault="00302B37" w:rsidP="00302B37">
      <w:pPr>
        <w:pStyle w:val="QuestionBox"/>
      </w:pPr>
      <w:r>
        <w:rPr>
          <w:noProof/>
        </w:rPr>
        <mc:AlternateContent>
          <mc:Choice Requires="wpg">
            <w:drawing>
              <wp:anchor distT="0" distB="0" distL="114300" distR="114300" simplePos="0" relativeHeight="251658314" behindDoc="1" locked="0" layoutInCell="1" allowOverlap="1" wp14:anchorId="34E52295" wp14:editId="7C16351A">
                <wp:simplePos x="0" y="0"/>
                <wp:positionH relativeFrom="column">
                  <wp:posOffset>-1962</wp:posOffset>
                </wp:positionH>
                <wp:positionV relativeFrom="paragraph">
                  <wp:posOffset>-1753</wp:posOffset>
                </wp:positionV>
                <wp:extent cx="5760085" cy="2129100"/>
                <wp:effectExtent l="0" t="0" r="0" b="5080"/>
                <wp:wrapNone/>
                <wp:docPr id="764517999" name="Group 764517999" descr="Question"/>
                <wp:cNvGraphicFramePr/>
                <a:graphic xmlns:a="http://schemas.openxmlformats.org/drawingml/2006/main">
                  <a:graphicData uri="http://schemas.microsoft.com/office/word/2010/wordprocessingGroup">
                    <wpg:wgp>
                      <wpg:cNvGrpSpPr/>
                      <wpg:grpSpPr>
                        <a:xfrm>
                          <a:off x="0" y="0"/>
                          <a:ext cx="5760085" cy="2129100"/>
                          <a:chOff x="0" y="62865"/>
                          <a:chExt cx="5760085" cy="2129583"/>
                        </a:xfrm>
                      </wpg:grpSpPr>
                      <wps:wsp>
                        <wps:cNvPr id="76451800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4CD93B" w14:textId="77777777" w:rsidR="00302B37" w:rsidRDefault="00302B37" w:rsidP="00302B37">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01" name="Group 53"/>
                        <wpg:cNvGrpSpPr>
                          <a:grpSpLocks/>
                        </wpg:cNvGrpSpPr>
                        <wpg:grpSpPr bwMode="auto">
                          <a:xfrm>
                            <a:off x="0" y="315799"/>
                            <a:ext cx="5760085" cy="1876649"/>
                            <a:chOff x="1837" y="1787"/>
                            <a:chExt cx="9302" cy="20271"/>
                          </a:xfrm>
                        </wpg:grpSpPr>
                        <wps:wsp>
                          <wps:cNvPr id="764518002" name="Freeform 54"/>
                          <wps:cNvSpPr>
                            <a:spLocks/>
                          </wps:cNvSpPr>
                          <wps:spPr bwMode="auto">
                            <a:xfrm>
                              <a:off x="1837" y="1787"/>
                              <a:ext cx="9302" cy="202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03" name="Group 764518003"/>
                        <wpg:cNvGrpSpPr/>
                        <wpg:grpSpPr>
                          <a:xfrm>
                            <a:off x="0" y="494036"/>
                            <a:ext cx="1443794" cy="252000"/>
                            <a:chOff x="-15880" y="0"/>
                            <a:chExt cx="1444379" cy="252068"/>
                          </a:xfrm>
                        </wpg:grpSpPr>
                        <wps:wsp>
                          <wps:cNvPr id="76451800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0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9CAD36" w14:textId="77777777" w:rsidR="00302B37" w:rsidRPr="00E90B8A" w:rsidRDefault="00302B37" w:rsidP="00302B37">
                                <w:pPr>
                                  <w:pStyle w:val="BoxTitle"/>
                                  <w:spacing w:before="0" w:beforeAutospacing="0"/>
                                  <w:rPr>
                                    <w:sz w:val="18"/>
                                    <w:szCs w:val="18"/>
                                  </w:rPr>
                                </w:pPr>
                                <w:r w:rsidRPr="00E90B8A">
                                  <w:rPr>
                                    <w:sz w:val="18"/>
                                    <w:szCs w:val="18"/>
                                  </w:rPr>
                                  <w:t>Q</w:t>
                                </w:r>
                                <w:r>
                                  <w:rPr>
                                    <w:sz w:val="18"/>
                                    <w:szCs w:val="18"/>
                                  </w:rPr>
                                  <w:t>389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4E52295" id="Group 764517999" o:spid="_x0000_s1282" alt="Question" style="position:absolute;left:0;text-align:left;margin-left:-.15pt;margin-top:-.15pt;width:453.55pt;height:167.65pt;z-index:-251658166;mso-height-relative:margin" coordorigin=",628" coordsize="57600,2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">
                <v:shape id="Freeform 52" o:spid="_x0000_s128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B4CD93B" w14:textId="77777777" w:rsidR="00302B37" w:rsidRDefault="00302B37" w:rsidP="00302B37">
                        <w:pPr>
                          <w:pStyle w:val="BoxTitle"/>
                          <w:spacing w:before="0" w:beforeAutospacing="0"/>
                        </w:pPr>
                        <w:r w:rsidRPr="007F6876">
                          <w:t>QUESTION</w:t>
                        </w:r>
                      </w:p>
                    </w:txbxContent>
                  </v:textbox>
                </v:shape>
                <v:group id="Group 53" o:spid="_x0000_s1284" style="position:absolute;top:3157;width:57600;height:18767" coordorigin="1837,1787" coordsize="9302,2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">
                  <v:shape id="Freeform 54" o:spid="_x0000_s1285" style="position:absolute;left:1837;top:1787;width:9302;height:202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" path="m,l9354,r,7809l,7809,,e" fillcolor="#edf2ea" stroked="f">
                    <v:path arrowok="t" o:connecttype="custom" o:connectlocs="0,2596;9302,2596;9302,22867;0,22867;0,2596" o:connectangles="0,0,0,0,0"/>
                  </v:shape>
                </v:group>
                <v:group id="Group 764518003" o:spid="_x0000_s128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">
                  <v:shape id="Freeform 58" o:spid="_x0000_s128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" path="m,l1815,e" filled="f" strokecolor="#72ab6a" strokeweight=".5pt">
                    <v:path arrowok="t" o:connecttype="custom" o:connectlocs="0,0;1073495,0" o:connectangles="0,0"/>
                  </v:shape>
                  <v:shape id="Freeform 66" o:spid="_x0000_s128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89CAD36" w14:textId="77777777" w:rsidR="00302B37" w:rsidRPr="00E90B8A" w:rsidRDefault="00302B37" w:rsidP="00302B37">
                          <w:pPr>
                            <w:pStyle w:val="BoxTitle"/>
                            <w:spacing w:before="0" w:beforeAutospacing="0"/>
                            <w:rPr>
                              <w:sz w:val="18"/>
                              <w:szCs w:val="18"/>
                            </w:rPr>
                          </w:pPr>
                          <w:r w:rsidRPr="00E90B8A">
                            <w:rPr>
                              <w:sz w:val="18"/>
                              <w:szCs w:val="18"/>
                            </w:rPr>
                            <w:t>Q</w:t>
                          </w:r>
                          <w:r>
                            <w:rPr>
                              <w:sz w:val="18"/>
                              <w:szCs w:val="18"/>
                            </w:rPr>
                            <w:t>389</w:t>
                          </w:r>
                        </w:p>
                      </w:txbxContent>
                    </v:textbox>
                  </v:shape>
                </v:group>
              </v:group>
            </w:pict>
          </mc:Fallback>
        </mc:AlternateContent>
      </w:r>
    </w:p>
    <w:p w14:paraId="4402355E" w14:textId="77777777" w:rsidR="00302B37" w:rsidRDefault="00302B37" w:rsidP="00302B37">
      <w:pPr>
        <w:pStyle w:val="QuestionBox"/>
      </w:pPr>
    </w:p>
    <w:p w14:paraId="06006E80" w14:textId="4D014007" w:rsidR="00116092" w:rsidRDefault="00116092" w:rsidP="00302B37">
      <w:pPr>
        <w:pStyle w:val="QuestionBox"/>
      </w:pPr>
      <w:r>
        <w:t>Should the Act be amended to include additional controls on the admissibility of prison informant evidence? If so, should the Act be amended to include:</w:t>
      </w:r>
    </w:p>
    <w:p w14:paraId="599BDD85" w14:textId="77777777" w:rsidR="00116092" w:rsidRDefault="00116092" w:rsidP="00866891">
      <w:pPr>
        <w:pStyle w:val="Questionabc"/>
        <w:numPr>
          <w:ilvl w:val="0"/>
          <w:numId w:val="70"/>
        </w:numPr>
        <w:ind w:left="1418" w:hanging="425"/>
      </w:pPr>
      <w:r>
        <w:t>a reliability threshold; and/or</w:t>
      </w:r>
    </w:p>
    <w:p w14:paraId="4B8E19EC" w14:textId="77777777" w:rsidR="00116092" w:rsidRDefault="00116092" w:rsidP="00302B37">
      <w:pPr>
        <w:pStyle w:val="Questionabc"/>
      </w:pPr>
      <w:r>
        <w:t>a presumption of exclusion; and/or</w:t>
      </w:r>
    </w:p>
    <w:p w14:paraId="25854E13" w14:textId="77777777" w:rsidR="00116092" w:rsidRDefault="00116092" w:rsidP="00302B37">
      <w:pPr>
        <w:pStyle w:val="Questionabc"/>
      </w:pPr>
      <w:r>
        <w:t>a statement of the factors to be taken into account by a judge when assessing reliability?</w:t>
      </w:r>
    </w:p>
    <w:p w14:paraId="34E415BE" w14:textId="77777777" w:rsidR="00302B37" w:rsidRPr="00302B37" w:rsidRDefault="00302B37" w:rsidP="00302B37">
      <w:pPr>
        <w:pStyle w:val="QuestionBox"/>
        <w:rPr>
          <w:sz w:val="16"/>
          <w:szCs w:val="20"/>
          <w:lang w:eastAsia="en-US"/>
        </w:rPr>
      </w:pPr>
    </w:p>
    <w:p w14:paraId="0610F27E" w14:textId="77777777" w:rsidR="00116092" w:rsidRDefault="00116092" w:rsidP="00116092">
      <w:pPr>
        <w:pStyle w:val="Heading2"/>
      </w:pPr>
      <w:bookmarkStart w:id="131" w:name="_Toc132962578"/>
      <w:r>
        <w:t>Use of judicial directions</w:t>
      </w:r>
      <w:bookmarkEnd w:id="131"/>
    </w:p>
    <w:p w14:paraId="5333791B" w14:textId="04ECDB41" w:rsidR="00116092" w:rsidRDefault="00116092" w:rsidP="009F4F6E">
      <w:pPr>
        <w:pStyle w:val="BodyText"/>
      </w:pPr>
      <w:r>
        <w:t>If prison informant evidence is admitted, section 122(2)(d) requires a judge to consider whether to warn the jury of the need for caution in deciding whether to accept prison informant evidence and the weight to be given to it. As with all section 122 warnings, the judge must only consider whether to give such a warning. This was the result of a conscious decision at select committee stage on the basis that the wording of the clause as originally drafted requiring a judge to give a warning was “too restrictive” and that “leaving this matter to the judge’s discretion would be more effective than making it mandatory”.</w:t>
      </w:r>
      <w:r>
        <w:rPr>
          <w:rStyle w:val="FootnoteReference"/>
        </w:rPr>
        <w:footnoteReference w:id="688"/>
      </w:r>
      <w:r>
        <w:t xml:space="preserve"> The Commission, in its 2013 </w:t>
      </w:r>
      <w:r w:rsidR="00475D0A">
        <w:t>R</w:t>
      </w:r>
      <w:r>
        <w:t>eview, similarly concluded that it would not be helpful to amend section 122 to provide more direction as to when a warning should be given or what it should contain. This was properly a role for the judge on a case-by-case basis.</w:t>
      </w:r>
      <w:r>
        <w:rPr>
          <w:rStyle w:val="FootnoteReference"/>
        </w:rPr>
        <w:footnoteReference w:id="689"/>
      </w:r>
    </w:p>
    <w:p w14:paraId="78B9D686" w14:textId="77777777" w:rsidR="00116092" w:rsidRDefault="00116092" w:rsidP="009F4F6E">
      <w:pPr>
        <w:pStyle w:val="BodyText"/>
      </w:pPr>
      <w:r>
        <w:t xml:space="preserve">The Supreme Court in </w:t>
      </w:r>
      <w:r>
        <w:rPr>
          <w:i/>
          <w:iCs/>
        </w:rPr>
        <w:t>Hudson</w:t>
      </w:r>
      <w:r>
        <w:t xml:space="preserve"> rejected the argument that there should be a standard form direction to be given in cases involving prison informant evidence but held that a direction will</w:t>
      </w:r>
      <w:r w:rsidRPr="00597F94">
        <w:t xml:space="preserve"> </w:t>
      </w:r>
      <w:r w:rsidRPr="0063322C">
        <w:t>normally</w:t>
      </w:r>
      <w:r>
        <w:t xml:space="preserve"> be required.</w:t>
      </w:r>
      <w:r>
        <w:rPr>
          <w:rStyle w:val="FootnoteReference"/>
        </w:rPr>
        <w:footnoteReference w:id="690"/>
      </w:r>
    </w:p>
    <w:p w14:paraId="0C67CB18" w14:textId="00BCE038" w:rsidR="00116092" w:rsidRDefault="00116092" w:rsidP="009F4F6E">
      <w:pPr>
        <w:pStyle w:val="BodyText"/>
      </w:pPr>
      <w:r>
        <w:t xml:space="preserve">This approach was affirmed by te Kōti </w:t>
      </w:r>
      <w:r w:rsidR="00487FD0">
        <w:t>Pīra</w:t>
      </w:r>
      <w:r>
        <w:t xml:space="preserve"> | the Court of Appeal in </w:t>
      </w:r>
      <w:r>
        <w:rPr>
          <w:i/>
          <w:iCs/>
        </w:rPr>
        <w:t>Baillie v R</w:t>
      </w:r>
      <w:r w:rsidR="00E17AA6" w:rsidRPr="00E17AA6">
        <w:t>,</w:t>
      </w:r>
      <w:r>
        <w:rPr>
          <w:i/>
          <w:iCs/>
        </w:rPr>
        <w:t xml:space="preserve"> </w:t>
      </w:r>
      <w:r>
        <w:t xml:space="preserve">where it held that the considerations </w:t>
      </w:r>
      <w:r w:rsidR="00475D0A">
        <w:t>that</w:t>
      </w:r>
      <w:r>
        <w:t xml:space="preserve"> justified “careful scrutiny” of prison informant evidence at the admissibility stage may also call for judicial directions if prison informants are called at trial.</w:t>
      </w:r>
      <w:r>
        <w:rPr>
          <w:rStyle w:val="FootnoteReference"/>
        </w:rPr>
        <w:footnoteReference w:id="691"/>
      </w:r>
      <w:r>
        <w:t xml:space="preserve"> The Court stated that</w:t>
      </w:r>
      <w:r w:rsidR="00F211DE">
        <w:t>,</w:t>
      </w:r>
      <w:r>
        <w:t xml:space="preserve"> for such witnesses</w:t>
      </w:r>
      <w:r w:rsidR="00F211DE">
        <w:t>,</w:t>
      </w:r>
      <w:r>
        <w:t xml:space="preserve"> judges should consider whether to direct the jury:</w:t>
      </w:r>
      <w:r>
        <w:rPr>
          <w:rStyle w:val="FootnoteReference"/>
        </w:rPr>
        <w:footnoteReference w:id="692"/>
      </w:r>
    </w:p>
    <w:p w14:paraId="04E7074D" w14:textId="77777777" w:rsidR="00116092" w:rsidRDefault="00116092" w:rsidP="00116092">
      <w:pPr>
        <w:pStyle w:val="QuoteIndent1"/>
      </w:pPr>
      <w:r>
        <w:t xml:space="preserve">(a) to consider any promises or expectations of preference that may operate on the witness, and how powerful any such incentive may be in the witness’s circumstances; </w:t>
      </w:r>
    </w:p>
    <w:p w14:paraId="2E0FD590" w14:textId="77777777" w:rsidR="00116092" w:rsidRDefault="00116092" w:rsidP="00116092">
      <w:pPr>
        <w:pStyle w:val="QuoteIndent1"/>
      </w:pPr>
      <w:r>
        <w:lastRenderedPageBreak/>
        <w:t xml:space="preserve">(b) to consider whether any disclosure to the police by the witness was delayed or was connected in time to an incentive; </w:t>
      </w:r>
    </w:p>
    <w:p w14:paraId="3080BED2" w14:textId="77777777" w:rsidR="00116092" w:rsidRDefault="00116092" w:rsidP="00116092">
      <w:pPr>
        <w:pStyle w:val="QuoteIndent1"/>
      </w:pPr>
      <w:r>
        <w:t>(c) to pay attention to any identified weaknesses in the evidence, such as (by way of example) inherent implausibility and inconsistency with other evidence that the jury accepts;</w:t>
      </w:r>
    </w:p>
    <w:p w14:paraId="56253908" w14:textId="77777777" w:rsidR="00116092" w:rsidRDefault="00116092" w:rsidP="00116092">
      <w:pPr>
        <w:pStyle w:val="QuoteIndent1"/>
      </w:pPr>
      <w:r>
        <w:t>(d) to be aware of any risk that details in the informant’s evidence may have been acquired not from the defendant but through the informant’s involvement in the police investigation or dealings with other witnesses. Where such risk exists, it may be appropriate to caution against treating the accounts of several such witness as mutually supportive;</w:t>
      </w:r>
    </w:p>
    <w:p w14:paraId="6D09D154" w14:textId="77777777" w:rsidR="00116092" w:rsidRDefault="00116092" w:rsidP="00116092">
      <w:pPr>
        <w:pStyle w:val="QuoteIndent1"/>
      </w:pPr>
      <w:r>
        <w:t>(e) to be aware of the risk that juries may mistakenly attribute the evidence of a prison informant to a desire to tell the truth rather than an incentive to give evidence that may gain the witness some advantage within the criminal justice system; and</w:t>
      </w:r>
    </w:p>
    <w:p w14:paraId="2CB07329" w14:textId="77777777" w:rsidR="00116092" w:rsidRDefault="00116092" w:rsidP="00116092">
      <w:pPr>
        <w:pStyle w:val="QuoteIndent1"/>
      </w:pPr>
      <w:r>
        <w:t>(f) that the ultimate assessment of reliability is theirs to make, but they must exercise caution when deciding whether to accept the evidence. Consistent with W (SC38/2019)</w:t>
      </w:r>
      <w:r w:rsidRPr="005F0616">
        <w:t xml:space="preserve">, </w:t>
      </w:r>
      <w:r>
        <w:t xml:space="preserve">it may be appropriate in some cases to warn the jury of a risk that prison informant evidence may lead to miscarriages of justice. </w:t>
      </w:r>
    </w:p>
    <w:p w14:paraId="083EB840" w14:textId="77777777" w:rsidR="00116092" w:rsidRDefault="00116092" w:rsidP="00116092">
      <w:pPr>
        <w:pStyle w:val="Heading3"/>
      </w:pPr>
      <w:r>
        <w:t>Is section 122(2)(d) sufficient to address the risks associated with prison informant evidence?</w:t>
      </w:r>
    </w:p>
    <w:p w14:paraId="692F263F" w14:textId="0EA8A4F2" w:rsidR="00116092" w:rsidRDefault="00116092" w:rsidP="009F4F6E">
      <w:pPr>
        <w:pStyle w:val="BodyText"/>
      </w:pPr>
      <w:r>
        <w:t xml:space="preserve">Both the courts and commentors have been critical of the ability of judicial directions to address the risks of prison informant evidence, drawing attention to research </w:t>
      </w:r>
      <w:r w:rsidR="00F211DE">
        <w:t>that</w:t>
      </w:r>
      <w:r>
        <w:t xml:space="preserve"> indicates that jury instructions (even when enhanced) have no effect on verdicts.</w:t>
      </w:r>
      <w:r>
        <w:rPr>
          <w:rStyle w:val="FootnoteReference"/>
        </w:rPr>
        <w:footnoteReference w:id="693"/>
      </w:r>
      <w:r>
        <w:t xml:space="preserve"> </w:t>
      </w:r>
      <w:r w:rsidRPr="00E37695">
        <w:t xml:space="preserve">Despite these concerns, there </w:t>
      </w:r>
      <w:r>
        <w:t>appears to be</w:t>
      </w:r>
      <w:r w:rsidRPr="00E37695">
        <w:t xml:space="preserve"> little support to </w:t>
      </w:r>
      <w:r>
        <w:t>dispense</w:t>
      </w:r>
      <w:r w:rsidRPr="00E37695">
        <w:t xml:space="preserve"> with judicial directions completely. The majority in </w:t>
      </w:r>
      <w:r w:rsidRPr="00E37695">
        <w:rPr>
          <w:i/>
          <w:iCs/>
        </w:rPr>
        <w:t>W</w:t>
      </w:r>
      <w:r w:rsidR="00380C95">
        <w:rPr>
          <w:i/>
          <w:iCs/>
        </w:rPr>
        <w:t xml:space="preserve"> (SC 38/2019)</w:t>
      </w:r>
      <w:r w:rsidRPr="00E37695">
        <w:rPr>
          <w:i/>
          <w:iCs/>
        </w:rPr>
        <w:t xml:space="preserve"> v R </w:t>
      </w:r>
      <w:r>
        <w:t xml:space="preserve">said </w:t>
      </w:r>
      <w:r w:rsidRPr="00E37695">
        <w:t>the evidence “plainly provid</w:t>
      </w:r>
      <w:r>
        <w:t xml:space="preserve">ed </w:t>
      </w:r>
      <w:r w:rsidRPr="00E37695">
        <w:t xml:space="preserve">support for the requirement in </w:t>
      </w:r>
      <w:r w:rsidRPr="00E37695">
        <w:rPr>
          <w:i/>
          <w:iCs/>
        </w:rPr>
        <w:t>Hudson</w:t>
      </w:r>
      <w:r w:rsidRPr="00E37695">
        <w:t xml:space="preserve"> for careful scrutiny of the evidence of prison informants”</w:t>
      </w:r>
      <w:r>
        <w:t>.</w:t>
      </w:r>
      <w:r w:rsidRPr="00E37695">
        <w:rPr>
          <w:vertAlign w:val="superscript"/>
        </w:rPr>
        <w:footnoteReference w:id="694"/>
      </w:r>
      <w:r w:rsidRPr="00E37695">
        <w:t xml:space="preserve"> </w:t>
      </w:r>
      <w:r>
        <w:t>T</w:t>
      </w:r>
      <w:r w:rsidRPr="00E37695">
        <w:t>he minority were more explicit</w:t>
      </w:r>
      <w:r>
        <w:t>, concluding that the statutory scheme of the Act proceeds on the basis that juries do listen to judicial directions, meaning it was not possible to “jettison” reliance upon those directions – and neither did the available studies make the case for doing so.</w:t>
      </w:r>
      <w:r w:rsidRPr="00E37695">
        <w:rPr>
          <w:vertAlign w:val="superscript"/>
        </w:rPr>
        <w:footnoteReference w:id="695"/>
      </w:r>
    </w:p>
    <w:p w14:paraId="50DB252A" w14:textId="7258AC61" w:rsidR="00116092" w:rsidRDefault="00116092" w:rsidP="009F4F6E">
      <w:pPr>
        <w:pStyle w:val="BodyText"/>
      </w:pPr>
      <w:r>
        <w:t xml:space="preserve">The minority judgment in </w:t>
      </w:r>
      <w:r>
        <w:rPr>
          <w:i/>
          <w:iCs/>
        </w:rPr>
        <w:t>W</w:t>
      </w:r>
      <w:r w:rsidR="00380C95">
        <w:rPr>
          <w:i/>
          <w:iCs/>
        </w:rPr>
        <w:t xml:space="preserve"> (SC 38/2019)</w:t>
      </w:r>
      <w:r>
        <w:rPr>
          <w:i/>
          <w:iCs/>
        </w:rPr>
        <w:t xml:space="preserve"> v R </w:t>
      </w:r>
      <w:r>
        <w:t>highlighted that studies on judicial warnings had not fully explored the “form and timing” of the direction and whether that made a difference to juries’ reasoning.</w:t>
      </w:r>
      <w:r>
        <w:rPr>
          <w:rStyle w:val="FootnoteReference"/>
        </w:rPr>
        <w:footnoteReference w:id="696"/>
      </w:r>
      <w:r>
        <w:t xml:space="preserve"> We understand that</w:t>
      </w:r>
      <w:r w:rsidR="00F211DE">
        <w:t>,</w:t>
      </w:r>
      <w:r>
        <w:t xml:space="preserve"> in practice</w:t>
      </w:r>
      <w:r w:rsidR="00F211DE">
        <w:t>,</w:t>
      </w:r>
      <w:r>
        <w:t xml:space="preserve"> some judges will provide a warning or direction to the jury not just at summing up, but also before the evidence has been heard, either in opening remarks or immediately before the informant gives their evidence. </w:t>
      </w:r>
    </w:p>
    <w:p w14:paraId="022D93C7" w14:textId="77777777" w:rsidR="00116092" w:rsidRDefault="00116092" w:rsidP="009F4F6E">
      <w:pPr>
        <w:pStyle w:val="BodyText"/>
      </w:pPr>
      <w:r w:rsidRPr="00E37695">
        <w:t xml:space="preserve">The </w:t>
      </w:r>
      <w:r>
        <w:t>case law also</w:t>
      </w:r>
      <w:r w:rsidRPr="00E37695">
        <w:t xml:space="preserve"> now provide</w:t>
      </w:r>
      <w:r>
        <w:t>s</w:t>
      </w:r>
      <w:r w:rsidRPr="00E37695">
        <w:t xml:space="preserve"> more detailed guidance on judicial directions, </w:t>
      </w:r>
      <w:r>
        <w:t xml:space="preserve">with the Court of Appeal </w:t>
      </w:r>
      <w:r w:rsidRPr="00E37695">
        <w:t xml:space="preserve">setting out in </w:t>
      </w:r>
      <w:r w:rsidRPr="00BB6A1C">
        <w:rPr>
          <w:i/>
          <w:iCs/>
        </w:rPr>
        <w:t xml:space="preserve">Baillie </w:t>
      </w:r>
      <w:r>
        <w:t xml:space="preserve">the </w:t>
      </w:r>
      <w:r w:rsidRPr="00E37695">
        <w:t>factors that the judge should consider</w:t>
      </w:r>
      <w:r>
        <w:t xml:space="preserve"> when directing the </w:t>
      </w:r>
      <w:r w:rsidRPr="00E37695">
        <w:t>jury</w:t>
      </w:r>
      <w:r>
        <w:t>.</w:t>
      </w:r>
    </w:p>
    <w:p w14:paraId="298AF2C4" w14:textId="3497E54F" w:rsidR="00116092" w:rsidRDefault="00116092" w:rsidP="009F4F6E">
      <w:pPr>
        <w:pStyle w:val="BodyText"/>
      </w:pPr>
      <w:r>
        <w:lastRenderedPageBreak/>
        <w:t>Given these developments, w</w:t>
      </w:r>
      <w:r w:rsidRPr="00E37695">
        <w:t xml:space="preserve">e </w:t>
      </w:r>
      <w:r>
        <w:t xml:space="preserve">seek submissions </w:t>
      </w:r>
      <w:r w:rsidRPr="00E37695">
        <w:t>on whether s</w:t>
      </w:r>
      <w:r>
        <w:t>ection</w:t>
      </w:r>
      <w:r w:rsidRPr="00E37695">
        <w:t xml:space="preserve"> 122(2)(d) should be amended so as to enhance judicial directions to </w:t>
      </w:r>
      <w:r>
        <w:t xml:space="preserve">the </w:t>
      </w:r>
      <w:r w:rsidRPr="00E37695">
        <w:t xml:space="preserve">jury or whether the current </w:t>
      </w:r>
      <w:r>
        <w:t>law,</w:t>
      </w:r>
      <w:r w:rsidRPr="00E37695">
        <w:t xml:space="preserve"> </w:t>
      </w:r>
      <w:r>
        <w:t>including</w:t>
      </w:r>
      <w:r w:rsidRPr="00E37695">
        <w:t xml:space="preserve"> the Court’s guidance in </w:t>
      </w:r>
      <w:r w:rsidRPr="00BB6A1C">
        <w:rPr>
          <w:i/>
          <w:iCs/>
        </w:rPr>
        <w:t>Baillie</w:t>
      </w:r>
      <w:r>
        <w:t>,</w:t>
      </w:r>
      <w:r w:rsidRPr="00BB6A1C">
        <w:rPr>
          <w:i/>
          <w:iCs/>
        </w:rPr>
        <w:t xml:space="preserve"> </w:t>
      </w:r>
      <w:r w:rsidRPr="00E37695">
        <w:t xml:space="preserve">is sufficient to guard against the risks of </w:t>
      </w:r>
      <w:r>
        <w:t xml:space="preserve">unreliability associated with </w:t>
      </w:r>
      <w:r w:rsidRPr="00E37695">
        <w:t xml:space="preserve">prison informant evidence </w:t>
      </w:r>
      <w:r>
        <w:t>when</w:t>
      </w:r>
      <w:r w:rsidRPr="00E37695">
        <w:t xml:space="preserve"> it </w:t>
      </w:r>
      <w:r>
        <w:t xml:space="preserve">is admitted at </w:t>
      </w:r>
      <w:r w:rsidRPr="00E37695">
        <w:t>trial.</w:t>
      </w:r>
    </w:p>
    <w:p w14:paraId="1FDCB45D" w14:textId="0CF82049" w:rsidR="00302B37" w:rsidRDefault="00302B37" w:rsidP="00302B37">
      <w:pPr>
        <w:pStyle w:val="QuestionBox"/>
      </w:pPr>
      <w:r>
        <w:rPr>
          <w:noProof/>
        </w:rPr>
        <mc:AlternateContent>
          <mc:Choice Requires="wpg">
            <w:drawing>
              <wp:anchor distT="0" distB="0" distL="114300" distR="114300" simplePos="0" relativeHeight="251658315" behindDoc="1" locked="0" layoutInCell="1" allowOverlap="1" wp14:anchorId="25FB3CA7" wp14:editId="6DB64C1E">
                <wp:simplePos x="0" y="0"/>
                <wp:positionH relativeFrom="column">
                  <wp:posOffset>-1962</wp:posOffset>
                </wp:positionH>
                <wp:positionV relativeFrom="paragraph">
                  <wp:posOffset>-1185</wp:posOffset>
                </wp:positionV>
                <wp:extent cx="5760085" cy="1119118"/>
                <wp:effectExtent l="0" t="0" r="0" b="5080"/>
                <wp:wrapNone/>
                <wp:docPr id="764518006" name="Group 764518006" descr="Question"/>
                <wp:cNvGraphicFramePr/>
                <a:graphic xmlns:a="http://schemas.openxmlformats.org/drawingml/2006/main">
                  <a:graphicData uri="http://schemas.microsoft.com/office/word/2010/wordprocessingGroup">
                    <wpg:wgp>
                      <wpg:cNvGrpSpPr/>
                      <wpg:grpSpPr>
                        <a:xfrm>
                          <a:off x="0" y="0"/>
                          <a:ext cx="5760085" cy="1119118"/>
                          <a:chOff x="0" y="62865"/>
                          <a:chExt cx="5760085" cy="1119371"/>
                        </a:xfrm>
                      </wpg:grpSpPr>
                      <wps:wsp>
                        <wps:cNvPr id="76451800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B2C55A" w14:textId="77777777" w:rsidR="00302B37" w:rsidRDefault="00302B37" w:rsidP="00302B37">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08" name="Group 53"/>
                        <wpg:cNvGrpSpPr>
                          <a:grpSpLocks/>
                        </wpg:cNvGrpSpPr>
                        <wpg:grpSpPr bwMode="auto">
                          <a:xfrm>
                            <a:off x="0" y="315799"/>
                            <a:ext cx="5760085" cy="866437"/>
                            <a:chOff x="1837" y="1787"/>
                            <a:chExt cx="9302" cy="9359"/>
                          </a:xfrm>
                        </wpg:grpSpPr>
                        <wps:wsp>
                          <wps:cNvPr id="764518009" name="Freeform 54"/>
                          <wps:cNvSpPr>
                            <a:spLocks/>
                          </wps:cNvSpPr>
                          <wps:spPr bwMode="auto">
                            <a:xfrm>
                              <a:off x="1837" y="1787"/>
                              <a:ext cx="9302" cy="935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10" name="Group 764518010"/>
                        <wpg:cNvGrpSpPr/>
                        <wpg:grpSpPr>
                          <a:xfrm>
                            <a:off x="0" y="494036"/>
                            <a:ext cx="1443794" cy="252000"/>
                            <a:chOff x="-15880" y="0"/>
                            <a:chExt cx="1444379" cy="252068"/>
                          </a:xfrm>
                        </wpg:grpSpPr>
                        <wps:wsp>
                          <wps:cNvPr id="76451801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1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6F0B7C" w14:textId="77777777" w:rsidR="00302B37" w:rsidRPr="00E90B8A" w:rsidRDefault="00302B37" w:rsidP="00302B37">
                                <w:pPr>
                                  <w:pStyle w:val="BoxTitle"/>
                                  <w:spacing w:before="0" w:beforeAutospacing="0"/>
                                  <w:rPr>
                                    <w:sz w:val="18"/>
                                    <w:szCs w:val="18"/>
                                  </w:rPr>
                                </w:pPr>
                                <w:r w:rsidRPr="00E90B8A">
                                  <w:rPr>
                                    <w:sz w:val="18"/>
                                    <w:szCs w:val="18"/>
                                  </w:rPr>
                                  <w:t>Q</w:t>
                                </w:r>
                                <w:r>
                                  <w:rPr>
                                    <w:sz w:val="18"/>
                                    <w:szCs w:val="18"/>
                                  </w:rPr>
                                  <w:t>39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5FB3CA7" id="Group 764518006" o:spid="_x0000_s1289" alt="Question" style="position:absolute;left:0;text-align:left;margin-left:-.15pt;margin-top:-.1pt;width:453.55pt;height:88.1pt;z-index:-251658165;mso-height-relative:margin" coordorigin=",628" coordsize="57600,1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">
                <v:shape id="Freeform 52" o:spid="_x0000_s129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1B2C55A" w14:textId="77777777" w:rsidR="00302B37" w:rsidRDefault="00302B37" w:rsidP="00302B37">
                        <w:pPr>
                          <w:pStyle w:val="BoxTitle"/>
                          <w:spacing w:before="0" w:beforeAutospacing="0"/>
                        </w:pPr>
                        <w:r w:rsidRPr="007F6876">
                          <w:t>QUESTION</w:t>
                        </w:r>
                      </w:p>
                    </w:txbxContent>
                  </v:textbox>
                </v:shape>
                <v:group id="Group 53" o:spid="_x0000_s1291" style="position:absolute;top:3157;width:57600;height:8665" coordorigin="1837,1787" coordsize="9302,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">
                  <v:shape id="Freeform 54" o:spid="_x0000_s1292" style="position:absolute;left:1837;top:1787;width:9302;height:935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" path="m,l9354,r,7809l,7809,,e" fillcolor="#edf2ea" stroked="f">
                    <v:path arrowok="t" o:connecttype="custom" o:connectlocs="0,1198;9302,1198;9302,10557;0,10557;0,1198" o:connectangles="0,0,0,0,0"/>
                  </v:shape>
                </v:group>
                <v:group id="Group 764518010" o:spid="_x0000_s129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">
                  <v:shape id="Freeform 58" o:spid="_x0000_s129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" path="m,l1815,e" filled="f" strokecolor="#72ab6a" strokeweight=".5pt">
                    <v:path arrowok="t" o:connecttype="custom" o:connectlocs="0,0;1073495,0" o:connectangles="0,0"/>
                  </v:shape>
                  <v:shape id="Freeform 66" o:spid="_x0000_s129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A6F0B7C" w14:textId="77777777" w:rsidR="00302B37" w:rsidRPr="00E90B8A" w:rsidRDefault="00302B37" w:rsidP="00302B37">
                          <w:pPr>
                            <w:pStyle w:val="BoxTitle"/>
                            <w:spacing w:before="0" w:beforeAutospacing="0"/>
                            <w:rPr>
                              <w:sz w:val="18"/>
                              <w:szCs w:val="18"/>
                            </w:rPr>
                          </w:pPr>
                          <w:r w:rsidRPr="00E90B8A">
                            <w:rPr>
                              <w:sz w:val="18"/>
                              <w:szCs w:val="18"/>
                            </w:rPr>
                            <w:t>Q</w:t>
                          </w:r>
                          <w:r>
                            <w:rPr>
                              <w:sz w:val="18"/>
                              <w:szCs w:val="18"/>
                            </w:rPr>
                            <w:t>39</w:t>
                          </w:r>
                        </w:p>
                      </w:txbxContent>
                    </v:textbox>
                  </v:shape>
                </v:group>
              </v:group>
            </w:pict>
          </mc:Fallback>
        </mc:AlternateContent>
      </w:r>
    </w:p>
    <w:p w14:paraId="2C8D3FB3" w14:textId="77777777" w:rsidR="00302B37" w:rsidRDefault="00302B37" w:rsidP="00302B37">
      <w:pPr>
        <w:pStyle w:val="QuestionBox"/>
      </w:pPr>
    </w:p>
    <w:p w14:paraId="529008E5" w14:textId="71001E09" w:rsidR="00116092" w:rsidRDefault="00116092" w:rsidP="00302B37">
      <w:pPr>
        <w:pStyle w:val="QuestionBox"/>
      </w:pPr>
      <w:r w:rsidRPr="00B52A65">
        <w:t xml:space="preserve">Is </w:t>
      </w:r>
      <w:r>
        <w:t>section 122(</w:t>
      </w:r>
      <w:r w:rsidR="0002379B">
        <w:t>2</w:t>
      </w:r>
      <w:r>
        <w:t>)(d) sufficient to</w:t>
      </w:r>
      <w:r w:rsidRPr="00B52A65">
        <w:t xml:space="preserve"> address the risks associated with this type of evidence in practice? </w:t>
      </w:r>
    </w:p>
    <w:p w14:paraId="1BB7B54B" w14:textId="77777777" w:rsidR="00302B37" w:rsidRDefault="00302B37" w:rsidP="00302B37">
      <w:pPr>
        <w:pStyle w:val="QuestionBox"/>
      </w:pPr>
    </w:p>
    <w:p w14:paraId="7AB212CD" w14:textId="55B8AC54" w:rsidR="00116092" w:rsidRDefault="00123AAE" w:rsidP="00116092">
      <w:pPr>
        <w:pStyle w:val="Heading3"/>
      </w:pPr>
      <w:r>
        <w:t>Options</w:t>
      </w:r>
      <w:r w:rsidR="00116092">
        <w:t xml:space="preserve"> for reform</w:t>
      </w:r>
    </w:p>
    <w:p w14:paraId="1C884BF8" w14:textId="77777777" w:rsidR="00116092" w:rsidRDefault="00116092" w:rsidP="009F4F6E">
      <w:pPr>
        <w:pStyle w:val="BodyText"/>
      </w:pPr>
      <w:r w:rsidRPr="0026755B">
        <w:t xml:space="preserve">If reform is considered </w:t>
      </w:r>
      <w:r>
        <w:t xml:space="preserve">necessary or </w:t>
      </w:r>
      <w:r w:rsidRPr="0026755B">
        <w:t xml:space="preserve">desirable, we have identified two possible </w:t>
      </w:r>
      <w:r>
        <w:t>options, one or both of which could be adopted</w:t>
      </w:r>
      <w:r w:rsidRPr="0026755B">
        <w:t>:</w:t>
      </w:r>
    </w:p>
    <w:p w14:paraId="33D7288F" w14:textId="66591549" w:rsidR="00116092" w:rsidRDefault="00116092" w:rsidP="00866891">
      <w:pPr>
        <w:pStyle w:val="BodyTextnonum"/>
        <w:numPr>
          <w:ilvl w:val="3"/>
          <w:numId w:val="25"/>
        </w:numPr>
      </w:pPr>
      <w:r w:rsidRPr="00D405BF">
        <w:rPr>
          <w:b/>
          <w:bCs/>
        </w:rPr>
        <w:t>Option 1:</w:t>
      </w:r>
      <w:r w:rsidRPr="00D405BF" w:rsidDel="00B522B3">
        <w:rPr>
          <w:b/>
          <w:bCs/>
        </w:rPr>
        <w:t xml:space="preserve"> </w:t>
      </w:r>
      <w:r w:rsidR="00F211DE">
        <w:t>A</w:t>
      </w:r>
      <w:r w:rsidRPr="0026755B">
        <w:t xml:space="preserve">mend </w:t>
      </w:r>
      <w:r>
        <w:t xml:space="preserve">the Act </w:t>
      </w:r>
      <w:r w:rsidRPr="0026755B">
        <w:t xml:space="preserve">to </w:t>
      </w:r>
      <w:r w:rsidRPr="00A74BB8">
        <w:t>require</w:t>
      </w:r>
      <w:r w:rsidRPr="00146318">
        <w:t xml:space="preserve"> </w:t>
      </w:r>
      <w:r w:rsidRPr="0026755B">
        <w:t>judges to provide a warning to the jury on reliability in every case involving prison informant evidence; and/or</w:t>
      </w:r>
    </w:p>
    <w:p w14:paraId="603BCA04" w14:textId="0520621D" w:rsidR="00116092" w:rsidRDefault="00116092" w:rsidP="00866891">
      <w:pPr>
        <w:pStyle w:val="BodyTextnonum"/>
        <w:numPr>
          <w:ilvl w:val="3"/>
          <w:numId w:val="25"/>
        </w:numPr>
      </w:pPr>
      <w:r w:rsidRPr="00491577">
        <w:rPr>
          <w:b/>
          <w:bCs/>
        </w:rPr>
        <w:t>Option 2:</w:t>
      </w:r>
      <w:r w:rsidRPr="00491577" w:rsidDel="00130EA3">
        <w:rPr>
          <w:b/>
          <w:bCs/>
        </w:rPr>
        <w:t xml:space="preserve"> </w:t>
      </w:r>
      <w:r w:rsidR="00F211DE">
        <w:t>A</w:t>
      </w:r>
      <w:r w:rsidRPr="0026755B">
        <w:t xml:space="preserve">mend </w:t>
      </w:r>
      <w:r>
        <w:t xml:space="preserve">the Act to include </w:t>
      </w:r>
      <w:r w:rsidRPr="0026755B">
        <w:t>the factors that a judge should</w:t>
      </w:r>
      <w:r>
        <w:t xml:space="preserve"> consider including, or must</w:t>
      </w:r>
      <w:r w:rsidRPr="0026755B">
        <w:t xml:space="preserve"> include</w:t>
      </w:r>
      <w:r>
        <w:t>,</w:t>
      </w:r>
      <w:r w:rsidRPr="0026755B">
        <w:t xml:space="preserve"> in their warning.</w:t>
      </w:r>
    </w:p>
    <w:p w14:paraId="70C1F403" w14:textId="77777777" w:rsidR="00116092" w:rsidRDefault="00116092" w:rsidP="009F4F6E">
      <w:pPr>
        <w:pStyle w:val="BodyText"/>
      </w:pPr>
      <w:r w:rsidRPr="0026755B">
        <w:t xml:space="preserve">Option </w:t>
      </w:r>
      <w:r>
        <w:t>1 (and Option 2, if drafted as an imperative)</w:t>
      </w:r>
      <w:r w:rsidRPr="0026755B">
        <w:t xml:space="preserve"> </w:t>
      </w:r>
      <w:r>
        <w:t xml:space="preserve">would </w:t>
      </w:r>
      <w:r w:rsidRPr="0026755B">
        <w:t>be contrary to the original policy intention of s</w:t>
      </w:r>
      <w:r>
        <w:t>ection</w:t>
      </w:r>
      <w:r w:rsidRPr="0026755B">
        <w:t xml:space="preserve"> 122. </w:t>
      </w:r>
      <w:r>
        <w:t>As noted above, one of the</w:t>
      </w:r>
      <w:r w:rsidRPr="0026755B" w:rsidDel="00CF34CC">
        <w:t xml:space="preserve"> </w:t>
      </w:r>
      <w:r w:rsidRPr="0026755B">
        <w:t>concern</w:t>
      </w:r>
      <w:r>
        <w:t>s</w:t>
      </w:r>
      <w:r w:rsidRPr="0026755B">
        <w:t xml:space="preserve"> behind s</w:t>
      </w:r>
      <w:r>
        <w:t>ection</w:t>
      </w:r>
      <w:r w:rsidRPr="0026755B">
        <w:t xml:space="preserve"> 122 appears to have been to ensure that judges have sufficient discretion as to warnings</w:t>
      </w:r>
      <w:r>
        <w:t>.</w:t>
      </w:r>
    </w:p>
    <w:p w14:paraId="5BBAFAE5" w14:textId="77777777" w:rsidR="00116092" w:rsidRDefault="00116092" w:rsidP="009F4F6E">
      <w:pPr>
        <w:pStyle w:val="BodyText"/>
      </w:pPr>
      <w:r w:rsidRPr="0026755B">
        <w:t xml:space="preserve">There is, however, </w:t>
      </w:r>
      <w:r>
        <w:t xml:space="preserve">precedent </w:t>
      </w:r>
      <w:r w:rsidRPr="0026755B">
        <w:t>in the Act for more prescriptive judicial directions</w:t>
      </w:r>
      <w:r>
        <w:t xml:space="preserve"> in appropriate cases</w:t>
      </w:r>
      <w:r w:rsidRPr="0026755B">
        <w:t xml:space="preserve">. Section 126 governs judicial warnings about identification evidence and states that the judge </w:t>
      </w:r>
      <w:r w:rsidRPr="0026755B">
        <w:rPr>
          <w:i/>
          <w:iCs/>
        </w:rPr>
        <w:t>must</w:t>
      </w:r>
      <w:r w:rsidRPr="0026755B">
        <w:t xml:space="preserve"> wa</w:t>
      </w:r>
      <w:r>
        <w:t>r</w:t>
      </w:r>
      <w:r w:rsidRPr="0026755B">
        <w:t xml:space="preserve">n the jury of the special need for caution before convicting on the basis of visual or voice identification evidence. It may be that, </w:t>
      </w:r>
      <w:r>
        <w:t>given the emerging evidence on the risks of prison informant evidence discussed above</w:t>
      </w:r>
      <w:r w:rsidRPr="0026755B">
        <w:t xml:space="preserve">, a similar, more prescriptive direction as proposed in </w:t>
      </w:r>
      <w:r>
        <w:t xml:space="preserve">Option 1 </w:t>
      </w:r>
      <w:r w:rsidRPr="0026755B">
        <w:t>would now be appropriate</w:t>
      </w:r>
      <w:r>
        <w:t>.</w:t>
      </w:r>
    </w:p>
    <w:p w14:paraId="2F37FAEF" w14:textId="475B4569" w:rsidR="00116092" w:rsidRPr="009967F9" w:rsidRDefault="00116092" w:rsidP="009F4F6E">
      <w:pPr>
        <w:pStyle w:val="BodyText"/>
      </w:pPr>
      <w:r>
        <w:t xml:space="preserve">If not drafted as an imperative, </w:t>
      </w:r>
      <w:r w:rsidR="00F211DE">
        <w:t>O</w:t>
      </w:r>
      <w:r w:rsidRPr="0026755B">
        <w:t xml:space="preserve">ption </w:t>
      </w:r>
      <w:r>
        <w:t>2</w:t>
      </w:r>
      <w:r w:rsidRPr="0026755B">
        <w:t>, on its own, would retain the original policy intention of</w:t>
      </w:r>
      <w:r>
        <w:t xml:space="preserve"> section 122 and would continue to favour</w:t>
      </w:r>
      <w:r w:rsidRPr="0026755B">
        <w:t xml:space="preserve"> judicial discretion</w:t>
      </w:r>
      <w:r>
        <w:t xml:space="preserve">. It would, however, </w:t>
      </w:r>
      <w:r w:rsidRPr="0026755B">
        <w:t>provide further guidance for judges as to what juries should</w:t>
      </w:r>
      <w:r>
        <w:t xml:space="preserve"> (or must)</w:t>
      </w:r>
      <w:r w:rsidRPr="0026755B">
        <w:t xml:space="preserve"> be advised to consider. This could take the form of the factors set out by the Court of Appeal in </w:t>
      </w:r>
      <w:r w:rsidRPr="0026755B">
        <w:rPr>
          <w:i/>
          <w:iCs/>
        </w:rPr>
        <w:t>Baillie.</w:t>
      </w:r>
      <w:r>
        <w:t xml:space="preserve"> Option 2 could also include directing the jury to consider not just what was allegedly said, but whether any conversation occurred at all.</w:t>
      </w:r>
      <w:r>
        <w:rPr>
          <w:rStyle w:val="FootnoteReference"/>
        </w:rPr>
        <w:footnoteReference w:id="697"/>
      </w:r>
      <w:r>
        <w:t xml:space="preserve"> There </w:t>
      </w:r>
      <w:r w:rsidRPr="0026755B">
        <w:t xml:space="preserve">is precedent in the Act for </w:t>
      </w:r>
      <w:r>
        <w:t xml:space="preserve">a more prescriptive approach, which may be justified on the basis of the risks posed by prison informant evidence. </w:t>
      </w:r>
      <w:r w:rsidRPr="0026755B">
        <w:t xml:space="preserve">Section 126(2) on identification evidence </w:t>
      </w:r>
      <w:r>
        <w:t>sets out</w:t>
      </w:r>
      <w:r w:rsidRPr="0026755B">
        <w:t xml:space="preserve"> (without providing any standard wording) the considerations that </w:t>
      </w:r>
      <w:r>
        <w:t>a</w:t>
      </w:r>
      <w:r w:rsidRPr="0026755B">
        <w:t xml:space="preserve"> warning</w:t>
      </w:r>
      <w:r>
        <w:t xml:space="preserve"> under this section</w:t>
      </w:r>
      <w:r w:rsidRPr="0026755B">
        <w:t xml:space="preserve"> </w:t>
      </w:r>
      <w:r w:rsidRPr="00A74BB8">
        <w:rPr>
          <w:iCs/>
        </w:rPr>
        <w:t>must</w:t>
      </w:r>
      <w:r w:rsidRPr="0026755B">
        <w:rPr>
          <w:b/>
          <w:bCs/>
        </w:rPr>
        <w:t xml:space="preserve"> </w:t>
      </w:r>
      <w:r w:rsidRPr="0026755B">
        <w:t>cover</w:t>
      </w:r>
      <w:r>
        <w:t>, including</w:t>
      </w:r>
      <w:r w:rsidRPr="0026755B">
        <w:t xml:space="preserve"> warning the jury that </w:t>
      </w:r>
      <w:r>
        <w:t>“</w:t>
      </w:r>
      <w:r w:rsidRPr="0026755B">
        <w:t>a mistaken identification can result in a serious miscarriage of justice</w:t>
      </w:r>
      <w:r w:rsidR="00834A42">
        <w:t>”.</w:t>
      </w:r>
    </w:p>
    <w:p w14:paraId="11A27134" w14:textId="77777777" w:rsidR="00116092" w:rsidRDefault="00116092" w:rsidP="009F4F6E">
      <w:pPr>
        <w:pStyle w:val="BodyText"/>
      </w:pPr>
      <w:r>
        <w:t xml:space="preserve">The Act could be amended to state that the judicial warning need not be in any particular words (as with judicial warnings on identification evidence) and should reflect the specific </w:t>
      </w:r>
      <w:r>
        <w:lastRenderedPageBreak/>
        <w:t>circumstances of the case (as per the guidance from case law</w:t>
      </w:r>
      <w:r>
        <w:rPr>
          <w:rStyle w:val="FootnoteReference"/>
        </w:rPr>
        <w:footnoteReference w:id="698"/>
      </w:r>
      <w:r>
        <w:t xml:space="preserve">) but should (or must) do the following (based on </w:t>
      </w:r>
      <w:r>
        <w:rPr>
          <w:i/>
          <w:iCs/>
        </w:rPr>
        <w:t xml:space="preserve">Baillie </w:t>
      </w:r>
      <w:r w:rsidRPr="00FA7F86">
        <w:t>and</w:t>
      </w:r>
      <w:r>
        <w:rPr>
          <w:i/>
          <w:iCs/>
        </w:rPr>
        <w:t xml:space="preserve"> Hudson</w:t>
      </w:r>
      <w:r>
        <w:t>):</w:t>
      </w:r>
    </w:p>
    <w:p w14:paraId="1FDD8B38" w14:textId="77777777" w:rsidR="00116092" w:rsidRDefault="00116092" w:rsidP="00866891">
      <w:pPr>
        <w:pStyle w:val="BodyText2"/>
        <w:numPr>
          <w:ilvl w:val="3"/>
          <w:numId w:val="28"/>
        </w:numPr>
      </w:pPr>
      <w:r>
        <w:t xml:space="preserve">ask the jury to consider any incentives that may have been offered, received or expected by the witness, and the effect this might have had on the witness; </w:t>
      </w:r>
    </w:p>
    <w:p w14:paraId="1132A715" w14:textId="77777777" w:rsidR="00116092" w:rsidRDefault="00116092" w:rsidP="00866891">
      <w:pPr>
        <w:pStyle w:val="BodyText2"/>
        <w:numPr>
          <w:ilvl w:val="3"/>
          <w:numId w:val="28"/>
        </w:numPr>
      </w:pPr>
      <w:r>
        <w:t>ask the jury to consider any identified weaknesses in the evidence, including any implausibility or inconsistency with other evidence the jury has heard;</w:t>
      </w:r>
    </w:p>
    <w:p w14:paraId="5F408BE5" w14:textId="0A8FF885" w:rsidR="00116092" w:rsidRDefault="00116092" w:rsidP="00866891">
      <w:pPr>
        <w:pStyle w:val="BodyText2"/>
        <w:numPr>
          <w:ilvl w:val="3"/>
          <w:numId w:val="28"/>
        </w:numPr>
      </w:pPr>
      <w:r>
        <w:t xml:space="preserve">alert the jury to the possibility that a witness may be convincing even when providing falsified evidence; </w:t>
      </w:r>
    </w:p>
    <w:p w14:paraId="4A43C408" w14:textId="23EBE3E2" w:rsidR="00116092" w:rsidRDefault="00116092" w:rsidP="00866891">
      <w:pPr>
        <w:pStyle w:val="BodyText2"/>
        <w:numPr>
          <w:ilvl w:val="3"/>
          <w:numId w:val="28"/>
        </w:numPr>
      </w:pPr>
      <w:r>
        <w:t>refer to the risk that details in the witnes</w:t>
      </w:r>
      <w:r w:rsidR="00F735B1">
        <w:t>s’</w:t>
      </w:r>
      <w:r>
        <w:t xml:space="preserve"> evidence may have been acquired from other means; </w:t>
      </w:r>
    </w:p>
    <w:p w14:paraId="24C439B4" w14:textId="77777777" w:rsidR="00116092" w:rsidRDefault="00116092" w:rsidP="00866891">
      <w:pPr>
        <w:pStyle w:val="BodyText2"/>
        <w:numPr>
          <w:ilvl w:val="3"/>
          <w:numId w:val="28"/>
        </w:numPr>
      </w:pPr>
      <w:r>
        <w:t>note the problems juries can experience in considering such evidence, including the risk that juries may mistakenly attribute the evidence of such a witness to a desire to tell the truth, rather than the presence of an incentive; and</w:t>
      </w:r>
    </w:p>
    <w:p w14:paraId="16E67D38" w14:textId="77777777" w:rsidR="00116092" w:rsidRDefault="00116092" w:rsidP="00866891">
      <w:pPr>
        <w:pStyle w:val="BodyTextnonum"/>
        <w:numPr>
          <w:ilvl w:val="3"/>
          <w:numId w:val="28"/>
        </w:numPr>
      </w:pPr>
      <w:r>
        <w:t>if the judge considers it appropriate, warn the jury of the risk that false prison informant evidence can lead to a miscarriage of justice.</w:t>
      </w:r>
    </w:p>
    <w:p w14:paraId="4F859BE6" w14:textId="715BB26F" w:rsidR="00927363" w:rsidRDefault="00927363" w:rsidP="00927363">
      <w:pPr>
        <w:pStyle w:val="QuestionBox"/>
      </w:pPr>
      <w:r>
        <w:rPr>
          <w:noProof/>
        </w:rPr>
        <mc:AlternateContent>
          <mc:Choice Requires="wpg">
            <w:drawing>
              <wp:anchor distT="0" distB="0" distL="114300" distR="114300" simplePos="0" relativeHeight="251658316" behindDoc="1" locked="0" layoutInCell="1" allowOverlap="1" wp14:anchorId="65D94495" wp14:editId="3C16160D">
                <wp:simplePos x="0" y="0"/>
                <wp:positionH relativeFrom="column">
                  <wp:posOffset>-1962</wp:posOffset>
                </wp:positionH>
                <wp:positionV relativeFrom="paragraph">
                  <wp:posOffset>1156</wp:posOffset>
                </wp:positionV>
                <wp:extent cx="5760085" cy="1869756"/>
                <wp:effectExtent l="0" t="0" r="0" b="0"/>
                <wp:wrapNone/>
                <wp:docPr id="21547834" name="Group 21547834" descr="Question"/>
                <wp:cNvGraphicFramePr/>
                <a:graphic xmlns:a="http://schemas.openxmlformats.org/drawingml/2006/main">
                  <a:graphicData uri="http://schemas.microsoft.com/office/word/2010/wordprocessingGroup">
                    <wpg:wgp>
                      <wpg:cNvGrpSpPr/>
                      <wpg:grpSpPr>
                        <a:xfrm>
                          <a:off x="0" y="0"/>
                          <a:ext cx="5760085" cy="1869756"/>
                          <a:chOff x="0" y="62865"/>
                          <a:chExt cx="5760085" cy="1870179"/>
                        </a:xfrm>
                      </wpg:grpSpPr>
                      <wps:wsp>
                        <wps:cNvPr id="66016622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D7E734" w14:textId="77777777" w:rsidR="00927363" w:rsidRDefault="00927363" w:rsidP="00927363">
                              <w:pPr>
                                <w:pStyle w:val="BoxTitle"/>
                                <w:spacing w:before="0" w:beforeAutospacing="0"/>
                              </w:pPr>
                              <w:r w:rsidRPr="007F6876">
                                <w:t>QUESTION</w:t>
                              </w:r>
                            </w:p>
                          </w:txbxContent>
                        </wps:txbx>
                        <wps:bodyPr rot="0" vert="horz" wrap="square" lIns="91440" tIns="0" rIns="0" bIns="45720" anchor="ctr" anchorCtr="0" upright="1">
                          <a:noAutofit/>
                        </wps:bodyPr>
                      </wps:wsp>
                      <wpg:grpSp>
                        <wpg:cNvPr id="617207949" name="Group 53"/>
                        <wpg:cNvGrpSpPr>
                          <a:grpSpLocks/>
                        </wpg:cNvGrpSpPr>
                        <wpg:grpSpPr bwMode="auto">
                          <a:xfrm>
                            <a:off x="0" y="315799"/>
                            <a:ext cx="5760085" cy="1617245"/>
                            <a:chOff x="1837" y="1787"/>
                            <a:chExt cx="9302" cy="17469"/>
                          </a:xfrm>
                        </wpg:grpSpPr>
                        <wps:wsp>
                          <wps:cNvPr id="321873080" name="Freeform 54"/>
                          <wps:cNvSpPr>
                            <a:spLocks/>
                          </wps:cNvSpPr>
                          <wps:spPr bwMode="auto">
                            <a:xfrm>
                              <a:off x="1837" y="1787"/>
                              <a:ext cx="9302" cy="1746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935370" name="Group 1360935370"/>
                        <wpg:cNvGrpSpPr/>
                        <wpg:grpSpPr>
                          <a:xfrm>
                            <a:off x="0" y="494036"/>
                            <a:ext cx="1443794" cy="252000"/>
                            <a:chOff x="-15880" y="0"/>
                            <a:chExt cx="1444379" cy="252068"/>
                          </a:xfrm>
                        </wpg:grpSpPr>
                        <wps:wsp>
                          <wps:cNvPr id="8108828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25089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2F94B2" w14:textId="453D8681" w:rsidR="00927363" w:rsidRPr="00E90B8A" w:rsidRDefault="00927363" w:rsidP="00927363">
                                <w:pPr>
                                  <w:pStyle w:val="BoxTitle"/>
                                  <w:spacing w:before="0" w:beforeAutospacing="0"/>
                                  <w:rPr>
                                    <w:sz w:val="18"/>
                                    <w:szCs w:val="18"/>
                                  </w:rPr>
                                </w:pPr>
                                <w:r w:rsidRPr="00E90B8A">
                                  <w:rPr>
                                    <w:sz w:val="18"/>
                                    <w:szCs w:val="18"/>
                                  </w:rPr>
                                  <w:t>Q</w:t>
                                </w:r>
                                <w:r>
                                  <w:rPr>
                                    <w:sz w:val="18"/>
                                    <w:szCs w:val="18"/>
                                  </w:rPr>
                                  <w:t>40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5D94495" id="Group 21547834" o:spid="_x0000_s1296" alt="Question" style="position:absolute;left:0;text-align:left;margin-left:-.15pt;margin-top:.1pt;width:453.55pt;height:147.2pt;z-index:-251658164;mso-height-relative:margin" coordorigin=",628" coordsize="57600,1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">
                <v:shape id="Freeform 52" o:spid="_x0000_s129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CD7E734" w14:textId="77777777" w:rsidR="00927363" w:rsidRDefault="00927363" w:rsidP="00927363">
                        <w:pPr>
                          <w:pStyle w:val="BoxTitle"/>
                          <w:spacing w:before="0" w:beforeAutospacing="0"/>
                        </w:pPr>
                        <w:r w:rsidRPr="007F6876">
                          <w:t>QUESTION</w:t>
                        </w:r>
                      </w:p>
                    </w:txbxContent>
                  </v:textbox>
                </v:shape>
                <v:group id="Group 53" o:spid="_x0000_s1298" style="position:absolute;top:3157;width:57600;height:16173" coordorigin="1837,1787" coordsize="9302,1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">
                  <v:shape id="Freeform 54" o:spid="_x0000_s1299" style="position:absolute;left:1837;top:1787;width:9302;height:1746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" path="m,l9354,r,7809l,7809,,e" fillcolor="#edf2ea" stroked="f">
                    <v:path arrowok="t" o:connecttype="custom" o:connectlocs="0,2237;9302,2237;9302,19706;0,19706;0,2237" o:connectangles="0,0,0,0,0"/>
                  </v:shape>
                </v:group>
                <v:group id="Group 1360935370" o:spid="_x0000_s130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">
                  <v:shape id="Freeform 58" o:spid="_x0000_s130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" path="m,l1815,e" filled="f" strokecolor="#72ab6a" strokeweight=".5pt">
                    <v:path arrowok="t" o:connecttype="custom" o:connectlocs="0,0;1073495,0" o:connectangles="0,0"/>
                  </v:shape>
                  <v:shape id="Freeform 66" o:spid="_x0000_s130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52F94B2" w14:textId="453D8681" w:rsidR="00927363" w:rsidRPr="00E90B8A" w:rsidRDefault="00927363" w:rsidP="00927363">
                          <w:pPr>
                            <w:pStyle w:val="BoxTitle"/>
                            <w:spacing w:before="0" w:beforeAutospacing="0"/>
                            <w:rPr>
                              <w:sz w:val="18"/>
                              <w:szCs w:val="18"/>
                            </w:rPr>
                          </w:pPr>
                          <w:r w:rsidRPr="00E90B8A">
                            <w:rPr>
                              <w:sz w:val="18"/>
                              <w:szCs w:val="18"/>
                            </w:rPr>
                            <w:t>Q</w:t>
                          </w:r>
                          <w:r>
                            <w:rPr>
                              <w:sz w:val="18"/>
                              <w:szCs w:val="18"/>
                            </w:rPr>
                            <w:t>40</w:t>
                          </w:r>
                        </w:p>
                      </w:txbxContent>
                    </v:textbox>
                  </v:shape>
                </v:group>
              </v:group>
            </w:pict>
          </mc:Fallback>
        </mc:AlternateContent>
      </w:r>
    </w:p>
    <w:p w14:paraId="3B48E19D" w14:textId="77777777" w:rsidR="00927363" w:rsidRDefault="00927363" w:rsidP="00927363">
      <w:pPr>
        <w:pStyle w:val="QuestionBox"/>
      </w:pPr>
    </w:p>
    <w:p w14:paraId="235E841E" w14:textId="53BAAB42" w:rsidR="00116092" w:rsidRDefault="00116092" w:rsidP="00927363">
      <w:pPr>
        <w:pStyle w:val="QuestionBox"/>
      </w:pPr>
      <w:r>
        <w:t xml:space="preserve"> Should section 122(2)(d) be amended to enhance judicial directions to juries on the reliability of prison informant evidence? If so, should it be amended to:</w:t>
      </w:r>
    </w:p>
    <w:p w14:paraId="7BFF4444" w14:textId="77777777" w:rsidR="00116092" w:rsidRDefault="00116092" w:rsidP="00866891">
      <w:pPr>
        <w:pStyle w:val="Questionabc"/>
        <w:numPr>
          <w:ilvl w:val="0"/>
          <w:numId w:val="71"/>
        </w:numPr>
        <w:ind w:left="1418" w:hanging="425"/>
      </w:pPr>
      <w:r>
        <w:t>require the trial judge to provide a warning to the jury on reliability in every case involving prison informants; and/or</w:t>
      </w:r>
    </w:p>
    <w:p w14:paraId="0AEAEEF3" w14:textId="54B1633A" w:rsidR="00116092" w:rsidRDefault="00116092" w:rsidP="00927363">
      <w:pPr>
        <w:pStyle w:val="Questionabc"/>
      </w:pPr>
      <w:r>
        <w:t xml:space="preserve">set out the factors that the judge should </w:t>
      </w:r>
      <w:r w:rsidR="00C11F99">
        <w:rPr>
          <w:i/>
          <w:iCs/>
        </w:rPr>
        <w:t>or</w:t>
      </w:r>
      <w:r w:rsidR="00C11F99">
        <w:t>,</w:t>
      </w:r>
      <w:r>
        <w:t xml:space="preserve"> must include in their warning?</w:t>
      </w:r>
    </w:p>
    <w:p w14:paraId="1399B2FA" w14:textId="77777777" w:rsidR="00927363" w:rsidRPr="00927363" w:rsidRDefault="00927363" w:rsidP="00927363">
      <w:pPr>
        <w:pStyle w:val="QuestionBox"/>
        <w:rPr>
          <w:lang w:eastAsia="en-US"/>
        </w:rPr>
      </w:pPr>
    </w:p>
    <w:p w14:paraId="71DD98B2" w14:textId="77777777" w:rsidR="00116092" w:rsidRDefault="00116092" w:rsidP="00116092">
      <w:pPr>
        <w:pStyle w:val="Heading2"/>
      </w:pPr>
      <w:bookmarkStart w:id="132" w:name="_Toc132962579"/>
      <w:r w:rsidRPr="00D56B0C">
        <w:t>Additional</w:t>
      </w:r>
      <w:r>
        <w:t xml:space="preserve"> safeguards</w:t>
      </w:r>
      <w:bookmarkEnd w:id="132"/>
    </w:p>
    <w:p w14:paraId="5D37DC40" w14:textId="629F5F11" w:rsidR="00116092" w:rsidRDefault="00116092" w:rsidP="009F4F6E">
      <w:pPr>
        <w:pStyle w:val="BodyText"/>
      </w:pPr>
      <w:r>
        <w:t xml:space="preserve">In </w:t>
      </w:r>
      <w:r>
        <w:rPr>
          <w:i/>
          <w:iCs/>
        </w:rPr>
        <w:t>W</w:t>
      </w:r>
      <w:r w:rsidR="00380C95">
        <w:rPr>
          <w:i/>
          <w:iCs/>
        </w:rPr>
        <w:t xml:space="preserve"> (SC 38/2019)</w:t>
      </w:r>
      <w:r>
        <w:rPr>
          <w:i/>
          <w:iCs/>
        </w:rPr>
        <w:t xml:space="preserve"> v R</w:t>
      </w:r>
      <w:r w:rsidR="00E17AA6" w:rsidRPr="00E17AA6">
        <w:t>,</w:t>
      </w:r>
      <w:r>
        <w:rPr>
          <w:i/>
          <w:iCs/>
        </w:rPr>
        <w:t xml:space="preserve"> </w:t>
      </w:r>
      <w:r>
        <w:t>the Court considered that additional safeguards for the use of prison informant evidence were “important and necessary”.</w:t>
      </w:r>
      <w:r>
        <w:rPr>
          <w:rStyle w:val="FootnoteReference"/>
        </w:rPr>
        <w:footnoteReference w:id="699"/>
      </w:r>
      <w:r>
        <w:t xml:space="preserve"> It explored some of the safeguards introduced in various overseas jurisdictions, including the use of approval committees to review and agree to the use of evidence, record-keeping and disclosure requirements and policies restricting the use of prison informant evidence by prosecutors.</w:t>
      </w:r>
      <w:r>
        <w:rPr>
          <w:rStyle w:val="FootnoteReference"/>
        </w:rPr>
        <w:footnoteReference w:id="700"/>
      </w:r>
      <w:r>
        <w:t xml:space="preserve"> It concluded that further guidance for prosecutors and a central register of prison informants were two safeguards that should be developed further.</w:t>
      </w:r>
      <w:r>
        <w:rPr>
          <w:rStyle w:val="FootnoteReference"/>
        </w:rPr>
        <w:footnoteReference w:id="701"/>
      </w:r>
      <w:r>
        <w:t xml:space="preserve"> </w:t>
      </w:r>
      <w:r w:rsidRPr="00002FEC">
        <w:t>Other recent commentary has also noted the need</w:t>
      </w:r>
      <w:r>
        <w:t>,</w:t>
      </w:r>
      <w:r w:rsidRPr="00002FEC">
        <w:t xml:space="preserve"> and </w:t>
      </w:r>
      <w:r>
        <w:t xml:space="preserve">expressed </w:t>
      </w:r>
      <w:r w:rsidRPr="00002FEC">
        <w:t>support</w:t>
      </w:r>
      <w:r>
        <w:t>,</w:t>
      </w:r>
      <w:r w:rsidRPr="00002FEC">
        <w:t xml:space="preserve"> for additional safeguards in this area.</w:t>
      </w:r>
      <w:r>
        <w:rPr>
          <w:rStyle w:val="FootnoteReference"/>
        </w:rPr>
        <w:footnoteReference w:id="702"/>
      </w:r>
    </w:p>
    <w:p w14:paraId="43095931" w14:textId="774A27B6" w:rsidR="00116092" w:rsidRDefault="00116092" w:rsidP="009F4F6E">
      <w:pPr>
        <w:pStyle w:val="BodyText"/>
      </w:pPr>
      <w:r>
        <w:lastRenderedPageBreak/>
        <w:t>The Solicitor-General has now produced guidance for prosecutors on the use of prison informant evidence, and a central register for prison informants has now been set up and is being maintained by Police.</w:t>
      </w:r>
      <w:r>
        <w:rPr>
          <w:rStyle w:val="FootnoteReference"/>
        </w:rPr>
        <w:footnoteReference w:id="703"/>
      </w:r>
      <w:r>
        <w:t xml:space="preserve"> We are interested in views on how these existing safeguards are operating in practice, and whether additional safeguards would be appropriate to address the issues of admissibility or the use of prison informant evidence at trial. Some possible options include:</w:t>
      </w:r>
    </w:p>
    <w:p w14:paraId="58AF93C0" w14:textId="77777777" w:rsidR="00116092" w:rsidRDefault="00116092" w:rsidP="00866891">
      <w:pPr>
        <w:pStyle w:val="BodyTextnonum"/>
        <w:numPr>
          <w:ilvl w:val="3"/>
          <w:numId w:val="25"/>
        </w:numPr>
      </w:pPr>
      <w:r w:rsidRPr="00743C6D">
        <w:rPr>
          <w:b/>
          <w:bCs/>
        </w:rPr>
        <w:t>Further changes to prosecutorial policies and guidance</w:t>
      </w:r>
      <w:r>
        <w:t>: It may be too soon to assess what impact the existing prosecutorial guidelines have had in practice. Similar prosecutorial policies overseas, however, go further by including restrictions on the number of informants who may be called</w:t>
      </w:r>
      <w:r>
        <w:rPr>
          <w:rStyle w:val="FootnoteReference"/>
        </w:rPr>
        <w:footnoteReference w:id="704"/>
      </w:r>
      <w:r>
        <w:t xml:space="preserve"> or containing more robust consequences for prison informants found to have given false evidence.</w:t>
      </w:r>
      <w:r>
        <w:rPr>
          <w:rStyle w:val="FootnoteReference"/>
        </w:rPr>
        <w:footnoteReference w:id="705"/>
      </w:r>
    </w:p>
    <w:p w14:paraId="62C41C9E" w14:textId="0EB2115A" w:rsidR="00116092" w:rsidRDefault="00116092" w:rsidP="00866891">
      <w:pPr>
        <w:pStyle w:val="BodyTextnonum"/>
        <w:numPr>
          <w:ilvl w:val="3"/>
          <w:numId w:val="25"/>
        </w:numPr>
      </w:pPr>
      <w:r w:rsidRPr="00743C6D">
        <w:rPr>
          <w:b/>
          <w:bCs/>
        </w:rPr>
        <w:t>Oversight and approval of decisions</w:t>
      </w:r>
      <w:r>
        <w:rPr>
          <w:b/>
          <w:bCs/>
        </w:rPr>
        <w:t xml:space="preserve"> to use prison informant evidence:</w:t>
      </w:r>
      <w:r>
        <w:t xml:space="preserve"> Some jurisdictions have oversight committees </w:t>
      </w:r>
      <w:r w:rsidR="00EB78F8">
        <w:t>that</w:t>
      </w:r>
      <w:r>
        <w:t xml:space="preserve"> consider the reliability of prison informant evidence and approve its use at trial.</w:t>
      </w:r>
      <w:r>
        <w:rPr>
          <w:rStyle w:val="FootnoteReference"/>
        </w:rPr>
        <w:footnoteReference w:id="706"/>
      </w:r>
      <w:r>
        <w:t xml:space="preserve"> </w:t>
      </w:r>
      <w:r w:rsidRPr="007521C7">
        <w:t xml:space="preserve">In New Zealand, the petition on prison informants presented to Parliament and currently under consideration by the </w:t>
      </w:r>
      <w:r w:rsidRPr="00FA7F86">
        <w:t>Justice Select Committee</w:t>
      </w:r>
      <w:r w:rsidRPr="007521C7">
        <w:t xml:space="preserve"> calls for a similar approach, in requiring the Solicitor-General to provide written approval for the admission of prison informant testimony.</w:t>
      </w:r>
      <w:r w:rsidRPr="007521C7">
        <w:rPr>
          <w:rStyle w:val="FootnoteReference"/>
        </w:rPr>
        <w:footnoteReference w:id="707"/>
      </w:r>
      <w:r>
        <w:t xml:space="preserve"> High supports of the idea of establishing an office or committee to vet prison informant evidence ahead of trial, noting that it may also address some of the administrative costs associated with pre-trial hearings. She emphasises the importance of any such body being independent.</w:t>
      </w:r>
      <w:r>
        <w:rPr>
          <w:rStyle w:val="FootnoteReference"/>
        </w:rPr>
        <w:footnoteReference w:id="708"/>
      </w:r>
    </w:p>
    <w:p w14:paraId="188ABA82" w14:textId="0D98A9F4" w:rsidR="00116092" w:rsidRDefault="00116092" w:rsidP="00866891">
      <w:pPr>
        <w:pStyle w:val="BodyTextnonum"/>
        <w:numPr>
          <w:ilvl w:val="3"/>
          <w:numId w:val="25"/>
        </w:numPr>
      </w:pPr>
      <w:r w:rsidRPr="000C751E">
        <w:rPr>
          <w:b/>
          <w:bCs/>
        </w:rPr>
        <w:t>Record</w:t>
      </w:r>
      <w:r w:rsidR="00E442AD">
        <w:rPr>
          <w:b/>
          <w:bCs/>
        </w:rPr>
        <w:t>-</w:t>
      </w:r>
      <w:r w:rsidRPr="000C751E">
        <w:rPr>
          <w:b/>
          <w:bCs/>
        </w:rPr>
        <w:t>keeping</w:t>
      </w:r>
      <w:r>
        <w:rPr>
          <w:b/>
          <w:bCs/>
        </w:rPr>
        <w:t>:</w:t>
      </w:r>
      <w:r>
        <w:t xml:space="preserve"> More information about incentives offered or received, the history of the person seeking to give evidence and the nature of the interaction between the potential informant and the police and prosecution</w:t>
      </w:r>
      <w:r>
        <w:rPr>
          <w:rStyle w:val="FootnoteReference"/>
        </w:rPr>
        <w:footnoteReference w:id="709"/>
      </w:r>
      <w:r>
        <w:t xml:space="preserve"> would enable greater scrutiny of reliability at admissibility stage and also assist the jury in their assessment of reliability.</w:t>
      </w:r>
      <w:r>
        <w:rPr>
          <w:rStyle w:val="FootnoteReference"/>
        </w:rPr>
        <w:footnoteReference w:id="710"/>
      </w:r>
      <w:r>
        <w:t xml:space="preserve"> We would welcome views on how the Police register is operating in practice and whether additional information or alternative arrangements would assist. An approach based on record</w:t>
      </w:r>
      <w:r w:rsidR="001D60A0">
        <w:t>-</w:t>
      </w:r>
      <w:r>
        <w:t xml:space="preserve">keeping has its shortcomings, as identified by </w:t>
      </w:r>
      <w:r>
        <w:lastRenderedPageBreak/>
        <w:t xml:space="preserve">the Court in </w:t>
      </w:r>
      <w:r w:rsidRPr="006528A9">
        <w:rPr>
          <w:i/>
          <w:iCs/>
        </w:rPr>
        <w:t xml:space="preserve">W </w:t>
      </w:r>
      <w:r w:rsidR="00380C95">
        <w:rPr>
          <w:i/>
          <w:iCs/>
        </w:rPr>
        <w:t xml:space="preserve">(SC 38/2019) </w:t>
      </w:r>
      <w:r w:rsidRPr="006528A9">
        <w:rPr>
          <w:i/>
          <w:iCs/>
        </w:rPr>
        <w:t>v R.</w:t>
      </w:r>
      <w:r w:rsidRPr="00BA0135">
        <w:rPr>
          <w:rStyle w:val="FootnoteReference"/>
        </w:rPr>
        <w:footnoteReference w:id="711"/>
      </w:r>
      <w:r w:rsidRPr="00BA0135">
        <w:t xml:space="preserve"> </w:t>
      </w:r>
      <w:r>
        <w:t>There are many incentives that are less easily observed or recorded</w:t>
      </w:r>
      <w:r w:rsidR="00C825EA">
        <w:t xml:space="preserve">, </w:t>
      </w:r>
      <w:r>
        <w:t xml:space="preserve">and it may be difficult to convey to a jury the power that such incentives might hold in the prison system. It is also, obviously, more helpful in cases </w:t>
      </w:r>
      <w:r w:rsidR="00927363">
        <w:rPr>
          <w:noProof/>
        </w:rPr>
        <mc:AlternateContent>
          <mc:Choice Requires="wpg">
            <w:drawing>
              <wp:anchor distT="0" distB="0" distL="114300" distR="114300" simplePos="0" relativeHeight="251658317" behindDoc="1" locked="0" layoutInCell="1" allowOverlap="1" wp14:anchorId="2356FDC6" wp14:editId="74BF200A">
                <wp:simplePos x="0" y="0"/>
                <wp:positionH relativeFrom="column">
                  <wp:posOffset>-2540</wp:posOffset>
                </wp:positionH>
                <wp:positionV relativeFrom="paragraph">
                  <wp:posOffset>835660</wp:posOffset>
                </wp:positionV>
                <wp:extent cx="5760085" cy="1146175"/>
                <wp:effectExtent l="0" t="0" r="0" b="0"/>
                <wp:wrapNone/>
                <wp:docPr id="764518014" name="Group 764518014" descr="Question"/>
                <wp:cNvGraphicFramePr/>
                <a:graphic xmlns:a="http://schemas.openxmlformats.org/drawingml/2006/main">
                  <a:graphicData uri="http://schemas.microsoft.com/office/word/2010/wordprocessingGroup">
                    <wpg:wgp>
                      <wpg:cNvGrpSpPr/>
                      <wpg:grpSpPr>
                        <a:xfrm>
                          <a:off x="0" y="0"/>
                          <a:ext cx="5760085" cy="1146175"/>
                          <a:chOff x="0" y="62865"/>
                          <a:chExt cx="5760085" cy="1146869"/>
                        </a:xfrm>
                      </wpg:grpSpPr>
                      <wps:wsp>
                        <wps:cNvPr id="76451801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B8A710" w14:textId="77777777" w:rsidR="00927363" w:rsidRDefault="00927363" w:rsidP="00927363">
                              <w:pPr>
                                <w:pStyle w:val="BoxTitle"/>
                                <w:spacing w:before="0" w:beforeAutospacing="0"/>
                              </w:pPr>
                              <w:r w:rsidRPr="007F6876">
                                <w:t>QUESTION</w:t>
                              </w:r>
                            </w:p>
                          </w:txbxContent>
                        </wps:txbx>
                        <wps:bodyPr rot="0" vert="horz" wrap="square" lIns="91440" tIns="0" rIns="0" bIns="45720" anchor="ctr" anchorCtr="0" upright="1">
                          <a:noAutofit/>
                        </wps:bodyPr>
                      </wps:wsp>
                      <wpg:grpSp>
                        <wpg:cNvPr id="192" name="Group 53"/>
                        <wpg:cNvGrpSpPr>
                          <a:grpSpLocks/>
                        </wpg:cNvGrpSpPr>
                        <wpg:grpSpPr bwMode="auto">
                          <a:xfrm>
                            <a:off x="0" y="315800"/>
                            <a:ext cx="5760085" cy="893934"/>
                            <a:chOff x="1837" y="1787"/>
                            <a:chExt cx="9302" cy="9656"/>
                          </a:xfrm>
                        </wpg:grpSpPr>
                        <wps:wsp>
                          <wps:cNvPr id="193" name="Freeform 54"/>
                          <wps:cNvSpPr>
                            <a:spLocks/>
                          </wps:cNvSpPr>
                          <wps:spPr bwMode="auto">
                            <a:xfrm>
                              <a:off x="1837" y="1787"/>
                              <a:ext cx="9302" cy="965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94"/>
                        <wpg:cNvGrpSpPr/>
                        <wpg:grpSpPr>
                          <a:xfrm>
                            <a:off x="0" y="494036"/>
                            <a:ext cx="1443794" cy="252000"/>
                            <a:chOff x="-15880" y="0"/>
                            <a:chExt cx="1444379" cy="252068"/>
                          </a:xfrm>
                        </wpg:grpSpPr>
                        <wps:wsp>
                          <wps:cNvPr id="19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85F56E" w14:textId="77777777" w:rsidR="00927363" w:rsidRPr="00E90B8A" w:rsidRDefault="00927363" w:rsidP="00927363">
                                <w:pPr>
                                  <w:pStyle w:val="BoxTitle"/>
                                  <w:spacing w:before="0" w:beforeAutospacing="0"/>
                                  <w:rPr>
                                    <w:sz w:val="18"/>
                                    <w:szCs w:val="18"/>
                                  </w:rPr>
                                </w:pPr>
                                <w:r w:rsidRPr="00E90B8A">
                                  <w:rPr>
                                    <w:sz w:val="18"/>
                                    <w:szCs w:val="18"/>
                                  </w:rPr>
                                  <w:t>Q</w:t>
                                </w:r>
                                <w:r>
                                  <w:rPr>
                                    <w:sz w:val="18"/>
                                    <w:szCs w:val="18"/>
                                  </w:rPr>
                                  <w:t>41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356FDC6" id="Group 764518014" o:spid="_x0000_s1303" alt="Question" style="position:absolute;left:0;text-align:left;margin-left:-.2pt;margin-top:65.8pt;width:453.55pt;height:90.25pt;z-index:-251658163;mso-height-relative:margin" coordorigin=",628" coordsize="57600,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">
                <v:shape id="Freeform 52" o:spid="_x0000_s130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EB8A710" w14:textId="77777777" w:rsidR="00927363" w:rsidRDefault="00927363" w:rsidP="00927363">
                        <w:pPr>
                          <w:pStyle w:val="BoxTitle"/>
                          <w:spacing w:before="0" w:beforeAutospacing="0"/>
                        </w:pPr>
                        <w:r w:rsidRPr="007F6876">
                          <w:t>QUESTION</w:t>
                        </w:r>
                      </w:p>
                    </w:txbxContent>
                  </v:textbox>
                </v:shape>
                <v:group id="Group 53" o:spid="_x0000_s1305" style="position:absolute;top:3158;width:57600;height:8939" coordorigin="1837,1787" coordsize="9302,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54" o:spid="_x0000_s1306" style="position:absolute;left:1837;top:1787;width:9302;height:965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" path="m,l9354,r,7809l,7809,,e" fillcolor="#edf2ea" stroked="f">
                    <v:path arrowok="t" o:connecttype="custom" o:connectlocs="0,1237;9302,1237;9302,10893;0,10893;0,1237" o:connectangles="0,0,0,0,0"/>
                  </v:shape>
                </v:group>
                <v:group id="Group 194" o:spid="_x0000_s130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58" o:spid="_x0000_s130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" path="m,l1815,e" filled="f" strokecolor="#72ab6a" strokeweight=".5pt">
                    <v:path arrowok="t" o:connecttype="custom" o:connectlocs="0,0;1073495,0" o:connectangles="0,0"/>
                  </v:shape>
                  <v:shape id="Freeform 66" o:spid="_x0000_s130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185F56E" w14:textId="77777777" w:rsidR="00927363" w:rsidRPr="00E90B8A" w:rsidRDefault="00927363" w:rsidP="00927363">
                          <w:pPr>
                            <w:pStyle w:val="BoxTitle"/>
                            <w:spacing w:before="0" w:beforeAutospacing="0"/>
                            <w:rPr>
                              <w:sz w:val="18"/>
                              <w:szCs w:val="18"/>
                            </w:rPr>
                          </w:pPr>
                          <w:r w:rsidRPr="00E90B8A">
                            <w:rPr>
                              <w:sz w:val="18"/>
                              <w:szCs w:val="18"/>
                            </w:rPr>
                            <w:t>Q</w:t>
                          </w:r>
                          <w:r>
                            <w:rPr>
                              <w:sz w:val="18"/>
                              <w:szCs w:val="18"/>
                            </w:rPr>
                            <w:t>41</w:t>
                          </w:r>
                        </w:p>
                      </w:txbxContent>
                    </v:textbox>
                  </v:shape>
                </v:group>
              </v:group>
            </w:pict>
          </mc:Fallback>
        </mc:AlternateContent>
      </w:r>
      <w:r>
        <w:t xml:space="preserve">involving “repeat offenders” as opposed to one-off instances. </w:t>
      </w:r>
    </w:p>
    <w:p w14:paraId="77D21211" w14:textId="794956ED" w:rsidR="00927363" w:rsidRDefault="00927363" w:rsidP="00927363">
      <w:pPr>
        <w:pStyle w:val="QuestionBox"/>
      </w:pPr>
    </w:p>
    <w:p w14:paraId="5889AFFC" w14:textId="77777777" w:rsidR="00927363" w:rsidRDefault="00927363" w:rsidP="00927363">
      <w:pPr>
        <w:pStyle w:val="QuestionBox"/>
      </w:pPr>
    </w:p>
    <w:p w14:paraId="1D21D04A" w14:textId="510C1B8C" w:rsidR="00116092" w:rsidRDefault="00116092" w:rsidP="00927363">
      <w:pPr>
        <w:pStyle w:val="QuestionBox"/>
      </w:pPr>
      <w:r>
        <w:t>Are other safeguards necessary or desirable to address the risks associated with prison informant evidence? If so, what should they be?</w:t>
      </w:r>
    </w:p>
    <w:p w14:paraId="3E6A117C" w14:textId="77777777" w:rsidR="00927363" w:rsidRDefault="00927363" w:rsidP="00927363">
      <w:pPr>
        <w:pStyle w:val="QuestionBox"/>
      </w:pPr>
    </w:p>
    <w:p w14:paraId="3540702A" w14:textId="77777777" w:rsidR="00116092" w:rsidRDefault="00116092" w:rsidP="00116092">
      <w:pPr>
        <w:pStyle w:val="Heading2"/>
      </w:pPr>
      <w:bookmarkStart w:id="133" w:name="_Toc132962580"/>
      <w:r>
        <w:t>Other incentivised witnesses</w:t>
      </w:r>
      <w:bookmarkEnd w:id="133"/>
    </w:p>
    <w:p w14:paraId="041BC777" w14:textId="44F44FDF" w:rsidR="00116092" w:rsidRDefault="00116092" w:rsidP="009F4F6E">
      <w:pPr>
        <w:pStyle w:val="BodyText"/>
      </w:pPr>
      <w:r>
        <w:t xml:space="preserve">The discussion above is focused on prison informant evidence. </w:t>
      </w:r>
      <w:r w:rsidRPr="0064224A">
        <w:t xml:space="preserve">In </w:t>
      </w:r>
      <w:r w:rsidRPr="0064224A">
        <w:rPr>
          <w:i/>
          <w:iCs/>
        </w:rPr>
        <w:t xml:space="preserve">W </w:t>
      </w:r>
      <w:r w:rsidR="00380C95">
        <w:rPr>
          <w:i/>
          <w:iCs/>
        </w:rPr>
        <w:t>(SC 38/2019)</w:t>
      </w:r>
      <w:r w:rsidRPr="0064224A">
        <w:rPr>
          <w:i/>
          <w:iCs/>
        </w:rPr>
        <w:t xml:space="preserve"> v R </w:t>
      </w:r>
      <w:r w:rsidRPr="0064224A">
        <w:t xml:space="preserve">and </w:t>
      </w:r>
      <w:r w:rsidRPr="0064224A">
        <w:rPr>
          <w:i/>
          <w:iCs/>
        </w:rPr>
        <w:t>Roigard</w:t>
      </w:r>
      <w:r w:rsidR="00E17AA6" w:rsidRPr="00E17AA6">
        <w:t>,</w:t>
      </w:r>
      <w:r w:rsidRPr="0064224A">
        <w:rPr>
          <w:i/>
          <w:iCs/>
        </w:rPr>
        <w:t xml:space="preserve"> </w:t>
      </w:r>
      <w:r w:rsidRPr="0064224A">
        <w:t xml:space="preserve">the </w:t>
      </w:r>
      <w:r>
        <w:t>Supreme Court acknowledged there is a broader class of incentivised witnesses but was divided</w:t>
      </w:r>
      <w:r w:rsidRPr="0064224A">
        <w:t xml:space="preserve"> as to </w:t>
      </w:r>
      <w:r>
        <w:t xml:space="preserve">whether </w:t>
      </w:r>
      <w:r w:rsidRPr="0064224A">
        <w:t xml:space="preserve">its approach </w:t>
      </w:r>
      <w:r>
        <w:t>should apply to that group.</w:t>
      </w:r>
      <w:r w:rsidRPr="0064224A">
        <w:t xml:space="preserve"> The majority limited their approach to prison informants, leaving consideration of other </w:t>
      </w:r>
      <w:r>
        <w:t>incentivised</w:t>
      </w:r>
      <w:r w:rsidRPr="0064224A">
        <w:t xml:space="preserve"> witnesses</w:t>
      </w:r>
      <w:r>
        <w:t xml:space="preserve"> for</w:t>
      </w:r>
      <w:r w:rsidRPr="0064224A">
        <w:t xml:space="preserve"> when those cases arise.</w:t>
      </w:r>
      <w:r w:rsidRPr="0064224A">
        <w:rPr>
          <w:vertAlign w:val="superscript"/>
        </w:rPr>
        <w:footnoteReference w:id="712"/>
      </w:r>
      <w:r w:rsidRPr="0064224A">
        <w:t xml:space="preserve"> </w:t>
      </w:r>
      <w:r>
        <w:t>The majority further noted concerns about the implications of extending their approach to a broader class of incentivised witnesses in the criminal justice context, noting the need to recognise the value of informants in the criminal investigation process more generally.</w:t>
      </w:r>
      <w:r>
        <w:rPr>
          <w:rStyle w:val="FootnoteReference"/>
        </w:rPr>
        <w:footnoteReference w:id="713"/>
      </w:r>
    </w:p>
    <w:p w14:paraId="38BFC94B" w14:textId="3CB5355E" w:rsidR="00116092" w:rsidRDefault="00116092" w:rsidP="009F4F6E">
      <w:pPr>
        <w:pStyle w:val="BodyText"/>
      </w:pPr>
      <w:r w:rsidRPr="0064224A">
        <w:t>The minority went further and would have applied its framework to what it described as “incentivised secondary confession evidence”</w:t>
      </w:r>
      <w:r>
        <w:t>, defined as:</w:t>
      </w:r>
      <w:r w:rsidRPr="0064224A">
        <w:rPr>
          <w:vertAlign w:val="superscript"/>
        </w:rPr>
        <w:footnoteReference w:id="714"/>
      </w:r>
    </w:p>
    <w:p w14:paraId="309A0A67" w14:textId="77777777" w:rsidR="00116092" w:rsidRDefault="00116092" w:rsidP="00116092">
      <w:pPr>
        <w:pStyle w:val="Quote"/>
      </w:pPr>
      <w:r>
        <w:t>[W]itnesses the Crown wishes to call who will give evidence alleging that the defendant has in some way admitted guilt in return for some advantage or benefit – an advantage or benefit that operates within the criminal justice context. The witnesses were not involved in the offending and, typically, their only source of knowledge for their evidence is the statements they claim the defendant made to them.</w:t>
      </w:r>
    </w:p>
    <w:p w14:paraId="208DE830" w14:textId="77777777" w:rsidR="00116092" w:rsidRPr="0064224A" w:rsidRDefault="00116092" w:rsidP="009F4F6E">
      <w:pPr>
        <w:pStyle w:val="BodyText"/>
      </w:pPr>
      <w:r w:rsidRPr="0064224A">
        <w:t xml:space="preserve">In </w:t>
      </w:r>
      <w:r w:rsidRPr="009C4959">
        <w:rPr>
          <w:i/>
          <w:iCs/>
        </w:rPr>
        <w:t>Baillie v R</w:t>
      </w:r>
      <w:r w:rsidRPr="00BA0135">
        <w:t>,</w:t>
      </w:r>
      <w:r w:rsidRPr="009C4959">
        <w:rPr>
          <w:i/>
          <w:iCs/>
        </w:rPr>
        <w:t xml:space="preserve"> </w:t>
      </w:r>
      <w:r w:rsidRPr="0064224A">
        <w:t>the Court of Appeal declined to expand the class of witnesses</w:t>
      </w:r>
      <w:r>
        <w:t xml:space="preserve"> whose evidence “demands careful scrutiny”</w:t>
      </w:r>
      <w:r w:rsidRPr="0064224A">
        <w:t>, holding “that issue should be reserved for another day and more extensive argument”</w:t>
      </w:r>
      <w:r>
        <w:t>.</w:t>
      </w:r>
      <w:r w:rsidRPr="0064224A">
        <w:rPr>
          <w:vertAlign w:val="superscript"/>
        </w:rPr>
        <w:footnoteReference w:id="715"/>
      </w:r>
      <w:r w:rsidRPr="0064224A">
        <w:t xml:space="preserve"> It made two further points, however, of relevance to the issue of scope:</w:t>
      </w:r>
    </w:p>
    <w:p w14:paraId="7F1139F2" w14:textId="3DFD1204" w:rsidR="00116092" w:rsidRDefault="00116092" w:rsidP="00866891">
      <w:pPr>
        <w:pStyle w:val="BodyTextnonum"/>
        <w:numPr>
          <w:ilvl w:val="3"/>
          <w:numId w:val="25"/>
        </w:numPr>
      </w:pPr>
      <w:r>
        <w:t>First, t</w:t>
      </w:r>
      <w:r w:rsidRPr="0064224A">
        <w:t xml:space="preserve">here are definitional difficulties in identifying the class that should be subject to the “careful scrutiny” envisaged by the Supreme Court in </w:t>
      </w:r>
      <w:r w:rsidRPr="0064224A">
        <w:rPr>
          <w:i/>
          <w:iCs/>
        </w:rPr>
        <w:t>Hudson</w:t>
      </w:r>
      <w:r>
        <w:t>,</w:t>
      </w:r>
      <w:r w:rsidRPr="0064224A">
        <w:t xml:space="preserve"> </w:t>
      </w:r>
      <w:r w:rsidRPr="0064224A">
        <w:rPr>
          <w:i/>
          <w:iCs/>
        </w:rPr>
        <w:t xml:space="preserve">W </w:t>
      </w:r>
      <w:r w:rsidR="00380C95">
        <w:rPr>
          <w:i/>
          <w:iCs/>
        </w:rPr>
        <w:t>(SC 38/2019)</w:t>
      </w:r>
      <w:r w:rsidRPr="0064224A">
        <w:rPr>
          <w:i/>
          <w:iCs/>
        </w:rPr>
        <w:t xml:space="preserve"> v R </w:t>
      </w:r>
      <w:r w:rsidRPr="0064224A">
        <w:t xml:space="preserve">and </w:t>
      </w:r>
      <w:r w:rsidRPr="0064224A">
        <w:rPr>
          <w:i/>
          <w:iCs/>
        </w:rPr>
        <w:t xml:space="preserve">Roigard. </w:t>
      </w:r>
      <w:r w:rsidRPr="0064224A">
        <w:t>Even the definition of “prison informant” can be open to debate and “the wider the class the more extensive the range of incentives and more debatable their effects”</w:t>
      </w:r>
      <w:r>
        <w:t>.</w:t>
      </w:r>
      <w:r w:rsidRPr="0064224A">
        <w:rPr>
          <w:vertAlign w:val="superscript"/>
        </w:rPr>
        <w:footnoteReference w:id="716"/>
      </w:r>
    </w:p>
    <w:p w14:paraId="52E9082D" w14:textId="247AFB8C" w:rsidR="00116092" w:rsidRDefault="00116092" w:rsidP="00866891">
      <w:pPr>
        <w:pStyle w:val="BodyTextnonum"/>
        <w:numPr>
          <w:ilvl w:val="3"/>
          <w:numId w:val="25"/>
        </w:numPr>
      </w:pPr>
      <w:r>
        <w:lastRenderedPageBreak/>
        <w:t>Second, t</w:t>
      </w:r>
      <w:r w:rsidRPr="0064224A">
        <w:t xml:space="preserve">he considerations set out in </w:t>
      </w:r>
      <w:r w:rsidRPr="0064224A">
        <w:rPr>
          <w:i/>
          <w:iCs/>
        </w:rPr>
        <w:t xml:space="preserve">W </w:t>
      </w:r>
      <w:r w:rsidR="00380C95">
        <w:rPr>
          <w:i/>
          <w:iCs/>
        </w:rPr>
        <w:t xml:space="preserve">(SC 38/2019) </w:t>
      </w:r>
      <w:r w:rsidRPr="0064224A">
        <w:rPr>
          <w:i/>
          <w:iCs/>
        </w:rPr>
        <w:t xml:space="preserve">v R </w:t>
      </w:r>
      <w:r w:rsidRPr="0064224A">
        <w:t xml:space="preserve">and </w:t>
      </w:r>
      <w:r w:rsidRPr="0064224A">
        <w:rPr>
          <w:i/>
          <w:iCs/>
        </w:rPr>
        <w:t xml:space="preserve">Roigard </w:t>
      </w:r>
      <w:r w:rsidRPr="0064224A">
        <w:t xml:space="preserve">may sometimes affect secondary admissions evidence </w:t>
      </w:r>
      <w:r>
        <w:t>given by</w:t>
      </w:r>
      <w:r w:rsidRPr="0064224A">
        <w:t xml:space="preserve"> witnesses who are not prison informants. In these cases, the option to issue a reliability direction under s</w:t>
      </w:r>
      <w:r>
        <w:t>ection</w:t>
      </w:r>
      <w:r w:rsidRPr="0064224A">
        <w:t xml:space="preserve"> 122 remain</w:t>
      </w:r>
      <w:r>
        <w:t>s</w:t>
      </w:r>
      <w:r w:rsidRPr="0064224A">
        <w:t xml:space="preserve"> open to judges on a case-by-case basis.</w:t>
      </w:r>
      <w:r w:rsidRPr="0064224A">
        <w:rPr>
          <w:vertAlign w:val="superscript"/>
        </w:rPr>
        <w:footnoteReference w:id="717"/>
      </w:r>
    </w:p>
    <w:p w14:paraId="50EB8B93" w14:textId="77777777" w:rsidR="00116092" w:rsidRDefault="00116092" w:rsidP="00116092">
      <w:pPr>
        <w:pStyle w:val="Heading3"/>
      </w:pPr>
      <w:r>
        <w:t xml:space="preserve">Should any reform or additional safeguards extend to other incentivised witnesses? </w:t>
      </w:r>
    </w:p>
    <w:p w14:paraId="77566F73" w14:textId="6434196B" w:rsidR="00116092" w:rsidRDefault="00116092" w:rsidP="009F4F6E">
      <w:pPr>
        <w:pStyle w:val="BodyText"/>
      </w:pPr>
      <w:r>
        <w:t xml:space="preserve">Whether other incentivised witness evidence should be subject to the same “careful scrutiny” as prison informant evidence is an open question that the courts have yet to determine. In light of this ongoing uncertainty and given this is our final operational review, we are interested in views on whether section 122(2)(d) or any amendments to the Act or additional safeguards that may be progressed on the basis of the discussion above </w:t>
      </w:r>
      <w:r w:rsidDel="004B5303">
        <w:t xml:space="preserve">should </w:t>
      </w:r>
      <w:r>
        <w:t>apply to a broader class of incentivised witnesses.</w:t>
      </w:r>
    </w:p>
    <w:p w14:paraId="49FE81F1" w14:textId="3E5F810B" w:rsidR="00116092" w:rsidRDefault="00116092" w:rsidP="009F4F6E">
      <w:pPr>
        <w:pStyle w:val="BodyText"/>
      </w:pPr>
      <w:r>
        <w:t xml:space="preserve">While we have not reached any view on this issue or on how a class of incentivised witnesses should be defined, we can demarcate two classes of witnesses within the criminal justice system </w:t>
      </w:r>
      <w:r w:rsidR="006B450D">
        <w:t>that</w:t>
      </w:r>
      <w:r>
        <w:t xml:space="preserve"> should be treated as distinct from prison informants and incentivised witnesses:</w:t>
      </w:r>
    </w:p>
    <w:p w14:paraId="43CBDB6F" w14:textId="720536DA" w:rsidR="00116092" w:rsidRDefault="00116092" w:rsidP="00866891">
      <w:pPr>
        <w:pStyle w:val="BodyTextnonum"/>
        <w:numPr>
          <w:ilvl w:val="3"/>
          <w:numId w:val="25"/>
        </w:numPr>
      </w:pPr>
      <w:r w:rsidRPr="00584325">
        <w:rPr>
          <w:b/>
          <w:bCs/>
        </w:rPr>
        <w:t>Undercover police posing as prisoners</w:t>
      </w:r>
      <w:r>
        <w:t xml:space="preserve">: </w:t>
      </w:r>
      <w:r w:rsidR="00D07B59">
        <w:t xml:space="preserve">For </w:t>
      </w:r>
      <w:r>
        <w:t xml:space="preserve">example, in </w:t>
      </w:r>
      <w:r w:rsidRPr="00584325">
        <w:rPr>
          <w:i/>
        </w:rPr>
        <w:t>R v Kumar</w:t>
      </w:r>
      <w:r w:rsidR="002F79E3">
        <w:rPr>
          <w:iCs/>
        </w:rPr>
        <w:t>,</w:t>
      </w:r>
      <w:r>
        <w:t xml:space="preserve"> two undercover police officers were placed in a police cell with the defendant and elicited an inculpatory statement from him. This was dealt with by the courts under section 30 (improperly obtained evidence) and we believe raises a separate set of issues relating to the circumstances in which the defendant’s statement was obtained rather than the reliability of the evidence given by the informant. We address this in a different chapter.</w:t>
      </w:r>
    </w:p>
    <w:p w14:paraId="7EAE05D7" w14:textId="5E308932" w:rsidR="00116092" w:rsidRDefault="00116092" w:rsidP="00866891">
      <w:pPr>
        <w:pStyle w:val="BodyTextnonum"/>
        <w:numPr>
          <w:ilvl w:val="3"/>
          <w:numId w:val="25"/>
        </w:numPr>
      </w:pPr>
      <w:r w:rsidRPr="00491577">
        <w:rPr>
          <w:b/>
          <w:bCs/>
        </w:rPr>
        <w:t>Co-defendants/accomplices</w:t>
      </w:r>
      <w:r>
        <w:t>: Co-defendants and accomplices will often give evidence against a defendant to mitigate their own risk of criminal liability. The Act already addresses the statements of co-defendants under the hearsay provisions.</w:t>
      </w:r>
    </w:p>
    <w:p w14:paraId="7523051C" w14:textId="2CD83B50" w:rsidR="00116092" w:rsidRDefault="00116092" w:rsidP="009F4F6E">
      <w:pPr>
        <w:pStyle w:val="BodyText"/>
      </w:pPr>
      <w:r>
        <w:t>The material concern about prison informant evidence is that it is unreliable</w:t>
      </w:r>
      <w:r w:rsidR="00B155A5">
        <w:t>,</w:t>
      </w:r>
      <w:r>
        <w:t xml:space="preserve"> and that unreliability does not necessarily stem from the fact that someone was in detention at the time the statement was made and received, but from the fact an incentive was in play. These incentives may be as powerful and compelling in the broader criminal justice system where similar power differentials exist between individuals and the authorities and where incentives can be advantageous (such as preferential treatment from the police or authorities for current or future offending, leniency from the courts on charging and sentencing or the payment of money in the form of a reward).</w:t>
      </w:r>
    </w:p>
    <w:p w14:paraId="5B87F4B0" w14:textId="545CC559" w:rsidR="00116092" w:rsidRDefault="00116092" w:rsidP="009F4F6E">
      <w:pPr>
        <w:pStyle w:val="BodyText"/>
      </w:pPr>
      <w:r>
        <w:t xml:space="preserve">As noted by the majority in </w:t>
      </w:r>
      <w:r w:rsidRPr="00584325">
        <w:rPr>
          <w:i/>
        </w:rPr>
        <w:t>W</w:t>
      </w:r>
      <w:r w:rsidR="00380C95">
        <w:rPr>
          <w:i/>
        </w:rPr>
        <w:t xml:space="preserve"> </w:t>
      </w:r>
      <w:r w:rsidR="00380C95">
        <w:rPr>
          <w:i/>
          <w:iCs/>
        </w:rPr>
        <w:t>(SC 38/2019)</w:t>
      </w:r>
      <w:r>
        <w:rPr>
          <w:i/>
          <w:iCs/>
        </w:rPr>
        <w:t xml:space="preserve"> </w:t>
      </w:r>
      <w:r w:rsidRPr="00584325">
        <w:rPr>
          <w:i/>
        </w:rPr>
        <w:t>v R</w:t>
      </w:r>
      <w:r>
        <w:t>, many of the studies into the risks of illegitimate prejudice and miscarriages of justice with this type of evidence cover both classic prison informant evidence and other type of informants and it is not always clear which is the operating factor.</w:t>
      </w:r>
      <w:r>
        <w:rPr>
          <w:rStyle w:val="FootnoteReference"/>
        </w:rPr>
        <w:footnoteReference w:id="718"/>
      </w:r>
      <w:r>
        <w:t xml:space="preserve"> This indicates that this type of broader incentivised evidence may present similar concerns as prison informant evidence.</w:t>
      </w:r>
    </w:p>
    <w:p w14:paraId="09C2E4F9" w14:textId="730C7E6C" w:rsidR="00116092" w:rsidRDefault="00116092" w:rsidP="009F4F6E">
      <w:pPr>
        <w:pStyle w:val="BodyText"/>
      </w:pPr>
      <w:r>
        <w:t xml:space="preserve">However, there may be reasons for limiting any approach to prison informants. There has been far more discussion and research into the risks posed by prison informant evidence </w:t>
      </w:r>
      <w:r>
        <w:lastRenderedPageBreak/>
        <w:t>as opposed to other types of incentivised witnesses. The culture of prison and the power dynamics at play in those settings may also be so unique so as to warrant particular and separate treatment. The Act already contains general mechanisms that can be used either to exclude or to issue a warning about, unreliable evidence on a case-by-case basis (s</w:t>
      </w:r>
      <w:r w:rsidR="000F55B4">
        <w:t>ections</w:t>
      </w:r>
      <w:r>
        <w:t xml:space="preserve"> 7, 8 and 122). As noted above, the majority in </w:t>
      </w:r>
      <w:r w:rsidRPr="00584325">
        <w:rPr>
          <w:i/>
        </w:rPr>
        <w:t>W</w:t>
      </w:r>
      <w:r w:rsidR="00380C95">
        <w:rPr>
          <w:i/>
        </w:rPr>
        <w:t xml:space="preserve"> </w:t>
      </w:r>
      <w:r w:rsidR="00380C95">
        <w:rPr>
          <w:i/>
          <w:iCs/>
        </w:rPr>
        <w:t>(SC 38/2019)</w:t>
      </w:r>
      <w:r>
        <w:rPr>
          <w:i/>
          <w:iCs/>
        </w:rPr>
        <w:t xml:space="preserve"> </w:t>
      </w:r>
      <w:r w:rsidRPr="00584325">
        <w:rPr>
          <w:i/>
        </w:rPr>
        <w:t>v R</w:t>
      </w:r>
      <w:r>
        <w:t xml:space="preserve"> were concerned about the implications of extending their approach to a broader class of incentivised witnesses and the impact this may have on informants in the criminal investigation process more generally.</w:t>
      </w:r>
    </w:p>
    <w:p w14:paraId="14D6E08D" w14:textId="1010564D" w:rsidR="00116092" w:rsidRDefault="00116092" w:rsidP="009F4F6E">
      <w:pPr>
        <w:pStyle w:val="BodyText"/>
      </w:pPr>
      <w:r>
        <w:t xml:space="preserve">Extending section 122(2)(d) and any recommended amendments or safeguards beyond “classic” prison informants also raises definitional difficulties about where the line should be drawn. We recognise that seeking to articulate an exhaustive definition or list of exceptions may introduce potential inflexibility in the law compared </w:t>
      </w:r>
      <w:r w:rsidR="00E94A2C">
        <w:t xml:space="preserve">with </w:t>
      </w:r>
      <w:r>
        <w:t>allowing it to develop on a case-by-case basis.</w:t>
      </w:r>
    </w:p>
    <w:p w14:paraId="005B87B2" w14:textId="23AF984E" w:rsidR="00927363" w:rsidRDefault="00927363" w:rsidP="00927363">
      <w:pPr>
        <w:pStyle w:val="QuestionBox"/>
      </w:pPr>
      <w:r>
        <w:rPr>
          <w:noProof/>
        </w:rPr>
        <mc:AlternateContent>
          <mc:Choice Requires="wpg">
            <w:drawing>
              <wp:anchor distT="0" distB="0" distL="114300" distR="114300" simplePos="0" relativeHeight="251658318" behindDoc="1" locked="0" layoutInCell="1" allowOverlap="1" wp14:anchorId="2272BC68" wp14:editId="03E9C498">
                <wp:simplePos x="0" y="0"/>
                <wp:positionH relativeFrom="column">
                  <wp:posOffset>-1962</wp:posOffset>
                </wp:positionH>
                <wp:positionV relativeFrom="paragraph">
                  <wp:posOffset>-5289</wp:posOffset>
                </wp:positionV>
                <wp:extent cx="5760085" cy="1337461"/>
                <wp:effectExtent l="0" t="0" r="0" b="0"/>
                <wp:wrapNone/>
                <wp:docPr id="197" name="Group 197" descr="Question"/>
                <wp:cNvGraphicFramePr/>
                <a:graphic xmlns:a="http://schemas.openxmlformats.org/drawingml/2006/main">
                  <a:graphicData uri="http://schemas.microsoft.com/office/word/2010/wordprocessingGroup">
                    <wpg:wgp>
                      <wpg:cNvGrpSpPr/>
                      <wpg:grpSpPr>
                        <a:xfrm>
                          <a:off x="0" y="0"/>
                          <a:ext cx="5760085" cy="1337461"/>
                          <a:chOff x="0" y="62865"/>
                          <a:chExt cx="5760085" cy="1337763"/>
                        </a:xfrm>
                      </wpg:grpSpPr>
                      <wps:wsp>
                        <wps:cNvPr id="19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CAD4CB" w14:textId="77777777" w:rsidR="00927363" w:rsidRDefault="00927363" w:rsidP="00927363">
                              <w:pPr>
                                <w:pStyle w:val="BoxTitle"/>
                                <w:spacing w:before="0" w:beforeAutospacing="0"/>
                              </w:pPr>
                              <w:r w:rsidRPr="007F6876">
                                <w:t>QUESTION</w:t>
                              </w:r>
                            </w:p>
                          </w:txbxContent>
                        </wps:txbx>
                        <wps:bodyPr rot="0" vert="horz" wrap="square" lIns="91440" tIns="0" rIns="0" bIns="45720" anchor="ctr" anchorCtr="0" upright="1">
                          <a:noAutofit/>
                        </wps:bodyPr>
                      </wps:wsp>
                      <wpg:grpSp>
                        <wpg:cNvPr id="199" name="Group 53"/>
                        <wpg:cNvGrpSpPr>
                          <a:grpSpLocks/>
                        </wpg:cNvGrpSpPr>
                        <wpg:grpSpPr bwMode="auto">
                          <a:xfrm>
                            <a:off x="0" y="315706"/>
                            <a:ext cx="5760085" cy="1084922"/>
                            <a:chOff x="1837" y="1786"/>
                            <a:chExt cx="9302" cy="11719"/>
                          </a:xfrm>
                        </wpg:grpSpPr>
                        <wps:wsp>
                          <wps:cNvPr id="200" name="Freeform 54"/>
                          <wps:cNvSpPr>
                            <a:spLocks/>
                          </wps:cNvSpPr>
                          <wps:spPr bwMode="auto">
                            <a:xfrm>
                              <a:off x="1837" y="1786"/>
                              <a:ext cx="9302" cy="1171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1"/>
                        <wpg:cNvGrpSpPr/>
                        <wpg:grpSpPr>
                          <a:xfrm>
                            <a:off x="0" y="494036"/>
                            <a:ext cx="1443794" cy="252000"/>
                            <a:chOff x="-15880" y="0"/>
                            <a:chExt cx="1444379" cy="252068"/>
                          </a:xfrm>
                        </wpg:grpSpPr>
                        <wps:wsp>
                          <wps:cNvPr id="20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92E904" w14:textId="77777777" w:rsidR="00927363" w:rsidRPr="00E90B8A" w:rsidRDefault="00927363" w:rsidP="00927363">
                                <w:pPr>
                                  <w:pStyle w:val="BoxTitle"/>
                                  <w:spacing w:before="0" w:beforeAutospacing="0"/>
                                  <w:rPr>
                                    <w:sz w:val="18"/>
                                    <w:szCs w:val="18"/>
                                  </w:rPr>
                                </w:pPr>
                                <w:r w:rsidRPr="00E90B8A">
                                  <w:rPr>
                                    <w:sz w:val="18"/>
                                    <w:szCs w:val="18"/>
                                  </w:rPr>
                                  <w:t>Q</w:t>
                                </w:r>
                                <w:r>
                                  <w:rPr>
                                    <w:sz w:val="18"/>
                                    <w:szCs w:val="18"/>
                                  </w:rPr>
                                  <w:t>42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272BC68" id="Group 197" o:spid="_x0000_s1310" alt="Question" style="position:absolute;left:0;text-align:left;margin-left:-.15pt;margin-top:-.4pt;width:453.55pt;height:105.3pt;z-index:-251658162;mso-height-relative:margin" coordorigin=",628" coordsize="57600,1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">
                <v:shape id="Freeform 52" o:spid="_x0000_s131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4CAD4CB" w14:textId="77777777" w:rsidR="00927363" w:rsidRDefault="00927363" w:rsidP="00927363">
                        <w:pPr>
                          <w:pStyle w:val="BoxTitle"/>
                          <w:spacing w:before="0" w:beforeAutospacing="0"/>
                        </w:pPr>
                        <w:r w:rsidRPr="007F6876">
                          <w:t>QUESTION</w:t>
                        </w:r>
                      </w:p>
                    </w:txbxContent>
                  </v:textbox>
                </v:shape>
                <v:group id="Group 53" o:spid="_x0000_s1312" style="position:absolute;top:3157;width:57600;height:10849" coordorigin="1837,1786" coordsize="9302,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54" o:spid="_x0000_s1313" style="position:absolute;left:1837;top:1786;width:9302;height:1171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" path="m,l9354,r,7809l,7809,,e" fillcolor="#edf2ea" stroked="f">
                    <v:path arrowok="t" o:connecttype="custom" o:connectlocs="0,1501;9302,1501;9302,13220;0,13220;0,1501" o:connectangles="0,0,0,0,0"/>
                  </v:shape>
                </v:group>
                <v:group id="Group 201" o:spid="_x0000_s131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58" o:spid="_x0000_s131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" path="m,l1815,e" filled="f" strokecolor="#72ab6a" strokeweight=".5pt">
                    <v:path arrowok="t" o:connecttype="custom" o:connectlocs="0,0;1073495,0" o:connectangles="0,0"/>
                  </v:shape>
                  <v:shape id="Freeform 66" o:spid="_x0000_s131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492E904" w14:textId="77777777" w:rsidR="00927363" w:rsidRPr="00E90B8A" w:rsidRDefault="00927363" w:rsidP="00927363">
                          <w:pPr>
                            <w:pStyle w:val="BoxTitle"/>
                            <w:spacing w:before="0" w:beforeAutospacing="0"/>
                            <w:rPr>
                              <w:sz w:val="18"/>
                              <w:szCs w:val="18"/>
                            </w:rPr>
                          </w:pPr>
                          <w:r w:rsidRPr="00E90B8A">
                            <w:rPr>
                              <w:sz w:val="18"/>
                              <w:szCs w:val="18"/>
                            </w:rPr>
                            <w:t>Q</w:t>
                          </w:r>
                          <w:r>
                            <w:rPr>
                              <w:sz w:val="18"/>
                              <w:szCs w:val="18"/>
                            </w:rPr>
                            <w:t>42</w:t>
                          </w:r>
                        </w:p>
                      </w:txbxContent>
                    </v:textbox>
                  </v:shape>
                </v:group>
              </v:group>
            </w:pict>
          </mc:Fallback>
        </mc:AlternateContent>
      </w:r>
    </w:p>
    <w:p w14:paraId="6257DAA3" w14:textId="77777777" w:rsidR="00927363" w:rsidRDefault="00927363" w:rsidP="00927363">
      <w:pPr>
        <w:pStyle w:val="QuestionBox"/>
      </w:pPr>
    </w:p>
    <w:p w14:paraId="12714EA0" w14:textId="52715F0A" w:rsidR="00116092" w:rsidRPr="001B4AAF" w:rsidRDefault="00116092" w:rsidP="00927363">
      <w:pPr>
        <w:pStyle w:val="QuestionBox"/>
      </w:pPr>
      <w:r>
        <w:t>Should any amendments to the Act or additional safeguards extend to a wider class of incentivised witnesses beyond prison informants? If so, who should this class of incentivised witness cover?</w:t>
      </w:r>
    </w:p>
    <w:p w14:paraId="1FE21BF4" w14:textId="77777777" w:rsidR="00116092" w:rsidRPr="001B4AAF" w:rsidRDefault="00116092" w:rsidP="00BF2567">
      <w:pPr>
        <w:pStyle w:val="BodyText"/>
        <w:numPr>
          <w:ilvl w:val="0"/>
          <w:numId w:val="0"/>
        </w:numPr>
        <w:ind w:left="709"/>
      </w:pPr>
    </w:p>
    <w:p w14:paraId="3BD6A10C" w14:textId="77777777" w:rsidR="00116092" w:rsidRDefault="00116092" w:rsidP="00A95324">
      <w:pPr>
        <w:pStyle w:val="QuestionBox"/>
        <w:ind w:left="0"/>
        <w:rPr>
          <w:rFonts w:eastAsia="Metropolis"/>
          <w:noProof/>
        </w:rPr>
      </w:pPr>
    </w:p>
    <w:p w14:paraId="2A133CB8" w14:textId="77777777" w:rsidR="00116092" w:rsidRPr="002D4453" w:rsidRDefault="00116092" w:rsidP="00A95324">
      <w:pPr>
        <w:pStyle w:val="QuestionBox"/>
        <w:ind w:left="0"/>
        <w:rPr>
          <w:rFonts w:eastAsia="Metropolis"/>
          <w:noProof/>
        </w:rPr>
      </w:pPr>
    </w:p>
    <w:p w14:paraId="5CABD7D7" w14:textId="77777777" w:rsidR="00116092" w:rsidRDefault="00116092" w:rsidP="004611C4">
      <w:pPr>
        <w:pStyle w:val="HEADING2topchapter-notinTOC"/>
        <w:pageBreakBefore w:val="0"/>
        <w:rPr>
          <w:noProof/>
        </w:rPr>
      </w:pPr>
    </w:p>
    <w:p w14:paraId="70694A1F" w14:textId="43877A5E" w:rsidR="009826FE" w:rsidRDefault="009826FE" w:rsidP="004611C4">
      <w:pPr>
        <w:pStyle w:val="HEADING2topchapter-notinTOC"/>
        <w:pageBreakBefore w:val="0"/>
        <w:rPr>
          <w:noProof/>
        </w:rPr>
        <w:sectPr w:rsidR="009826FE" w:rsidSect="00FD6721">
          <w:headerReference w:type="default" r:id="rId43"/>
          <w:footnotePr>
            <w:numRestart w:val="eachSect"/>
          </w:footnotePr>
          <w:type w:val="nextColumn"/>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8264" behindDoc="1" locked="0" layoutInCell="1" allowOverlap="1" wp14:anchorId="3F6E4489" wp14:editId="04481430">
                <wp:simplePos x="0" y="0"/>
                <wp:positionH relativeFrom="page">
                  <wp:posOffset>1080135</wp:posOffset>
                </wp:positionH>
                <wp:positionV relativeFrom="paragraph">
                  <wp:posOffset>-260350</wp:posOffset>
                </wp:positionV>
                <wp:extent cx="2411730" cy="1270"/>
                <wp:effectExtent l="0" t="19050" r="26670" b="1778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6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8DE1A" id="Group 58" o:spid="_x0000_s1026" style="position:absolute;margin-left:85.05pt;margin-top:-20.5pt;width:189.9pt;height:.1pt;z-index:-25165821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eX+gIAANw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" path="m,l2097,e" filled="f" strokecolor="#72ab6a" strokeweight="3pt">
                  <v:path arrowok="t" o:connecttype="custom" o:connectlocs="0,0;2097,0" o:connectangles="0,0"/>
                </v:shape>
                <w10:wrap anchorx="page"/>
              </v:group>
            </w:pict>
          </mc:Fallback>
        </mc:AlternateContent>
      </w:r>
    </w:p>
    <w:p w14:paraId="598AB86D" w14:textId="77777777" w:rsidR="00E13DFB" w:rsidRPr="00D37FCE" w:rsidRDefault="00E13DFB" w:rsidP="00E13DFB">
      <w:pPr>
        <w:pStyle w:val="HEADING2topchapter-notinTOC"/>
        <w:rPr>
          <w:sz w:val="21"/>
          <w:szCs w:val="21"/>
        </w:rPr>
      </w:pPr>
      <w:r w:rsidRPr="00D37FCE">
        <w:lastRenderedPageBreak/>
        <w:t>CHAPTER</w:t>
      </w:r>
      <w:r w:rsidRPr="00D37FCE">
        <w:rPr>
          <w:sz w:val="21"/>
          <w:szCs w:val="21"/>
        </w:rPr>
        <w:t xml:space="preserve"> </w:t>
      </w:r>
      <w:r>
        <w:rPr>
          <w:sz w:val="21"/>
          <w:szCs w:val="21"/>
        </w:rPr>
        <w:t>9</w:t>
      </w:r>
    </w:p>
    <w:p w14:paraId="39D222A3"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20" behindDoc="1" locked="0" layoutInCell="1" allowOverlap="1" wp14:anchorId="55D51483" wp14:editId="6A80C439">
                <wp:simplePos x="0" y="0"/>
                <wp:positionH relativeFrom="page">
                  <wp:posOffset>1076653</wp:posOffset>
                </wp:positionH>
                <wp:positionV relativeFrom="paragraph">
                  <wp:posOffset>53975</wp:posOffset>
                </wp:positionV>
                <wp:extent cx="1332230" cy="1270"/>
                <wp:effectExtent l="0" t="19050" r="1270" b="1778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15390" id="Group 16" o:spid="_x0000_s1026" style="position:absolute;margin-left:84.8pt;margin-top:4.25pt;width:104.9pt;height:.1pt;z-index:-25165816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RJ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4D87966A" w14:textId="77777777" w:rsidR="00E13DFB" w:rsidRPr="005D33A4" w:rsidRDefault="00E13DFB" w:rsidP="00E13DFB">
      <w:pPr>
        <w:pStyle w:val="Heading1"/>
        <w:rPr>
          <w:rFonts w:eastAsia="Metropolis Black"/>
        </w:rPr>
      </w:pPr>
      <w:bookmarkStart w:id="134" w:name="_Toc132962581"/>
      <w:r>
        <w:rPr>
          <w:color w:val="FFFFFF" w:themeColor="background1"/>
          <w:sz w:val="2"/>
          <w:szCs w:val="2"/>
        </w:rPr>
        <w:t xml:space="preserve">9 </w:t>
      </w:r>
      <w:r>
        <w:rPr>
          <w:rFonts w:eastAsia="Metropolis Black"/>
        </w:rPr>
        <w:t>Veracity evidence</w:t>
      </w:r>
      <w:bookmarkEnd w:id="134"/>
    </w:p>
    <w:p w14:paraId="65A23A1F"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21" behindDoc="1" locked="0" layoutInCell="1" allowOverlap="1" wp14:anchorId="68F4A85B" wp14:editId="0CEB893F">
                <wp:simplePos x="0" y="0"/>
                <wp:positionH relativeFrom="page">
                  <wp:posOffset>1087427</wp:posOffset>
                </wp:positionH>
                <wp:positionV relativeFrom="paragraph">
                  <wp:posOffset>71755</wp:posOffset>
                </wp:positionV>
                <wp:extent cx="1332230" cy="1270"/>
                <wp:effectExtent l="0" t="19050" r="1270" b="1778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1AF47" id="Group 18" o:spid="_x0000_s1026" style="position:absolute;margin-left:85.6pt;margin-top:5.65pt;width:104.9pt;height:.1pt;z-index:-25165815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p>
    <w:p w14:paraId="1B9C9A65" w14:textId="77777777" w:rsidR="00E13DFB" w:rsidRDefault="00E13DFB" w:rsidP="00E13DFB">
      <w:pPr>
        <w:pStyle w:val="BodyTextalphalist"/>
        <w:ind w:left="0" w:firstLine="0"/>
      </w:pPr>
    </w:p>
    <w:p w14:paraId="61DBD414" w14:textId="77777777" w:rsidR="00E13DFB" w:rsidRDefault="00E13DFB" w:rsidP="00E13DFB">
      <w:pPr>
        <w:rPr>
          <w:lang w:eastAsia="zh-TW"/>
        </w:rPr>
      </w:pPr>
    </w:p>
    <w:p w14:paraId="4963F6BB" w14:textId="77777777" w:rsidR="00E13DFB" w:rsidRDefault="00E13DFB" w:rsidP="00E13DFB">
      <w:r w:rsidRPr="00D37FCE">
        <w:rPr>
          <w:rFonts w:eastAsia="Metropolis"/>
          <w:noProof/>
        </w:rPr>
        <mc:AlternateContent>
          <mc:Choice Requires="wpg">
            <w:drawing>
              <wp:anchor distT="0" distB="0" distL="114300" distR="114300" simplePos="0" relativeHeight="251658334" behindDoc="1" locked="0" layoutInCell="1" allowOverlap="1" wp14:anchorId="42FCF5BA" wp14:editId="7D6BB11D">
                <wp:simplePos x="0" y="0"/>
                <wp:positionH relativeFrom="column">
                  <wp:posOffset>1626</wp:posOffset>
                </wp:positionH>
                <wp:positionV relativeFrom="paragraph">
                  <wp:posOffset>20320</wp:posOffset>
                </wp:positionV>
                <wp:extent cx="5792470" cy="1662430"/>
                <wp:effectExtent l="0" t="0" r="0" b="0"/>
                <wp:wrapNone/>
                <wp:docPr id="764518323" name="Group 764518323"/>
                <wp:cNvGraphicFramePr/>
                <a:graphic xmlns:a="http://schemas.openxmlformats.org/drawingml/2006/main">
                  <a:graphicData uri="http://schemas.microsoft.com/office/word/2010/wordprocessingGroup">
                    <wpg:wgp>
                      <wpg:cNvGrpSpPr/>
                      <wpg:grpSpPr>
                        <a:xfrm>
                          <a:off x="0" y="0"/>
                          <a:ext cx="5792470" cy="1662430"/>
                          <a:chOff x="0" y="-4768"/>
                          <a:chExt cx="5793105" cy="1664432"/>
                        </a:xfrm>
                      </wpg:grpSpPr>
                      <wpg:grpSp>
                        <wpg:cNvPr id="764518324" name="Group 53"/>
                        <wpg:cNvGrpSpPr>
                          <a:grpSpLocks/>
                        </wpg:cNvGrpSpPr>
                        <wpg:grpSpPr bwMode="auto">
                          <a:xfrm>
                            <a:off x="0" y="314275"/>
                            <a:ext cx="5793105" cy="1345389"/>
                            <a:chOff x="1837" y="1792"/>
                            <a:chExt cx="9354" cy="14526"/>
                          </a:xfrm>
                        </wpg:grpSpPr>
                        <wps:wsp>
                          <wps:cNvPr id="764518325" name="Freeform 54"/>
                          <wps:cNvSpPr>
                            <a:spLocks/>
                          </wps:cNvSpPr>
                          <wps:spPr bwMode="auto">
                            <a:xfrm>
                              <a:off x="1837" y="1792"/>
                              <a:ext cx="9354" cy="1452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26"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153545" w14:textId="77777777" w:rsidR="00E13DFB" w:rsidRDefault="00E13DFB" w:rsidP="00E13DFB">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42FCF5BA" id="Group 764518323" o:spid="_x0000_s1317" style="position:absolute;margin-left:.15pt;margin-top:1.6pt;width:456.1pt;height:130.9pt;z-index:-251658146;mso-height-relative:margin" coordorigin=",-47" coordsize="57931,1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">
                <v:group id="Group 53" o:spid="_x0000_s1318" style="position:absolute;top:3142;width:57931;height:13454" coordorigin="1837,1792" coordsize="9354,1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">
                  <v:shape id="Freeform 54" o:spid="_x0000_s1319" style="position:absolute;left:1837;top:1792;width:9354;height:1452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" path="m,l9354,r,7809l,7809,,e" fillcolor="#edf2ea" stroked="f">
                    <v:path arrowok="t" o:connecttype="custom" o:connectlocs="0,1860;9354,1860;9354,16386;0,16386;0,1860" o:connectangles="0,0,0,0,0"/>
                  </v:shape>
                </v:group>
                <v:shape id="Freeform 52" o:spid="_x0000_s1320"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18153545" w14:textId="77777777" w:rsidR="00E13DFB" w:rsidRDefault="00E13DFB" w:rsidP="00E13DFB">
                        <w:pPr>
                          <w:pStyle w:val="BoxTitle"/>
                          <w:spacing w:before="60" w:beforeAutospacing="0"/>
                        </w:pPr>
                        <w:r>
                          <w:t>INTRODUCTION</w:t>
                        </w:r>
                      </w:p>
                    </w:txbxContent>
                  </v:textbox>
                </v:shape>
              </v:group>
            </w:pict>
          </mc:Fallback>
        </mc:AlternateContent>
      </w:r>
    </w:p>
    <w:p w14:paraId="1AFD3A41" w14:textId="77777777" w:rsidR="00E13DFB" w:rsidRDefault="00E13DFB" w:rsidP="00E13DFB">
      <w:pPr>
        <w:pStyle w:val="QuestionBox"/>
        <w:tabs>
          <w:tab w:val="clear" w:pos="709"/>
        </w:tabs>
        <w:ind w:left="0"/>
        <w:rPr>
          <w:rFonts w:eastAsia="Metropolis"/>
          <w:noProof/>
        </w:rPr>
      </w:pPr>
    </w:p>
    <w:p w14:paraId="7FB08CAD" w14:textId="77777777" w:rsidR="00E13DFB" w:rsidRPr="002D4453" w:rsidRDefault="00E13DFB" w:rsidP="00E13DFB">
      <w:pPr>
        <w:pStyle w:val="QuestionBox"/>
        <w:ind w:left="0" w:firstLine="284"/>
        <w:rPr>
          <w:rFonts w:eastAsia="Metropolis"/>
          <w:noProof/>
        </w:rPr>
      </w:pPr>
      <w:r>
        <w:t>In this chapter, we consider and seek feedback on issues relating to:</w:t>
      </w:r>
    </w:p>
    <w:p w14:paraId="3311CA7A" w14:textId="77777777" w:rsidR="00E13DFB" w:rsidRDefault="00E13DFB" w:rsidP="00866891">
      <w:pPr>
        <w:pStyle w:val="ListBullet"/>
        <w:numPr>
          <w:ilvl w:val="0"/>
          <w:numId w:val="20"/>
        </w:numPr>
        <w:ind w:left="709" w:hanging="425"/>
      </w:pPr>
      <w:r>
        <w:t xml:space="preserve">the scope of the veracity provisions (section 37); </w:t>
      </w:r>
    </w:p>
    <w:p w14:paraId="4C916716" w14:textId="77777777" w:rsidR="00E13DFB" w:rsidRPr="002D4453" w:rsidRDefault="00E13DFB" w:rsidP="00866891">
      <w:pPr>
        <w:pStyle w:val="ListBullet"/>
        <w:numPr>
          <w:ilvl w:val="0"/>
          <w:numId w:val="20"/>
        </w:numPr>
        <w:ind w:left="709" w:hanging="425"/>
        <w:rPr>
          <w:rFonts w:eastAsia="Metropolis"/>
          <w:noProof/>
        </w:rPr>
      </w:pPr>
      <w:r>
        <w:t>the application of section 38(2) when the defendant puts veracity in issue; and</w:t>
      </w:r>
    </w:p>
    <w:p w14:paraId="012C9CC0" w14:textId="77777777" w:rsidR="00E13DFB" w:rsidRDefault="00E13DFB" w:rsidP="00866891">
      <w:pPr>
        <w:pStyle w:val="ListBullet"/>
        <w:numPr>
          <w:ilvl w:val="0"/>
          <w:numId w:val="20"/>
        </w:numPr>
        <w:ind w:left="709" w:hanging="425"/>
        <w:rPr>
          <w:rFonts w:eastAsia="Metropolis"/>
          <w:noProof/>
        </w:rPr>
      </w:pPr>
      <w:r>
        <w:t>the use of the term “veracity” in other parts of the Act.</w:t>
      </w:r>
    </w:p>
    <w:p w14:paraId="2786187D" w14:textId="77777777" w:rsidR="00E13DFB" w:rsidRPr="00D37FCE" w:rsidRDefault="00E13DFB" w:rsidP="00E13DFB">
      <w:pPr>
        <w:pStyle w:val="ListBullet"/>
        <w:numPr>
          <w:ilvl w:val="0"/>
          <w:numId w:val="0"/>
        </w:numPr>
        <w:ind w:left="709"/>
      </w:pPr>
    </w:p>
    <w:p w14:paraId="5E6649BA" w14:textId="77777777" w:rsidR="00E13DFB" w:rsidRDefault="00E13DFB" w:rsidP="00E13DFB">
      <w:pPr>
        <w:pStyle w:val="Heading2"/>
      </w:pPr>
      <w:bookmarkStart w:id="135" w:name="_Toc132962582"/>
      <w:r>
        <w:t>Scope of the veracity provisions</w:t>
      </w:r>
      <w:bookmarkEnd w:id="135"/>
    </w:p>
    <w:p w14:paraId="15275381" w14:textId="77777777" w:rsidR="00E13DFB" w:rsidRPr="001B4231" w:rsidRDefault="00E13DFB" w:rsidP="00866891">
      <w:pPr>
        <w:pStyle w:val="ListParagraph"/>
        <w:numPr>
          <w:ilvl w:val="0"/>
          <w:numId w:val="28"/>
        </w:numPr>
        <w:spacing w:before="80" w:after="120" w:line="360" w:lineRule="auto"/>
        <w:contextualSpacing w:val="0"/>
        <w:jc w:val="both"/>
        <w:rPr>
          <w:rFonts w:eastAsia="Times New Roman" w:cs="Times New Roman"/>
          <w:vanish/>
          <w:color w:val="000000" w:themeColor="text1"/>
          <w:sz w:val="20"/>
          <w:szCs w:val="24"/>
          <w:lang w:eastAsia="en-AU"/>
        </w:rPr>
      </w:pPr>
    </w:p>
    <w:p w14:paraId="20BB3F73" w14:textId="77777777" w:rsidR="00E13DFB" w:rsidRDefault="00E13DFB" w:rsidP="00E13DFB">
      <w:pPr>
        <w:pStyle w:val="BodyText"/>
        <w:tabs>
          <w:tab w:val="clear" w:pos="709"/>
          <w:tab w:val="num" w:pos="1425"/>
        </w:tabs>
      </w:pPr>
      <w:r>
        <w:t>The admissibility of veracity evidence is governed by sections 37–39 of the Evidence Act 2006. Section</w:t>
      </w:r>
      <w:r w:rsidRPr="001B4231">
        <w:rPr>
          <w:rFonts w:ascii="Calibri" w:hAnsi="Calibri" w:cs="Calibri"/>
        </w:rPr>
        <w:t> </w:t>
      </w:r>
      <w:r>
        <w:t>37(1) sets out the general rule that a party may not offer evidence in a civil or criminal proceeding about a person’s veracity (defined as “the disposition of a person to refrain from lying”</w:t>
      </w:r>
      <w:r>
        <w:rPr>
          <w:rStyle w:val="FootnoteReference"/>
        </w:rPr>
        <w:footnoteReference w:id="719"/>
      </w:r>
      <w:r>
        <w:t xml:space="preserve">) unless the evidence is “substantially helpful” in assessing that person’s veracity. </w:t>
      </w:r>
    </w:p>
    <w:p w14:paraId="4A7DF279" w14:textId="77777777" w:rsidR="00E13DFB" w:rsidRDefault="00E13DFB" w:rsidP="00E13DFB">
      <w:pPr>
        <w:pStyle w:val="BodyText"/>
      </w:pPr>
      <w:r>
        <w:t>The veracity provisions are based on Te Aka Matua o te Ture | Law Commission’s Evidence Code, but they differ in several key respects. The Commission had proposed a concept of “truthfulness” rather than “veracity”.</w:t>
      </w:r>
      <w:r>
        <w:rPr>
          <w:rStyle w:val="FootnoteReference"/>
        </w:rPr>
        <w:footnoteReference w:id="720"/>
      </w:r>
      <w:r>
        <w:t xml:space="preserve"> It defined truthfulness as being concerned with “a person’s intention to tell the truth</w:t>
      </w:r>
      <w:r w:rsidRPr="005434A0">
        <w:t>”.</w:t>
      </w:r>
      <w:r w:rsidRPr="005434A0">
        <w:rPr>
          <w:rStyle w:val="FootnoteReference"/>
        </w:rPr>
        <w:footnoteReference w:id="721"/>
      </w:r>
      <w:r w:rsidRPr="005434A0">
        <w:t xml:space="preserve"> It recommended a general rule that evidence about a person’s truthfulness is admissible only if it is substantially helpful in assessing that person’s truthfulness.</w:t>
      </w:r>
      <w:r w:rsidRPr="005434A0">
        <w:rPr>
          <w:rStyle w:val="FootnoteReference"/>
        </w:rPr>
        <w:footnoteReference w:id="722"/>
      </w:r>
      <w:r w:rsidRPr="005434A0">
        <w:t xml:space="preserve"> T</w:t>
      </w:r>
      <w:r>
        <w:t>he intention was to abolish the common law collateral issues rule, which prohibited a party from offering evidence intended to challenge a witness’ answers to questions asked in cross-examination about their truthfulness.</w:t>
      </w:r>
      <w:r>
        <w:rPr>
          <w:rStyle w:val="FootnoteReference"/>
        </w:rPr>
        <w:footnoteReference w:id="723"/>
      </w:r>
      <w:r>
        <w:t xml:space="preserve"> </w:t>
      </w:r>
    </w:p>
    <w:p w14:paraId="5CCBE1AC" w14:textId="77777777" w:rsidR="00E13DFB" w:rsidRDefault="00E13DFB" w:rsidP="00E13DFB">
      <w:pPr>
        <w:pStyle w:val="BodyText"/>
      </w:pPr>
      <w:r>
        <w:lastRenderedPageBreak/>
        <w:t>At select committee stage the term “truthfulness” was replaced with “veracity” on the basis that “veracity” places the emphasis upon the intention to tell the truth whereas “truthfulness” is more readily confused with factual correctness.</w:t>
      </w:r>
      <w:r>
        <w:rPr>
          <w:rStyle w:val="FootnoteReference"/>
        </w:rPr>
        <w:footnoteReference w:id="724"/>
      </w:r>
      <w:r>
        <w:t xml:space="preserve"> This necessitated the introduction of a new definition of “veracity” that focused on a person’s </w:t>
      </w:r>
      <w:r w:rsidRPr="00E819C2">
        <w:t>disposition</w:t>
      </w:r>
      <w:r>
        <w:t xml:space="preserve"> to refrain from lying. Section 37(3), which purports to provide a non-exhaustive list of matters relevant to deciding whether the proposed veracity evidence is substantially helpful, was also inserted at select committee stage. </w:t>
      </w:r>
    </w:p>
    <w:p w14:paraId="149D7BE6" w14:textId="77777777" w:rsidR="00E13DFB" w:rsidRDefault="00E13DFB" w:rsidP="00E13DFB">
      <w:pPr>
        <w:pStyle w:val="BodyText"/>
      </w:pPr>
      <w:r>
        <w:t>The changes at select committee stage gave rise to some early uncertainty as to the scope of the veracity provisions in the Act.</w:t>
      </w:r>
      <w:r>
        <w:rPr>
          <w:rStyle w:val="FootnoteReference"/>
        </w:rPr>
        <w:footnoteReference w:id="725"/>
      </w:r>
      <w:r>
        <w:t xml:space="preserve"> Te Kōti Mana Nui | Supreme Court clarified much of this uncertainty in </w:t>
      </w:r>
      <w:r>
        <w:rPr>
          <w:i/>
          <w:iCs/>
        </w:rPr>
        <w:t>Hannigan v R.</w:t>
      </w:r>
      <w:r w:rsidRPr="00E56D32">
        <w:rPr>
          <w:rStyle w:val="FootnoteReference"/>
        </w:rPr>
        <w:footnoteReference w:id="726"/>
      </w:r>
      <w:r>
        <w:rPr>
          <w:i/>
          <w:iCs/>
        </w:rPr>
        <w:t xml:space="preserve"> </w:t>
      </w:r>
      <w:r>
        <w:t>In that case, the majority of the Supreme Court confirmed that the veracity rules do not apply to evidence that is of direct relevance to the case, even if that evidence also bears on the veracity of a person.</w:t>
      </w:r>
      <w:r>
        <w:rPr>
          <w:rStyle w:val="FootnoteReference"/>
        </w:rPr>
        <w:footnoteReference w:id="727"/>
      </w:r>
      <w:r>
        <w:t xml:space="preserve"> The scope of the veracity rules is therefore relatively narrow, only capturing evidence that would not otherwise be relevant to the facts in issue. The Court also said that only evidence of previously told lies can establish a disposition to lie for the purposes of the veracity rules.</w:t>
      </w:r>
      <w:r>
        <w:rPr>
          <w:rStyle w:val="FootnoteReference"/>
        </w:rPr>
        <w:footnoteReference w:id="728"/>
      </w:r>
      <w:r>
        <w:t xml:space="preserve"> </w:t>
      </w:r>
    </w:p>
    <w:p w14:paraId="78A6D60E" w14:textId="77777777" w:rsidR="00E13DFB" w:rsidRDefault="00E13DFB" w:rsidP="00E13DFB">
      <w:pPr>
        <w:pStyle w:val="BodyText"/>
      </w:pPr>
      <w:r>
        <w:t>Preliminary feedback from stakeholders identified that some questions remain as to:</w:t>
      </w:r>
    </w:p>
    <w:p w14:paraId="336EDD6F" w14:textId="77777777" w:rsidR="00E13DFB" w:rsidRDefault="00E13DFB" w:rsidP="00866891">
      <w:pPr>
        <w:pStyle w:val="BodyTextnonum"/>
        <w:numPr>
          <w:ilvl w:val="3"/>
          <w:numId w:val="28"/>
        </w:numPr>
      </w:pPr>
      <w:r>
        <w:t>the application of the veracity provisions to evidence of a single lie told on a previous occasion; and</w:t>
      </w:r>
    </w:p>
    <w:p w14:paraId="3F31B906" w14:textId="77777777" w:rsidR="00E13DFB" w:rsidRDefault="00E13DFB" w:rsidP="00866891">
      <w:pPr>
        <w:pStyle w:val="BodyTextnonum"/>
        <w:numPr>
          <w:ilvl w:val="3"/>
          <w:numId w:val="28"/>
        </w:numPr>
      </w:pPr>
      <w:r>
        <w:t>the relevance, if any, of some of the statutory factors deemed to be relevant to an assessment of substantial helpfulness (sections 37(3)(c)–(e)).</w:t>
      </w:r>
    </w:p>
    <w:p w14:paraId="719402E1" w14:textId="77777777" w:rsidR="00E13DFB" w:rsidRDefault="00E13DFB" w:rsidP="00E13DFB">
      <w:pPr>
        <w:pStyle w:val="BodyText"/>
        <w:tabs>
          <w:tab w:val="num" w:pos="709"/>
        </w:tabs>
      </w:pPr>
      <w:r>
        <w:t xml:space="preserve">We address these issues below and then discuss whether it is desirable to provide more complete guidance in the Act about the matters relevant to assessing whether veracity evidence meets the heightened relevance test of substantial helpfulness. </w:t>
      </w:r>
    </w:p>
    <w:p w14:paraId="563F5A90" w14:textId="77777777" w:rsidR="00E13DFB" w:rsidRDefault="00E13DFB" w:rsidP="00E13DFB">
      <w:pPr>
        <w:pStyle w:val="Heading3"/>
      </w:pPr>
      <w:r>
        <w:t>The application of the veracity provisions to single lies</w:t>
      </w:r>
    </w:p>
    <w:p w14:paraId="578224A5" w14:textId="77777777" w:rsidR="00E13DFB" w:rsidRDefault="00E13DFB" w:rsidP="00E13DFB">
      <w:pPr>
        <w:pStyle w:val="BodyText"/>
      </w:pPr>
      <w:r>
        <w:t xml:space="preserve">Some cases have suggested that the reference in the definition of veracity to a person’s </w:t>
      </w:r>
      <w:r w:rsidRPr="00396826">
        <w:rPr>
          <w:i/>
          <w:iCs/>
        </w:rPr>
        <w:t>disposition</w:t>
      </w:r>
      <w:r>
        <w:t xml:space="preserve"> to refrain from lying means that evidence that a person lied on a single occasion may not be controlled by the veracity provisions. </w:t>
      </w:r>
    </w:p>
    <w:p w14:paraId="36C4C215" w14:textId="77777777" w:rsidR="00E13DFB" w:rsidRDefault="00E13DFB" w:rsidP="00E13DFB">
      <w:pPr>
        <w:pStyle w:val="BodyText"/>
      </w:pPr>
      <w:r>
        <w:t xml:space="preserve">In </w:t>
      </w:r>
      <w:r w:rsidRPr="00396826">
        <w:rPr>
          <w:i/>
          <w:iCs/>
        </w:rPr>
        <w:t>R v Tepu</w:t>
      </w:r>
      <w:r>
        <w:t>, te Kōti Pīra | Court of Appeal said that a single allegation of lying does not, of itself, involve an allegation that a person has a “disposition to lie”, and that this “confuses lying on a particular occasion with a tendency or an inclination to lie more generally”.</w:t>
      </w:r>
      <w:r>
        <w:rPr>
          <w:rStyle w:val="FootnoteReference"/>
        </w:rPr>
        <w:footnoteReference w:id="729"/>
      </w:r>
      <w:r>
        <w:t xml:space="preserve"> </w:t>
      </w:r>
    </w:p>
    <w:p w14:paraId="355667F0" w14:textId="77777777" w:rsidR="00E13DFB" w:rsidRDefault="00E13DFB" w:rsidP="00E13DFB">
      <w:pPr>
        <w:pStyle w:val="BodyText"/>
      </w:pPr>
      <w:r>
        <w:lastRenderedPageBreak/>
        <w:t xml:space="preserve">The authors of </w:t>
      </w:r>
      <w:r w:rsidRPr="00396826">
        <w:rPr>
          <w:i/>
          <w:iCs/>
        </w:rPr>
        <w:t xml:space="preserve">Mahoney on Evidence </w:t>
      </w:r>
      <w:r>
        <w:t>have raised concerns with the suggestion that single lies are not controlled by the veracity provisions:</w:t>
      </w:r>
      <w:r>
        <w:rPr>
          <w:rStyle w:val="FootnoteReference"/>
        </w:rPr>
        <w:footnoteReference w:id="730"/>
      </w:r>
      <w:r>
        <w:t xml:space="preserve"> </w:t>
      </w:r>
    </w:p>
    <w:p w14:paraId="4EDE2087" w14:textId="77777777" w:rsidR="00E13DFB" w:rsidRDefault="00E13DFB" w:rsidP="00E13DFB">
      <w:pPr>
        <w:pStyle w:val="Quote"/>
      </w:pPr>
      <w:r>
        <w:t xml:space="preserve">… it would be problematic to take </w:t>
      </w:r>
      <w:r>
        <w:rPr>
          <w:i/>
          <w:iCs/>
        </w:rPr>
        <w:t xml:space="preserve">Tepu </w:t>
      </w:r>
      <w:r>
        <w:t xml:space="preserve">as deciding that veracity must always involve multiple lies. The Act contains various provisions which appear to reflect the legislature’s view that a single incident can be a substantially helpful indicator of a lack of veracity. </w:t>
      </w:r>
    </w:p>
    <w:p w14:paraId="3A92B9AE" w14:textId="77777777" w:rsidR="00E13DFB" w:rsidRDefault="00E13DFB" w:rsidP="00E13DFB">
      <w:pPr>
        <w:pStyle w:val="BodyText"/>
      </w:pPr>
      <w:r>
        <w:t>Several provisions in the Act appear to contemplate that a single lie can be considered under the veracity provisions.</w:t>
      </w:r>
      <w:r>
        <w:rPr>
          <w:rStyle w:val="FootnoteReference"/>
        </w:rPr>
        <w:footnoteReference w:id="731"/>
      </w:r>
      <w:r>
        <w:t xml:space="preserve"> For example, section 37(3)(a) refers to a “lack of veracity… when under a legal obligation to tell the truth (for example, in </w:t>
      </w:r>
      <w:r w:rsidRPr="002869EC">
        <w:t>an earlier proceeding or in a</w:t>
      </w:r>
      <w:r>
        <w:rPr>
          <w:i/>
          <w:iCs/>
        </w:rPr>
        <w:t xml:space="preserve"> </w:t>
      </w:r>
      <w:r>
        <w:t xml:space="preserve">signed declaration)” and section 37(3)(b) refers to “1 or more offences that indicate a propensity for a lack of veracity”. </w:t>
      </w:r>
    </w:p>
    <w:p w14:paraId="29EA0B80" w14:textId="77777777" w:rsidR="00E13DFB" w:rsidRDefault="00E13DFB" w:rsidP="00E13DFB">
      <w:pPr>
        <w:pStyle w:val="BodyText"/>
      </w:pPr>
      <w:r>
        <w:t xml:space="preserve">This issue appears to have particular significance in the context of sexual cases, where the defence seeks to offer evidence of a single false complaint or other lie told by the complainant about their previous sexual experience. In </w:t>
      </w:r>
      <w:r w:rsidRPr="00071414">
        <w:rPr>
          <w:i/>
          <w:iCs/>
        </w:rPr>
        <w:t>Best v R</w:t>
      </w:r>
      <w:r w:rsidRPr="00C252D1">
        <w:t>,</w:t>
      </w:r>
      <w:r w:rsidRPr="00071414">
        <w:rPr>
          <w:i/>
          <w:iCs/>
        </w:rPr>
        <w:t xml:space="preserve"> </w:t>
      </w:r>
      <w:r>
        <w:t>the Supreme Court considered the admissibility of an allegedly false complaint made previously by the complainant against another person.</w:t>
      </w:r>
      <w:r>
        <w:rPr>
          <w:rStyle w:val="FootnoteReference"/>
        </w:rPr>
        <w:footnoteReference w:id="732"/>
      </w:r>
      <w:r>
        <w:t xml:space="preserve"> The Court proceeded on the basis that a single lie (or alleged lie) </w:t>
      </w:r>
      <w:r w:rsidRPr="00292A29">
        <w:t>is</w:t>
      </w:r>
      <w:r w:rsidRPr="00C75CBA">
        <w:t xml:space="preserve"> </w:t>
      </w:r>
      <w:r>
        <w:t>controlled by the veracity provisions and that the number of false (or allegedly false) prior complaints was one factor to be considered, among others, in assessing whether the veracity evidence met the test of substantial helpfulness.</w:t>
      </w:r>
      <w:r>
        <w:rPr>
          <w:rStyle w:val="FootnoteReference"/>
        </w:rPr>
        <w:footnoteReference w:id="733"/>
      </w:r>
      <w:r>
        <w:t xml:space="preserve"> The Court said that, if the complainant had </w:t>
      </w:r>
      <w:r w:rsidRPr="009F66A6">
        <w:rPr>
          <w:i/>
          <w:iCs/>
        </w:rPr>
        <w:t>not</w:t>
      </w:r>
      <w:r>
        <w:t xml:space="preserve"> accepted the prior complaint was false, it was relevant that “the existence of one prior complaint is not… equivalent to a ‘habit’ of making false complaints”.</w:t>
      </w:r>
      <w:r>
        <w:rPr>
          <w:rStyle w:val="FootnoteReference"/>
        </w:rPr>
        <w:footnoteReference w:id="734"/>
      </w:r>
      <w:r>
        <w:t xml:space="preserve"> The Court noted, however, that if the complainant </w:t>
      </w:r>
      <w:r w:rsidRPr="009F66A6">
        <w:rPr>
          <w:i/>
          <w:iCs/>
        </w:rPr>
        <w:t>had</w:t>
      </w:r>
      <w:r>
        <w:t xml:space="preserve"> accepted the prior complaint was false, the evidence ought to have been admitted as substantially helpful veracity evidence, even though “there is only one prior false complaint and therefore no evidence of a pattern of lying about sexual activity”.</w:t>
      </w:r>
      <w:r>
        <w:rPr>
          <w:rStyle w:val="FootnoteReference"/>
        </w:rPr>
        <w:footnoteReference w:id="735"/>
      </w:r>
    </w:p>
    <w:p w14:paraId="12C7E553" w14:textId="77777777" w:rsidR="00E13DFB" w:rsidRDefault="00E13DFB" w:rsidP="00E13DFB">
      <w:pPr>
        <w:pStyle w:val="BodyText"/>
      </w:pPr>
      <w:r>
        <w:t>The Court of Appeal considered this matter again in 2022 and indicated that proof of a single lie will seldom be capable of being substantially helpful in assessing a disposition to refrain from lying</w:t>
      </w:r>
      <w:r>
        <w:rPr>
          <w:i/>
          <w:iCs/>
        </w:rPr>
        <w:t>.</w:t>
      </w:r>
      <w:r w:rsidRPr="00D82895">
        <w:rPr>
          <w:rStyle w:val="FootnoteReference"/>
        </w:rPr>
        <w:footnoteReference w:id="736"/>
      </w:r>
    </w:p>
    <w:p w14:paraId="19B560FE" w14:textId="77777777" w:rsidR="00E13DFB" w:rsidRDefault="00E13DFB" w:rsidP="00E13DFB">
      <w:pPr>
        <w:pStyle w:val="Heading4"/>
      </w:pPr>
      <w:r>
        <w:t>How should the Act treat single lies?</w:t>
      </w:r>
    </w:p>
    <w:p w14:paraId="5E56C0D2" w14:textId="77777777" w:rsidR="00E13DFB" w:rsidRDefault="00E13DFB" w:rsidP="00E13DFB">
      <w:pPr>
        <w:pStyle w:val="BodyText"/>
      </w:pPr>
      <w:r>
        <w:t xml:space="preserve">Our preliminary view is that evidence of a single lie (that is not otherwise directly relevant to the facts in issue) should be treated as veracity evidence so that it will only be admitted if the heightened relevance test of substantial helpfulness is met. This is consistent with the Supreme Court’s approach in </w:t>
      </w:r>
      <w:r>
        <w:rPr>
          <w:i/>
          <w:iCs/>
        </w:rPr>
        <w:t>Best</w:t>
      </w:r>
      <w:r w:rsidRPr="00C252D1">
        <w:t>,</w:t>
      </w:r>
      <w:r>
        <w:rPr>
          <w:i/>
          <w:iCs/>
        </w:rPr>
        <w:t xml:space="preserve"> </w:t>
      </w:r>
      <w:r>
        <w:t xml:space="preserve">reflects the Commission’s intention when </w:t>
      </w:r>
      <w:r>
        <w:lastRenderedPageBreak/>
        <w:t>developing the Evidence Code</w:t>
      </w:r>
      <w:r>
        <w:rPr>
          <w:rStyle w:val="FootnoteReference"/>
        </w:rPr>
        <w:footnoteReference w:id="737"/>
      </w:r>
      <w:r>
        <w:t xml:space="preserve"> and is consistent with the propensity provisions (under which evidence of a single act or omission can constitute admissible propensity evidence). </w:t>
      </w:r>
    </w:p>
    <w:p w14:paraId="41301C3E" w14:textId="77777777" w:rsidR="00E13DFB" w:rsidRDefault="00E13DFB" w:rsidP="00E13DFB">
      <w:pPr>
        <w:pStyle w:val="BodyText"/>
      </w:pPr>
      <w:r>
        <w:t xml:space="preserve">We agree with the authors of </w:t>
      </w:r>
      <w:r>
        <w:rPr>
          <w:i/>
          <w:iCs/>
        </w:rPr>
        <w:t xml:space="preserve">Mahoney on Evidence </w:t>
      </w:r>
      <w:r>
        <w:t>that it would be problematic if section 37 were interpreted as necessarily requiring multiple lies. Further, we are concerned that such an interpretation could result in an approach whereby evidence of a single lie is not subject to the heightened relevance test of substantial helpfulness</w:t>
      </w:r>
      <w:r w:rsidDel="00575FB5">
        <w:t>.</w:t>
      </w:r>
      <w:r>
        <w:rPr>
          <w:rStyle w:val="FootnoteReference"/>
        </w:rPr>
        <w:footnoteReference w:id="738"/>
      </w:r>
      <w:r>
        <w:t xml:space="preserve"> We also agree with the Court of Appeal’s recent observation that evidence of a single lie will seldom be capable of meeting the substantially helpful threshold. Nonetheless, there will be cases, for example, a single conviction for perjury of a serious nature, where this threshold is capable of being reached. </w:t>
      </w:r>
    </w:p>
    <w:p w14:paraId="6DB85C33" w14:textId="77777777" w:rsidR="00E13DFB" w:rsidRDefault="00E13DFB" w:rsidP="00E13DFB">
      <w:pPr>
        <w:pStyle w:val="BodyText"/>
      </w:pPr>
      <w:r>
        <w:t>It does not necessarily follow that legislative amendment is the best way forward. One view is that this is a matter that is best left to the courts to consider and issue guidance on a case-by-case basis.</w:t>
      </w:r>
      <w:r>
        <w:rPr>
          <w:rStyle w:val="FootnoteReference"/>
        </w:rPr>
        <w:footnoteReference w:id="739"/>
      </w:r>
      <w:r>
        <w:t xml:space="preserve"> </w:t>
      </w:r>
    </w:p>
    <w:p w14:paraId="54B5FD06" w14:textId="34CBE2EA" w:rsidR="00E13DFB" w:rsidRDefault="00A95E2B" w:rsidP="00E13DFB">
      <w:pPr>
        <w:pStyle w:val="BodyText"/>
      </w:pPr>
      <w:r>
        <w:rPr>
          <w:noProof/>
        </w:rPr>
        <mc:AlternateContent>
          <mc:Choice Requires="wpg">
            <w:drawing>
              <wp:anchor distT="0" distB="0" distL="114300" distR="114300" simplePos="0" relativeHeight="251658348" behindDoc="1" locked="0" layoutInCell="1" allowOverlap="1" wp14:anchorId="60B650A0" wp14:editId="7C37DF64">
                <wp:simplePos x="0" y="0"/>
                <wp:positionH relativeFrom="column">
                  <wp:posOffset>0</wp:posOffset>
                </wp:positionH>
                <wp:positionV relativeFrom="paragraph">
                  <wp:posOffset>1571947</wp:posOffset>
                </wp:positionV>
                <wp:extent cx="5760085" cy="1113155"/>
                <wp:effectExtent l="0" t="0" r="0" b="0"/>
                <wp:wrapNone/>
                <wp:docPr id="204" name="Group 204" descr="Question"/>
                <wp:cNvGraphicFramePr/>
                <a:graphic xmlns:a="http://schemas.openxmlformats.org/drawingml/2006/main">
                  <a:graphicData uri="http://schemas.microsoft.com/office/word/2010/wordprocessingGroup">
                    <wpg:wgp>
                      <wpg:cNvGrpSpPr/>
                      <wpg:grpSpPr>
                        <a:xfrm>
                          <a:off x="0" y="0"/>
                          <a:ext cx="5760085" cy="1113155"/>
                          <a:chOff x="0" y="62865"/>
                          <a:chExt cx="5760085" cy="1113724"/>
                        </a:xfrm>
                      </wpg:grpSpPr>
                      <wps:wsp>
                        <wps:cNvPr id="20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24819A" w14:textId="77777777" w:rsidR="00A95E2B" w:rsidRDefault="00A95E2B" w:rsidP="00A95E2B">
                              <w:pPr>
                                <w:pStyle w:val="BoxTitle"/>
                                <w:spacing w:before="0" w:beforeAutospacing="0"/>
                              </w:pPr>
                              <w:r w:rsidRPr="007F6876">
                                <w:t>QUESTION</w:t>
                              </w:r>
                            </w:p>
                          </w:txbxContent>
                        </wps:txbx>
                        <wps:bodyPr rot="0" vert="horz" wrap="square" lIns="91440" tIns="0" rIns="0" bIns="45720" anchor="ctr" anchorCtr="0" upright="1">
                          <a:noAutofit/>
                        </wps:bodyPr>
                      </wps:wsp>
                      <wpg:grpSp>
                        <wpg:cNvPr id="206" name="Group 53"/>
                        <wpg:cNvGrpSpPr>
                          <a:grpSpLocks/>
                        </wpg:cNvGrpSpPr>
                        <wpg:grpSpPr bwMode="auto">
                          <a:xfrm>
                            <a:off x="0" y="315799"/>
                            <a:ext cx="5760085" cy="860790"/>
                            <a:chOff x="1837" y="1787"/>
                            <a:chExt cx="9302" cy="9298"/>
                          </a:xfrm>
                        </wpg:grpSpPr>
                        <wps:wsp>
                          <wps:cNvPr id="207" name="Freeform 54"/>
                          <wps:cNvSpPr>
                            <a:spLocks/>
                          </wps:cNvSpPr>
                          <wps:spPr bwMode="auto">
                            <a:xfrm>
                              <a:off x="1837" y="1787"/>
                              <a:ext cx="9302" cy="929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8"/>
                        <wpg:cNvGrpSpPr/>
                        <wpg:grpSpPr>
                          <a:xfrm>
                            <a:off x="0" y="494036"/>
                            <a:ext cx="1443794" cy="252000"/>
                            <a:chOff x="-15880" y="0"/>
                            <a:chExt cx="1444379" cy="252068"/>
                          </a:xfrm>
                        </wpg:grpSpPr>
                        <wps:wsp>
                          <wps:cNvPr id="20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104DF" w14:textId="77777777" w:rsidR="00A95E2B" w:rsidRPr="00E90B8A" w:rsidRDefault="00A95E2B" w:rsidP="00A95E2B">
                                <w:pPr>
                                  <w:pStyle w:val="BoxTitle"/>
                                  <w:spacing w:before="0" w:beforeAutospacing="0"/>
                                  <w:rPr>
                                    <w:sz w:val="18"/>
                                    <w:szCs w:val="18"/>
                                  </w:rPr>
                                </w:pPr>
                                <w:r w:rsidRPr="00E90B8A">
                                  <w:rPr>
                                    <w:sz w:val="18"/>
                                    <w:szCs w:val="18"/>
                                  </w:rPr>
                                  <w:t>Q</w:t>
                                </w:r>
                                <w:r>
                                  <w:rPr>
                                    <w:sz w:val="18"/>
                                    <w:szCs w:val="18"/>
                                  </w:rPr>
                                  <w:t>43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0B650A0" id="Group 204" o:spid="_x0000_s1321" alt="Question" style="position:absolute;left:0;text-align:left;margin-left:0;margin-top:123.8pt;width:453.55pt;height:87.65pt;z-index:-251658132;mso-height-relative:margin" coordorigin=",628" coordsize="57600,1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">
                <v:shape id="Freeform 52" o:spid="_x0000_s132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724819A" w14:textId="77777777" w:rsidR="00A95E2B" w:rsidRDefault="00A95E2B" w:rsidP="00A95E2B">
                        <w:pPr>
                          <w:pStyle w:val="BoxTitle"/>
                          <w:spacing w:before="0" w:beforeAutospacing="0"/>
                        </w:pPr>
                        <w:r w:rsidRPr="007F6876">
                          <w:t>QUESTION</w:t>
                        </w:r>
                      </w:p>
                    </w:txbxContent>
                  </v:textbox>
                </v:shape>
                <v:group id="Group 53" o:spid="_x0000_s1323" style="position:absolute;top:3157;width:57600;height:8608" coordorigin="1837,1787" coordsize="930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54" o:spid="_x0000_s1324" style="position:absolute;left:1837;top:1787;width:9302;height:929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" path="m,l9354,r,7809l,7809,,e" fillcolor="#edf2ea" stroked="f">
                    <v:path arrowok="t" o:connecttype="custom" o:connectlocs="0,1191;9302,1191;9302,10489;0,10489;0,1191" o:connectangles="0,0,0,0,0"/>
                  </v:shape>
                </v:group>
                <v:group id="Group 208" o:spid="_x0000_s132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58" o:spid="_x0000_s132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" path="m,l1815,e" filled="f" strokecolor="#72ab6a" strokeweight=".5pt">
                    <v:path arrowok="t" o:connecttype="custom" o:connectlocs="0,0;1073495,0" o:connectangles="0,0"/>
                  </v:shape>
                  <v:shape id="Freeform 66" o:spid="_x0000_s132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5F104DF" w14:textId="77777777" w:rsidR="00A95E2B" w:rsidRPr="00E90B8A" w:rsidRDefault="00A95E2B" w:rsidP="00A95E2B">
                          <w:pPr>
                            <w:pStyle w:val="BoxTitle"/>
                            <w:spacing w:before="0" w:beforeAutospacing="0"/>
                            <w:rPr>
                              <w:sz w:val="18"/>
                              <w:szCs w:val="18"/>
                            </w:rPr>
                          </w:pPr>
                          <w:r w:rsidRPr="00E90B8A">
                            <w:rPr>
                              <w:sz w:val="18"/>
                              <w:szCs w:val="18"/>
                            </w:rPr>
                            <w:t>Q</w:t>
                          </w:r>
                          <w:r>
                            <w:rPr>
                              <w:sz w:val="18"/>
                              <w:szCs w:val="18"/>
                            </w:rPr>
                            <w:t>43</w:t>
                          </w:r>
                        </w:p>
                      </w:txbxContent>
                    </v:textbox>
                  </v:shape>
                </v:group>
              </v:group>
            </w:pict>
          </mc:Fallback>
        </mc:AlternateContent>
      </w:r>
      <w:r w:rsidR="00E13DFB">
        <w:t xml:space="preserve">We are therefore interested in views on whether the treatment of single lies under the veracity provisions is creating confusion or uncertainty in practice and whether any legislative clarification to the operation of section 37 would be desirable in this respect. If legislative reform is considered necessary or desirable, one option, which we consider below, would be to amend section 37(3) to provide more guidance on the evaluative matters that are relevant to whether veracity evidence is substantially helpful. This could include, as a relevant factor, the number of previous incidents or events, affirming the approach in </w:t>
      </w:r>
      <w:r w:rsidR="00E13DFB" w:rsidRPr="00525317">
        <w:rPr>
          <w:i/>
          <w:iCs/>
        </w:rPr>
        <w:t>Best</w:t>
      </w:r>
      <w:r w:rsidR="00E13DFB">
        <w:t xml:space="preserve">. </w:t>
      </w:r>
    </w:p>
    <w:p w14:paraId="6F0EBF05" w14:textId="0A09CB60" w:rsidR="00A95E2B" w:rsidRDefault="00A95E2B" w:rsidP="00A95E2B">
      <w:pPr>
        <w:pStyle w:val="QuestionBox"/>
      </w:pPr>
    </w:p>
    <w:p w14:paraId="0B915D21" w14:textId="77777777" w:rsidR="00A95E2B" w:rsidRDefault="00A95E2B" w:rsidP="00A95E2B">
      <w:pPr>
        <w:pStyle w:val="QuestionBox"/>
      </w:pPr>
    </w:p>
    <w:p w14:paraId="64B8A99E" w14:textId="23C30486" w:rsidR="00E13DFB" w:rsidRDefault="00E13DFB" w:rsidP="00A95E2B">
      <w:pPr>
        <w:pStyle w:val="QuestionBox"/>
      </w:pPr>
      <w:r>
        <w:t>Is there uncertainty as to the application of the veracity provisions to evidence of a single lie? If so, should the Act be amended to address that uncertainty?</w:t>
      </w:r>
    </w:p>
    <w:p w14:paraId="5724502C" w14:textId="77777777" w:rsidR="00A95E2B" w:rsidRDefault="00A95E2B" w:rsidP="00A95E2B">
      <w:pPr>
        <w:pStyle w:val="QuestionBox"/>
      </w:pPr>
    </w:p>
    <w:p w14:paraId="1B4FF575" w14:textId="77777777" w:rsidR="00E13DFB" w:rsidRDefault="00E13DFB" w:rsidP="00E13DFB">
      <w:pPr>
        <w:pStyle w:val="Heading3"/>
      </w:pPr>
      <w:r>
        <w:t>Relevance of the matters listed in section 37(3)(c)–(e)</w:t>
      </w:r>
    </w:p>
    <w:p w14:paraId="658841EC" w14:textId="77777777" w:rsidR="00E13DFB" w:rsidRDefault="00E13DFB" w:rsidP="00E13DFB">
      <w:pPr>
        <w:pStyle w:val="BodyText"/>
      </w:pPr>
      <w:r>
        <w:t>Section 37(3) of the Act purports to provide a non-exhaustive list of relevant considerations in deciding whether proposed veracity evidence is substantially helpful. It provides:</w:t>
      </w:r>
    </w:p>
    <w:p w14:paraId="3755F252" w14:textId="77777777" w:rsidR="00E13DFB" w:rsidRDefault="00E13DFB" w:rsidP="00E13DFB">
      <w:pPr>
        <w:pStyle w:val="Quote"/>
      </w:pPr>
      <w:r>
        <w:lastRenderedPageBreak/>
        <w:t>(3)</w:t>
      </w:r>
      <w:r>
        <w:tab/>
        <w:t>In deciding, for the purposes of subsection (1), whether or not evidence proposed to be offered about the veracity of a person is substantially helpful, the Judge may consider, among any other matters, whether the proposed evidence tends to show 1 or more of the following matters:</w:t>
      </w:r>
    </w:p>
    <w:p w14:paraId="773E09BB" w14:textId="77777777" w:rsidR="00E13DFB" w:rsidRDefault="00E13DFB" w:rsidP="00E13DFB">
      <w:pPr>
        <w:pStyle w:val="Quote"/>
        <w:ind w:left="1843" w:hanging="425"/>
      </w:pPr>
      <w:r>
        <w:t>(a)</w:t>
      </w:r>
      <w:r>
        <w:tab/>
        <w:t>lack of veracity on the part of the person when under a legal obligation to tell the truth (for example, in an earlier proceeding or in a signed declaration):</w:t>
      </w:r>
    </w:p>
    <w:p w14:paraId="220831E3" w14:textId="77777777" w:rsidR="00E13DFB" w:rsidRDefault="00E13DFB" w:rsidP="00E13DFB">
      <w:pPr>
        <w:pStyle w:val="Quote"/>
        <w:ind w:left="1843" w:hanging="425"/>
      </w:pPr>
      <w:r>
        <w:t>(b)</w:t>
      </w:r>
      <w:r>
        <w:tab/>
        <w:t>that the person has been convicted of 1 or more offences that indicate a propensity for a lack of veracity:</w:t>
      </w:r>
    </w:p>
    <w:p w14:paraId="2F6E9B1F" w14:textId="77777777" w:rsidR="00E13DFB" w:rsidRDefault="00E13DFB" w:rsidP="00E13DFB">
      <w:pPr>
        <w:pStyle w:val="Quote"/>
        <w:ind w:left="1843" w:hanging="425"/>
      </w:pPr>
      <w:r>
        <w:t>(c)</w:t>
      </w:r>
      <w:r>
        <w:tab/>
        <w:t>any previous inconsistent statements made by the person:</w:t>
      </w:r>
    </w:p>
    <w:p w14:paraId="4141BCF1" w14:textId="77777777" w:rsidR="00E13DFB" w:rsidRDefault="00E13DFB" w:rsidP="00E13DFB">
      <w:pPr>
        <w:pStyle w:val="Quote"/>
        <w:ind w:left="1843" w:hanging="425"/>
      </w:pPr>
      <w:r>
        <w:t>(d)</w:t>
      </w:r>
      <w:r>
        <w:tab/>
        <w:t>bias on the part of the person:</w:t>
      </w:r>
    </w:p>
    <w:p w14:paraId="11FA4ABC" w14:textId="77777777" w:rsidR="00E13DFB" w:rsidRDefault="00E13DFB" w:rsidP="00E13DFB">
      <w:pPr>
        <w:pStyle w:val="Quote"/>
        <w:ind w:left="1843" w:hanging="425"/>
      </w:pPr>
      <w:r>
        <w:t>(e)</w:t>
      </w:r>
      <w:r>
        <w:tab/>
        <w:t>a motive on the part of the person to be untruthful.</w:t>
      </w:r>
    </w:p>
    <w:p w14:paraId="4A11D853" w14:textId="77777777" w:rsidR="00E13DFB" w:rsidRDefault="00E13DFB" w:rsidP="00E13DFB">
      <w:pPr>
        <w:pStyle w:val="BodyText"/>
      </w:pPr>
      <w:r w:rsidRPr="00FC50B5">
        <w:t xml:space="preserve">These matters </w:t>
      </w:r>
      <w:r>
        <w:t xml:space="preserve">reflect the </w:t>
      </w:r>
      <w:r w:rsidRPr="00FC50B5">
        <w:t>common law exceptions to the collateral issues rule</w:t>
      </w:r>
      <w:r>
        <w:t xml:space="preserve"> which was abolished by section 37</w:t>
      </w:r>
      <w:r w:rsidRPr="00FC50B5">
        <w:t>.</w:t>
      </w:r>
      <w:r w:rsidRPr="00FC50B5">
        <w:rPr>
          <w:rStyle w:val="FootnoteReference"/>
        </w:rPr>
        <w:footnoteReference w:id="740"/>
      </w:r>
    </w:p>
    <w:p w14:paraId="29A4D3AD" w14:textId="77777777" w:rsidR="00E13DFB" w:rsidRDefault="00E13DFB" w:rsidP="00E13DFB">
      <w:pPr>
        <w:pStyle w:val="BodyText"/>
      </w:pPr>
      <w:r>
        <w:t xml:space="preserve">It is questionable whether subsections 37(3)(c)–(e) are </w:t>
      </w:r>
      <w:r w:rsidDel="00E11F79">
        <w:t>necessary</w:t>
      </w:r>
      <w:r>
        <w:t xml:space="preserve"> following the Supreme Court’s clarification of the scope of the veracity provisions in </w:t>
      </w:r>
      <w:r>
        <w:rPr>
          <w:i/>
          <w:iCs/>
        </w:rPr>
        <w:t>Hannigan.</w:t>
      </w:r>
    </w:p>
    <w:p w14:paraId="3359606D" w14:textId="77777777" w:rsidR="00E13DFB" w:rsidRDefault="00E13DFB" w:rsidP="00E13DFB">
      <w:pPr>
        <w:pStyle w:val="BodyText"/>
      </w:pPr>
      <w:r>
        <w:t>S</w:t>
      </w:r>
      <w:r w:rsidRPr="00BF7E74">
        <w:t>ubsection 37(3)(c)</w:t>
      </w:r>
      <w:r>
        <w:t xml:space="preserve"> (previous inconsistent statements) was addressed by the Commission in the Second Review of the Act.</w:t>
      </w:r>
      <w:r>
        <w:rPr>
          <w:rStyle w:val="FootnoteReference"/>
        </w:rPr>
        <w:footnoteReference w:id="741"/>
      </w:r>
      <w:r>
        <w:t xml:space="preserve"> The Commission noted that the Supreme Court in </w:t>
      </w:r>
      <w:r w:rsidRPr="00BF7E74">
        <w:rPr>
          <w:i/>
          <w:iCs/>
        </w:rPr>
        <w:t xml:space="preserve">Hannigan </w:t>
      </w:r>
      <w:r w:rsidRPr="00C42473">
        <w:t>had</w:t>
      </w:r>
      <w:r>
        <w:rPr>
          <w:i/>
          <w:iCs/>
        </w:rPr>
        <w:t xml:space="preserve"> </w:t>
      </w:r>
      <w:r>
        <w:t>confirmed that a previous inconsistent statement will almost always have some relevance to the facts in issue, and consequently will be admissible without having to satisfy the veracity provisions even if it also challenges a person’s veracity.</w:t>
      </w:r>
      <w:r>
        <w:rPr>
          <w:rStyle w:val="FootnoteReference"/>
        </w:rPr>
        <w:footnoteReference w:id="742"/>
      </w:r>
      <w:r>
        <w:t xml:space="preserve"> The Commission accordingly recommended that this subsection be repealed.</w:t>
      </w:r>
      <w:r>
        <w:rPr>
          <w:rStyle w:val="FootnoteReference"/>
        </w:rPr>
        <w:footnoteReference w:id="743"/>
      </w:r>
      <w:r>
        <w:t xml:space="preserve"> The Government accepted this recommendation</w:t>
      </w:r>
      <w:r>
        <w:rPr>
          <w:rStyle w:val="FootnoteReference"/>
        </w:rPr>
        <w:footnoteReference w:id="744"/>
      </w:r>
      <w:r>
        <w:t xml:space="preserve"> but the subsection has not yet been removed from the Act.</w:t>
      </w:r>
    </w:p>
    <w:p w14:paraId="06D50181" w14:textId="77777777" w:rsidR="00E13DFB" w:rsidRDefault="00E13DFB" w:rsidP="00E13DFB">
      <w:pPr>
        <w:pStyle w:val="BodyText"/>
      </w:pPr>
      <w:r>
        <w:t xml:space="preserve">Sections 37(3)(d) and (e) (bias and motive to be untruthful) were not considered by the Commission in its Second Review. Preliminary feedback in this review identified a view that these subsections, which are rarely called upon in practice, are also redundant following </w:t>
      </w:r>
      <w:r>
        <w:rPr>
          <w:i/>
          <w:iCs/>
        </w:rPr>
        <w:t>Hannigan</w:t>
      </w:r>
      <w:r w:rsidRPr="006134F0">
        <w:rPr>
          <w:i/>
          <w:iCs/>
        </w:rPr>
        <w:t xml:space="preserve">. </w:t>
      </w:r>
      <w:r>
        <w:t xml:space="preserve">There is a concern that their inclusion in section 37(3) is creating confusion in practice. </w:t>
      </w:r>
    </w:p>
    <w:p w14:paraId="34A7656A" w14:textId="77777777" w:rsidR="00E13DFB" w:rsidRDefault="00E13DFB" w:rsidP="00E13DFB">
      <w:pPr>
        <w:pStyle w:val="BodyText"/>
      </w:pPr>
      <w:r>
        <w:t xml:space="preserve">As noted above, the majority in </w:t>
      </w:r>
      <w:r w:rsidRPr="00D3295B">
        <w:rPr>
          <w:i/>
          <w:iCs/>
        </w:rPr>
        <w:t xml:space="preserve">Hannigan </w:t>
      </w:r>
      <w:r>
        <w:t>clarified that the veracity provisions do not apply to evidence that is of direct relevance to the case (even if that evidence bears on veracity).</w:t>
      </w:r>
      <w:r>
        <w:rPr>
          <w:rStyle w:val="FootnoteReference"/>
        </w:rPr>
        <w:footnoteReference w:id="745"/>
      </w:r>
      <w:r>
        <w:t xml:space="preserve"> Further, only evidence of previously told lies can establish a disposition to lie for the purposes of the veracity rules.</w:t>
      </w:r>
      <w:r>
        <w:rPr>
          <w:rStyle w:val="FootnoteReference"/>
        </w:rPr>
        <w:footnoteReference w:id="746"/>
      </w:r>
      <w:r>
        <w:t xml:space="preserve"> In other words, section 37 “permits the introduction of otherwise potentially inadmissible evidence to the effect a witness is </w:t>
      </w:r>
      <w:r w:rsidRPr="00D3295B">
        <w:rPr>
          <w:i/>
          <w:iCs/>
        </w:rPr>
        <w:lastRenderedPageBreak/>
        <w:t xml:space="preserve">habitually </w:t>
      </w:r>
      <w:r>
        <w:t>truthful or untruthful”.</w:t>
      </w:r>
      <w:r>
        <w:rPr>
          <w:rStyle w:val="FootnoteReference"/>
        </w:rPr>
        <w:footnoteReference w:id="747"/>
      </w:r>
      <w:r>
        <w:t xml:space="preserve"> Unlike subsections 37(3)(a) and (b), which can be described as examples of the </w:t>
      </w:r>
      <w:r w:rsidRPr="00D3295B">
        <w:rPr>
          <w:i/>
          <w:iCs/>
        </w:rPr>
        <w:t xml:space="preserve">type </w:t>
      </w:r>
      <w:r>
        <w:t xml:space="preserve">of veracity evidence that may be substantially helpful, subsections (d) and (e) do </w:t>
      </w:r>
      <w:r w:rsidRPr="00D3295B">
        <w:rPr>
          <w:i/>
          <w:iCs/>
        </w:rPr>
        <w:t xml:space="preserve">not </w:t>
      </w:r>
      <w:r>
        <w:t>describe types of veracity evidence. Rather, evidence of a person’s bias or motive to be untruthful in a proceeding is generally considered to be directly relevant to assessing the reliability of their evidence and does not, therefore, engage the veracity provisions.</w:t>
      </w:r>
      <w:r>
        <w:rPr>
          <w:rStyle w:val="FootnoteReference"/>
        </w:rPr>
        <w:footnoteReference w:id="748"/>
      </w:r>
      <w:r>
        <w:t xml:space="preserve"> </w:t>
      </w:r>
    </w:p>
    <w:p w14:paraId="14EA6C27" w14:textId="77777777" w:rsidR="00E13DFB" w:rsidRDefault="00E13DFB" w:rsidP="00E13DFB">
      <w:pPr>
        <w:pStyle w:val="BodyText"/>
      </w:pPr>
      <w:r>
        <w:t>It could be possible to interpret sections 37(3)(d) and (e) as simply providing that, where there is evidence that a person has told lies, whether that evidence reveals a bias or motive to lie will be relevant to assessing whether that evidence is substantially helpful.</w:t>
      </w:r>
      <w:r>
        <w:rPr>
          <w:rStyle w:val="FootnoteReference"/>
        </w:rPr>
        <w:footnoteReference w:id="749"/>
      </w:r>
      <w:r>
        <w:t xml:space="preserve"> But this potentially confuses two concepts (a </w:t>
      </w:r>
      <w:r w:rsidRPr="007E1FE0">
        <w:rPr>
          <w:i/>
          <w:iCs/>
        </w:rPr>
        <w:t>general</w:t>
      </w:r>
      <w:r>
        <w:t xml:space="preserve"> disposition to lie versus bias or motivation to lie </w:t>
      </w:r>
      <w:r w:rsidRPr="007E1FE0">
        <w:rPr>
          <w:i/>
          <w:iCs/>
        </w:rPr>
        <w:t>in the proceeding</w:t>
      </w:r>
      <w:r>
        <w:t>). In any event, it does not appear that subsections 37(3)(d) and (e) add anything, in practice, to the guidance that has developed through case law</w:t>
      </w:r>
      <w:r w:rsidRPr="00FF3358">
        <w:t xml:space="preserve"> </w:t>
      </w:r>
      <w:r>
        <w:t>on the assessment of substantial helpfulness, discussed below.</w:t>
      </w:r>
      <w:r>
        <w:rPr>
          <w:rStyle w:val="FootnoteReference"/>
        </w:rPr>
        <w:footnoteReference w:id="750"/>
      </w:r>
      <w:r>
        <w:t xml:space="preserve"> </w:t>
      </w:r>
    </w:p>
    <w:p w14:paraId="0043C314" w14:textId="58C0C866" w:rsidR="00E13DFB" w:rsidRDefault="00A95E2B" w:rsidP="00E13DFB">
      <w:pPr>
        <w:pStyle w:val="BodyText"/>
      </w:pPr>
      <w:r>
        <w:rPr>
          <w:noProof/>
        </w:rPr>
        <mc:AlternateContent>
          <mc:Choice Requires="wpg">
            <w:drawing>
              <wp:anchor distT="0" distB="0" distL="114300" distR="114300" simplePos="0" relativeHeight="251658349" behindDoc="1" locked="0" layoutInCell="1" allowOverlap="1" wp14:anchorId="38A52666" wp14:editId="54DCCA86">
                <wp:simplePos x="0" y="0"/>
                <wp:positionH relativeFrom="column">
                  <wp:posOffset>0</wp:posOffset>
                </wp:positionH>
                <wp:positionV relativeFrom="paragraph">
                  <wp:posOffset>428947</wp:posOffset>
                </wp:positionV>
                <wp:extent cx="5760085" cy="1069340"/>
                <wp:effectExtent l="0" t="0" r="0" b="0"/>
                <wp:wrapNone/>
                <wp:docPr id="211" name="Group 211" descr="Question"/>
                <wp:cNvGraphicFramePr/>
                <a:graphic xmlns:a="http://schemas.openxmlformats.org/drawingml/2006/main">
                  <a:graphicData uri="http://schemas.microsoft.com/office/word/2010/wordprocessingGroup">
                    <wpg:wgp>
                      <wpg:cNvGrpSpPr/>
                      <wpg:grpSpPr>
                        <a:xfrm>
                          <a:off x="0" y="0"/>
                          <a:ext cx="5760085" cy="1069340"/>
                          <a:chOff x="0" y="62865"/>
                          <a:chExt cx="5760085" cy="1070120"/>
                        </a:xfrm>
                      </wpg:grpSpPr>
                      <wps:wsp>
                        <wps:cNvPr id="21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E3136A" w14:textId="77777777" w:rsidR="00A95E2B" w:rsidRDefault="00A95E2B" w:rsidP="00A95E2B">
                              <w:pPr>
                                <w:pStyle w:val="BoxTitle"/>
                                <w:spacing w:before="0" w:beforeAutospacing="0"/>
                              </w:pPr>
                              <w:r w:rsidRPr="007F6876">
                                <w:t>QUESTION</w:t>
                              </w:r>
                            </w:p>
                          </w:txbxContent>
                        </wps:txbx>
                        <wps:bodyPr rot="0" vert="horz" wrap="square" lIns="91440" tIns="0" rIns="0" bIns="45720" anchor="ctr" anchorCtr="0" upright="1">
                          <a:noAutofit/>
                        </wps:bodyPr>
                      </wps:wsp>
                      <wpg:grpSp>
                        <wpg:cNvPr id="213" name="Group 53"/>
                        <wpg:cNvGrpSpPr>
                          <a:grpSpLocks/>
                        </wpg:cNvGrpSpPr>
                        <wpg:grpSpPr bwMode="auto">
                          <a:xfrm>
                            <a:off x="0" y="315799"/>
                            <a:ext cx="5760085" cy="817186"/>
                            <a:chOff x="1837" y="1787"/>
                            <a:chExt cx="9302" cy="8827"/>
                          </a:xfrm>
                        </wpg:grpSpPr>
                        <wps:wsp>
                          <wps:cNvPr id="214" name="Freeform 54"/>
                          <wps:cNvSpPr>
                            <a:spLocks/>
                          </wps:cNvSpPr>
                          <wps:spPr bwMode="auto">
                            <a:xfrm>
                              <a:off x="1837" y="1787"/>
                              <a:ext cx="9302" cy="882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5"/>
                        <wpg:cNvGrpSpPr/>
                        <wpg:grpSpPr>
                          <a:xfrm>
                            <a:off x="0" y="494036"/>
                            <a:ext cx="1443794" cy="252000"/>
                            <a:chOff x="-15880" y="0"/>
                            <a:chExt cx="1444379" cy="252068"/>
                          </a:xfrm>
                        </wpg:grpSpPr>
                        <wps:wsp>
                          <wps:cNvPr id="21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D5A349" w14:textId="77777777" w:rsidR="00A95E2B" w:rsidRPr="00E90B8A" w:rsidRDefault="00A95E2B" w:rsidP="00A95E2B">
                                <w:pPr>
                                  <w:pStyle w:val="BoxTitle"/>
                                  <w:spacing w:before="0" w:beforeAutospacing="0"/>
                                  <w:rPr>
                                    <w:sz w:val="18"/>
                                    <w:szCs w:val="18"/>
                                  </w:rPr>
                                </w:pPr>
                                <w:r w:rsidRPr="00E90B8A">
                                  <w:rPr>
                                    <w:sz w:val="18"/>
                                    <w:szCs w:val="18"/>
                                  </w:rPr>
                                  <w:t>Q</w:t>
                                </w:r>
                                <w:r>
                                  <w:rPr>
                                    <w:sz w:val="18"/>
                                    <w:szCs w:val="18"/>
                                  </w:rPr>
                                  <w:t>44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8A52666" id="Group 211" o:spid="_x0000_s1328" alt="Question" style="position:absolute;left:0;text-align:left;margin-left:0;margin-top:33.8pt;width:453.55pt;height:84.2pt;z-index:-251658131;mso-height-relative:margin" coordorigin=",628" coordsize="57600,1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">
                <v:shape id="Freeform 52" o:spid="_x0000_s132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4E3136A" w14:textId="77777777" w:rsidR="00A95E2B" w:rsidRDefault="00A95E2B" w:rsidP="00A95E2B">
                        <w:pPr>
                          <w:pStyle w:val="BoxTitle"/>
                          <w:spacing w:before="0" w:beforeAutospacing="0"/>
                        </w:pPr>
                        <w:r w:rsidRPr="007F6876">
                          <w:t>QUESTION</w:t>
                        </w:r>
                      </w:p>
                    </w:txbxContent>
                  </v:textbox>
                </v:shape>
                <v:group id="Group 53" o:spid="_x0000_s1330" style="position:absolute;top:3157;width:57600;height:8172" coordorigin="1837,1787" coordsize="9302,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54" o:spid="_x0000_s1331" style="position:absolute;left:1837;top:1787;width:9302;height:882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" path="m,l9354,r,7809l,7809,,e" fillcolor="#edf2ea" stroked="f">
                    <v:path arrowok="t" o:connecttype="custom" o:connectlocs="0,1130;9302,1130;9302,9957;0,9957;0,1130" o:connectangles="0,0,0,0,0"/>
                  </v:shape>
                </v:group>
                <v:group id="Group 215" o:spid="_x0000_s133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58" o:spid="_x0000_s133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" path="m,l1815,e" filled="f" strokecolor="#72ab6a" strokeweight=".5pt">
                    <v:path arrowok="t" o:connecttype="custom" o:connectlocs="0,0;1073495,0" o:connectangles="0,0"/>
                  </v:shape>
                  <v:shape id="Freeform 66" o:spid="_x0000_s133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AD5A349" w14:textId="77777777" w:rsidR="00A95E2B" w:rsidRPr="00E90B8A" w:rsidRDefault="00A95E2B" w:rsidP="00A95E2B">
                          <w:pPr>
                            <w:pStyle w:val="BoxTitle"/>
                            <w:spacing w:before="0" w:beforeAutospacing="0"/>
                            <w:rPr>
                              <w:sz w:val="18"/>
                              <w:szCs w:val="18"/>
                            </w:rPr>
                          </w:pPr>
                          <w:r w:rsidRPr="00E90B8A">
                            <w:rPr>
                              <w:sz w:val="18"/>
                              <w:szCs w:val="18"/>
                            </w:rPr>
                            <w:t>Q</w:t>
                          </w:r>
                          <w:r>
                            <w:rPr>
                              <w:sz w:val="18"/>
                              <w:szCs w:val="18"/>
                            </w:rPr>
                            <w:t>44</w:t>
                          </w:r>
                        </w:p>
                      </w:txbxContent>
                    </v:textbox>
                  </v:shape>
                </v:group>
              </v:group>
            </w:pict>
          </mc:Fallback>
        </mc:AlternateContent>
      </w:r>
      <w:r w:rsidR="00E13DFB">
        <w:t xml:space="preserve">For these reasons, we seek feedback on whether subsections 37(3)(d) and (e) should also be repealed, in addition to subsection 37(3)(c). </w:t>
      </w:r>
    </w:p>
    <w:p w14:paraId="5678B2F5" w14:textId="44966580" w:rsidR="00A95E2B" w:rsidRDefault="00A95E2B" w:rsidP="00A95E2B">
      <w:pPr>
        <w:pStyle w:val="QuestionBox"/>
      </w:pPr>
    </w:p>
    <w:p w14:paraId="26C4B63F" w14:textId="77777777" w:rsidR="00A95E2B" w:rsidRDefault="00A95E2B" w:rsidP="00A95E2B">
      <w:pPr>
        <w:pStyle w:val="QuestionBox"/>
      </w:pPr>
    </w:p>
    <w:p w14:paraId="429F7E81" w14:textId="6F7641BC" w:rsidR="00E13DFB" w:rsidRDefault="00E13DFB" w:rsidP="00A95E2B">
      <w:pPr>
        <w:pStyle w:val="QuestionBox"/>
      </w:pPr>
      <w:r>
        <w:t>Do subsections 37(3)(d) and (e) perform any useful role in practice? If not, should these subsections be repealed?</w:t>
      </w:r>
    </w:p>
    <w:p w14:paraId="30EFB437" w14:textId="77777777" w:rsidR="00A95E2B" w:rsidRPr="00253A83" w:rsidRDefault="00A95E2B" w:rsidP="00A95E2B">
      <w:pPr>
        <w:pStyle w:val="QuestionBox"/>
      </w:pPr>
    </w:p>
    <w:p w14:paraId="7BC4E318" w14:textId="77777777" w:rsidR="00E13DFB" w:rsidRDefault="00E13DFB" w:rsidP="00A95E2B">
      <w:pPr>
        <w:pStyle w:val="Heading3"/>
      </w:pPr>
      <w:r>
        <w:t>Should section 37(3) provide guidance on the factors relevant to assessing substantial helpfulness?</w:t>
      </w:r>
    </w:p>
    <w:p w14:paraId="4B48FBD7" w14:textId="77777777" w:rsidR="00E13DFB" w:rsidRDefault="00E13DFB" w:rsidP="00E13DFB">
      <w:pPr>
        <w:pStyle w:val="BodyText"/>
      </w:pPr>
      <w:r>
        <w:t xml:space="preserve">The issues identified above raise a broader question as to whether section 37(3) provides adequate guidance on how to approach the substantial helpfulness test. This is a </w:t>
      </w:r>
      <w:r>
        <w:lastRenderedPageBreak/>
        <w:t>contextual exercise that involves careful evaluation of the circumstances in each case.</w:t>
      </w:r>
      <w:r>
        <w:rPr>
          <w:rStyle w:val="FootnoteReference"/>
        </w:rPr>
        <w:footnoteReference w:id="751"/>
      </w:r>
      <w:r>
        <w:t xml:space="preserve"> Subsections 37(3)(c)–(e) appear problematic for the reasons discussed above. But if they are repealed, that would only leave sections 37(3)(a) and (b), which are best described as examples of the </w:t>
      </w:r>
      <w:r w:rsidRPr="00251DEC">
        <w:rPr>
          <w:i/>
          <w:iCs/>
        </w:rPr>
        <w:t>type</w:t>
      </w:r>
      <w:r>
        <w:rPr>
          <w:i/>
          <w:iCs/>
        </w:rPr>
        <w:t>s</w:t>
      </w:r>
      <w:r w:rsidRPr="00251DEC">
        <w:rPr>
          <w:i/>
          <w:iCs/>
        </w:rPr>
        <w:t xml:space="preserve"> </w:t>
      </w:r>
      <w:r>
        <w:t xml:space="preserve">of veracity evidence that may (depending on the circumstances) be substantially helpful. They are examples only, because as the Supreme Court observed in </w:t>
      </w:r>
      <w:r w:rsidRPr="00251DEC">
        <w:rPr>
          <w:i/>
          <w:iCs/>
        </w:rPr>
        <w:t>Best v R</w:t>
      </w:r>
      <w:r w:rsidRPr="00C252D1">
        <w:t>,</w:t>
      </w:r>
      <w:r w:rsidRPr="00251DEC">
        <w:rPr>
          <w:i/>
          <w:iCs/>
        </w:rPr>
        <w:t xml:space="preserve"> </w:t>
      </w:r>
      <w:r>
        <w:t xml:space="preserve">it is “not necessarily the case that the evidence </w:t>
      </w:r>
      <w:r w:rsidRPr="00251DEC">
        <w:rPr>
          <w:i/>
          <w:iCs/>
        </w:rPr>
        <w:t>of a type</w:t>
      </w:r>
      <w:r>
        <w:t xml:space="preserve"> set out in s 37(3) will always be substantially helpful”.</w:t>
      </w:r>
      <w:r>
        <w:rPr>
          <w:rStyle w:val="FootnoteReference"/>
        </w:rPr>
        <w:footnoteReference w:id="752"/>
      </w:r>
      <w:r>
        <w:t xml:space="preserve"> As the Commission has previously observed, there is nothing to prevent a judge from taking account of “ordinary lies” that do not fall within section 37(3)(a) where the circumstances are such that the evidence reaches the “substantially helpful” threshold.</w:t>
      </w:r>
      <w:r>
        <w:rPr>
          <w:rStyle w:val="FootnoteReference"/>
        </w:rPr>
        <w:footnoteReference w:id="753"/>
      </w:r>
      <w:r>
        <w:t xml:space="preserve"> </w:t>
      </w:r>
    </w:p>
    <w:p w14:paraId="49F24524" w14:textId="77777777" w:rsidR="00E13DFB" w:rsidRDefault="00E13DFB" w:rsidP="00E13DFB">
      <w:pPr>
        <w:pStyle w:val="BodyText"/>
      </w:pPr>
      <w:r>
        <w:t xml:space="preserve">Sections 37(3)(a) and (b) do not give guidance as to the evaluative matters the court should consider when assessing whether veracity evidence is substantially helpful in a particular case. If section 37(3) is intended to fulfil that function, the list of relevant matters in section 37(3) is radically incomplete. In </w:t>
      </w:r>
      <w:r>
        <w:rPr>
          <w:i/>
          <w:iCs/>
        </w:rPr>
        <w:t>Best</w:t>
      </w:r>
      <w:r w:rsidRPr="00C252D1">
        <w:t>,</w:t>
      </w:r>
      <w:r>
        <w:rPr>
          <w:i/>
          <w:iCs/>
        </w:rPr>
        <w:t xml:space="preserve"> </w:t>
      </w:r>
      <w:r>
        <w:t>the Court set out a range of matters that will be relevant when assessing substantial helpfulness in the context of a previous allegedly false complaint of sexual offending, none of which appear in the Act itself:</w:t>
      </w:r>
      <w:r>
        <w:rPr>
          <w:rStyle w:val="FootnoteReference"/>
        </w:rPr>
        <w:footnoteReference w:id="754"/>
      </w:r>
    </w:p>
    <w:p w14:paraId="6E534E57" w14:textId="77777777" w:rsidR="00E13DFB" w:rsidRDefault="00E13DFB" w:rsidP="00E13DFB">
      <w:pPr>
        <w:pStyle w:val="Quote"/>
      </w:pPr>
      <w:r>
        <w:t>Factors to be considered in the assessment of substantial helpfulness may include any remoteness in time, similarity (or lack thereof) between allegations, the number of allegedly false prior complaints, the reason a complaint did not proceed or was withdrawn, whether the complaint was taken to a person of authority and whether the prior complaint was fraudulent or malicious.</w:t>
      </w:r>
    </w:p>
    <w:p w14:paraId="0CF15EC3" w14:textId="77777777" w:rsidR="00E13DFB" w:rsidRDefault="00E13DFB" w:rsidP="00E13DFB">
      <w:pPr>
        <w:pStyle w:val="Quote"/>
      </w:pPr>
      <w:r>
        <w:t>In line with the policy behind s 37 … the substantial helpfulness of a previous allegedly false complaint will also depend on how clear it is that the previous complaint is false, how much evidence would need to be canvassed to decide on whether the complaint is false and the likely outcome of the assessment of that evidence. The more evidence that would need to be called on the unrelated prior allegation and thus the extent of any ‘trial within a trial’ and the more uncertain the outcome of the deliberations on that evidence, the less likely the evidence is to be substantially helpful in terms of s 37.</w:t>
      </w:r>
    </w:p>
    <w:p w14:paraId="22CD1BC2" w14:textId="77777777" w:rsidR="00E13DFB" w:rsidRDefault="00E13DFB" w:rsidP="00E13DFB">
      <w:pPr>
        <w:pStyle w:val="BodyText"/>
        <w:tabs>
          <w:tab w:val="num" w:pos="709"/>
        </w:tabs>
      </w:pPr>
      <w:r>
        <w:t xml:space="preserve">In a different context, the Court of Appeal in </w:t>
      </w:r>
      <w:r>
        <w:rPr>
          <w:i/>
          <w:iCs/>
        </w:rPr>
        <w:t xml:space="preserve">Horton v R </w:t>
      </w:r>
      <w:r>
        <w:t>explained that, when evaluating whether evidence of prior convictions (captured by section 37(3)(b)) is substantially helpful in assessing veracity:</w:t>
      </w:r>
      <w:r>
        <w:rPr>
          <w:rStyle w:val="FootnoteReference"/>
        </w:rPr>
        <w:footnoteReference w:id="755"/>
      </w:r>
      <w:r>
        <w:t xml:space="preserve"> </w:t>
      </w:r>
    </w:p>
    <w:p w14:paraId="31AEAECE" w14:textId="77777777" w:rsidR="00E13DFB" w:rsidRDefault="00E13DFB" w:rsidP="00E13DFB">
      <w:pPr>
        <w:pStyle w:val="Quote"/>
      </w:pPr>
      <w:r>
        <w:t>Relevant factors include the nature and seriousness of the convictions (particularly if any falsehood is disclosed), the age of the convictions, any overall pattern of offending, and the circumstances of the trial (that is, the particular way in which issues of veracity arise). Also relevant can be evidence of extenuating circumstances related to the convictions (such as significant material hardship on the part of the complainant) as that bears on the extent to which the conviction illustrates a wider propensity to lie.</w:t>
      </w:r>
    </w:p>
    <w:p w14:paraId="1574D9B3" w14:textId="77777777" w:rsidR="00E13DFB" w:rsidRDefault="00E13DFB" w:rsidP="00E13DFB">
      <w:pPr>
        <w:pStyle w:val="BodyText"/>
        <w:tabs>
          <w:tab w:val="num" w:pos="709"/>
        </w:tabs>
      </w:pPr>
      <w:r>
        <w:t xml:space="preserve">Many of the factors mentioned in these decisions (such as remoteness in time of the previous acts or events, the number of previous acts or events, the nature and </w:t>
      </w:r>
      <w:r>
        <w:lastRenderedPageBreak/>
        <w:t>seriousness of those acts or events as well as the extent to which the acts or events are accepted by the person to whom the evidence relates) are arguably generally applicable to any assessment of substantial helpfulness.</w:t>
      </w:r>
      <w:r>
        <w:rPr>
          <w:rStyle w:val="FootnoteReference"/>
        </w:rPr>
        <w:footnoteReference w:id="756"/>
      </w:r>
      <w:r>
        <w:t xml:space="preserve"> </w:t>
      </w:r>
    </w:p>
    <w:p w14:paraId="3ED058BB" w14:textId="77777777" w:rsidR="00E13DFB" w:rsidRDefault="00E13DFB" w:rsidP="00E13DFB">
      <w:pPr>
        <w:pStyle w:val="BodyText"/>
        <w:tabs>
          <w:tab w:val="num" w:pos="709"/>
        </w:tabs>
      </w:pPr>
      <w:r>
        <w:t>If the purpose of section 37(3) is to provide guidance on matters to be considered in assessing substantial helpfulness, it might be desirable to consider including matters relevant to that purpose. Section 37(3) can be contrasted with sections 43(3) and 43(4), which provide guidance on the matters relevant to assessing the probative value and prejudicial effect of propensity evidence. If such guidance is desirable, consideration would need to be given as to how to address the current subsections 37(3)(a) and (b). These subsections provide examples of types of admissible veracity evidence, which would not fit neatly in a redrafted section focusing on guidance on relevant matters. It may, nonetheless, be helpful to retain these provisions in another subsection.</w:t>
      </w:r>
      <w:r w:rsidDel="008A7B84">
        <w:t xml:space="preserve"> </w:t>
      </w:r>
    </w:p>
    <w:p w14:paraId="59E8DA52" w14:textId="77777777" w:rsidR="00E13DFB" w:rsidRDefault="00E13DFB" w:rsidP="00E13DFB">
      <w:pPr>
        <w:pStyle w:val="BodyText"/>
        <w:tabs>
          <w:tab w:val="num" w:pos="709"/>
        </w:tabs>
      </w:pPr>
      <w:r>
        <w:t xml:space="preserve">If, in contrast, the purpose of section 37(3) is to highlight the type of evidence that might be admissible veracity evidence, it might be desirable to rephrase subsection 37(3) to make this clear, especially if subsections (c)–(e) are repealed. </w:t>
      </w:r>
    </w:p>
    <w:p w14:paraId="233BD8A0" w14:textId="42B94078" w:rsidR="00A95E2B" w:rsidRDefault="00A95E2B" w:rsidP="00A95E2B">
      <w:pPr>
        <w:pStyle w:val="QuestionBox"/>
      </w:pPr>
      <w:r>
        <w:rPr>
          <w:noProof/>
        </w:rPr>
        <mc:AlternateContent>
          <mc:Choice Requires="wpg">
            <w:drawing>
              <wp:anchor distT="0" distB="0" distL="114300" distR="114300" simplePos="0" relativeHeight="251658350" behindDoc="1" locked="0" layoutInCell="1" allowOverlap="1" wp14:anchorId="57EB0AF1" wp14:editId="2322C821">
                <wp:simplePos x="0" y="0"/>
                <wp:positionH relativeFrom="column">
                  <wp:posOffset>-1962</wp:posOffset>
                </wp:positionH>
                <wp:positionV relativeFrom="paragraph">
                  <wp:posOffset>967</wp:posOffset>
                </wp:positionV>
                <wp:extent cx="5760085" cy="1310155"/>
                <wp:effectExtent l="0" t="0" r="0" b="4445"/>
                <wp:wrapNone/>
                <wp:docPr id="218" name="Group 218" descr="Question"/>
                <wp:cNvGraphicFramePr/>
                <a:graphic xmlns:a="http://schemas.openxmlformats.org/drawingml/2006/main">
                  <a:graphicData uri="http://schemas.microsoft.com/office/word/2010/wordprocessingGroup">
                    <wpg:wgp>
                      <wpg:cNvGrpSpPr/>
                      <wpg:grpSpPr>
                        <a:xfrm>
                          <a:off x="0" y="0"/>
                          <a:ext cx="5760085" cy="1310155"/>
                          <a:chOff x="0" y="62865"/>
                          <a:chExt cx="5760085" cy="1310452"/>
                        </a:xfrm>
                      </wpg:grpSpPr>
                      <wps:wsp>
                        <wps:cNvPr id="21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B76658" w14:textId="77777777" w:rsidR="00A95E2B" w:rsidRDefault="00A95E2B" w:rsidP="00A95E2B">
                              <w:pPr>
                                <w:pStyle w:val="BoxTitle"/>
                                <w:spacing w:before="0" w:beforeAutospacing="0"/>
                              </w:pPr>
                              <w:r w:rsidRPr="007F6876">
                                <w:t>QUESTION</w:t>
                              </w:r>
                            </w:p>
                          </w:txbxContent>
                        </wps:txbx>
                        <wps:bodyPr rot="0" vert="horz" wrap="square" lIns="91440" tIns="0" rIns="0" bIns="45720" anchor="ctr" anchorCtr="0" upright="1">
                          <a:noAutofit/>
                        </wps:bodyPr>
                      </wps:wsp>
                      <wpg:grpSp>
                        <wpg:cNvPr id="220" name="Group 53"/>
                        <wpg:cNvGrpSpPr>
                          <a:grpSpLocks/>
                        </wpg:cNvGrpSpPr>
                        <wpg:grpSpPr bwMode="auto">
                          <a:xfrm>
                            <a:off x="0" y="315706"/>
                            <a:ext cx="5760085" cy="1057611"/>
                            <a:chOff x="1837" y="1786"/>
                            <a:chExt cx="9302" cy="11424"/>
                          </a:xfrm>
                        </wpg:grpSpPr>
                        <wps:wsp>
                          <wps:cNvPr id="221" name="Freeform 54"/>
                          <wps:cNvSpPr>
                            <a:spLocks/>
                          </wps:cNvSpPr>
                          <wps:spPr bwMode="auto">
                            <a:xfrm>
                              <a:off x="1837" y="1786"/>
                              <a:ext cx="9302" cy="114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22"/>
                        <wpg:cNvGrpSpPr/>
                        <wpg:grpSpPr>
                          <a:xfrm>
                            <a:off x="0" y="494036"/>
                            <a:ext cx="1443794" cy="252000"/>
                            <a:chOff x="-15880" y="0"/>
                            <a:chExt cx="1444379" cy="252068"/>
                          </a:xfrm>
                        </wpg:grpSpPr>
                        <wps:wsp>
                          <wps:cNvPr id="22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EE4CC6" w14:textId="77777777" w:rsidR="00A95E2B" w:rsidRPr="00E90B8A" w:rsidRDefault="00A95E2B" w:rsidP="00A95E2B">
                                <w:pPr>
                                  <w:pStyle w:val="BoxTitle"/>
                                  <w:spacing w:before="0" w:beforeAutospacing="0"/>
                                  <w:rPr>
                                    <w:sz w:val="18"/>
                                    <w:szCs w:val="18"/>
                                  </w:rPr>
                                </w:pPr>
                                <w:r w:rsidRPr="00E90B8A">
                                  <w:rPr>
                                    <w:sz w:val="18"/>
                                    <w:szCs w:val="18"/>
                                  </w:rPr>
                                  <w:t>Q</w:t>
                                </w:r>
                                <w:r>
                                  <w:rPr>
                                    <w:sz w:val="18"/>
                                    <w:szCs w:val="18"/>
                                  </w:rPr>
                                  <w:t>45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7EB0AF1" id="Group 218" o:spid="_x0000_s1335" alt="Question" style="position:absolute;left:0;text-align:left;margin-left:-.15pt;margin-top:.1pt;width:453.55pt;height:103.15pt;z-index:-251658130;mso-height-relative:margin" coordorigin=",628" coordsize="57600,1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">
                <v:shape id="Freeform 52" o:spid="_x0000_s133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2B76658" w14:textId="77777777" w:rsidR="00A95E2B" w:rsidRDefault="00A95E2B" w:rsidP="00A95E2B">
                        <w:pPr>
                          <w:pStyle w:val="BoxTitle"/>
                          <w:spacing w:before="0" w:beforeAutospacing="0"/>
                        </w:pPr>
                        <w:r w:rsidRPr="007F6876">
                          <w:t>QUESTION</w:t>
                        </w:r>
                      </w:p>
                    </w:txbxContent>
                  </v:textbox>
                </v:shape>
                <v:group id="Group 53" o:spid="_x0000_s1337" style="position:absolute;top:3157;width:57600;height:10576" coordorigin="1837,1786" coordsize="9302,1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54" o:spid="_x0000_s1338" style="position:absolute;left:1837;top:1786;width:9302;height:114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" path="m,l9354,r,7809l,7809,,e" fillcolor="#edf2ea" stroked="f">
                    <v:path arrowok="t" o:connecttype="custom" o:connectlocs="0,1463;9302,1463;9302,12887;0,12887;0,1463" o:connectangles="0,0,0,0,0"/>
                  </v:shape>
                </v:group>
                <v:group id="Group 222" o:spid="_x0000_s133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58" o:spid="_x0000_s134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" path="m,l1815,e" filled="f" strokecolor="#72ab6a" strokeweight=".5pt">
                    <v:path arrowok="t" o:connecttype="custom" o:connectlocs="0,0;1073495,0" o:connectangles="0,0"/>
                  </v:shape>
                  <v:shape id="Freeform 66" o:spid="_x0000_s134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0EE4CC6" w14:textId="77777777" w:rsidR="00A95E2B" w:rsidRPr="00E90B8A" w:rsidRDefault="00A95E2B" w:rsidP="00A95E2B">
                          <w:pPr>
                            <w:pStyle w:val="BoxTitle"/>
                            <w:spacing w:before="0" w:beforeAutospacing="0"/>
                            <w:rPr>
                              <w:sz w:val="18"/>
                              <w:szCs w:val="18"/>
                            </w:rPr>
                          </w:pPr>
                          <w:r w:rsidRPr="00E90B8A">
                            <w:rPr>
                              <w:sz w:val="18"/>
                              <w:szCs w:val="18"/>
                            </w:rPr>
                            <w:t>Q</w:t>
                          </w:r>
                          <w:r>
                            <w:rPr>
                              <w:sz w:val="18"/>
                              <w:szCs w:val="18"/>
                            </w:rPr>
                            <w:t>45</w:t>
                          </w:r>
                        </w:p>
                      </w:txbxContent>
                    </v:textbox>
                  </v:shape>
                </v:group>
              </v:group>
            </w:pict>
          </mc:Fallback>
        </mc:AlternateContent>
      </w:r>
    </w:p>
    <w:p w14:paraId="6DC98660" w14:textId="77777777" w:rsidR="00A95E2B" w:rsidRDefault="00A95E2B" w:rsidP="00A95E2B">
      <w:pPr>
        <w:pStyle w:val="QuestionBox"/>
      </w:pPr>
    </w:p>
    <w:p w14:paraId="550C5434" w14:textId="49F2418C" w:rsidR="00E13DFB" w:rsidRDefault="00E13DFB" w:rsidP="00A95E2B">
      <w:pPr>
        <w:pStyle w:val="QuestionBox"/>
      </w:pPr>
      <w:r>
        <w:t>Should the Act be amended to provide guidance on the factors relevant to assessing whether veracity evidence meets the threshold of substantial helpfulness? If so, what factors should be included in the Act?</w:t>
      </w:r>
    </w:p>
    <w:p w14:paraId="79672363" w14:textId="77777777" w:rsidR="00A95E2B" w:rsidRDefault="00A95E2B" w:rsidP="00A95E2B">
      <w:pPr>
        <w:pStyle w:val="QuestionBox"/>
      </w:pPr>
    </w:p>
    <w:p w14:paraId="5507359E" w14:textId="77777777" w:rsidR="00E13DFB" w:rsidRDefault="00E13DFB" w:rsidP="00A95E2B">
      <w:pPr>
        <w:pStyle w:val="Heading2"/>
      </w:pPr>
      <w:bookmarkStart w:id="136" w:name="_Toc132962583"/>
      <w:r>
        <w:t>Application of section 38(2) when the defendant puts veracity in issue</w:t>
      </w:r>
      <w:bookmarkEnd w:id="136"/>
    </w:p>
    <w:p w14:paraId="10A0C95D" w14:textId="77777777" w:rsidR="00E13DFB" w:rsidRDefault="00E13DFB" w:rsidP="00E13DFB">
      <w:pPr>
        <w:pStyle w:val="BodyText"/>
      </w:pPr>
      <w:r>
        <w:t>Whereas section 37 governs veracity evidence in both civil and criminal proceedings, section 38 applies only to criminal proceedings. Section 38(2)(a) defines the limited situations in which the prosecution may offer evidence about a defendant’s veracity. A defendant will “open the door” to evidence about their veracity being offered by the prosecution if:</w:t>
      </w:r>
    </w:p>
    <w:p w14:paraId="0359BBE5" w14:textId="77777777" w:rsidR="00E13DFB" w:rsidRDefault="00E13DFB" w:rsidP="00E13DFB">
      <w:pPr>
        <w:pStyle w:val="Quote"/>
      </w:pPr>
      <w:r>
        <w:t xml:space="preserve">… </w:t>
      </w:r>
      <w:r w:rsidRPr="001E38C8">
        <w:t>the defendant has, in court, given oral evidence about his or her veracity or challenged the veracity of a prosecution witness by reference to matters other than the facts in issue</w:t>
      </w:r>
      <w:r>
        <w:t>;</w:t>
      </w:r>
    </w:p>
    <w:p w14:paraId="248A0221" w14:textId="77777777" w:rsidR="00E13DFB" w:rsidRDefault="00E13DFB" w:rsidP="00E13DFB">
      <w:pPr>
        <w:pStyle w:val="BodyText"/>
      </w:pPr>
      <w:r>
        <w:t>This means that section 38(2) is only triggered if the defendant (a) gives oral evidence in court and (b) puts veracity at issue in that evidence. If these requirements are met, the prosecution can offer veracity evidence about the defendant if the judge permits it</w:t>
      </w:r>
      <w:r>
        <w:rPr>
          <w:rStyle w:val="FootnoteReference"/>
        </w:rPr>
        <w:footnoteReference w:id="757"/>
      </w:r>
      <w:r>
        <w:t xml:space="preserve"> and it meets the substantially helpful threshold in section 37.</w:t>
      </w:r>
    </w:p>
    <w:p w14:paraId="5D807FD5" w14:textId="77777777" w:rsidR="00E13DFB" w:rsidRDefault="00E13DFB" w:rsidP="00E13DFB">
      <w:pPr>
        <w:pStyle w:val="BodyText"/>
      </w:pPr>
      <w:r>
        <w:t>Section 38(2) codified two common law rules:</w:t>
      </w:r>
      <w:r>
        <w:rPr>
          <w:rStyle w:val="FootnoteReference"/>
        </w:rPr>
        <w:footnoteReference w:id="758"/>
      </w:r>
    </w:p>
    <w:p w14:paraId="25B4F209" w14:textId="77777777" w:rsidR="00E13DFB" w:rsidRDefault="00E13DFB" w:rsidP="00866891">
      <w:pPr>
        <w:pStyle w:val="BodyTextnonum"/>
        <w:numPr>
          <w:ilvl w:val="3"/>
          <w:numId w:val="28"/>
        </w:numPr>
      </w:pPr>
      <w:r>
        <w:lastRenderedPageBreak/>
        <w:t>First, the rule that if the defendant offers good character evidence about themselves, the prosecution can introduce bad character evidence about the defendant in rebuttal. This rule was justified on the basis that the prosecution must have the right to correct any false impression made by the defence, so that the court is not misled and the policies of rational ascertainment of facts and the need for fair procedures that underlie the trial process are not subverted.</w:t>
      </w:r>
      <w:r>
        <w:rPr>
          <w:rStyle w:val="FootnoteReference"/>
        </w:rPr>
        <w:footnoteReference w:id="759"/>
      </w:r>
    </w:p>
    <w:p w14:paraId="29B60D13" w14:textId="77777777" w:rsidR="00E13DFB" w:rsidRDefault="00E13DFB" w:rsidP="00866891">
      <w:pPr>
        <w:pStyle w:val="BodyTextnonum"/>
        <w:numPr>
          <w:ilvl w:val="3"/>
          <w:numId w:val="28"/>
        </w:numPr>
      </w:pPr>
      <w:r>
        <w:t>Second, the “tit for tat” rule which provided that, if the defendant attacks the character of a prosecution witness, then the prosecution can “retaliate” by offering evidence of the defendant’s own bad character.</w:t>
      </w:r>
      <w:r>
        <w:rPr>
          <w:rStyle w:val="FootnoteReference"/>
        </w:rPr>
        <w:footnoteReference w:id="760"/>
      </w:r>
      <w:r>
        <w:t xml:space="preserve"> The tit for tat rule has two principal rationales:</w:t>
      </w:r>
      <w:r>
        <w:rPr>
          <w:rStyle w:val="FootnoteReference"/>
        </w:rPr>
        <w:footnoteReference w:id="761"/>
      </w:r>
      <w:r>
        <w:t xml:space="preserve"> </w:t>
      </w:r>
    </w:p>
    <w:p w14:paraId="48206885" w14:textId="77777777" w:rsidR="00E13DFB" w:rsidRDefault="00E13DFB" w:rsidP="00866891">
      <w:pPr>
        <w:pStyle w:val="BodyTextIndent"/>
        <w:numPr>
          <w:ilvl w:val="5"/>
          <w:numId w:val="28"/>
        </w:numPr>
      </w:pPr>
      <w:r>
        <w:t>It protects witnesses from “gratuitous attacks” and therefore encourages victims and other witnesses to come forward and give evidence.</w:t>
      </w:r>
    </w:p>
    <w:p w14:paraId="1E568F42" w14:textId="77777777" w:rsidR="00E13DFB" w:rsidRDefault="00E13DFB" w:rsidP="00866891">
      <w:pPr>
        <w:pStyle w:val="BodyTextnonum"/>
        <w:numPr>
          <w:ilvl w:val="5"/>
          <w:numId w:val="28"/>
        </w:numPr>
      </w:pPr>
      <w:r>
        <w:t>It “sets the record straight” and prevents distortions that come from a one-sided view of character evidence.</w:t>
      </w:r>
    </w:p>
    <w:p w14:paraId="79C2A1C0" w14:textId="77777777" w:rsidR="00E13DFB" w:rsidRDefault="00E13DFB" w:rsidP="00A95E2B">
      <w:pPr>
        <w:pStyle w:val="Heading3"/>
      </w:pPr>
      <w:r>
        <w:t>What are the issues?</w:t>
      </w:r>
    </w:p>
    <w:p w14:paraId="3AC44D98" w14:textId="77777777" w:rsidR="00E13DFB" w:rsidRDefault="00E13DFB" w:rsidP="00E13DFB">
      <w:pPr>
        <w:pStyle w:val="BodyText"/>
      </w:pPr>
      <w:r>
        <w:t>Concerns with the operation of section 38(2)(a) are not new. Three separate Commission reviews have identified and examined issues with section 38(2)(a).</w:t>
      </w:r>
      <w:r>
        <w:rPr>
          <w:rStyle w:val="FootnoteReference"/>
        </w:rPr>
        <w:footnoteReference w:id="762"/>
      </w:r>
      <w:r>
        <w:t xml:space="preserve"> Preliminary feedback from stakeholders identified that concerns with the current law remain.</w:t>
      </w:r>
    </w:p>
    <w:p w14:paraId="17E18A07" w14:textId="77777777" w:rsidR="00E13DFB" w:rsidRDefault="00E13DFB" w:rsidP="00A95E2B">
      <w:pPr>
        <w:pStyle w:val="Heading4"/>
      </w:pPr>
      <w:r>
        <w:t xml:space="preserve">Section 38(2) applies only when the defendant gives evidence in court </w:t>
      </w:r>
    </w:p>
    <w:p w14:paraId="4278DECC" w14:textId="77777777" w:rsidR="00E13DFB" w:rsidRDefault="00E13DFB" w:rsidP="00E13DFB">
      <w:pPr>
        <w:pStyle w:val="BodyText"/>
        <w:tabs>
          <w:tab w:val="num" w:pos="709"/>
        </w:tabs>
      </w:pPr>
      <w:r>
        <w:t>Section 38(2)</w:t>
      </w:r>
      <w:r w:rsidRPr="00BE5156">
        <w:t xml:space="preserve"> </w:t>
      </w:r>
      <w:r>
        <w:t>is only triggered</w:t>
      </w:r>
      <w:r w:rsidRPr="00BE5156">
        <w:t xml:space="preserve"> if the defendant </w:t>
      </w:r>
      <w:r>
        <w:t>elects</w:t>
      </w:r>
      <w:r w:rsidRPr="00BE5156">
        <w:t xml:space="preserve"> to give evidence. Traditionally, this restriction was justified on the basis that, if the defendant does not give evidence, the fact-finder is not being asked to assess the credibility of their testimony, so evidence relating to their veracity is not relevant.</w:t>
      </w:r>
      <w:r w:rsidRPr="00BE5156">
        <w:rPr>
          <w:rStyle w:val="FootnoteReference"/>
        </w:rPr>
        <w:footnoteReference w:id="763"/>
      </w:r>
      <w:r>
        <w:t xml:space="preserve"> As a, general rule, this meant that, prior to the Act, where the defendant’s case involved imputations on the character of prosecution witnesses, defendants with serious prior convictions did not give evidence and in that way avoided the risk of cross-examination on those convictions.</w:t>
      </w:r>
      <w:r>
        <w:rPr>
          <w:rStyle w:val="FootnoteReference"/>
        </w:rPr>
        <w:footnoteReference w:id="764"/>
      </w:r>
    </w:p>
    <w:p w14:paraId="3208110D" w14:textId="77777777" w:rsidR="00E13DFB" w:rsidRDefault="00E13DFB" w:rsidP="00E13DFB">
      <w:pPr>
        <w:pStyle w:val="BodyText"/>
        <w:tabs>
          <w:tab w:val="num" w:pos="709"/>
        </w:tabs>
      </w:pPr>
      <w:r>
        <w:t xml:space="preserve">It is questionable whether this policy remains appropriate in light of modern trial practices. It may be inaccurate to say that the defendant’s credibility is not “in issue” if they do not give evidence in court, given that, for example, it is now common for the prosecution to </w:t>
      </w:r>
      <w:r>
        <w:lastRenderedPageBreak/>
        <w:t>play the defendant’s evidential video interview in court and invite the fact-finder to draw conclusions from it. If the defendant makes statements about their own veracity in that interview, those statements cannot be rebutted if the defendant does not give evidence. Similarly, the defendant can attack the veracity of the complainant in that interview and face no consequences for doing so. The approach taken under section 38 can be contrasted to the approach taken to makers of hearsay statements. While a person who makes a hearsay statement is not a witness, their veracity can still be challenged under section 37, unlike defendants who do not give evidence.</w:t>
      </w:r>
    </w:p>
    <w:p w14:paraId="7A82EA7F" w14:textId="77777777" w:rsidR="00E13DFB" w:rsidRPr="00120021" w:rsidRDefault="00E13DFB" w:rsidP="00E13DFB">
      <w:pPr>
        <w:pStyle w:val="BodyText"/>
        <w:tabs>
          <w:tab w:val="num" w:pos="709"/>
        </w:tabs>
      </w:pPr>
      <w:r w:rsidRPr="00120021">
        <w:t>The current approach could, however, be justified on the basis that if the defendant does not give evidence, it is only the prosecution who can offer the defendant’s statement in evidence.</w:t>
      </w:r>
      <w:r w:rsidRPr="00120021">
        <w:rPr>
          <w:rStyle w:val="FootnoteReference"/>
        </w:rPr>
        <w:footnoteReference w:id="765"/>
      </w:r>
      <w:r w:rsidRPr="00120021">
        <w:t xml:space="preserve"> It might be considered unfair if the prosecution could trigger section 38(2) by offering a defendant’s statement </w:t>
      </w:r>
      <w:r>
        <w:t xml:space="preserve">in evidence and then rely on assertions made in that statement </w:t>
      </w:r>
      <w:r w:rsidRPr="00120021">
        <w:t>to offer veracity evidence about the defendant.</w:t>
      </w:r>
      <w:r>
        <w:rPr>
          <w:rStyle w:val="FootnoteReference"/>
        </w:rPr>
        <w:footnoteReference w:id="766"/>
      </w:r>
      <w:r w:rsidRPr="00120021">
        <w:t xml:space="preserve"> </w:t>
      </w:r>
    </w:p>
    <w:p w14:paraId="0B6B14FB" w14:textId="77777777" w:rsidR="00E13DFB" w:rsidRDefault="00E13DFB" w:rsidP="00E13DFB">
      <w:pPr>
        <w:pStyle w:val="BodyText"/>
      </w:pPr>
      <w:r>
        <w:t xml:space="preserve">Nonetheless, in its 1997 paper on character and credibility, </w:t>
      </w:r>
      <w:r w:rsidRPr="00917563">
        <w:t>the Commission</w:t>
      </w:r>
      <w:r>
        <w:t xml:space="preserve"> questioned whether it was anomalous to continue to follow the common law approach, which protects defendants who elect not to give evidence even if they attack the character of a prosecution witness</w:t>
      </w:r>
      <w:r w:rsidRPr="00917563">
        <w:t>.</w:t>
      </w:r>
      <w:r w:rsidRPr="00917563">
        <w:rPr>
          <w:rStyle w:val="FootnoteReference"/>
        </w:rPr>
        <w:footnoteReference w:id="767"/>
      </w:r>
      <w:r>
        <w:t xml:space="preserve"> It noted that this question was also under review in England and Wales.</w:t>
      </w:r>
      <w:r w:rsidDel="00272C9C">
        <w:t xml:space="preserve"> </w:t>
      </w:r>
      <w:r>
        <w:t xml:space="preserve">As we discuss below, subsequent reform has abolished the common law rule there. While the Commission’s final </w:t>
      </w:r>
      <w:r w:rsidRPr="00917563">
        <w:t xml:space="preserve">Evidence Report </w:t>
      </w:r>
      <w:r>
        <w:t xml:space="preserve">did </w:t>
      </w:r>
      <w:r w:rsidRPr="00917563">
        <w:t xml:space="preserve">not explicitly </w:t>
      </w:r>
      <w:r>
        <w:t xml:space="preserve">address </w:t>
      </w:r>
      <w:r w:rsidRPr="00917563">
        <w:t xml:space="preserve">the </w:t>
      </w:r>
      <w:r>
        <w:t>matter</w:t>
      </w:r>
      <w:r w:rsidRPr="00917563">
        <w:t xml:space="preserve">, the </w:t>
      </w:r>
      <w:r>
        <w:t xml:space="preserve">Evidence </w:t>
      </w:r>
      <w:r w:rsidRPr="00917563">
        <w:t xml:space="preserve">Code </w:t>
      </w:r>
      <w:r>
        <w:t xml:space="preserve">was </w:t>
      </w:r>
      <w:r w:rsidRPr="00917563">
        <w:t>broadly worded</w:t>
      </w:r>
      <w:r>
        <w:t xml:space="preserve"> so that the prosecution would have been able to offer veracity evidence about the defendant (other than evidence of prior convictions) regardless of whether the defendant gave evidence.</w:t>
      </w:r>
      <w:r w:rsidRPr="00917563">
        <w:rPr>
          <w:rStyle w:val="FootnoteReference"/>
        </w:rPr>
        <w:footnoteReference w:id="768"/>
      </w:r>
      <w:r>
        <w:t xml:space="preserve"> This suggests the Commission’s </w:t>
      </w:r>
      <w:r w:rsidRPr="00917563">
        <w:t>intention was to depart from th</w:t>
      </w:r>
      <w:r>
        <w:t>e common law</w:t>
      </w:r>
      <w:r w:rsidRPr="00917563">
        <w:t xml:space="preserve"> approach.</w:t>
      </w:r>
      <w:r>
        <w:rPr>
          <w:rStyle w:val="FootnoteReference"/>
        </w:rPr>
        <w:footnoteReference w:id="769"/>
      </w:r>
    </w:p>
    <w:p w14:paraId="2610AAFD" w14:textId="77777777" w:rsidR="00E13DFB" w:rsidRDefault="00E13DFB" w:rsidP="00E13DFB">
      <w:pPr>
        <w:pStyle w:val="BodyText"/>
      </w:pPr>
      <w:r>
        <w:t>The Commission’s proposal was not accepted at select committee stage, and the Evidence Bill was amended to “reinstate the existing law that limits the opportunity for the prosecution to call evidence as to the defendant’s bad character”.</w:t>
      </w:r>
      <w:r>
        <w:rPr>
          <w:rStyle w:val="FootnoteReference"/>
        </w:rPr>
        <w:footnoteReference w:id="770"/>
      </w:r>
      <w:r>
        <w:t xml:space="preserve"> Uncertainty remained, however, because the Act, as enacted, simply provided that the prosecution could offer evidence about the defendant’s veracity if “the defendant has offered evidence about his or her veracity or has challenged the veracity of a prosecution witness…”. This did not make it clear whether the defendant had to give evidence in court for the section to be triggered. </w:t>
      </w:r>
    </w:p>
    <w:p w14:paraId="687C8286" w14:textId="77777777" w:rsidR="00E13DFB" w:rsidRPr="00072EF0" w:rsidRDefault="00E13DFB" w:rsidP="00E13DFB">
      <w:pPr>
        <w:pStyle w:val="BodyText"/>
      </w:pPr>
      <w:r>
        <w:t xml:space="preserve">The Commission considered the application of section 38 in a 2008 Report and concluded that Parliament’s intention was uncertain and, in light of that, favoured a strict </w:t>
      </w:r>
      <w:r>
        <w:lastRenderedPageBreak/>
        <w:t>interpretation in line with the common law approach.</w:t>
      </w:r>
      <w:r>
        <w:rPr>
          <w:rStyle w:val="FootnoteReference"/>
        </w:rPr>
        <w:footnoteReference w:id="771"/>
      </w:r>
      <w:r>
        <w:t xml:space="preserve"> On this basis, the Commission recommended in its 2013 Review of the Act amending section 38 to clarify that the defendant only “opens the door” to evidence about their veracity being introduced by the prosecution when they give evidence in court.</w:t>
      </w:r>
      <w:r>
        <w:rPr>
          <w:rStyle w:val="FootnoteReference"/>
        </w:rPr>
        <w:footnoteReference w:id="772"/>
      </w:r>
      <w:r>
        <w:t xml:space="preserve"> The Act was amended accordingly in 2016 to insert the words “the defendant has, </w:t>
      </w:r>
      <w:r w:rsidRPr="00DC2B22">
        <w:rPr>
          <w:i/>
          <w:iCs/>
        </w:rPr>
        <w:t>in court, given oral evidence</w:t>
      </w:r>
      <w:r>
        <w:rPr>
          <w:i/>
          <w:iCs/>
        </w:rPr>
        <w:t xml:space="preserve"> </w:t>
      </w:r>
      <w:r w:rsidRPr="00DC2B22">
        <w:rPr>
          <w:i/>
          <w:iCs/>
        </w:rPr>
        <w:t>…</w:t>
      </w:r>
      <w:r>
        <w:t>”</w:t>
      </w:r>
      <w:r w:rsidRPr="00DC2B22">
        <w:rPr>
          <w:i/>
          <w:iCs/>
        </w:rPr>
        <w:t xml:space="preserve">. </w:t>
      </w:r>
    </w:p>
    <w:p w14:paraId="0BA84DFD" w14:textId="77777777" w:rsidR="00E13DFB" w:rsidRDefault="00E13DFB" w:rsidP="00E13DFB">
      <w:pPr>
        <w:pStyle w:val="BodyText"/>
        <w:tabs>
          <w:tab w:val="num" w:pos="709"/>
        </w:tabs>
      </w:pPr>
      <w:r>
        <w:t>In the Second Review the Commission questioned the policy underlying the 2016 amendment but concluded that it should be given time to ‘bed in’ and that it was not appropriate, at that time, to recommend changing the underlying policy reflected in section 38(2)(a).</w:t>
      </w:r>
      <w:r>
        <w:rPr>
          <w:rStyle w:val="FootnoteReference"/>
        </w:rPr>
        <w:footnoteReference w:id="773"/>
      </w:r>
    </w:p>
    <w:p w14:paraId="52C48753" w14:textId="77777777" w:rsidR="00E13DFB" w:rsidRDefault="00E13DFB" w:rsidP="00A95E2B">
      <w:pPr>
        <w:pStyle w:val="Heading4"/>
      </w:pPr>
      <w:r>
        <w:t>Section 38(2) applies only when the defendant puts veracity in issue in their oral evidence</w:t>
      </w:r>
    </w:p>
    <w:p w14:paraId="58885FA1" w14:textId="77777777" w:rsidR="00E13DFB" w:rsidRDefault="00E13DFB" w:rsidP="00E13DFB">
      <w:pPr>
        <w:pStyle w:val="BodyText"/>
      </w:pPr>
      <w:r>
        <w:t xml:space="preserve">The wording of section 38(2)(a) indicates that it applies only where the defendant puts veracity in issue </w:t>
      </w:r>
      <w:r w:rsidRPr="0072215F">
        <w:rPr>
          <w:i/>
          <w:iCs/>
        </w:rPr>
        <w:t>in their oral evidence</w:t>
      </w:r>
      <w:r>
        <w:t xml:space="preserve">. This means it </w:t>
      </w:r>
      <w:r w:rsidRPr="00554E55">
        <w:t>does</w:t>
      </w:r>
      <w:r>
        <w:t xml:space="preserve"> not apply where the defendant gives evidence however it is not their oral evidence, but some other aspect of the conduct of the defence case that puts veracity in issue. </w:t>
      </w:r>
      <w:r w:rsidRPr="00554E55">
        <w:t xml:space="preserve">In the Second Review, the Commission </w:t>
      </w:r>
      <w:r>
        <w:t>said</w:t>
      </w:r>
      <w:r w:rsidRPr="00554E55">
        <w:t xml:space="preserve"> that</w:t>
      </w:r>
      <w:r>
        <w:t xml:space="preserve">, </w:t>
      </w:r>
      <w:r w:rsidRPr="00554E55">
        <w:t xml:space="preserve">since it did not recommend any change to the policy underlying section 38(2)(a), it </w:t>
      </w:r>
      <w:r>
        <w:t xml:space="preserve">would be desirable to amend this aspect of </w:t>
      </w:r>
      <w:r w:rsidRPr="00554E55">
        <w:t xml:space="preserve">section 38(2)(a) to clarify that the challenge to the veracity of a prosecution witness </w:t>
      </w:r>
      <w:r>
        <w:t xml:space="preserve">also </w:t>
      </w:r>
      <w:r w:rsidRPr="00554E55">
        <w:t>needs to be given in oral evidence.</w:t>
      </w:r>
      <w:r w:rsidRPr="00554E55">
        <w:rPr>
          <w:rStyle w:val="FootnoteReference"/>
        </w:rPr>
        <w:footnoteReference w:id="774"/>
      </w:r>
      <w:r>
        <w:t xml:space="preserve"> </w:t>
      </w:r>
    </w:p>
    <w:p w14:paraId="02C99396" w14:textId="77777777" w:rsidR="00E13DFB" w:rsidRDefault="00E13DFB" w:rsidP="00E13DFB">
      <w:pPr>
        <w:pStyle w:val="BodyText"/>
        <w:tabs>
          <w:tab w:val="num" w:pos="709"/>
        </w:tabs>
      </w:pPr>
      <w:r>
        <w:t>This approach is, however, apparently inconsistent with the Commission’s original policy intent.</w:t>
      </w:r>
      <w:r>
        <w:rPr>
          <w:rStyle w:val="FootnoteReference"/>
        </w:rPr>
        <w:footnoteReference w:id="775"/>
      </w:r>
      <w:r>
        <w:t xml:space="preserve"> It is also narrower than the previous common law rule. At common law, if the defendant gave evidence, the prosecution could give evidence about the defendant’s bad character if the defendant “personally or by his advocate” asked questions of prosecution witnesses with a view to establish the defendant’s own good character </w:t>
      </w:r>
      <w:r w:rsidRPr="00804796">
        <w:t>or</w:t>
      </w:r>
      <w:r>
        <w:t xml:space="preserve"> if “the nature or conduct of the defence” was such as to involve imputations on the character of the prosecution witnesses.</w:t>
      </w:r>
      <w:r>
        <w:rPr>
          <w:rStyle w:val="FootnoteReference"/>
        </w:rPr>
        <w:footnoteReference w:id="776"/>
      </w:r>
      <w:r>
        <w:t xml:space="preserve"> </w:t>
      </w:r>
    </w:p>
    <w:p w14:paraId="0A2F8AC8" w14:textId="77777777" w:rsidR="00E13DFB" w:rsidRDefault="00E13DFB" w:rsidP="00E13DFB">
      <w:pPr>
        <w:pStyle w:val="BodyText"/>
        <w:tabs>
          <w:tab w:val="num" w:pos="709"/>
        </w:tabs>
      </w:pPr>
      <w:r>
        <w:t xml:space="preserve">The concern is that a narrow construct fails to appreciate the different ways in which the defendant can put veracity in issue. If defence counsel challenges the veracity of a prosecution witness during cross-examination, for example, the defendant faces no </w:t>
      </w:r>
      <w:r>
        <w:lastRenderedPageBreak/>
        <w:t xml:space="preserve">consequences because they have not themselves challenged the veracity of a prosecution witness </w:t>
      </w:r>
      <w:r w:rsidRPr="00122C67">
        <w:rPr>
          <w:i/>
          <w:iCs/>
        </w:rPr>
        <w:t xml:space="preserve">in oral evidence. </w:t>
      </w:r>
    </w:p>
    <w:p w14:paraId="5CEBD15B" w14:textId="77777777" w:rsidR="00E13DFB" w:rsidRDefault="00E13DFB" w:rsidP="00A95E2B">
      <w:pPr>
        <w:pStyle w:val="Heading3"/>
      </w:pPr>
      <w:r>
        <w:t>Is legislative reform necessary or desirable?</w:t>
      </w:r>
    </w:p>
    <w:p w14:paraId="5DCB7174" w14:textId="77777777" w:rsidR="00E13DFB" w:rsidRDefault="00E13DFB" w:rsidP="00E13DFB">
      <w:pPr>
        <w:pStyle w:val="BodyText"/>
      </w:pPr>
      <w:r>
        <w:t xml:space="preserve">The gaps identified above suggest that the policies underpinning section 38 are not being achieved in some situations. As we have said, those policies are to allow the prosecution to correct any false impressions made by the defence about the defendant’s veracity and to protect witnesses from gratuitous attacks on their credibility. </w:t>
      </w:r>
    </w:p>
    <w:p w14:paraId="60CC6527" w14:textId="77777777" w:rsidR="00E13DFB" w:rsidRDefault="00E13DFB" w:rsidP="00E13DFB">
      <w:pPr>
        <w:pStyle w:val="BodyText"/>
        <w:tabs>
          <w:tab w:val="num" w:pos="709"/>
        </w:tabs>
      </w:pPr>
      <w:r>
        <w:t>As noted above, section 38(2) is both narrower than the common law in some respects (because section 38(2) requires the defendant to put veracity in issue in their oral evidence) and retains elements of the common law that have since been abandoned elsewhere (by requiring the defendant to give evidence before the section is triggered).</w:t>
      </w:r>
    </w:p>
    <w:p w14:paraId="1C51663B" w14:textId="77777777" w:rsidR="00E13DFB" w:rsidRDefault="00E13DFB" w:rsidP="00E13DFB">
      <w:pPr>
        <w:pStyle w:val="BodyText"/>
        <w:tabs>
          <w:tab w:val="num" w:pos="709"/>
        </w:tabs>
      </w:pPr>
      <w:r>
        <w:t>In England and Wales, the Criminal Justice Act 2003 (UK) allows the prosecution</w:t>
      </w:r>
      <w:r w:rsidDel="001704AF">
        <w:t xml:space="preserve"> </w:t>
      </w:r>
      <w:r>
        <w:t>to offer evidence of the defendant’s bad character if “it is evidence to correct a false impression given by the defendant” or “the defendant has made an attack on another person’s character”.</w:t>
      </w:r>
      <w:r>
        <w:rPr>
          <w:rStyle w:val="FootnoteReference"/>
        </w:rPr>
        <w:footnoteReference w:id="777"/>
      </w:r>
      <w:r>
        <w:t xml:space="preserve"> The Criminal Justice Act goes on to expressly define the circumstances that are deemed to engage these rules. Specifically, the prosecution can offer evidence to correct a false impression if the defendant is responsible for the making of an express or implied assertion that is apt to give the court or jury a false or misleading impression about the defendant.</w:t>
      </w:r>
      <w:r>
        <w:rPr>
          <w:rStyle w:val="FootnoteReference"/>
        </w:rPr>
        <w:footnoteReference w:id="778"/>
      </w:r>
      <w:r>
        <w:t xml:space="preserve"> A defendant is treated as being responsible for the making of an assertion if:</w:t>
      </w:r>
      <w:r>
        <w:rPr>
          <w:rStyle w:val="FootnoteReference"/>
        </w:rPr>
        <w:footnoteReference w:id="779"/>
      </w:r>
    </w:p>
    <w:p w14:paraId="79CBAFD6" w14:textId="77777777" w:rsidR="00E13DFB" w:rsidRDefault="00E13DFB" w:rsidP="00E13DFB">
      <w:pPr>
        <w:pStyle w:val="Quote"/>
      </w:pPr>
      <w:r>
        <w:t>(a)</w:t>
      </w:r>
      <w:r>
        <w:tab/>
        <w:t>the assertion is made by the defendant in the proceedings (whether or not in evidence given by him),</w:t>
      </w:r>
    </w:p>
    <w:p w14:paraId="16258CBF" w14:textId="77777777" w:rsidR="00E13DFB" w:rsidRDefault="00E13DFB" w:rsidP="00E13DFB">
      <w:pPr>
        <w:pStyle w:val="Quote"/>
      </w:pPr>
      <w:r>
        <w:t>(b)</w:t>
      </w:r>
      <w:r>
        <w:tab/>
        <w:t>the assertion was made by the defendant—</w:t>
      </w:r>
    </w:p>
    <w:p w14:paraId="3995335C" w14:textId="77777777" w:rsidR="00E13DFB" w:rsidRDefault="00E13DFB" w:rsidP="00E13DFB">
      <w:pPr>
        <w:pStyle w:val="Quote"/>
        <w:ind w:left="1701" w:hanging="283"/>
      </w:pPr>
      <w:r>
        <w:t>(i)</w:t>
      </w:r>
      <w:r>
        <w:tab/>
        <w:t>on being questioned under caution, before charge, about the offence with which he is charged, or</w:t>
      </w:r>
    </w:p>
    <w:p w14:paraId="2BE01E33" w14:textId="77777777" w:rsidR="00E13DFB" w:rsidRDefault="00E13DFB" w:rsidP="00E13DFB">
      <w:pPr>
        <w:pStyle w:val="Quote"/>
        <w:ind w:left="1701" w:hanging="283"/>
      </w:pPr>
      <w:r>
        <w:t>(ii)</w:t>
      </w:r>
      <w:r>
        <w:tab/>
        <w:t>on being charged with the offence or officially informed that he might be prosecuted for it, and evidence of the assertion is given in the proceedings,</w:t>
      </w:r>
    </w:p>
    <w:p w14:paraId="4FF352D5" w14:textId="77777777" w:rsidR="00E13DFB" w:rsidRDefault="00E13DFB" w:rsidP="00E13DFB">
      <w:pPr>
        <w:pStyle w:val="Quote"/>
      </w:pPr>
      <w:r>
        <w:t>(c)</w:t>
      </w:r>
      <w:r>
        <w:tab/>
        <w:t>the assertion is made by a witness called by the defendant,</w:t>
      </w:r>
    </w:p>
    <w:p w14:paraId="44BD9A15" w14:textId="77777777" w:rsidR="00E13DFB" w:rsidRDefault="00E13DFB" w:rsidP="00E13DFB">
      <w:pPr>
        <w:pStyle w:val="Quote"/>
      </w:pPr>
      <w:r>
        <w:t>(d)</w:t>
      </w:r>
      <w:r>
        <w:tab/>
        <w:t>the assertion is made by any witness in cross-examination in response to a question asked by the defendant that is intended to elicit it, or is likely to do so, or</w:t>
      </w:r>
    </w:p>
    <w:p w14:paraId="38CCF644" w14:textId="77777777" w:rsidR="00E13DFB" w:rsidRDefault="00E13DFB" w:rsidP="00E13DFB">
      <w:pPr>
        <w:pStyle w:val="Quote"/>
      </w:pPr>
      <w:r>
        <w:t>(e)</w:t>
      </w:r>
      <w:r>
        <w:tab/>
        <w:t>the assertion was made by any person out of court, and the defendant adduces evidence of it in the proceedings.</w:t>
      </w:r>
    </w:p>
    <w:p w14:paraId="2A1051FE" w14:textId="77777777" w:rsidR="00E13DFB" w:rsidRDefault="00E13DFB" w:rsidP="00E13DFB">
      <w:pPr>
        <w:pStyle w:val="BodyText"/>
        <w:tabs>
          <w:tab w:val="num" w:pos="709"/>
        </w:tabs>
      </w:pPr>
      <w:r>
        <w:t>In relation to attacks on another person’s character, the prosecution can offer evidence of the defendant’s bad character if:</w:t>
      </w:r>
      <w:r>
        <w:rPr>
          <w:rStyle w:val="FootnoteReference"/>
        </w:rPr>
        <w:footnoteReference w:id="780"/>
      </w:r>
    </w:p>
    <w:p w14:paraId="4F263518" w14:textId="77777777" w:rsidR="00E13DFB" w:rsidRDefault="00E13DFB" w:rsidP="00E13DFB">
      <w:pPr>
        <w:pStyle w:val="Quote"/>
      </w:pPr>
      <w:r>
        <w:t>(a)</w:t>
      </w:r>
      <w:r>
        <w:tab/>
        <w:t>[the defendant] adduces evidence attacking the other person’s character,</w:t>
      </w:r>
    </w:p>
    <w:p w14:paraId="07CFBFED" w14:textId="77777777" w:rsidR="00E13DFB" w:rsidRDefault="00E13DFB" w:rsidP="00E13DFB">
      <w:pPr>
        <w:pStyle w:val="Quote"/>
      </w:pPr>
      <w:r>
        <w:lastRenderedPageBreak/>
        <w:t>(b)</w:t>
      </w:r>
      <w:r>
        <w:tab/>
        <w:t>[the defendant] (or any legal representative appointed … to cross-examine a witness in his interests) asks questions in cross-examination that are intended to elicit such evidence, or are likely to do so, or</w:t>
      </w:r>
    </w:p>
    <w:p w14:paraId="48029148" w14:textId="77777777" w:rsidR="00E13DFB" w:rsidRDefault="00E13DFB" w:rsidP="00E13DFB">
      <w:pPr>
        <w:pStyle w:val="Quote"/>
      </w:pPr>
      <w:r>
        <w:t>(c)</w:t>
      </w:r>
      <w:r>
        <w:tab/>
        <w:t>evidence is given of an imputation about the other person made by the defendant—</w:t>
      </w:r>
    </w:p>
    <w:p w14:paraId="258C5B1D" w14:textId="77777777" w:rsidR="00E13DFB" w:rsidRDefault="00E13DFB" w:rsidP="00E13DFB">
      <w:pPr>
        <w:pStyle w:val="Quote"/>
        <w:ind w:left="1701"/>
      </w:pPr>
      <w:r>
        <w:t>(i)</w:t>
      </w:r>
      <w:r>
        <w:tab/>
        <w:t>on being questioned under caution, before charge, about the offence with which he is charged, or</w:t>
      </w:r>
    </w:p>
    <w:p w14:paraId="149026DA" w14:textId="77777777" w:rsidR="00E13DFB" w:rsidRDefault="00E13DFB" w:rsidP="00E13DFB">
      <w:pPr>
        <w:pStyle w:val="Quote"/>
        <w:ind w:left="1701"/>
      </w:pPr>
      <w:r>
        <w:t>(ii)</w:t>
      </w:r>
      <w:r>
        <w:tab/>
        <w:t>on being charged with the offence or officially informed that he might be prosecuted for it.</w:t>
      </w:r>
    </w:p>
    <w:p w14:paraId="792F3F53" w14:textId="77777777" w:rsidR="00E13DFB" w:rsidRDefault="00E13DFB" w:rsidP="00E13DFB">
      <w:pPr>
        <w:pStyle w:val="BodyText"/>
      </w:pPr>
      <w:r>
        <w:t>We seek submissions on whether the Act should be amended to extend the application of section 38(2) to better achieve the policy underpinning that section. We are particularly interested in views on whether section 38(2) should be extended to situations, whether or not the defendant gives evidence, where the defendant makes an assertion about their own veracity or attacks the veracity of the complainant or another person:</w:t>
      </w:r>
    </w:p>
    <w:p w14:paraId="249D53F5" w14:textId="77777777" w:rsidR="00E13DFB" w:rsidRDefault="00E13DFB" w:rsidP="00866891">
      <w:pPr>
        <w:pStyle w:val="BodyTextnonum"/>
        <w:numPr>
          <w:ilvl w:val="3"/>
          <w:numId w:val="28"/>
        </w:numPr>
        <w:tabs>
          <w:tab w:val="num" w:pos="709"/>
        </w:tabs>
      </w:pPr>
      <w:r>
        <w:t>in their interview with Police (or other prosecuting agency) in relation to the charge; or</w:t>
      </w:r>
    </w:p>
    <w:p w14:paraId="42AA9AC5" w14:textId="77777777" w:rsidR="00E13DFB" w:rsidRDefault="00E13DFB" w:rsidP="00866891">
      <w:pPr>
        <w:pStyle w:val="BodyTextnonum"/>
        <w:numPr>
          <w:ilvl w:val="3"/>
          <w:numId w:val="28"/>
        </w:numPr>
        <w:tabs>
          <w:tab w:val="num" w:pos="709"/>
        </w:tabs>
      </w:pPr>
      <w:r>
        <w:t>in the conduct of their defence, including in offering evidence from defence witnesses and in cross-examination of prosecution witnesses;</w:t>
      </w:r>
    </w:p>
    <w:p w14:paraId="668888E9" w14:textId="2E4AC760" w:rsidR="00A95E2B" w:rsidRDefault="00A95E2B" w:rsidP="00A95E2B">
      <w:pPr>
        <w:pStyle w:val="QuestionBox"/>
      </w:pPr>
      <w:r>
        <w:rPr>
          <w:noProof/>
        </w:rPr>
        <mc:AlternateContent>
          <mc:Choice Requires="wpg">
            <w:drawing>
              <wp:anchor distT="0" distB="0" distL="114300" distR="114300" simplePos="0" relativeHeight="251658351" behindDoc="1" locked="0" layoutInCell="1" allowOverlap="1" wp14:anchorId="05CF70A4" wp14:editId="1AAE5586">
                <wp:simplePos x="0" y="0"/>
                <wp:positionH relativeFrom="column">
                  <wp:posOffset>-1962</wp:posOffset>
                </wp:positionH>
                <wp:positionV relativeFrom="paragraph">
                  <wp:posOffset>3554</wp:posOffset>
                </wp:positionV>
                <wp:extent cx="5760085" cy="2224569"/>
                <wp:effectExtent l="0" t="0" r="0" b="4445"/>
                <wp:wrapNone/>
                <wp:docPr id="228" name="Group 228" descr="Question"/>
                <wp:cNvGraphicFramePr/>
                <a:graphic xmlns:a="http://schemas.openxmlformats.org/drawingml/2006/main">
                  <a:graphicData uri="http://schemas.microsoft.com/office/word/2010/wordprocessingGroup">
                    <wpg:wgp>
                      <wpg:cNvGrpSpPr/>
                      <wpg:grpSpPr>
                        <a:xfrm>
                          <a:off x="0" y="0"/>
                          <a:ext cx="5760085" cy="2224569"/>
                          <a:chOff x="0" y="62865"/>
                          <a:chExt cx="5760085" cy="2225400"/>
                        </a:xfrm>
                      </wpg:grpSpPr>
                      <wps:wsp>
                        <wps:cNvPr id="22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A48A1C" w14:textId="77777777" w:rsidR="00A95E2B" w:rsidRDefault="00A95E2B" w:rsidP="00A95E2B">
                              <w:pPr>
                                <w:pStyle w:val="BoxTitle"/>
                                <w:spacing w:before="0" w:beforeAutospacing="0"/>
                              </w:pPr>
                              <w:r w:rsidRPr="007F6876">
                                <w:t>QUESTION</w:t>
                              </w:r>
                            </w:p>
                          </w:txbxContent>
                        </wps:txbx>
                        <wps:bodyPr rot="0" vert="horz" wrap="square" lIns="91440" tIns="0" rIns="0" bIns="45720" anchor="ctr" anchorCtr="0" upright="1">
                          <a:noAutofit/>
                        </wps:bodyPr>
                      </wps:wsp>
                      <wpg:grpSp>
                        <wpg:cNvPr id="230" name="Group 53"/>
                        <wpg:cNvGrpSpPr>
                          <a:grpSpLocks/>
                        </wpg:cNvGrpSpPr>
                        <wpg:grpSpPr bwMode="auto">
                          <a:xfrm>
                            <a:off x="0" y="315706"/>
                            <a:ext cx="5760085" cy="1972559"/>
                            <a:chOff x="1837" y="1786"/>
                            <a:chExt cx="9302" cy="21307"/>
                          </a:xfrm>
                        </wpg:grpSpPr>
                        <wps:wsp>
                          <wps:cNvPr id="231" name="Freeform 54"/>
                          <wps:cNvSpPr>
                            <a:spLocks/>
                          </wps:cNvSpPr>
                          <wps:spPr bwMode="auto">
                            <a:xfrm>
                              <a:off x="1837" y="1786"/>
                              <a:ext cx="9302" cy="2130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wpg:grpSpPr>
                          <a:xfrm>
                            <a:off x="0" y="494036"/>
                            <a:ext cx="1443794" cy="252000"/>
                            <a:chOff x="-15880" y="0"/>
                            <a:chExt cx="1444379" cy="252068"/>
                          </a:xfrm>
                        </wpg:grpSpPr>
                        <wps:wsp>
                          <wps:cNvPr id="23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501AD6" w14:textId="77777777" w:rsidR="00A95E2B" w:rsidRPr="00E90B8A" w:rsidRDefault="00A95E2B" w:rsidP="00A95E2B">
                                <w:pPr>
                                  <w:pStyle w:val="BoxTitle"/>
                                  <w:spacing w:before="0" w:beforeAutospacing="0"/>
                                  <w:rPr>
                                    <w:sz w:val="18"/>
                                    <w:szCs w:val="18"/>
                                  </w:rPr>
                                </w:pPr>
                                <w:r w:rsidRPr="00E90B8A">
                                  <w:rPr>
                                    <w:sz w:val="18"/>
                                    <w:szCs w:val="18"/>
                                  </w:rPr>
                                  <w:t>Q</w:t>
                                </w:r>
                                <w:r>
                                  <w:rPr>
                                    <w:sz w:val="18"/>
                                    <w:szCs w:val="18"/>
                                  </w:rPr>
                                  <w:t>46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5CF70A4" id="Group 228" o:spid="_x0000_s1342" alt="Question" style="position:absolute;left:0;text-align:left;margin-left:-.15pt;margin-top:.3pt;width:453.55pt;height:175.15pt;z-index:-251658129;mso-height-relative:margin" coordorigin=",628" coordsize="57600,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">
                <v:shape id="Freeform 52" o:spid="_x0000_s134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DA48A1C" w14:textId="77777777" w:rsidR="00A95E2B" w:rsidRDefault="00A95E2B" w:rsidP="00A95E2B">
                        <w:pPr>
                          <w:pStyle w:val="BoxTitle"/>
                          <w:spacing w:before="0" w:beforeAutospacing="0"/>
                        </w:pPr>
                        <w:r w:rsidRPr="007F6876">
                          <w:t>QUESTION</w:t>
                        </w:r>
                      </w:p>
                    </w:txbxContent>
                  </v:textbox>
                </v:shape>
                <v:group id="Group 53" o:spid="_x0000_s1344" style="position:absolute;top:3157;width:57600;height:19725" coordorigin="1837,1786" coordsize="9302,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54" o:spid="_x0000_s1345" style="position:absolute;left:1837;top:1786;width:9302;height:2130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" path="m,l9354,r,7809l,7809,,e" fillcolor="#edf2ea" stroked="f">
                    <v:path arrowok="t" o:connecttype="custom" o:connectlocs="0,2729;9302,2729;9302,24036;0,24036;0,2729" o:connectangles="0,0,0,0,0"/>
                  </v:shape>
                </v:group>
                <v:group id="Group 232" o:spid="_x0000_s134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58" o:spid="_x0000_s134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" path="m,l1815,e" filled="f" strokecolor="#72ab6a" strokeweight=".5pt">
                    <v:path arrowok="t" o:connecttype="custom" o:connectlocs="0,0;1073495,0" o:connectangles="0,0"/>
                  </v:shape>
                  <v:shape id="Freeform 66" o:spid="_x0000_s134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B501AD6" w14:textId="77777777" w:rsidR="00A95E2B" w:rsidRPr="00E90B8A" w:rsidRDefault="00A95E2B" w:rsidP="00A95E2B">
                          <w:pPr>
                            <w:pStyle w:val="BoxTitle"/>
                            <w:spacing w:before="0" w:beforeAutospacing="0"/>
                            <w:rPr>
                              <w:sz w:val="18"/>
                              <w:szCs w:val="18"/>
                            </w:rPr>
                          </w:pPr>
                          <w:r w:rsidRPr="00E90B8A">
                            <w:rPr>
                              <w:sz w:val="18"/>
                              <w:szCs w:val="18"/>
                            </w:rPr>
                            <w:t>Q</w:t>
                          </w:r>
                          <w:r>
                            <w:rPr>
                              <w:sz w:val="18"/>
                              <w:szCs w:val="18"/>
                            </w:rPr>
                            <w:t>46</w:t>
                          </w:r>
                        </w:p>
                      </w:txbxContent>
                    </v:textbox>
                  </v:shape>
                </v:group>
              </v:group>
            </w:pict>
          </mc:Fallback>
        </mc:AlternateContent>
      </w:r>
    </w:p>
    <w:p w14:paraId="5AECA308" w14:textId="77777777" w:rsidR="00A95E2B" w:rsidRDefault="00A95E2B" w:rsidP="00A95E2B">
      <w:pPr>
        <w:pStyle w:val="QuestionBox"/>
      </w:pPr>
    </w:p>
    <w:p w14:paraId="26005D52" w14:textId="1EF93ED8" w:rsidR="00E13DFB" w:rsidRDefault="00E13DFB" w:rsidP="00A95E2B">
      <w:pPr>
        <w:pStyle w:val="QuestionBox"/>
      </w:pPr>
      <w:r>
        <w:t>Should section 38(2) be amended to extend the circumstances in which the prosecution can offer evidence about a defendant’s veracity? If so, should section 38(2) apply, whether or not the defendant gives evidence, when veracity is put in issue by:</w:t>
      </w:r>
    </w:p>
    <w:p w14:paraId="7708DFE3" w14:textId="77777777" w:rsidR="00E13DFB" w:rsidRDefault="00E13DFB" w:rsidP="00866891">
      <w:pPr>
        <w:pStyle w:val="Questionabc"/>
        <w:numPr>
          <w:ilvl w:val="0"/>
          <w:numId w:val="72"/>
        </w:numPr>
        <w:ind w:left="1418" w:hanging="425"/>
      </w:pPr>
      <w:r>
        <w:t xml:space="preserve">assertions made in the defendant’s statement to Police (or other prosecuting agency); and/or </w:t>
      </w:r>
    </w:p>
    <w:p w14:paraId="2A820426" w14:textId="77777777" w:rsidR="00E13DFB" w:rsidRDefault="00E13DFB" w:rsidP="00A95E2B">
      <w:pPr>
        <w:pStyle w:val="Questionabc"/>
      </w:pPr>
      <w:r>
        <w:t xml:space="preserve">the conduct of their defence? </w:t>
      </w:r>
    </w:p>
    <w:p w14:paraId="31D49BE5" w14:textId="77777777" w:rsidR="00A95E2B" w:rsidRPr="00A95E2B" w:rsidRDefault="00A95E2B" w:rsidP="00A95E2B">
      <w:pPr>
        <w:pStyle w:val="QuestionBox"/>
        <w:rPr>
          <w:lang w:eastAsia="en-US"/>
        </w:rPr>
      </w:pPr>
    </w:p>
    <w:p w14:paraId="58E5E2DF" w14:textId="77777777" w:rsidR="00E13DFB" w:rsidRDefault="00E13DFB" w:rsidP="00A95E2B">
      <w:pPr>
        <w:pStyle w:val="Heading2"/>
      </w:pPr>
      <w:bookmarkStart w:id="137" w:name="_Toc132962584"/>
      <w:r>
        <w:t>The use of the term “veracity” in other parts of the Act</w:t>
      </w:r>
      <w:bookmarkEnd w:id="137"/>
    </w:p>
    <w:p w14:paraId="063D6047" w14:textId="77777777" w:rsidR="00E13DFB" w:rsidRDefault="00E13DFB" w:rsidP="00E13DFB">
      <w:pPr>
        <w:pStyle w:val="BodyText"/>
      </w:pPr>
      <w:r>
        <w:t xml:space="preserve">The term “veracity” is used in other sections of the Act outside the veracity provisions, including in: </w:t>
      </w:r>
    </w:p>
    <w:p w14:paraId="7BA34068" w14:textId="77777777" w:rsidR="00E13DFB" w:rsidRDefault="00E13DFB" w:rsidP="00866891">
      <w:pPr>
        <w:pStyle w:val="BodyText2"/>
        <w:numPr>
          <w:ilvl w:val="3"/>
          <w:numId w:val="50"/>
        </w:numPr>
      </w:pPr>
      <w:r>
        <w:t xml:space="preserve">the section 4(1) definition of a hostile witness, which refers to a witness who “exhibits, or appears to exhibit, a lack of veracity when giving evidence unfavourable to the party who called the witness on a matter about which the witness may reasonably be supposed to have knowledge”; </w:t>
      </w:r>
    </w:p>
    <w:p w14:paraId="40EAD3F6" w14:textId="77777777" w:rsidR="00E13DFB" w:rsidRDefault="00E13DFB" w:rsidP="00866891">
      <w:pPr>
        <w:pStyle w:val="BodyText2"/>
        <w:numPr>
          <w:ilvl w:val="3"/>
          <w:numId w:val="42"/>
        </w:numPr>
      </w:pPr>
      <w:r>
        <w:t>the section 16(1) definition of “circumstances” for the purposes of the hearsay provisions, which includes “any circumstances that relate to the veracity of the person”; and</w:t>
      </w:r>
    </w:p>
    <w:p w14:paraId="0BD259B7" w14:textId="77777777" w:rsidR="00E13DFB" w:rsidRDefault="00E13DFB" w:rsidP="00866891">
      <w:pPr>
        <w:pStyle w:val="BodyText2"/>
        <w:numPr>
          <w:ilvl w:val="3"/>
          <w:numId w:val="42"/>
        </w:numPr>
      </w:pPr>
      <w:r>
        <w:t xml:space="preserve">section 35 on previous consistent statements, where section 35(2)(a) provides that a previous consistent statement is admissible if it “responds to a challenge that will be or has been made to the witness’s veracity or accuracy, based on a previous </w:t>
      </w:r>
      <w:r>
        <w:lastRenderedPageBreak/>
        <w:t xml:space="preserve">inconsistent statement of the witness or on a claim of invention on the part of the witness”. </w:t>
      </w:r>
    </w:p>
    <w:p w14:paraId="1FC870B0" w14:textId="77777777" w:rsidR="00E13DFB" w:rsidRDefault="00E13DFB" w:rsidP="00E13DFB">
      <w:pPr>
        <w:pStyle w:val="BodyText"/>
      </w:pPr>
      <w:r>
        <w:t>Section 4(1) states that “unless the context otherwise requires”,</w:t>
      </w:r>
      <w:r>
        <w:rPr>
          <w:rStyle w:val="FootnoteReference"/>
        </w:rPr>
        <w:footnoteReference w:id="781"/>
      </w:r>
      <w:r>
        <w:t xml:space="preserve"> “veracity has the meaning given in section 37”.</w:t>
      </w:r>
      <w:r>
        <w:rPr>
          <w:rStyle w:val="FootnoteReference"/>
        </w:rPr>
        <w:footnoteReference w:id="782"/>
      </w:r>
    </w:p>
    <w:p w14:paraId="6797D40C" w14:textId="77777777" w:rsidR="00E13DFB" w:rsidRDefault="00E13DFB" w:rsidP="00A95E2B">
      <w:pPr>
        <w:pStyle w:val="Heading3"/>
      </w:pPr>
      <w:r>
        <w:t>What is the issue?</w:t>
      </w:r>
    </w:p>
    <w:p w14:paraId="46AEAE78" w14:textId="77777777" w:rsidR="00E13DFB" w:rsidRDefault="00E13DFB" w:rsidP="00E13DFB">
      <w:pPr>
        <w:pStyle w:val="BodyText"/>
      </w:pPr>
      <w:r>
        <w:t xml:space="preserve">Preliminary feedback from stakeholders identified a concern that “veracity” as defined in section 37 and used in section 16(1) is concerned with evidence extraneous to the facts in issue (that is, the general disposition of the person to refrain from lying), while in the section 4 definition of hostile witness and section 35, it is the veracity or truthfulness, of a witness in the particular proceeding that is the more relevant consideration. </w:t>
      </w:r>
    </w:p>
    <w:p w14:paraId="366810D4" w14:textId="77777777" w:rsidR="00E13DFB" w:rsidRDefault="00E13DFB" w:rsidP="00E13DFB">
      <w:pPr>
        <w:pStyle w:val="BodyText"/>
      </w:pPr>
      <w:r>
        <w:t xml:space="preserve">For example, if the section 37 definition of veracity was applied to the section 4(1) definition of hostile witness, it would mean that a witness could only be declared hostile if they appeared to exhibit a general disposition to lie, or to be </w:t>
      </w:r>
      <w:r w:rsidRPr="00CF101D">
        <w:rPr>
          <w:i/>
          <w:iCs/>
        </w:rPr>
        <w:t>habitually</w:t>
      </w:r>
      <w:r>
        <w:t xml:space="preserve"> untruthful. It would not apply where a witness simply showed a lack of truthfulness in the specific proceeding. This is inconsistent with the Commission’s original policy intent</w:t>
      </w:r>
      <w:r>
        <w:rPr>
          <w:rStyle w:val="FootnoteReference"/>
        </w:rPr>
        <w:footnoteReference w:id="783"/>
      </w:r>
      <w:r>
        <w:t xml:space="preserve"> and is unlikely to have been the intention when the definition of veracity was amended in 2016.</w:t>
      </w:r>
      <w:r>
        <w:rPr>
          <w:rStyle w:val="FootnoteReference"/>
        </w:rPr>
        <w:footnoteReference w:id="784"/>
      </w:r>
      <w:r>
        <w:t xml:space="preserve"> Similarly, applying the section 37 definition to section 35(2)(a) would also represent an unintended narrowing of the provision by only allowing previous consistent statement evidence to be offered in response to a challenge involving an allegation of lying generally.</w:t>
      </w:r>
      <w:r>
        <w:rPr>
          <w:rStyle w:val="FootnoteReference"/>
        </w:rPr>
        <w:footnoteReference w:id="785"/>
      </w:r>
      <w:r>
        <w:t xml:space="preserve"> </w:t>
      </w:r>
    </w:p>
    <w:p w14:paraId="515A69AF" w14:textId="77777777" w:rsidR="00E13DFB" w:rsidRPr="0015675F" w:rsidRDefault="00E13DFB" w:rsidP="00A95E2B">
      <w:pPr>
        <w:pStyle w:val="Heading3"/>
      </w:pPr>
      <w:r>
        <w:t>Is legislative reform necessary or desirable?</w:t>
      </w:r>
    </w:p>
    <w:p w14:paraId="14954228" w14:textId="77777777" w:rsidR="00E13DFB" w:rsidRDefault="00E13DFB" w:rsidP="00E13DFB">
      <w:pPr>
        <w:pStyle w:val="BodyText"/>
      </w:pPr>
      <w:r>
        <w:t>It appears to be generally accepted that veracity can have different meanings across different provisions of the Act. In its Second Review the Commission declined to revisit this issue, on the basis that as a matter of statutory interpretation the wording of section</w:t>
      </w:r>
      <w:r>
        <w:rPr>
          <w:rFonts w:ascii="Calibri" w:hAnsi="Calibri" w:cs="Calibri"/>
        </w:rPr>
        <w:t> </w:t>
      </w:r>
      <w:r>
        <w:t>4 permitted the adoption of different meanings of veracity and no practical problems had been identified with this approach.</w:t>
      </w:r>
      <w:r>
        <w:rPr>
          <w:rStyle w:val="FootnoteReference"/>
        </w:rPr>
        <w:footnoteReference w:id="786"/>
      </w:r>
      <w:r>
        <w:t xml:space="preserve"> </w:t>
      </w:r>
    </w:p>
    <w:p w14:paraId="3D17BB5E" w14:textId="77777777" w:rsidR="00E13DFB" w:rsidRDefault="00E13DFB" w:rsidP="00E13DFB">
      <w:pPr>
        <w:pStyle w:val="BodyText"/>
      </w:pPr>
      <w:r>
        <w:t xml:space="preserve">A review of cases and commentary since the Second Review has not identified any examples where the use of the word veracity in sections 4 and 35 is causing significant problems in practice. Discussion in the case law has largely focused on the use of </w:t>
      </w:r>
      <w:r>
        <w:lastRenderedPageBreak/>
        <w:t>“veracity” in section 35, and it has generally been acknowledged that “veracity” is to be understood differently in that context.</w:t>
      </w:r>
      <w:r>
        <w:rPr>
          <w:rStyle w:val="FootnoteReference"/>
        </w:rPr>
        <w:footnoteReference w:id="787"/>
      </w:r>
      <w:r>
        <w:t xml:space="preserve"> </w:t>
      </w:r>
    </w:p>
    <w:p w14:paraId="527BDFE3" w14:textId="77777777" w:rsidR="00E13DFB" w:rsidRDefault="00E13DFB" w:rsidP="00E13DFB">
      <w:pPr>
        <w:pStyle w:val="BodyText"/>
      </w:pPr>
      <w:r>
        <w:t>In the absence of practical difficulties, the question of whether the Act should be amended becomes one of whether it is desirable to amend the Act to make explicit the different meanings attached to “veracity” instead of having to rely on case law. This could help to improve the clarity and accessibility of the law.</w:t>
      </w:r>
      <w:r>
        <w:rPr>
          <w:rStyle w:val="FootnoteReference"/>
        </w:rPr>
        <w:footnoteReference w:id="788"/>
      </w:r>
      <w:r>
        <w:t xml:space="preserve"> </w:t>
      </w:r>
    </w:p>
    <w:p w14:paraId="7548E007" w14:textId="77777777" w:rsidR="00E13DFB" w:rsidRDefault="00E13DFB" w:rsidP="00E13DFB">
      <w:pPr>
        <w:pStyle w:val="BodyText"/>
      </w:pPr>
      <w:r>
        <w:t>If reform is considered desirable, the Act could be amended to only use the term “veracity” in relation to the veracity rules in section 37.</w:t>
      </w:r>
      <w:r>
        <w:rPr>
          <w:rStyle w:val="FootnoteReference"/>
        </w:rPr>
        <w:footnoteReference w:id="789"/>
      </w:r>
      <w:r>
        <w:t xml:space="preserve"> References to “veracity” in the section 4 definition of “hostile witness” and section 35 could be changed to refer instead to “honesty” or “truthfulness”. As noted above, the Commission’s proposed Evidence Code used the term “truthfulness”, but this was changed to “veracity” at select committee stage. Changing the language in sections 4 and 35 would have the advantage of very clearly distinguishing section 37, making it clear that the former sections rely on a different approach from “veracity” as understood in the veracity provisions. The drawback of such an approach is that it may open up further definitional issues by introducing new terms into the Act, including those which were explicitly rejected in its development.</w:t>
      </w:r>
    </w:p>
    <w:p w14:paraId="59E8949C" w14:textId="03355741" w:rsidR="00A95E2B" w:rsidRDefault="00A95E2B" w:rsidP="00A95E2B">
      <w:pPr>
        <w:pStyle w:val="QuestionBox"/>
      </w:pPr>
      <w:r>
        <w:rPr>
          <w:noProof/>
        </w:rPr>
        <mc:AlternateContent>
          <mc:Choice Requires="wpg">
            <w:drawing>
              <wp:anchor distT="0" distB="0" distL="114300" distR="114300" simplePos="0" relativeHeight="251658352" behindDoc="1" locked="0" layoutInCell="1" allowOverlap="1" wp14:anchorId="3061166E" wp14:editId="17A64E2F">
                <wp:simplePos x="0" y="0"/>
                <wp:positionH relativeFrom="column">
                  <wp:posOffset>0</wp:posOffset>
                </wp:positionH>
                <wp:positionV relativeFrom="paragraph">
                  <wp:posOffset>0</wp:posOffset>
                </wp:positionV>
                <wp:extent cx="5760085" cy="1667148"/>
                <wp:effectExtent l="0" t="0" r="0" b="9525"/>
                <wp:wrapNone/>
                <wp:docPr id="237" name="Group 237" descr="Question"/>
                <wp:cNvGraphicFramePr/>
                <a:graphic xmlns:a="http://schemas.openxmlformats.org/drawingml/2006/main">
                  <a:graphicData uri="http://schemas.microsoft.com/office/word/2010/wordprocessingGroup">
                    <wpg:wgp>
                      <wpg:cNvGrpSpPr/>
                      <wpg:grpSpPr>
                        <a:xfrm>
                          <a:off x="0" y="0"/>
                          <a:ext cx="5760085" cy="1667148"/>
                          <a:chOff x="0" y="62865"/>
                          <a:chExt cx="5760085" cy="1667525"/>
                        </a:xfrm>
                      </wpg:grpSpPr>
                      <wps:wsp>
                        <wps:cNvPr id="23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91D7B6" w14:textId="77777777" w:rsidR="00A95E2B" w:rsidRDefault="00A95E2B" w:rsidP="00A95E2B">
                              <w:pPr>
                                <w:pStyle w:val="BoxTitle"/>
                                <w:spacing w:before="0" w:beforeAutospacing="0"/>
                              </w:pPr>
                              <w:r w:rsidRPr="007F6876">
                                <w:t>QUESTION</w:t>
                              </w:r>
                            </w:p>
                          </w:txbxContent>
                        </wps:txbx>
                        <wps:bodyPr rot="0" vert="horz" wrap="square" lIns="91440" tIns="0" rIns="0" bIns="45720" anchor="ctr" anchorCtr="0" upright="1">
                          <a:noAutofit/>
                        </wps:bodyPr>
                      </wps:wsp>
                      <wpg:grpSp>
                        <wpg:cNvPr id="239" name="Group 53"/>
                        <wpg:cNvGrpSpPr>
                          <a:grpSpLocks/>
                        </wpg:cNvGrpSpPr>
                        <wpg:grpSpPr bwMode="auto">
                          <a:xfrm>
                            <a:off x="0" y="315706"/>
                            <a:ext cx="5760085" cy="1414684"/>
                            <a:chOff x="1837" y="1786"/>
                            <a:chExt cx="9302" cy="15281"/>
                          </a:xfrm>
                        </wpg:grpSpPr>
                        <wps:wsp>
                          <wps:cNvPr id="240" name="Freeform 54"/>
                          <wps:cNvSpPr>
                            <a:spLocks/>
                          </wps:cNvSpPr>
                          <wps:spPr bwMode="auto">
                            <a:xfrm>
                              <a:off x="1837" y="1786"/>
                              <a:ext cx="9302" cy="1528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wpg:grpSpPr>
                          <a:xfrm>
                            <a:off x="0" y="494036"/>
                            <a:ext cx="1443794" cy="252000"/>
                            <a:chOff x="-15880" y="0"/>
                            <a:chExt cx="1444379" cy="252068"/>
                          </a:xfrm>
                        </wpg:grpSpPr>
                        <wps:wsp>
                          <wps:cNvPr id="24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010FB3" w14:textId="77777777" w:rsidR="00A95E2B" w:rsidRPr="00E90B8A" w:rsidRDefault="00A95E2B" w:rsidP="00A95E2B">
                                <w:pPr>
                                  <w:pStyle w:val="BoxTitle"/>
                                  <w:spacing w:before="0" w:beforeAutospacing="0"/>
                                  <w:rPr>
                                    <w:sz w:val="18"/>
                                    <w:szCs w:val="18"/>
                                  </w:rPr>
                                </w:pPr>
                                <w:r w:rsidRPr="00E90B8A">
                                  <w:rPr>
                                    <w:sz w:val="18"/>
                                    <w:szCs w:val="18"/>
                                  </w:rPr>
                                  <w:t>Q</w:t>
                                </w:r>
                                <w:r>
                                  <w:rPr>
                                    <w:sz w:val="18"/>
                                    <w:szCs w:val="18"/>
                                  </w:rPr>
                                  <w:t>47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061166E" id="Group 237" o:spid="_x0000_s1349" alt="Question" style="position:absolute;left:0;text-align:left;margin-left:0;margin-top:0;width:453.55pt;height:131.25pt;z-index:-251658128;mso-height-relative:margin" coordorigin=",628" coordsize="57600,1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">
                <v:shape id="Freeform 52" o:spid="_x0000_s135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D91D7B6" w14:textId="77777777" w:rsidR="00A95E2B" w:rsidRDefault="00A95E2B" w:rsidP="00A95E2B">
                        <w:pPr>
                          <w:pStyle w:val="BoxTitle"/>
                          <w:spacing w:before="0" w:beforeAutospacing="0"/>
                        </w:pPr>
                        <w:r w:rsidRPr="007F6876">
                          <w:t>QUESTION</w:t>
                        </w:r>
                      </w:p>
                    </w:txbxContent>
                  </v:textbox>
                </v:shape>
                <v:group id="Group 53" o:spid="_x0000_s1351" style="position:absolute;top:3157;width:57600;height:14146" coordorigin="1837,1786" coordsize="9302,1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54" o:spid="_x0000_s1352" style="position:absolute;left:1837;top:1786;width:9302;height:1528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" path="m,l9354,r,7809l,7809,,e" fillcolor="#edf2ea" stroked="f">
                    <v:path arrowok="t" o:connecttype="custom" o:connectlocs="0,1957;9302,1957;9302,17238;0,17238;0,1957" o:connectangles="0,0,0,0,0"/>
                  </v:shape>
                </v:group>
                <v:group id="Group 241" o:spid="_x0000_s135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58" o:spid="_x0000_s135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" path="m,l1815,e" filled="f" strokecolor="#72ab6a" strokeweight=".5pt">
                    <v:path arrowok="t" o:connecttype="custom" o:connectlocs="0,0;1073495,0" o:connectangles="0,0"/>
                  </v:shape>
                  <v:shape id="Freeform 66" o:spid="_x0000_s135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5010FB3" w14:textId="77777777" w:rsidR="00A95E2B" w:rsidRPr="00E90B8A" w:rsidRDefault="00A95E2B" w:rsidP="00A95E2B">
                          <w:pPr>
                            <w:pStyle w:val="BoxTitle"/>
                            <w:spacing w:before="0" w:beforeAutospacing="0"/>
                            <w:rPr>
                              <w:sz w:val="18"/>
                              <w:szCs w:val="18"/>
                            </w:rPr>
                          </w:pPr>
                          <w:r w:rsidRPr="00E90B8A">
                            <w:rPr>
                              <w:sz w:val="18"/>
                              <w:szCs w:val="18"/>
                            </w:rPr>
                            <w:t>Q</w:t>
                          </w:r>
                          <w:r>
                            <w:rPr>
                              <w:sz w:val="18"/>
                              <w:szCs w:val="18"/>
                            </w:rPr>
                            <w:t>47</w:t>
                          </w:r>
                        </w:p>
                      </w:txbxContent>
                    </v:textbox>
                  </v:shape>
                </v:group>
              </v:group>
            </w:pict>
          </mc:Fallback>
        </mc:AlternateContent>
      </w:r>
    </w:p>
    <w:p w14:paraId="12A8A38A" w14:textId="77777777" w:rsidR="00A95E2B" w:rsidRDefault="00A95E2B" w:rsidP="00A95E2B">
      <w:pPr>
        <w:pStyle w:val="QuestionBox"/>
      </w:pPr>
    </w:p>
    <w:p w14:paraId="07C76136" w14:textId="4A9A0B19" w:rsidR="00E13DFB" w:rsidRDefault="00E13DFB" w:rsidP="00A95E2B">
      <w:pPr>
        <w:pStyle w:val="QuestionBox"/>
      </w:pPr>
      <w:r>
        <w:t>Is the different approach to veracity taken in sections outside of the veracity rules causing problems in practice? If so, should the Act be amended to clarify the different meaning of “veracity” in relation to the definition of hostile witness in section 4(1) and the rules governing previous consistent statements in section 35(2)(a)?</w:t>
      </w:r>
    </w:p>
    <w:p w14:paraId="06E9010E" w14:textId="77777777" w:rsidR="00E13DFB" w:rsidRPr="001D5FF9" w:rsidRDefault="00E13DFB" w:rsidP="00E13DFB">
      <w:pPr>
        <w:pStyle w:val="BodyText"/>
        <w:numPr>
          <w:ilvl w:val="0"/>
          <w:numId w:val="0"/>
        </w:numPr>
        <w:rPr>
          <w:lang w:val="en-US"/>
        </w:rPr>
      </w:pPr>
    </w:p>
    <w:p w14:paraId="33DA1E8C" w14:textId="77777777" w:rsidR="00E13DFB" w:rsidRDefault="00E13DFB" w:rsidP="00E13DFB">
      <w:pPr>
        <w:pStyle w:val="BodyTextalphalist"/>
        <w:ind w:left="0" w:firstLine="0"/>
      </w:pPr>
    </w:p>
    <w:p w14:paraId="51D2BDFF" w14:textId="77777777" w:rsidR="00E13DFB" w:rsidRDefault="00E13DFB" w:rsidP="00E13DFB">
      <w:pPr>
        <w:pStyle w:val="BodyTextalphalist"/>
        <w:ind w:left="0" w:firstLine="0"/>
      </w:pPr>
    </w:p>
    <w:p w14:paraId="1CCFB103" w14:textId="77777777" w:rsidR="00E13DFB" w:rsidRDefault="00E13DFB" w:rsidP="00E13DFB">
      <w:pPr>
        <w:pStyle w:val="BodyTextalphalist"/>
        <w:ind w:left="0" w:firstLine="0"/>
      </w:pPr>
      <w:r w:rsidRPr="00D37FCE">
        <w:rPr>
          <w:rFonts w:eastAsiaTheme="minorHAnsi"/>
          <w:noProof/>
          <w:lang w:eastAsia="en-NZ"/>
        </w:rPr>
        <mc:AlternateContent>
          <mc:Choice Requires="wpg">
            <w:drawing>
              <wp:anchor distT="0" distB="0" distL="114300" distR="114300" simplePos="0" relativeHeight="251658341" behindDoc="1" locked="0" layoutInCell="1" allowOverlap="1" wp14:anchorId="2776AFDB" wp14:editId="0F452407">
                <wp:simplePos x="0" y="0"/>
                <wp:positionH relativeFrom="page">
                  <wp:posOffset>1080135</wp:posOffset>
                </wp:positionH>
                <wp:positionV relativeFrom="paragraph">
                  <wp:posOffset>19050</wp:posOffset>
                </wp:positionV>
                <wp:extent cx="2411730" cy="1270"/>
                <wp:effectExtent l="0" t="19050" r="26670" b="1778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5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46494" id="Group 44" o:spid="_x0000_s1026" style="position:absolute;margin-left:85.05pt;margin-top:1.5pt;width:189.9pt;height:.1pt;z-index:-25165813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i1/AIAANw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" path="m,l2097,e" filled="f" strokecolor="#72ab6a" strokeweight="3pt">
                  <v:path arrowok="t" o:connecttype="custom" o:connectlocs="0,0;2097,0" o:connectangles="0,0"/>
                </v:shape>
                <w10:wrap anchorx="page"/>
              </v:group>
            </w:pict>
          </mc:Fallback>
        </mc:AlternateContent>
      </w:r>
    </w:p>
    <w:p w14:paraId="66C67D9B" w14:textId="77777777" w:rsidR="00E13DFB" w:rsidRPr="00D37FCE" w:rsidRDefault="00E13DFB" w:rsidP="00E13DFB">
      <w:pPr>
        <w:pStyle w:val="BodyTextalphalist"/>
        <w:ind w:left="0" w:firstLine="0"/>
      </w:pPr>
    </w:p>
    <w:p w14:paraId="67CD8204" w14:textId="77777777" w:rsidR="00E13DFB" w:rsidRDefault="00E13DFB" w:rsidP="00E13DFB">
      <w:pPr>
        <w:pStyle w:val="HEADING2topchapter-notinTOC"/>
        <w:pageBreakBefore w:val="0"/>
        <w:rPr>
          <w:noProof/>
        </w:rPr>
        <w:sectPr w:rsidR="00E13DFB" w:rsidSect="00FD6721">
          <w:headerReference w:type="default" r:id="rId44"/>
          <w:footnotePr>
            <w:numRestart w:val="eachSect"/>
          </w:footnotePr>
          <w:type w:val="nextColumn"/>
          <w:pgSz w:w="11907" w:h="16840" w:code="9"/>
          <w:pgMar w:top="1134" w:right="1134" w:bottom="1134" w:left="1701" w:header="499" w:footer="46" w:gutter="0"/>
          <w:cols w:space="720"/>
        </w:sectPr>
      </w:pPr>
    </w:p>
    <w:p w14:paraId="5201C412" w14:textId="77777777" w:rsidR="00E13DFB" w:rsidRPr="00D37FCE" w:rsidRDefault="00E13DFB" w:rsidP="00E13DFB">
      <w:pPr>
        <w:pStyle w:val="HEADING2topchapter-notinTOC"/>
        <w:rPr>
          <w:sz w:val="21"/>
          <w:szCs w:val="21"/>
        </w:rPr>
      </w:pPr>
      <w:r w:rsidRPr="00D37FCE">
        <w:lastRenderedPageBreak/>
        <w:t>CHAPTER</w:t>
      </w:r>
      <w:r w:rsidRPr="00D37FCE">
        <w:rPr>
          <w:sz w:val="21"/>
          <w:szCs w:val="21"/>
        </w:rPr>
        <w:t xml:space="preserve"> </w:t>
      </w:r>
      <w:r>
        <w:rPr>
          <w:sz w:val="21"/>
          <w:szCs w:val="21"/>
        </w:rPr>
        <w:t>10</w:t>
      </w:r>
    </w:p>
    <w:p w14:paraId="28CBC09B"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22" behindDoc="1" locked="0" layoutInCell="1" allowOverlap="1" wp14:anchorId="6A83CE3F" wp14:editId="5D8C3F72">
                <wp:simplePos x="0" y="0"/>
                <wp:positionH relativeFrom="page">
                  <wp:posOffset>1076653</wp:posOffset>
                </wp:positionH>
                <wp:positionV relativeFrom="paragraph">
                  <wp:posOffset>53975</wp:posOffset>
                </wp:positionV>
                <wp:extent cx="1332230" cy="1270"/>
                <wp:effectExtent l="0" t="19050" r="1270" b="1778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01DA2" id="Group 22" o:spid="_x0000_s1026" style="position:absolute;margin-left:84.8pt;margin-top:4.25pt;width:104.9pt;height:.1pt;z-index:-25165815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eD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2BA8BA86" w14:textId="77777777" w:rsidR="00E13DFB" w:rsidRPr="005D33A4" w:rsidRDefault="00E13DFB" w:rsidP="009F3511">
      <w:pPr>
        <w:pStyle w:val="Heading1"/>
        <w:rPr>
          <w:rFonts w:eastAsia="Metropolis Black"/>
        </w:rPr>
      </w:pPr>
      <w:bookmarkStart w:id="138" w:name="_Toc132962585"/>
      <w:r>
        <w:rPr>
          <w:color w:val="FFFFFF" w:themeColor="background1"/>
          <w:sz w:val="2"/>
          <w:szCs w:val="2"/>
        </w:rPr>
        <w:t>10</w:t>
      </w:r>
      <w:r w:rsidRPr="00D37FCE">
        <w:rPr>
          <w:color w:val="FFFFFF" w:themeColor="background1"/>
          <w:sz w:val="2"/>
          <w:szCs w:val="2"/>
        </w:rPr>
        <w:t xml:space="preserve"> </w:t>
      </w:r>
      <w:r>
        <w:rPr>
          <w:rFonts w:eastAsia="Metropolis Black"/>
        </w:rPr>
        <w:t>Propensity</w:t>
      </w:r>
      <w:r w:rsidRPr="00E31662">
        <w:rPr>
          <w:rFonts w:eastAsia="Metropolis Black"/>
        </w:rPr>
        <w:t xml:space="preserve"> evidence</w:t>
      </w:r>
      <w:bookmarkEnd w:id="138"/>
    </w:p>
    <w:p w14:paraId="030873B6"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23" behindDoc="1" locked="0" layoutInCell="1" allowOverlap="1" wp14:anchorId="686ADC37" wp14:editId="668F2815">
                <wp:simplePos x="0" y="0"/>
                <wp:positionH relativeFrom="page">
                  <wp:posOffset>1087427</wp:posOffset>
                </wp:positionH>
                <wp:positionV relativeFrom="paragraph">
                  <wp:posOffset>71755</wp:posOffset>
                </wp:positionV>
                <wp:extent cx="1332230" cy="1270"/>
                <wp:effectExtent l="0" t="19050" r="1270" b="1778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FB428" id="Group 24" o:spid="_x0000_s1026" style="position:absolute;margin-left:85.6pt;margin-top:5.65pt;width:104.9pt;height:.1pt;z-index:-25165815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FR9Q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64BB61A" w14:textId="77777777" w:rsidR="00E13DFB" w:rsidRDefault="00E13DFB" w:rsidP="00E13DFB">
      <w:pPr>
        <w:pStyle w:val="BodyTextalphalist"/>
        <w:ind w:left="0" w:firstLine="0"/>
      </w:pPr>
    </w:p>
    <w:p w14:paraId="5195EAFF" w14:textId="77777777" w:rsidR="00E13DFB" w:rsidRDefault="00E13DFB" w:rsidP="00E13DFB">
      <w:pPr>
        <w:rPr>
          <w:lang w:eastAsia="zh-TW"/>
        </w:rPr>
      </w:pPr>
    </w:p>
    <w:p w14:paraId="7F652A99" w14:textId="77777777" w:rsidR="00E13DFB" w:rsidRDefault="00E13DFB" w:rsidP="00E13DFB">
      <w:r w:rsidRPr="00D37FCE">
        <w:rPr>
          <w:rFonts w:eastAsia="Metropolis"/>
          <w:noProof/>
        </w:rPr>
        <mc:AlternateContent>
          <mc:Choice Requires="wpg">
            <w:drawing>
              <wp:anchor distT="0" distB="0" distL="114300" distR="114300" simplePos="0" relativeHeight="251658335" behindDoc="1" locked="0" layoutInCell="1" allowOverlap="1" wp14:anchorId="1D01A25F" wp14:editId="62BEC9D6">
                <wp:simplePos x="0" y="0"/>
                <wp:positionH relativeFrom="column">
                  <wp:posOffset>991</wp:posOffset>
                </wp:positionH>
                <wp:positionV relativeFrom="paragraph">
                  <wp:posOffset>21590</wp:posOffset>
                </wp:positionV>
                <wp:extent cx="5792470" cy="2102485"/>
                <wp:effectExtent l="0" t="0" r="0" b="0"/>
                <wp:wrapNone/>
                <wp:docPr id="764518327" name="Group 764518327"/>
                <wp:cNvGraphicFramePr/>
                <a:graphic xmlns:a="http://schemas.openxmlformats.org/drawingml/2006/main">
                  <a:graphicData uri="http://schemas.microsoft.com/office/word/2010/wordprocessingGroup">
                    <wpg:wgp>
                      <wpg:cNvGrpSpPr/>
                      <wpg:grpSpPr>
                        <a:xfrm>
                          <a:off x="0" y="0"/>
                          <a:ext cx="5792470" cy="2102485"/>
                          <a:chOff x="0" y="-4768"/>
                          <a:chExt cx="5793105" cy="2105485"/>
                        </a:xfrm>
                      </wpg:grpSpPr>
                      <wpg:grpSp>
                        <wpg:cNvPr id="764518328" name="Group 53"/>
                        <wpg:cNvGrpSpPr>
                          <a:grpSpLocks/>
                        </wpg:cNvGrpSpPr>
                        <wpg:grpSpPr bwMode="auto">
                          <a:xfrm>
                            <a:off x="0" y="314275"/>
                            <a:ext cx="5793105" cy="1786442"/>
                            <a:chOff x="1837" y="1792"/>
                            <a:chExt cx="9354" cy="19288"/>
                          </a:xfrm>
                        </wpg:grpSpPr>
                        <wps:wsp>
                          <wps:cNvPr id="764518329" name="Freeform 54"/>
                          <wps:cNvSpPr>
                            <a:spLocks/>
                          </wps:cNvSpPr>
                          <wps:spPr bwMode="auto">
                            <a:xfrm>
                              <a:off x="1837" y="1792"/>
                              <a:ext cx="9354" cy="1928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30"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A95F7A" w14:textId="77777777" w:rsidR="00E13DFB" w:rsidRDefault="00E13DFB" w:rsidP="00E13DFB">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1D01A25F" id="Group 764518327" o:spid="_x0000_s1356" style="position:absolute;margin-left:.1pt;margin-top:1.7pt;width:456.1pt;height:165.55pt;z-index:-251658145;mso-height-relative:margin" coordorigin=",-47" coordsize="57931,2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">
                <v:group id="Group 53" o:spid="_x0000_s1357" style="position:absolute;top:3142;width:57931;height:17865" coordorigin="1837,1792" coordsize="9354,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">
                  <v:shape id="Freeform 54" o:spid="_x0000_s1358" style="position:absolute;left:1837;top:1792;width:9354;height:1928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" path="m,l9354,r,7809l,7809,,e" fillcolor="#edf2ea" stroked="f">
                    <v:path arrowok="t" o:connecttype="custom" o:connectlocs="0,2470;9354,2470;9354,21758;0,21758;0,2470" o:connectangles="0,0,0,0,0"/>
                  </v:shape>
                </v:group>
                <v:shape id="Freeform 52" o:spid="_x0000_s1359"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00A95F7A" w14:textId="77777777" w:rsidR="00E13DFB" w:rsidRDefault="00E13DFB" w:rsidP="00E13DFB">
                        <w:pPr>
                          <w:pStyle w:val="BoxTitle"/>
                          <w:spacing w:before="60" w:beforeAutospacing="0"/>
                        </w:pPr>
                        <w:r>
                          <w:t>INTRODUCTION</w:t>
                        </w:r>
                      </w:p>
                    </w:txbxContent>
                  </v:textbox>
                </v:shape>
              </v:group>
            </w:pict>
          </mc:Fallback>
        </mc:AlternateContent>
      </w:r>
    </w:p>
    <w:p w14:paraId="67203A59" w14:textId="77777777" w:rsidR="00E13DFB" w:rsidRDefault="00E13DFB" w:rsidP="00E13DFB">
      <w:pPr>
        <w:pStyle w:val="QuestionBox"/>
        <w:tabs>
          <w:tab w:val="clear" w:pos="709"/>
        </w:tabs>
        <w:ind w:left="0"/>
        <w:rPr>
          <w:rFonts w:eastAsia="Metropolis"/>
          <w:noProof/>
        </w:rPr>
      </w:pPr>
    </w:p>
    <w:p w14:paraId="5A6B5175" w14:textId="77777777" w:rsidR="00E13DFB" w:rsidRPr="00FF236A" w:rsidRDefault="00E13DFB" w:rsidP="00E13DFB">
      <w:pPr>
        <w:pStyle w:val="ListParagraph"/>
        <w:tabs>
          <w:tab w:val="left" w:pos="709"/>
        </w:tabs>
        <w:ind w:left="0"/>
        <w:contextualSpacing w:val="0"/>
        <w:jc w:val="both"/>
        <w:rPr>
          <w:rFonts w:eastAsia="Times New Roman" w:cs="Times New Roman"/>
          <w:vanish/>
          <w:color w:val="000000" w:themeColor="text1"/>
          <w:sz w:val="20"/>
          <w:szCs w:val="20"/>
          <w:lang w:eastAsia="en-AU"/>
        </w:rPr>
      </w:pPr>
    </w:p>
    <w:p w14:paraId="6220C946" w14:textId="77777777" w:rsidR="00E13DFB" w:rsidRDefault="00E13DFB" w:rsidP="00E13DFB">
      <w:pPr>
        <w:pStyle w:val="QuestionBox"/>
        <w:ind w:left="284"/>
      </w:pPr>
      <w:r>
        <w:t>In this chapter, we consider section 43 (propensity evidence offered by the prosecution about defendants) and seek feedback on issues relating to:</w:t>
      </w:r>
    </w:p>
    <w:p w14:paraId="1ED65F1E" w14:textId="77777777" w:rsidR="00E13DFB" w:rsidRDefault="00E13DFB" w:rsidP="00866891">
      <w:pPr>
        <w:pStyle w:val="ListBullet"/>
        <w:numPr>
          <w:ilvl w:val="0"/>
          <w:numId w:val="20"/>
        </w:numPr>
        <w:ind w:left="709" w:hanging="425"/>
      </w:pPr>
      <w:r>
        <w:t>the general operation of section 43(1);</w:t>
      </w:r>
    </w:p>
    <w:p w14:paraId="210BCFD3" w14:textId="77777777" w:rsidR="00E13DFB" w:rsidRDefault="00E13DFB" w:rsidP="00866891">
      <w:pPr>
        <w:pStyle w:val="ListBullet"/>
        <w:numPr>
          <w:ilvl w:val="0"/>
          <w:numId w:val="20"/>
        </w:numPr>
        <w:ind w:left="709" w:hanging="425"/>
      </w:pPr>
      <w:r>
        <w:t>prior acquittal evidence;</w:t>
      </w:r>
    </w:p>
    <w:p w14:paraId="5D30A7E5" w14:textId="77777777" w:rsidR="00E13DFB" w:rsidRDefault="00E13DFB" w:rsidP="00866891">
      <w:pPr>
        <w:pStyle w:val="ListBullet"/>
        <w:numPr>
          <w:ilvl w:val="0"/>
          <w:numId w:val="20"/>
        </w:numPr>
        <w:ind w:left="709" w:hanging="425"/>
      </w:pPr>
      <w:r>
        <w:t>the unusualness factor in section 43(3); and</w:t>
      </w:r>
    </w:p>
    <w:p w14:paraId="2EA5D8A8" w14:textId="77777777" w:rsidR="00E13DFB" w:rsidRDefault="00E13DFB" w:rsidP="00866891">
      <w:pPr>
        <w:pStyle w:val="ListBullet"/>
        <w:numPr>
          <w:ilvl w:val="0"/>
          <w:numId w:val="20"/>
        </w:numPr>
        <w:ind w:left="709" w:hanging="425"/>
      </w:pPr>
      <w:r>
        <w:t>the relevance of reliability.</w:t>
      </w:r>
    </w:p>
    <w:p w14:paraId="2B755E0E" w14:textId="77777777" w:rsidR="00E13DFB" w:rsidRDefault="00E13DFB" w:rsidP="00E13DFB">
      <w:pPr>
        <w:pStyle w:val="ListBullet"/>
        <w:numPr>
          <w:ilvl w:val="0"/>
          <w:numId w:val="0"/>
        </w:numPr>
        <w:ind w:left="709"/>
      </w:pPr>
    </w:p>
    <w:p w14:paraId="50A5FB54" w14:textId="77777777" w:rsidR="00E13DFB" w:rsidRDefault="00E13DFB" w:rsidP="009F3511">
      <w:pPr>
        <w:pStyle w:val="Heading2"/>
      </w:pPr>
      <w:bookmarkStart w:id="139" w:name="_Toc132962586"/>
      <w:r>
        <w:t>Background</w:t>
      </w:r>
      <w:bookmarkEnd w:id="139"/>
    </w:p>
    <w:p w14:paraId="0AA7A0DB" w14:textId="77777777" w:rsidR="00E13DFB" w:rsidRPr="00553E56" w:rsidRDefault="00E13DFB" w:rsidP="00866891">
      <w:pPr>
        <w:pStyle w:val="ListParagraph"/>
        <w:numPr>
          <w:ilvl w:val="0"/>
          <w:numId w:val="28"/>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5BD2B524" w14:textId="77777777" w:rsidR="00E13DFB" w:rsidRDefault="00E13DFB" w:rsidP="009F3511">
      <w:pPr>
        <w:pStyle w:val="BodyText"/>
        <w:tabs>
          <w:tab w:val="num" w:pos="709"/>
          <w:tab w:val="num" w:pos="1425"/>
        </w:tabs>
        <w:ind w:left="596" w:hanging="596"/>
      </w:pPr>
      <w:r>
        <w:t>Propensity evidence is defined as evidence that tends to show a person’s propensity to act in a particular way or to have a particular state of mind.</w:t>
      </w:r>
      <w:r>
        <w:rPr>
          <w:rStyle w:val="FootnoteReference"/>
        </w:rPr>
        <w:footnoteReference w:id="790"/>
      </w:r>
      <w:r>
        <w:t xml:space="preserve"> As te Kōti Mana Nui | Supreme Court has observed, the rationale for admitting propensity evidence rests largely on the concepts of linkage and coincidence: the greater the linkage or coincidence provided by the propensity evidence, the greater the probative value that evidence is likely to have.</w:t>
      </w:r>
      <w:r>
        <w:rPr>
          <w:rStyle w:val="FootnoteReference"/>
        </w:rPr>
        <w:footnoteReference w:id="791"/>
      </w:r>
      <w:r>
        <w:t xml:space="preserve"> This is often referred to as “propensity reasoning”.</w:t>
      </w:r>
    </w:p>
    <w:p w14:paraId="3D7C2023" w14:textId="77777777" w:rsidR="00E13DFB" w:rsidRDefault="00E13DFB" w:rsidP="00E13DFB">
      <w:pPr>
        <w:pStyle w:val="BodyText"/>
        <w:tabs>
          <w:tab w:val="clear" w:pos="709"/>
          <w:tab w:val="left" w:pos="567"/>
        </w:tabs>
        <w:ind w:left="567" w:hanging="567"/>
      </w:pPr>
      <w:r>
        <w:t>Section 43 of the Evidence Act 2006 controls the admissibility of propensity evidence offered by the prosecution about defendants. It provides that:</w:t>
      </w:r>
    </w:p>
    <w:p w14:paraId="5DE9B46E" w14:textId="77777777" w:rsidR="00E13DFB" w:rsidRPr="00E56372" w:rsidRDefault="00E13DFB" w:rsidP="00E13DFB">
      <w:pPr>
        <w:pStyle w:val="Quote"/>
        <w:rPr>
          <w:b/>
          <w:bCs/>
        </w:rPr>
      </w:pPr>
      <w:r w:rsidRPr="00E56372">
        <w:rPr>
          <w:b/>
          <w:bCs/>
        </w:rPr>
        <w:t>43</w:t>
      </w:r>
      <w:r w:rsidRPr="00E56372">
        <w:rPr>
          <w:b/>
          <w:bCs/>
        </w:rPr>
        <w:tab/>
        <w:t>Propensity evidence offered by prosecution about defendants</w:t>
      </w:r>
    </w:p>
    <w:p w14:paraId="69BBD85E" w14:textId="77777777" w:rsidR="00E13DFB" w:rsidRDefault="00E13DFB" w:rsidP="00E13DFB">
      <w:pPr>
        <w:pStyle w:val="Quote"/>
      </w:pPr>
      <w:r>
        <w:t>(1)</w:t>
      </w:r>
      <w:r>
        <w:tab/>
        <w:t>The prosecution may offer propensity evidence about a defendant in a criminal proceeding only if the evidence has a probative value in relation to an issue in dispute in the proceeding which outweighs the risk that the evidence may have an unfairly prejudicial effect on the defendant.</w:t>
      </w:r>
    </w:p>
    <w:p w14:paraId="66688A61" w14:textId="77777777" w:rsidR="00E13DFB" w:rsidRDefault="00E13DFB" w:rsidP="00E13DFB">
      <w:pPr>
        <w:pStyle w:val="Quote"/>
      </w:pPr>
      <w:r>
        <w:t>(2)</w:t>
      </w:r>
      <w:r>
        <w:tab/>
        <w:t>When assessing the probative value of propensity evidence, the Judge must take into account the nature of the issue in dispute.</w:t>
      </w:r>
    </w:p>
    <w:p w14:paraId="53918B38" w14:textId="77777777" w:rsidR="00E13DFB" w:rsidRDefault="00E13DFB" w:rsidP="00E13DFB">
      <w:pPr>
        <w:pStyle w:val="Quote"/>
      </w:pPr>
      <w:r>
        <w:lastRenderedPageBreak/>
        <w:t>(3)</w:t>
      </w:r>
      <w:r>
        <w:tab/>
        <w:t>When assessing the probative value of propensity evidence, the Judge may consider, among other matters, the following:</w:t>
      </w:r>
    </w:p>
    <w:p w14:paraId="1196D756" w14:textId="77777777" w:rsidR="00E13DFB" w:rsidRDefault="00E13DFB" w:rsidP="00E13DFB">
      <w:pPr>
        <w:pStyle w:val="Quote"/>
        <w:ind w:left="1843" w:hanging="425"/>
      </w:pPr>
      <w:r>
        <w:t>(a)</w:t>
      </w:r>
      <w:r>
        <w:tab/>
        <w:t>the frequency with which the acts, omissions, events, or circumstances that are the subject of the evidence have occurred:</w:t>
      </w:r>
    </w:p>
    <w:p w14:paraId="62CFB89C" w14:textId="77777777" w:rsidR="00E13DFB" w:rsidRDefault="00E13DFB" w:rsidP="00E13DFB">
      <w:pPr>
        <w:pStyle w:val="Quote"/>
        <w:ind w:left="1843" w:hanging="425"/>
      </w:pPr>
      <w:r>
        <w:t>(b)</w:t>
      </w:r>
      <w:r>
        <w:tab/>
        <w:t>the connection in time between the acts, omissions, events, or circumstances that are the subject of the evidence and the acts, omissions, events, or circumstances which constitute the offence for which the defendant is being tried:</w:t>
      </w:r>
    </w:p>
    <w:p w14:paraId="55EA259E" w14:textId="77777777" w:rsidR="00E13DFB" w:rsidRDefault="00E13DFB" w:rsidP="00E13DFB">
      <w:pPr>
        <w:pStyle w:val="Quote"/>
        <w:ind w:left="1843" w:hanging="425"/>
      </w:pPr>
      <w:r>
        <w:t>(c)</w:t>
      </w:r>
      <w:r>
        <w:tab/>
        <w:t>the extent of the similarity between the acts, omissions, events, or circumstances that are the subject of the evidence and the acts, omissions, events, or circumstances which constitute the offence for which the defendant is being tried:</w:t>
      </w:r>
    </w:p>
    <w:p w14:paraId="12B1FC49" w14:textId="77777777" w:rsidR="00E13DFB" w:rsidRDefault="00E13DFB" w:rsidP="00E13DFB">
      <w:pPr>
        <w:pStyle w:val="Quote"/>
        <w:ind w:left="1843" w:hanging="425"/>
      </w:pPr>
      <w:r>
        <w:t>(d)</w:t>
      </w:r>
      <w:r>
        <w:tab/>
        <w:t>the number of persons making allegations against the defendant that are the same as, or are similar to, the subject of the offence for which the defendant is being tried:</w:t>
      </w:r>
    </w:p>
    <w:p w14:paraId="512846D9" w14:textId="77777777" w:rsidR="00E13DFB" w:rsidRDefault="00E13DFB" w:rsidP="00E13DFB">
      <w:pPr>
        <w:pStyle w:val="Quote"/>
        <w:ind w:left="1843" w:hanging="425"/>
      </w:pPr>
      <w:r>
        <w:t>(e)</w:t>
      </w:r>
      <w:r>
        <w:tab/>
        <w:t>whether the allegations described in paragraph (d) may be the result of collusion or suggestibility:</w:t>
      </w:r>
    </w:p>
    <w:p w14:paraId="1132D3DE" w14:textId="77777777" w:rsidR="00E13DFB" w:rsidRDefault="00E13DFB" w:rsidP="00E13DFB">
      <w:pPr>
        <w:pStyle w:val="Quote"/>
        <w:ind w:left="1843" w:hanging="425"/>
      </w:pPr>
      <w:r>
        <w:t>(f)</w:t>
      </w:r>
      <w:r>
        <w:tab/>
        <w:t>the extent to which the acts, omissions, events, or circumstances that are the subject of the evidence and the acts, omissions, events, or circumstances which constitute the offence for which the defendant is being tried are unusual.</w:t>
      </w:r>
    </w:p>
    <w:p w14:paraId="65F6A7BD" w14:textId="77777777" w:rsidR="00E13DFB" w:rsidRDefault="00E13DFB" w:rsidP="00E13DFB">
      <w:pPr>
        <w:pStyle w:val="Quote"/>
      </w:pPr>
      <w:r>
        <w:t>(4)</w:t>
      </w:r>
      <w:r>
        <w:tab/>
        <w:t>When assessing the prejudicial effect of evidence on the defendant, the Judge must consider, among any other matters,—</w:t>
      </w:r>
    </w:p>
    <w:p w14:paraId="428DF16D" w14:textId="77777777" w:rsidR="00E13DFB" w:rsidRDefault="00E13DFB" w:rsidP="00E13DFB">
      <w:pPr>
        <w:pStyle w:val="Quote"/>
        <w:ind w:left="1843" w:hanging="425"/>
      </w:pPr>
      <w:r>
        <w:t>(a)</w:t>
      </w:r>
      <w:r>
        <w:tab/>
        <w:t>whether the evidence is likely to unfairly predispose the fact-finder against the defendant; and</w:t>
      </w:r>
    </w:p>
    <w:p w14:paraId="5A73AE6C" w14:textId="77777777" w:rsidR="00E13DFB" w:rsidRDefault="00E13DFB" w:rsidP="00E13DFB">
      <w:pPr>
        <w:pStyle w:val="Quote"/>
        <w:ind w:left="1843" w:hanging="425"/>
      </w:pPr>
      <w:r>
        <w:t>(b)</w:t>
      </w:r>
      <w:r>
        <w:tab/>
        <w:t>whether the fact-finder will tend to give disproportionate weight in reaching a verdict to evidence of other acts or omissions.</w:t>
      </w:r>
    </w:p>
    <w:p w14:paraId="22F75E8C" w14:textId="77777777" w:rsidR="00E13DFB" w:rsidRDefault="00E13DFB" w:rsidP="009F3511">
      <w:pPr>
        <w:pStyle w:val="Heading2"/>
      </w:pPr>
      <w:bookmarkStart w:id="140" w:name="_Toc132962587"/>
      <w:r>
        <w:t>The general operation of section 43(1)</w:t>
      </w:r>
      <w:bookmarkEnd w:id="140"/>
    </w:p>
    <w:p w14:paraId="06F2D743" w14:textId="77777777" w:rsidR="00E13DFB" w:rsidRDefault="00E13DFB" w:rsidP="00E13DFB">
      <w:pPr>
        <w:pStyle w:val="BodyText"/>
      </w:pPr>
      <w:r>
        <w:t>Section 43 is one of the most frequently litigated provisions in the Act.</w:t>
      </w:r>
      <w:r>
        <w:rPr>
          <w:rStyle w:val="FootnoteReference"/>
        </w:rPr>
        <w:footnoteReference w:id="792"/>
      </w:r>
      <w:r>
        <w:t xml:space="preserve"> This highlights not only the significance of propensity evidence to both the prosecution and the defence,</w:t>
      </w:r>
      <w:r>
        <w:rPr>
          <w:rStyle w:val="FootnoteReference"/>
        </w:rPr>
        <w:footnoteReference w:id="793"/>
      </w:r>
      <w:r>
        <w:t xml:space="preserve"> but also the intensely fact-specific nature of the section 43(1) test.</w:t>
      </w:r>
    </w:p>
    <w:p w14:paraId="2D38D3DF" w14:textId="77777777" w:rsidR="00E13DFB" w:rsidRDefault="00E13DFB" w:rsidP="009F3511">
      <w:pPr>
        <w:pStyle w:val="Heading3"/>
      </w:pPr>
      <w:r>
        <w:t>What is the issue?</w:t>
      </w:r>
    </w:p>
    <w:p w14:paraId="7824E421" w14:textId="77777777" w:rsidR="00E13DFB" w:rsidRDefault="00E13DFB" w:rsidP="00E13DFB">
      <w:pPr>
        <w:pStyle w:val="BodyText"/>
      </w:pPr>
      <w:r>
        <w:t>Preliminary feedback identified concern among some defence lawyers that the section</w:t>
      </w:r>
      <w:r>
        <w:rPr>
          <w:rFonts w:ascii="Calibri" w:hAnsi="Calibri" w:cs="Calibri"/>
        </w:rPr>
        <w:t> </w:t>
      </w:r>
      <w:r>
        <w:t>43(1) test, as applied by the courts, may:</w:t>
      </w:r>
    </w:p>
    <w:p w14:paraId="3A50C930" w14:textId="77777777" w:rsidR="00E13DFB" w:rsidRDefault="00E13DFB" w:rsidP="00866891">
      <w:pPr>
        <w:pStyle w:val="BodyTextnonum"/>
        <w:numPr>
          <w:ilvl w:val="3"/>
          <w:numId w:val="28"/>
        </w:numPr>
      </w:pPr>
      <w:r>
        <w:t>set the threshold for admitting propensity evidence too low, resulting in propensity evidence about the defendant being admitted too readily; and</w:t>
      </w:r>
    </w:p>
    <w:p w14:paraId="48431260" w14:textId="77777777" w:rsidR="00E13DFB" w:rsidRDefault="00E13DFB" w:rsidP="00866891">
      <w:pPr>
        <w:pStyle w:val="BodyTextnonum"/>
        <w:numPr>
          <w:ilvl w:val="3"/>
          <w:numId w:val="28"/>
        </w:numPr>
      </w:pPr>
      <w:r>
        <w:t xml:space="preserve">prevent the development of precedent, resulting in unpredictable and inconsistent admissibility decisions under section 43. </w:t>
      </w:r>
    </w:p>
    <w:p w14:paraId="5024C1D8" w14:textId="77777777" w:rsidR="00E13DFB" w:rsidRDefault="00E13DFB" w:rsidP="00E13DFB">
      <w:pPr>
        <w:pStyle w:val="BodyText"/>
        <w:tabs>
          <w:tab w:val="num" w:pos="709"/>
        </w:tabs>
      </w:pPr>
      <w:r>
        <w:lastRenderedPageBreak/>
        <w:t>While these appear to be views shared by some commentators,</w:t>
      </w:r>
      <w:r>
        <w:rPr>
          <w:rStyle w:val="FootnoteReference"/>
        </w:rPr>
        <w:footnoteReference w:id="794"/>
      </w:r>
      <w:r>
        <w:t xml:space="preserve"> they are not universally held. It is generally accepted that section 43 provides for a wider range of propensity evidence to be admitted than was possible under the common law similar fact evidence rule,</w:t>
      </w:r>
      <w:r>
        <w:rPr>
          <w:rStyle w:val="FootnoteReference"/>
        </w:rPr>
        <w:footnoteReference w:id="795"/>
      </w:r>
      <w:r>
        <w:t xml:space="preserve"> and that the section 43(1) test is an intensely fact-specific exercise. There are mixed views, however, on whether this is of itself problematic, and whether further elaboration of the legislative test would be helpful. </w:t>
      </w:r>
    </w:p>
    <w:p w14:paraId="2D2D548F" w14:textId="77777777" w:rsidR="00E13DFB" w:rsidRDefault="00E13DFB" w:rsidP="009F3511">
      <w:pPr>
        <w:pStyle w:val="Heading4"/>
      </w:pPr>
      <w:r>
        <w:t>How do the courts approach the section 43(1) test?</w:t>
      </w:r>
    </w:p>
    <w:p w14:paraId="3F11CAAA" w14:textId="77777777" w:rsidR="00E13DFB" w:rsidRDefault="00E13DFB" w:rsidP="00E13DFB">
      <w:pPr>
        <w:pStyle w:val="BodyText"/>
      </w:pPr>
      <w:r>
        <w:t>Early cases under the Act questioned how the section 43(1) test should be applied.</w:t>
      </w:r>
      <w:r>
        <w:rPr>
          <w:rStyle w:val="FootnoteReference"/>
        </w:rPr>
        <w:footnoteReference w:id="796"/>
      </w:r>
      <w:r>
        <w:t xml:space="preserve"> In </w:t>
      </w:r>
      <w:r>
        <w:rPr>
          <w:i/>
          <w:iCs/>
        </w:rPr>
        <w:t>Vuletich v R</w:t>
      </w:r>
      <w:r w:rsidRPr="00BC54F3">
        <w:t xml:space="preserve">, </w:t>
      </w:r>
      <w:r>
        <w:t>Baragwanath J observed that the Act provides no guidance on how a judge is to perform the weighing-up process required by section 43.</w:t>
      </w:r>
      <w:r>
        <w:rPr>
          <w:rStyle w:val="FootnoteReference"/>
        </w:rPr>
        <w:footnoteReference w:id="797"/>
      </w:r>
      <w:r>
        <w:t xml:space="preserve"> He suggested there was a need to identify a clear standard or “objective measure”, without which a ruling “will depend on the fortuity of whoever among our many trial judges happens to be called upon to make it”.</w:t>
      </w:r>
      <w:r>
        <w:rPr>
          <w:rStyle w:val="FootnoteReference"/>
        </w:rPr>
        <w:footnoteReference w:id="798"/>
      </w:r>
      <w:r>
        <w:t xml:space="preserve"> Baragwanath J’s tentative proposal was for a sliding scale approach, whereby the greater the risk of improper prejudice, the more compelling the probative value needed to be, and the stronger the prosecution’s case in respect of the issue, the higher the prospect of securing admission of the evidence.</w:t>
      </w:r>
      <w:r>
        <w:rPr>
          <w:rStyle w:val="FootnoteReference"/>
        </w:rPr>
        <w:footnoteReference w:id="799"/>
      </w:r>
      <w:r>
        <w:t xml:space="preserve"> The need for a standard in applying the section 43(1) test </w:t>
      </w:r>
      <w:r w:rsidRPr="00695512">
        <w:t xml:space="preserve">was, however, rejected by the majority in </w:t>
      </w:r>
      <w:r w:rsidRPr="00695512">
        <w:rPr>
          <w:i/>
          <w:iCs/>
        </w:rPr>
        <w:t xml:space="preserve">Vuletich </w:t>
      </w:r>
      <w:r w:rsidRPr="00695512">
        <w:t>as being inconsistent with earlier case law and adding an unwarranted gloss to the statutory language</w:t>
      </w:r>
      <w:r>
        <w:t>.</w:t>
      </w:r>
      <w:r>
        <w:rPr>
          <w:rStyle w:val="FootnoteReference"/>
        </w:rPr>
        <w:footnoteReference w:id="800"/>
      </w:r>
    </w:p>
    <w:p w14:paraId="2898B7FF" w14:textId="77777777" w:rsidR="00E13DFB" w:rsidRDefault="00E13DFB" w:rsidP="00E13DFB">
      <w:pPr>
        <w:pStyle w:val="BodyText"/>
      </w:pPr>
      <w:r>
        <w:t xml:space="preserve">The leading case on the operation of section 43 is the Supreme Court’s split decision in </w:t>
      </w:r>
      <w:r w:rsidRPr="00357C31">
        <w:rPr>
          <w:i/>
          <w:iCs/>
        </w:rPr>
        <w:t>Mahomed v R</w:t>
      </w:r>
      <w:r w:rsidRPr="00365163">
        <w:t>.</w:t>
      </w:r>
      <w:r w:rsidRPr="00365163">
        <w:rPr>
          <w:rStyle w:val="FootnoteReference"/>
        </w:rPr>
        <w:footnoteReference w:id="801"/>
      </w:r>
      <w:r w:rsidRPr="00357C31">
        <w:rPr>
          <w:i/>
          <w:iCs/>
        </w:rPr>
        <w:t xml:space="preserve"> </w:t>
      </w:r>
      <w:r>
        <w:t>That case has been criticised for failing to provide any further guidance on the operation of the section 43(1) test</w:t>
      </w:r>
      <w:r w:rsidRPr="00030A96">
        <w:t>.</w:t>
      </w:r>
      <w:r>
        <w:rPr>
          <w:rStyle w:val="FootnoteReference"/>
        </w:rPr>
        <w:footnoteReference w:id="802"/>
      </w:r>
      <w:r w:rsidRPr="00030A96">
        <w:t xml:space="preserve"> </w:t>
      </w:r>
      <w:r>
        <w:t xml:space="preserve">The authors of </w:t>
      </w:r>
      <w:r w:rsidRPr="00357C31">
        <w:rPr>
          <w:i/>
          <w:iCs/>
        </w:rPr>
        <w:t xml:space="preserve">Mahoney on Evidence </w:t>
      </w:r>
      <w:r>
        <w:t>observe that</w:t>
      </w:r>
      <w:r w:rsidRPr="00357C31">
        <w:rPr>
          <w:i/>
          <w:iCs/>
        </w:rPr>
        <w:t xml:space="preserve"> </w:t>
      </w:r>
      <w:r>
        <w:t>“[w]e are still left with the unpredictability over admissibility that was a feature of evidence law before the Act”.</w:t>
      </w:r>
      <w:r>
        <w:rPr>
          <w:rStyle w:val="FootnoteReference"/>
        </w:rPr>
        <w:footnoteReference w:id="803"/>
      </w:r>
      <w:r>
        <w:t xml:space="preserve"> Richard Mahoney writing separately said that “[t]here can </w:t>
      </w:r>
      <w:r>
        <w:lastRenderedPageBreak/>
        <w:t xml:space="preserve">be no clearer demonstration of the inevitability of continuing litigation involving propensity evidence than the point of contention which led to the 3:2 split in the Supreme Court in </w:t>
      </w:r>
      <w:r w:rsidRPr="00357C31">
        <w:rPr>
          <w:i/>
          <w:iCs/>
        </w:rPr>
        <w:t>Mahomed</w:t>
      </w:r>
      <w:r>
        <w:rPr>
          <w:i/>
          <w:iCs/>
        </w:rPr>
        <w:t>”</w:t>
      </w:r>
      <w:r w:rsidRPr="00D60B12">
        <w:t>.</w:t>
      </w:r>
      <w:r>
        <w:rPr>
          <w:rStyle w:val="FootnoteReference"/>
        </w:rPr>
        <w:footnoteReference w:id="804"/>
      </w:r>
      <w:r>
        <w:t xml:space="preserve"> </w:t>
      </w:r>
    </w:p>
    <w:p w14:paraId="05D77C1F" w14:textId="77777777" w:rsidR="00E13DFB" w:rsidRDefault="00E13DFB" w:rsidP="00E13DFB">
      <w:pPr>
        <w:pStyle w:val="BodyText"/>
      </w:pPr>
      <w:r>
        <w:t xml:space="preserve">More recent appellate decisions have not raised the same concerns as earlier cases. This indicates that the courts are now reasonably comfortable with applying the section 43(1) test in the absence of any standard or more precise guidance. Te Kōti Pīra | Court of Appeal in </w:t>
      </w:r>
      <w:r>
        <w:rPr>
          <w:i/>
          <w:iCs/>
        </w:rPr>
        <w:t>Grigg v R</w:t>
      </w:r>
      <w:r>
        <w:t>, for example,</w:t>
      </w:r>
      <w:r>
        <w:rPr>
          <w:i/>
          <w:iCs/>
        </w:rPr>
        <w:t xml:space="preserve"> </w:t>
      </w:r>
      <w:r>
        <w:t>considered that the propensity provisions “are comprehensive and admirably clear and concise”.</w:t>
      </w:r>
      <w:r>
        <w:rPr>
          <w:rStyle w:val="FootnoteReference"/>
        </w:rPr>
        <w:footnoteReference w:id="805"/>
      </w:r>
      <w:r>
        <w:t xml:space="preserve"> There the Court observed that, if a court applies the provisions to the case with which it is dealing, there should seldom be a need to refer to another case. The Court explained that the reason other cases are unlikely to assist is that the outcome in each case turns on the weight to be given to the matters set out in sections 43(3) and (4) of the Act.</w:t>
      </w:r>
      <w:r>
        <w:rPr>
          <w:rStyle w:val="FootnoteReference"/>
        </w:rPr>
        <w:footnoteReference w:id="806"/>
      </w:r>
      <w:r>
        <w:t xml:space="preserve"> In a more recent decision, the Court of Appeal, citing </w:t>
      </w:r>
      <w:r>
        <w:rPr>
          <w:i/>
          <w:iCs/>
        </w:rPr>
        <w:t>Grigg</w:t>
      </w:r>
      <w:r w:rsidRPr="00343584">
        <w:t>,</w:t>
      </w:r>
      <w:r>
        <w:rPr>
          <w:i/>
          <w:iCs/>
        </w:rPr>
        <w:t xml:space="preserve"> </w:t>
      </w:r>
      <w:r>
        <w:t>suggested that judges should avoid pointless attempts to reconcile one propensity ruling with another.</w:t>
      </w:r>
      <w:r>
        <w:rPr>
          <w:rStyle w:val="FootnoteReference"/>
        </w:rPr>
        <w:footnoteReference w:id="807"/>
      </w:r>
      <w:r>
        <w:t xml:space="preserve"> </w:t>
      </w:r>
    </w:p>
    <w:p w14:paraId="36C15381" w14:textId="77777777" w:rsidR="00E13DFB" w:rsidRDefault="00E13DFB" w:rsidP="00E13DFB">
      <w:pPr>
        <w:pStyle w:val="BodyText"/>
      </w:pPr>
      <w:r>
        <w:t xml:space="preserve">This underpins a central difficulty with attempting to analyse the operation of section 43 through case comparisons. If each case turns on its own facts, and attempts at reconciling decisions in different cases are unhelpful, there is little utility in attempting to seek guidance from appellate case law. The assumption seems to be that the intensely </w:t>
      </w:r>
      <w:r w:rsidRPr="00DD20FA">
        <w:t>fact-specific</w:t>
      </w:r>
      <w:r>
        <w:t xml:space="preserve"> assessment does result in</w:t>
      </w:r>
      <w:r w:rsidRPr="00DD20FA">
        <w:t xml:space="preserve"> divergent outcomes</w:t>
      </w:r>
      <w:r>
        <w:rPr>
          <w:rStyle w:val="FootnoteReference"/>
        </w:rPr>
        <w:footnoteReference w:id="808"/>
      </w:r>
      <w:r>
        <w:t xml:space="preserve"> but that this is the nature of the test and not necessarily problematic. As Te Aka Matua o te Ture | Law Commission explained in 2008:</w:t>
      </w:r>
      <w:r>
        <w:rPr>
          <w:rStyle w:val="FootnoteReference"/>
        </w:rPr>
        <w:footnoteReference w:id="809"/>
      </w:r>
    </w:p>
    <w:p w14:paraId="31AD5614" w14:textId="77777777" w:rsidR="00E13DFB" w:rsidRDefault="00E13DFB" w:rsidP="00E13DFB">
      <w:pPr>
        <w:pStyle w:val="Quote"/>
      </w:pPr>
      <w:r>
        <w:t>Assessment of probative value, prejudice, and the ultimate weighing process to determine unfairness, in the end involve value judgements based on judicial knowledge and experience. There will not be absolute uniformity. Nevertheless, unless all previous convictions were to be admissible, that is unavoidable: any precise formula that did not involve the exercise of judgment would produce undue rigidity and therefore injustice.</w:t>
      </w:r>
    </w:p>
    <w:p w14:paraId="61CC0B6A" w14:textId="77777777" w:rsidR="00E13DFB" w:rsidRDefault="00E13DFB" w:rsidP="009F3511">
      <w:pPr>
        <w:pStyle w:val="Heading4"/>
      </w:pPr>
      <w:r>
        <w:t>Is section 43(1) operating as intended?</w:t>
      </w:r>
    </w:p>
    <w:p w14:paraId="6BDECCA7" w14:textId="77777777" w:rsidR="00E13DFB" w:rsidRDefault="00E13DFB" w:rsidP="00E13DFB">
      <w:pPr>
        <w:pStyle w:val="BodyText"/>
      </w:pPr>
      <w:r>
        <w:t xml:space="preserve">It is possible that the current approach under section 43 does not reflect the original policy objectives of the section. Section 43 is based on the Commission’s Evidence Code. In its 1997 Preliminary Paper, the Commission explained that it was seeking to codify the law relating to similar fact evidence so that the defendant’s propensity to behave in the </w:t>
      </w:r>
      <w:r>
        <w:lastRenderedPageBreak/>
        <w:t xml:space="preserve">manner of the offence charged should </w:t>
      </w:r>
      <w:r w:rsidRPr="00F22643">
        <w:rPr>
          <w:i/>
          <w:iCs/>
        </w:rPr>
        <w:t>in general be prohibited</w:t>
      </w:r>
      <w:r w:rsidRPr="00C252D1">
        <w:t>,</w:t>
      </w:r>
      <w:r w:rsidRPr="00C168AD">
        <w:t xml:space="preserve"> except if its probative value in relation to an issue in dispute </w:t>
      </w:r>
      <w:r w:rsidRPr="00F22643">
        <w:rPr>
          <w:i/>
          <w:iCs/>
        </w:rPr>
        <w:t>sufficiently outweighs</w:t>
      </w:r>
      <w:r w:rsidRPr="00C168AD">
        <w:t xml:space="preserve"> the danger that it may have a prejudicial effect on the defendant.</w:t>
      </w:r>
      <w:r w:rsidRPr="00C168AD">
        <w:rPr>
          <w:rStyle w:val="FootnoteReference"/>
        </w:rPr>
        <w:footnoteReference w:id="810"/>
      </w:r>
      <w:r w:rsidRPr="00C168AD">
        <w:t xml:space="preserve"> </w:t>
      </w:r>
      <w:r>
        <w:t>The intention was that the admission of propensity evidence under the Evidence Code would be “strictly limited”.</w:t>
      </w:r>
      <w:r>
        <w:rPr>
          <w:rStyle w:val="FootnoteReference"/>
        </w:rPr>
        <w:footnoteReference w:id="811"/>
      </w:r>
    </w:p>
    <w:p w14:paraId="5D5E1921" w14:textId="77777777" w:rsidR="00E13DFB" w:rsidRDefault="00E13DFB" w:rsidP="00E13DFB">
      <w:pPr>
        <w:pStyle w:val="BodyText"/>
      </w:pPr>
      <w:r>
        <w:t>Accordingly, the Commission’s original draft provision, published for consultation in its 1997 Preliminary Paper, required that probative value “substantially outweigh” prejudicial effect.</w:t>
      </w:r>
      <w:r>
        <w:rPr>
          <w:rStyle w:val="FootnoteReference"/>
        </w:rPr>
        <w:footnoteReference w:id="812"/>
      </w:r>
      <w:r>
        <w:t xml:space="preserve"> This wording was changed to “clearly outweighs” in the Commission’s Evidence Code.</w:t>
      </w:r>
      <w:r>
        <w:rPr>
          <w:rStyle w:val="FootnoteReference"/>
        </w:rPr>
        <w:footnoteReference w:id="813"/>
      </w:r>
      <w:r>
        <w:t xml:space="preserve"> That wording, the Commission explained, “in largely codifying the common law, recognises the prejudicial nature of propensity evidence for defendants in criminal proceedings by providing </w:t>
      </w:r>
      <w:r w:rsidRPr="000B5259">
        <w:t>added protection</w:t>
      </w:r>
      <w:r>
        <w:t>”.</w:t>
      </w:r>
      <w:r>
        <w:rPr>
          <w:rStyle w:val="FootnoteReference"/>
        </w:rPr>
        <w:footnoteReference w:id="814"/>
      </w:r>
      <w:r>
        <w:t xml:space="preserve"> The Commission did not use the language of “clearly outweighs” for what became section 8 of the Act (general exclusion). That section provides that evidence must be excluded if “its probative value is outweighed by” the risk that the evidence will have an unfairly prejudicial effect on the proceeding.</w:t>
      </w:r>
      <w:r>
        <w:rPr>
          <w:rStyle w:val="FootnoteReference"/>
        </w:rPr>
        <w:footnoteReference w:id="815"/>
      </w:r>
      <w:r>
        <w:t xml:space="preserve"> This may suggest that some higher standard for propensity evidence was originally intended.</w:t>
      </w:r>
    </w:p>
    <w:p w14:paraId="7DF6E791" w14:textId="77777777" w:rsidR="00E13DFB" w:rsidRDefault="00E13DFB" w:rsidP="00E13DFB">
      <w:pPr>
        <w:pStyle w:val="BodyText"/>
      </w:pPr>
      <w:r>
        <w:t>The word “clearly” in the Commission’s proposed Evidence Code provision was not included in the draft Evidence Bill. This was in response to a concern raised by the Solicitor-General that requiring that probative value “clearly outweighs” prejudicial effect would change the approach (that is, make it harder to admit propensity evidence than under the common law) rather than codify it.</w:t>
      </w:r>
      <w:r>
        <w:rPr>
          <w:rStyle w:val="FootnoteReference"/>
        </w:rPr>
        <w:footnoteReference w:id="816"/>
      </w:r>
      <w:r>
        <w:t xml:space="preserve"> This indicates that section 43 was not intended to result in a lower threshold for admitting propensity evidence than existed at common law.</w:t>
      </w:r>
    </w:p>
    <w:p w14:paraId="041EAB0D" w14:textId="77777777" w:rsidR="00E13DFB" w:rsidRDefault="00E13DFB" w:rsidP="00E13DFB">
      <w:pPr>
        <w:pStyle w:val="BodyText"/>
      </w:pPr>
      <w:r>
        <w:t>Richard Mahoney has observed that there was nothing obvious in the wording of the Act that justified any dramatic change from the position already reached by the common law.</w:t>
      </w:r>
      <w:r>
        <w:rPr>
          <w:rStyle w:val="FootnoteReference"/>
        </w:rPr>
        <w:footnoteReference w:id="817"/>
      </w:r>
      <w:r>
        <w:t xml:space="preserve"> If anything, Mahoney said, the Commission appeared to have thought section 43 strengthened the position of defendants to resist negative propensity evidence from the prosecution (by providing </w:t>
      </w:r>
      <w:r>
        <w:rPr>
          <w:i/>
          <w:iCs/>
        </w:rPr>
        <w:t>added protection</w:t>
      </w:r>
      <w:r>
        <w:t>).</w:t>
      </w:r>
      <w:r>
        <w:rPr>
          <w:rStyle w:val="FootnoteReference"/>
        </w:rPr>
        <w:footnoteReference w:id="818"/>
      </w:r>
      <w:r>
        <w:t xml:space="preserve"> </w:t>
      </w:r>
    </w:p>
    <w:p w14:paraId="2794D17D" w14:textId="77777777" w:rsidR="00E13DFB" w:rsidRDefault="00E13DFB" w:rsidP="00E13DFB">
      <w:pPr>
        <w:pStyle w:val="BodyText"/>
      </w:pPr>
      <w:r>
        <w:t>Despite this, the passing of the Act and the subsequent interpretation of section 43</w:t>
      </w:r>
      <w:r>
        <w:rPr>
          <w:rStyle w:val="FootnoteReference"/>
        </w:rPr>
        <w:footnoteReference w:id="819"/>
      </w:r>
      <w:r>
        <w:t xml:space="preserve"> has resulted in a “sea change” in the way that propensity evidence about a defendant is assessed. As the Commission explained in 2008, under the Act an assessment of propensity evidence:</w:t>
      </w:r>
      <w:r>
        <w:rPr>
          <w:rStyle w:val="FootnoteReference"/>
        </w:rPr>
        <w:footnoteReference w:id="820"/>
      </w:r>
    </w:p>
    <w:p w14:paraId="133571FE" w14:textId="77777777" w:rsidR="00E13DFB" w:rsidRDefault="00E13DFB" w:rsidP="00E13DFB">
      <w:pPr>
        <w:pStyle w:val="QuoteIndent0"/>
      </w:pPr>
      <w:r>
        <w:lastRenderedPageBreak/>
        <w:t>… no longer starts from a proposition that “mere propensity is not enough: there must be the additional features of some sort affording real probative value” (or some other permutation of the added probative value approach). It starts without common law similar fact baggage. It provides a new, and this time positive, starting point: propensity, per se, even “mere”, is enough, provided it can pass through a probative value/prejudicial effect control. The non-prescriptive factors in section 43(3) bearing on the question whether the propensity concerned can so pass through that control, familiar in similar fact cases, now apply to the propensity evidence presumed from the outset to be “in”, and not on top of propensity evidence presumed from the outset to be “out”. It no longer need be said propensity evidence needs additional probative features beyond mere propensity. The “mere” propensity can suffice provided it has sufficient probative force, after consideration of the necessary factors, to outweigh prejudice.</w:t>
      </w:r>
    </w:p>
    <w:p w14:paraId="0462DEFD" w14:textId="77777777" w:rsidR="00E13DFB" w:rsidRDefault="00E13DFB" w:rsidP="009F3511">
      <w:pPr>
        <w:pStyle w:val="Heading4"/>
      </w:pPr>
      <w:r>
        <w:t xml:space="preserve">Is the wording of section 43(1) preventing the development of precedent? </w:t>
      </w:r>
    </w:p>
    <w:p w14:paraId="60114ED9" w14:textId="77777777" w:rsidR="00E13DFB" w:rsidRDefault="00E13DFB" w:rsidP="00E13DFB">
      <w:pPr>
        <w:pStyle w:val="BodyText"/>
      </w:pPr>
      <w:r>
        <w:t>The second</w:t>
      </w:r>
      <w:r w:rsidRPr="00870F2B">
        <w:t xml:space="preserve"> concern </w:t>
      </w:r>
      <w:r>
        <w:t xml:space="preserve">we identified </w:t>
      </w:r>
      <w:r w:rsidRPr="00870F2B">
        <w:t xml:space="preserve">is that the absence of any standard </w:t>
      </w:r>
      <w:r>
        <w:t xml:space="preserve">in section 43 itself or in case law </w:t>
      </w:r>
      <w:r w:rsidRPr="00870F2B">
        <w:t>may be stifling the development of a body of precedent, which c</w:t>
      </w:r>
      <w:r>
        <w:t>ould</w:t>
      </w:r>
      <w:r w:rsidRPr="00870F2B">
        <w:t xml:space="preserve"> then be applied to future cases to develop </w:t>
      </w:r>
      <w:r>
        <w:t xml:space="preserve">a more consistent and predictable </w:t>
      </w:r>
      <w:r w:rsidRPr="00870F2B">
        <w:t>approach</w:t>
      </w:r>
      <w:r>
        <w:t xml:space="preserve"> under section 43. </w:t>
      </w:r>
      <w:r w:rsidRPr="00030A96">
        <w:t xml:space="preserve">In </w:t>
      </w:r>
      <w:r>
        <w:rPr>
          <w:i/>
          <w:iCs/>
        </w:rPr>
        <w:t xml:space="preserve">R v </w:t>
      </w:r>
      <w:r w:rsidRPr="009D6AE1">
        <w:rPr>
          <w:i/>
          <w:iCs/>
        </w:rPr>
        <w:t>Healy</w:t>
      </w:r>
      <w:r w:rsidRPr="00785F46">
        <w:t>,</w:t>
      </w:r>
      <w:r w:rsidRPr="009D6AE1">
        <w:rPr>
          <w:i/>
          <w:iCs/>
        </w:rPr>
        <w:t xml:space="preserve"> </w:t>
      </w:r>
      <w:r>
        <w:t xml:space="preserve">an early case considering the newly enacted Act, </w:t>
      </w:r>
      <w:r w:rsidRPr="00030A96">
        <w:t>the Court of Appeal observed that “[w]here the balance will ultimately lie in terms of s</w:t>
      </w:r>
      <w:r>
        <w:t>ection</w:t>
      </w:r>
      <w:r w:rsidRPr="00030A96">
        <w:t xml:space="preserve"> 43 is a matter that will be developed over time”.</w:t>
      </w:r>
      <w:r w:rsidRPr="00030A96">
        <w:rPr>
          <w:rStyle w:val="FootnoteReference"/>
        </w:rPr>
        <w:footnoteReference w:id="821"/>
      </w:r>
      <w:r w:rsidRPr="00030A96">
        <w:t xml:space="preserve"> However, </w:t>
      </w:r>
      <w:r>
        <w:t xml:space="preserve">the Court’s subsequent rejection of a standard in applying the section 43(1) test in </w:t>
      </w:r>
      <w:r w:rsidRPr="009D6AE1">
        <w:rPr>
          <w:i/>
          <w:iCs/>
        </w:rPr>
        <w:t>Vuletich</w:t>
      </w:r>
      <w:r>
        <w:t xml:space="preserve"> and later statements in </w:t>
      </w:r>
      <w:r w:rsidRPr="009D6AE1">
        <w:rPr>
          <w:i/>
          <w:iCs/>
        </w:rPr>
        <w:t>Grigg</w:t>
      </w:r>
      <w:r w:rsidRPr="000253F9">
        <w:t>,</w:t>
      </w:r>
      <w:r w:rsidRPr="009D6AE1">
        <w:rPr>
          <w:i/>
          <w:iCs/>
        </w:rPr>
        <w:t xml:space="preserve"> </w:t>
      </w:r>
      <w:r>
        <w:t xml:space="preserve">discussed above, suggest that the inherently fact-specific assessment required by section 43 is not amenable to such developments. Associate Professor </w:t>
      </w:r>
      <w:r w:rsidRPr="00793398">
        <w:t>Scott Optican</w:t>
      </w:r>
      <w:r>
        <w:t xml:space="preserve">, rejecting the “state of jurisprudential resignation” described in </w:t>
      </w:r>
      <w:r w:rsidRPr="009D6AE1">
        <w:rPr>
          <w:i/>
          <w:iCs/>
        </w:rPr>
        <w:t>Grigg</w:t>
      </w:r>
      <w:r w:rsidRPr="00091020">
        <w:t>,</w:t>
      </w:r>
      <w:r w:rsidRPr="009D6AE1">
        <w:rPr>
          <w:i/>
          <w:iCs/>
        </w:rPr>
        <w:t xml:space="preserve"> </w:t>
      </w:r>
      <w:r>
        <w:t>has argued that</w:t>
      </w:r>
      <w:r w:rsidRPr="00793398">
        <w:t>:</w:t>
      </w:r>
      <w:r w:rsidRPr="00793398">
        <w:rPr>
          <w:rStyle w:val="FootnoteReference"/>
        </w:rPr>
        <w:footnoteReference w:id="822"/>
      </w:r>
    </w:p>
    <w:p w14:paraId="130ACADA" w14:textId="77777777" w:rsidR="00E13DFB" w:rsidRDefault="00E13DFB" w:rsidP="00E13DFB">
      <w:pPr>
        <w:pStyle w:val="Quote"/>
      </w:pPr>
      <w:r w:rsidRPr="00FD2318">
        <w:t>… fundamental common law methodology - together with basic tenets of jurisprudential constancy - demands some judicial effort at ensuring consistent application of the s 43 balancing test. Indeed, the whole point of judgments giving statements of principle as to how s 43 should be approached is to create precisely that kind of regularity. Accordingly, while every prosecution application to adduce propensity evidence about a criminal defendant will depend on specific application of s 43 itself, judges should still examine precedents to see how elaborated principles of adjudication have played themselves out in the facts and circumstances of decided case law.</w:t>
      </w:r>
    </w:p>
    <w:p w14:paraId="2014D5E1" w14:textId="77777777" w:rsidR="00E13DFB" w:rsidRDefault="00E13DFB" w:rsidP="00E13DFB">
      <w:pPr>
        <w:pStyle w:val="BodyText"/>
      </w:pPr>
      <w:r>
        <w:t xml:space="preserve">On this issue too, there are different views. For example, the authors of </w:t>
      </w:r>
      <w:r w:rsidRPr="00F67AE8">
        <w:rPr>
          <w:i/>
          <w:iCs/>
        </w:rPr>
        <w:t>Cross on Evidence</w:t>
      </w:r>
      <w:r>
        <w:rPr>
          <w:i/>
          <w:iCs/>
        </w:rPr>
        <w:t xml:space="preserve"> </w:t>
      </w:r>
      <w:r>
        <w:t>state:</w:t>
      </w:r>
      <w:r w:rsidRPr="00D15013">
        <w:rPr>
          <w:rStyle w:val="FootnoteReference"/>
        </w:rPr>
        <w:footnoteReference w:id="823"/>
      </w:r>
    </w:p>
    <w:p w14:paraId="5A5DD38E" w14:textId="77777777" w:rsidR="00E13DFB" w:rsidRPr="00EA432F" w:rsidRDefault="00E13DFB" w:rsidP="00E13DFB">
      <w:pPr>
        <w:pStyle w:val="Quote"/>
        <w:tabs>
          <w:tab w:val="left" w:pos="1134"/>
        </w:tabs>
      </w:pPr>
      <w:r w:rsidRPr="006B2DB9">
        <w:t xml:space="preserve">The Act provides no guidance on how the weighing-up process is to occur, but doubt attaches to whether it could. </w:t>
      </w:r>
      <w:r w:rsidRPr="00112329">
        <w:t>The assessment of probative value as against unfairly prejudicial effect is a task familiar to courts and one, it is respectfully suggested, best left to them. Unsurprisingly then, a ‘sliding scale’ approach to s 43 has been rejected. This means it is not correct to regard “powerfully probative” evidence as presumptively admissible unless s 43(4) would make that course unfair.</w:t>
      </w:r>
    </w:p>
    <w:p w14:paraId="5C89DEFA" w14:textId="77777777" w:rsidR="00E13DFB" w:rsidRDefault="00E13DFB" w:rsidP="009F3511">
      <w:pPr>
        <w:pStyle w:val="Heading3"/>
      </w:pPr>
      <w:r>
        <w:lastRenderedPageBreak/>
        <w:t>Is legislative reform necessary or desirable?</w:t>
      </w:r>
    </w:p>
    <w:p w14:paraId="303C0858" w14:textId="77777777" w:rsidR="00E13DFB" w:rsidRDefault="00E13DFB" w:rsidP="00E13DFB">
      <w:pPr>
        <w:pStyle w:val="BodyText"/>
      </w:pPr>
      <w:r>
        <w:t xml:space="preserve">The policy concern that section 43 sought to address was the need to balance </w:t>
      </w:r>
      <w:r w:rsidRPr="00BC5CD5">
        <w:t>the competing interests of ensuring a fact-finder has all</w:t>
      </w:r>
      <w:r>
        <w:t xml:space="preserve"> the</w:t>
      </w:r>
      <w:r w:rsidRPr="00BC5CD5">
        <w:t xml:space="preserve"> relevant evidence before them, and guarding against the risk that the </w:t>
      </w:r>
      <w:r>
        <w:t>fact-finder</w:t>
      </w:r>
      <w:r w:rsidRPr="00BC5CD5">
        <w:t xml:space="preserve"> might make unwarranted and dangerous assumptions about the defendant along the lines of “once a thief, always a thief”.</w:t>
      </w:r>
      <w:r w:rsidRPr="00BC5CD5">
        <w:rPr>
          <w:rStyle w:val="FootnoteReference"/>
        </w:rPr>
        <w:footnoteReference w:id="824"/>
      </w:r>
      <w:r w:rsidRPr="00BC5CD5">
        <w:t xml:space="preserve"> </w:t>
      </w:r>
    </w:p>
    <w:p w14:paraId="0A18E48D" w14:textId="77777777" w:rsidR="00E13DFB" w:rsidRDefault="00E13DFB" w:rsidP="00E13DFB">
      <w:pPr>
        <w:pStyle w:val="BodyText"/>
      </w:pPr>
      <w:r>
        <w:t xml:space="preserve">It is ultimately a policy question as to whether the issues identified above warrant legislative reform. It depends on whether section 43 is striking the right balance between the competing interests discussed above. We do not express any preliminary views on these issues or on whether reform is necessary or desirable, and we welcome submissions on these matters. </w:t>
      </w:r>
    </w:p>
    <w:p w14:paraId="78049AC2" w14:textId="77777777" w:rsidR="00E13DFB" w:rsidRDefault="00E13DFB" w:rsidP="00E13DFB">
      <w:pPr>
        <w:pStyle w:val="BodyText"/>
      </w:pPr>
      <w:r>
        <w:t>Should reform be desirable, consideration will need to be given to the impact of any reform on evidence that falls within the definition of propensity evidence, but is offered for a purpose other than propensity reasoning. This includes evidence frequently referred to as “background”, “relationship” or “narrative” evidence. Such evidence is still subject to section 43, even if it is not offered to support propensity reasoning.</w:t>
      </w:r>
      <w:r>
        <w:rPr>
          <w:rStyle w:val="FootnoteReference"/>
        </w:rPr>
        <w:footnoteReference w:id="825"/>
      </w:r>
      <w:r>
        <w:t xml:space="preserve"> This does not appear to create any significant problems in practice,</w:t>
      </w:r>
      <w:r>
        <w:rPr>
          <w:rStyle w:val="FootnoteReference"/>
        </w:rPr>
        <w:footnoteReference w:id="826"/>
      </w:r>
      <w:r>
        <w:t xml:space="preserve"> which is due in part to the fact that the courts do not rigidly apply the section 43(3) factors to propensity evidence offered for a non-propensity purpose,</w:t>
      </w:r>
      <w:r>
        <w:rPr>
          <w:rStyle w:val="FootnoteReference"/>
        </w:rPr>
        <w:footnoteReference w:id="827"/>
      </w:r>
      <w:r>
        <w:t xml:space="preserve"> and that there is “little or no practical difference” between the two balancing tests in sections 8 and 43.</w:t>
      </w:r>
      <w:r>
        <w:rPr>
          <w:rStyle w:val="FootnoteReference"/>
        </w:rPr>
        <w:footnoteReference w:id="828"/>
      </w:r>
    </w:p>
    <w:p w14:paraId="63B204C0" w14:textId="77777777" w:rsidR="00E13DFB" w:rsidRDefault="00E13DFB" w:rsidP="00E13DFB">
      <w:pPr>
        <w:pStyle w:val="BodyText"/>
      </w:pPr>
      <w:r>
        <w:t>If, however, section 43 were amended to introduce a heightened test for admission of propensity evidence, it may be necessary or desirable to explicitly address the application of that test to propensity evidence offered for a non-propensity purpose. On one view, section 43 is designed to address the risks inherent in propensity reasoning, and arguably those risks do not arise to the same extent when propensity reasoning is not engaged or if the evidence is directly relevant to the relationship between the defendant and the complainant.</w:t>
      </w:r>
      <w:r>
        <w:rPr>
          <w:rStyle w:val="FootnoteReference"/>
        </w:rPr>
        <w:footnoteReference w:id="829"/>
      </w:r>
      <w:r>
        <w:t xml:space="preserve"> On the other hand, given that section 43 is intended to protect a defendant’s fair trial rights, it may be appropriate to retain a broad application for the propensity provisions, regardless of whether the threshold should change.</w:t>
      </w:r>
    </w:p>
    <w:p w14:paraId="3F6D38C1" w14:textId="77777777" w:rsidR="00E13DFB" w:rsidRDefault="00E13DFB" w:rsidP="00A410D3">
      <w:pPr>
        <w:pStyle w:val="Heading3"/>
      </w:pPr>
      <w:r>
        <w:t>Options for reform</w:t>
      </w:r>
    </w:p>
    <w:p w14:paraId="5C271961" w14:textId="77777777" w:rsidR="00E13DFB" w:rsidRDefault="00E13DFB" w:rsidP="00E13DFB">
      <w:pPr>
        <w:pStyle w:val="BodyText"/>
      </w:pPr>
      <w:r>
        <w:t xml:space="preserve">Should reform be considered necessary or desirable, we have identified two possible options. Both options are based on comparable provisions in Australia and seek to raise </w:t>
      </w:r>
      <w:r>
        <w:lastRenderedPageBreak/>
        <w:t xml:space="preserve">the threshold for the admission of propensity evidence and, in doing so, facilitate the development of appropriate precedent under section 43. </w:t>
      </w:r>
    </w:p>
    <w:p w14:paraId="63059333" w14:textId="77777777" w:rsidR="00E13DFB" w:rsidRDefault="00E13DFB" w:rsidP="009F3511">
      <w:pPr>
        <w:pStyle w:val="Heading4"/>
      </w:pPr>
      <w:r>
        <w:t>Option 1: Amend section 43(1) to require probative value to “substantially” outweigh the risk of unfair prejudice</w:t>
      </w:r>
    </w:p>
    <w:p w14:paraId="67ECFA1F" w14:textId="77777777" w:rsidR="00E13DFB" w:rsidRDefault="00E13DFB" w:rsidP="00E13DFB">
      <w:pPr>
        <w:pStyle w:val="BodyText"/>
      </w:pPr>
      <w:r>
        <w:t xml:space="preserve">This option more closely reflects the Commission’s original </w:t>
      </w:r>
      <w:r w:rsidRPr="00E56372">
        <w:t>draft provision.</w:t>
      </w:r>
      <w:r w:rsidRPr="00E56372">
        <w:rPr>
          <w:rStyle w:val="FootnoteReference"/>
        </w:rPr>
        <w:footnoteReference w:id="830"/>
      </w:r>
      <w:r w:rsidRPr="00D652CD">
        <w:t xml:space="preserve"> </w:t>
      </w:r>
      <w:r>
        <w:t>We have suggested “substantially” over “clearly” given the former is already used in other provisions of the Act and is consistent with the language adopted in Australia.</w:t>
      </w:r>
    </w:p>
    <w:p w14:paraId="09445500" w14:textId="77777777" w:rsidR="00E13DFB" w:rsidRDefault="00E13DFB" w:rsidP="00E13DFB">
      <w:pPr>
        <w:pStyle w:val="BodyText"/>
      </w:pPr>
      <w:r>
        <w:t>In some Australian jurisdictions, propensity evidence (referred to as “tendency” and “coincidence” evidence) cannot be used against the defendant “unless the probative value of the evidence substantially outweighs any prejudicial effect it may have on the defendant”.</w:t>
      </w:r>
      <w:r>
        <w:rPr>
          <w:rStyle w:val="FootnoteReference"/>
        </w:rPr>
        <w:footnoteReference w:id="831"/>
      </w:r>
      <w:r>
        <w:t xml:space="preserve"> This is regarded as a more stringent test than simply requiring probative value to outweigh prejudicial effect, skewing the test towards exclusion of propensity evidence.</w:t>
      </w:r>
      <w:r>
        <w:rPr>
          <w:rStyle w:val="FootnoteReference"/>
        </w:rPr>
        <w:footnoteReference w:id="832"/>
      </w:r>
      <w:r>
        <w:t xml:space="preserve"> We note that some Australian jurisdictions have recently departed from this threshold in response to concerns raised by the Australian Royal Commission into Institutional Responses to Child Sexual Abuse. The Royal Commission found that tendency and coincidence evidence in child sexual offending cases was being excluded too readily.</w:t>
      </w:r>
      <w:r>
        <w:rPr>
          <w:rStyle w:val="FootnoteReference"/>
        </w:rPr>
        <w:footnoteReference w:id="833"/>
      </w:r>
      <w:r>
        <w:t xml:space="preserve"> In order to facilitate greater admissibility of propensity evidence in criminal proceedings involving child sexual offending, some states have replaced the phrase “substantially outweighs” with “outweighs”.</w:t>
      </w:r>
      <w:r>
        <w:rPr>
          <w:rStyle w:val="FootnoteReference"/>
        </w:rPr>
        <w:footnoteReference w:id="834"/>
      </w:r>
    </w:p>
    <w:p w14:paraId="1D7D9D65" w14:textId="77777777" w:rsidR="00E13DFB" w:rsidRDefault="00E13DFB" w:rsidP="00E13DFB">
      <w:pPr>
        <w:pStyle w:val="BodyText"/>
      </w:pPr>
      <w:r>
        <w:t>The Australian experience highlights the risks inherent in adopting a higher threshold for propensity evidence. These risks would need to be carefully considered before recommending any reform measures. We note, however, that New Zealand courts have not encountered the same difficulties as in Australia in relation to the admission of propensity evidence in cases involving sexual offending against children and young people. Instead, as we explore below, it is now generally accepted that such offending is inherently unusual, which supports the admission of such evidence under section 43(3)(f). Adopting a higher threshold for assessing probative value and unfair prejudice may, therefore, be unlikely to create the same problems that have been observed in Australia.</w:t>
      </w:r>
    </w:p>
    <w:p w14:paraId="770BEE99" w14:textId="77777777" w:rsidR="00E13DFB" w:rsidRDefault="00E13DFB" w:rsidP="00A410D3">
      <w:pPr>
        <w:pStyle w:val="Heading4"/>
      </w:pPr>
      <w:r>
        <w:t>Option 2: Require the propensity evidence to have “significant” probative value</w:t>
      </w:r>
    </w:p>
    <w:p w14:paraId="1FCD6BA7" w14:textId="77777777" w:rsidR="00E13DFB" w:rsidRDefault="00E13DFB" w:rsidP="00E13DFB">
      <w:pPr>
        <w:pStyle w:val="BodyText"/>
      </w:pPr>
      <w:r>
        <w:t>This is a variation on the sliding scale approach suggested in early section 43 cases and would require, in all cases, the court to be satisfied that the proposed propensity evidence has “significant probative value”.</w:t>
      </w:r>
    </w:p>
    <w:p w14:paraId="26A7BA1D" w14:textId="77777777" w:rsidR="00E13DFB" w:rsidRDefault="00E13DFB" w:rsidP="00E13DFB">
      <w:pPr>
        <w:pStyle w:val="BodyText"/>
      </w:pPr>
      <w:r>
        <w:t xml:space="preserve">Like Option 1, this language arguably more closely reflects the original policy objective of the propensity provisions. The Commission explained in its 1997 Preliminary Paper its </w:t>
      </w:r>
      <w:r>
        <w:lastRenderedPageBreak/>
        <w:t>expectation that the courts should continue to approach evidence of character with considerable caution, admitting only such evidence that is likely to be substantially probative or helpful and upon which they can rely.</w:t>
      </w:r>
      <w:r>
        <w:rPr>
          <w:rStyle w:val="FootnoteReference"/>
        </w:rPr>
        <w:footnoteReference w:id="835"/>
      </w:r>
    </w:p>
    <w:p w14:paraId="0B9BB937" w14:textId="77777777" w:rsidR="00E13DFB" w:rsidRDefault="00E13DFB" w:rsidP="00E13DFB">
      <w:pPr>
        <w:pStyle w:val="BodyText"/>
      </w:pPr>
      <w:r>
        <w:t>This option is consistent with current approaches in Australia.</w:t>
      </w:r>
      <w:r>
        <w:rPr>
          <w:rStyle w:val="FootnoteReference"/>
        </w:rPr>
        <w:footnoteReference w:id="836"/>
      </w:r>
      <w:r>
        <w:t xml:space="preserve"> There, the requirement is that tendency or coincidence evidence has “significant probative value” (in addition to the requirement in some Australian jurisdictions that the tendency or coincidence evidence substantially outweighs any prejudicial effect). The requirement for “significant probative value” directs attention to the extent to which the evidence can “rationally affect the assessment of the probability of the existence of a fact in issue”.</w:t>
      </w:r>
      <w:r>
        <w:rPr>
          <w:rStyle w:val="FootnoteReference"/>
        </w:rPr>
        <w:footnoteReference w:id="837"/>
      </w:r>
      <w:r>
        <w:t xml:space="preserve"> The Australian High Court has held that, in the context of tendency evidence, this is a two-stage process. First, </w:t>
      </w:r>
      <w:r w:rsidRPr="00646E98">
        <w:t>the evidence, by itself or together with other evidence, must strongly support proof of a tendency. Second, the tendency strongly support</w:t>
      </w:r>
      <w:r>
        <w:t>s</w:t>
      </w:r>
      <w:r w:rsidRPr="00646E98">
        <w:t xml:space="preserve"> the proof of a fact that makes up the offence charged (that is, a fact in issue).</w:t>
      </w:r>
      <w:r>
        <w:rPr>
          <w:rStyle w:val="FootnoteReference"/>
        </w:rPr>
        <w:footnoteReference w:id="838"/>
      </w:r>
    </w:p>
    <w:p w14:paraId="649A71CC" w14:textId="2DA0A081" w:rsidR="00A410D3" w:rsidRDefault="00A410D3" w:rsidP="00A410D3">
      <w:pPr>
        <w:pStyle w:val="QuestionBox"/>
      </w:pPr>
      <w:r>
        <w:rPr>
          <w:noProof/>
        </w:rPr>
        <mc:AlternateContent>
          <mc:Choice Requires="wpg">
            <w:drawing>
              <wp:anchor distT="0" distB="0" distL="114300" distR="114300" simplePos="0" relativeHeight="251658353" behindDoc="1" locked="0" layoutInCell="1" allowOverlap="1" wp14:anchorId="063A3FDF" wp14:editId="316D7B26">
                <wp:simplePos x="0" y="0"/>
                <wp:positionH relativeFrom="column">
                  <wp:posOffset>-1962</wp:posOffset>
                </wp:positionH>
                <wp:positionV relativeFrom="paragraph">
                  <wp:posOffset>-5289</wp:posOffset>
                </wp:positionV>
                <wp:extent cx="5760085" cy="2060793"/>
                <wp:effectExtent l="0" t="0" r="0" b="0"/>
                <wp:wrapNone/>
                <wp:docPr id="248" name="Group 248" descr="Question"/>
                <wp:cNvGraphicFramePr/>
                <a:graphic xmlns:a="http://schemas.openxmlformats.org/drawingml/2006/main">
                  <a:graphicData uri="http://schemas.microsoft.com/office/word/2010/wordprocessingGroup">
                    <wpg:wgp>
                      <wpg:cNvGrpSpPr/>
                      <wpg:grpSpPr>
                        <a:xfrm>
                          <a:off x="0" y="0"/>
                          <a:ext cx="5760085" cy="2060793"/>
                          <a:chOff x="0" y="62865"/>
                          <a:chExt cx="5760085" cy="2061259"/>
                        </a:xfrm>
                      </wpg:grpSpPr>
                      <wps:wsp>
                        <wps:cNvPr id="24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155248" w14:textId="77777777" w:rsidR="00A410D3" w:rsidRDefault="00A410D3" w:rsidP="00A410D3">
                              <w:pPr>
                                <w:pStyle w:val="BoxTitle"/>
                                <w:spacing w:before="0" w:beforeAutospacing="0"/>
                              </w:pPr>
                              <w:r w:rsidRPr="007F6876">
                                <w:t>QUESTION</w:t>
                              </w:r>
                            </w:p>
                          </w:txbxContent>
                        </wps:txbx>
                        <wps:bodyPr rot="0" vert="horz" wrap="square" lIns="91440" tIns="0" rIns="0" bIns="45720" anchor="ctr" anchorCtr="0" upright="1">
                          <a:noAutofit/>
                        </wps:bodyPr>
                      </wps:wsp>
                      <wpg:grpSp>
                        <wpg:cNvPr id="250" name="Group 53"/>
                        <wpg:cNvGrpSpPr>
                          <a:grpSpLocks/>
                        </wpg:cNvGrpSpPr>
                        <wpg:grpSpPr bwMode="auto">
                          <a:xfrm>
                            <a:off x="0" y="315706"/>
                            <a:ext cx="5760085" cy="1808418"/>
                            <a:chOff x="1837" y="1786"/>
                            <a:chExt cx="9302" cy="19534"/>
                          </a:xfrm>
                        </wpg:grpSpPr>
                        <wps:wsp>
                          <wps:cNvPr id="251" name="Freeform 54"/>
                          <wps:cNvSpPr>
                            <a:spLocks/>
                          </wps:cNvSpPr>
                          <wps:spPr bwMode="auto">
                            <a:xfrm>
                              <a:off x="1837" y="1786"/>
                              <a:ext cx="9302" cy="1953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52"/>
                        <wpg:cNvGrpSpPr/>
                        <wpg:grpSpPr>
                          <a:xfrm>
                            <a:off x="0" y="494036"/>
                            <a:ext cx="1443794" cy="252000"/>
                            <a:chOff x="-15880" y="0"/>
                            <a:chExt cx="1444379" cy="252068"/>
                          </a:xfrm>
                        </wpg:grpSpPr>
                        <wps:wsp>
                          <wps:cNvPr id="25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2EF03D" w14:textId="77777777" w:rsidR="00A410D3" w:rsidRPr="00E90B8A" w:rsidRDefault="00A410D3" w:rsidP="00A410D3">
                                <w:pPr>
                                  <w:pStyle w:val="BoxTitle"/>
                                  <w:spacing w:before="0" w:beforeAutospacing="0"/>
                                  <w:rPr>
                                    <w:sz w:val="18"/>
                                    <w:szCs w:val="18"/>
                                  </w:rPr>
                                </w:pPr>
                                <w:r w:rsidRPr="00E90B8A">
                                  <w:rPr>
                                    <w:sz w:val="18"/>
                                    <w:szCs w:val="18"/>
                                  </w:rPr>
                                  <w:t>Q</w:t>
                                </w:r>
                                <w:r>
                                  <w:rPr>
                                    <w:sz w:val="18"/>
                                    <w:szCs w:val="18"/>
                                  </w:rPr>
                                  <w:t>48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63A3FDF" id="Group 248" o:spid="_x0000_s1360" alt="Question" style="position:absolute;left:0;text-align:left;margin-left:-.15pt;margin-top:-.4pt;width:453.55pt;height:162.25pt;z-index:-251658127;mso-height-relative:margin" coordorigin=",628" coordsize="57600,2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">
                <v:shape id="Freeform 52" o:spid="_x0000_s136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7155248" w14:textId="77777777" w:rsidR="00A410D3" w:rsidRDefault="00A410D3" w:rsidP="00A410D3">
                        <w:pPr>
                          <w:pStyle w:val="BoxTitle"/>
                          <w:spacing w:before="0" w:beforeAutospacing="0"/>
                        </w:pPr>
                        <w:r w:rsidRPr="007F6876">
                          <w:t>QUESTION</w:t>
                        </w:r>
                      </w:p>
                    </w:txbxContent>
                  </v:textbox>
                </v:shape>
                <v:group id="Group 53" o:spid="_x0000_s1362" style="position:absolute;top:3157;width:57600;height:18084" coordorigin="1837,1786" coordsize="9302,1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54" o:spid="_x0000_s1363" style="position:absolute;left:1837;top:1786;width:9302;height:1953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" path="m,l9354,r,7809l,7809,,e" fillcolor="#edf2ea" stroked="f">
                    <v:path arrowok="t" o:connecttype="custom" o:connectlocs="0,2501;9302,2501;9302,22035;0,22035;0,2501" o:connectangles="0,0,0,0,0"/>
                  </v:shape>
                </v:group>
                <v:group id="Group 252" o:spid="_x0000_s136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58" o:spid="_x0000_s136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" path="m,l1815,e" filled="f" strokecolor="#72ab6a" strokeweight=".5pt">
                    <v:path arrowok="t" o:connecttype="custom" o:connectlocs="0,0;1073495,0" o:connectangles="0,0"/>
                  </v:shape>
                  <v:shape id="Freeform 66" o:spid="_x0000_s136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E2EF03D" w14:textId="77777777" w:rsidR="00A410D3" w:rsidRPr="00E90B8A" w:rsidRDefault="00A410D3" w:rsidP="00A410D3">
                          <w:pPr>
                            <w:pStyle w:val="BoxTitle"/>
                            <w:spacing w:before="0" w:beforeAutospacing="0"/>
                            <w:rPr>
                              <w:sz w:val="18"/>
                              <w:szCs w:val="18"/>
                            </w:rPr>
                          </w:pPr>
                          <w:r w:rsidRPr="00E90B8A">
                            <w:rPr>
                              <w:sz w:val="18"/>
                              <w:szCs w:val="18"/>
                            </w:rPr>
                            <w:t>Q</w:t>
                          </w:r>
                          <w:r>
                            <w:rPr>
                              <w:sz w:val="18"/>
                              <w:szCs w:val="18"/>
                            </w:rPr>
                            <w:t>48</w:t>
                          </w:r>
                        </w:p>
                      </w:txbxContent>
                    </v:textbox>
                  </v:shape>
                </v:group>
              </v:group>
            </w:pict>
          </mc:Fallback>
        </mc:AlternateContent>
      </w:r>
    </w:p>
    <w:p w14:paraId="43261349" w14:textId="77777777" w:rsidR="00A410D3" w:rsidRDefault="00A410D3" w:rsidP="00A410D3">
      <w:pPr>
        <w:pStyle w:val="QuestionBox"/>
      </w:pPr>
    </w:p>
    <w:p w14:paraId="701D1BD0" w14:textId="140C9E6A" w:rsidR="00E13DFB" w:rsidRDefault="00E13DFB" w:rsidP="00A410D3">
      <w:pPr>
        <w:pStyle w:val="QuestionBox"/>
      </w:pPr>
      <w:r>
        <w:t>Is the current threshold for admitting propensity evidence about the defendant under section 43(1) causing problems in practice? If so, should section 43(1) be amended to:</w:t>
      </w:r>
    </w:p>
    <w:p w14:paraId="27C0FA8B" w14:textId="77777777" w:rsidR="00E13DFB" w:rsidRDefault="00E13DFB" w:rsidP="00866891">
      <w:pPr>
        <w:pStyle w:val="Questionabc"/>
        <w:numPr>
          <w:ilvl w:val="0"/>
          <w:numId w:val="73"/>
        </w:numPr>
        <w:ind w:left="1418" w:hanging="425"/>
      </w:pPr>
      <w:r>
        <w:t>require probative value to “substantially” outweigh the risk of unfair prejudice; and/or</w:t>
      </w:r>
    </w:p>
    <w:p w14:paraId="31586344" w14:textId="77777777" w:rsidR="00E13DFB" w:rsidRDefault="00E13DFB" w:rsidP="00A410D3">
      <w:pPr>
        <w:pStyle w:val="Questionabc"/>
      </w:pPr>
      <w:r>
        <w:t>require the propensity evidence to have “significant” probative value?</w:t>
      </w:r>
    </w:p>
    <w:p w14:paraId="17079271" w14:textId="77777777" w:rsidR="00A410D3" w:rsidRPr="00A410D3" w:rsidRDefault="00A410D3" w:rsidP="00A410D3">
      <w:pPr>
        <w:pStyle w:val="QuestionBox"/>
        <w:rPr>
          <w:lang w:eastAsia="en-US"/>
        </w:rPr>
      </w:pPr>
    </w:p>
    <w:p w14:paraId="26E4E718" w14:textId="77777777" w:rsidR="00E13DFB" w:rsidRDefault="00E13DFB" w:rsidP="00A410D3">
      <w:pPr>
        <w:pStyle w:val="Heading2"/>
      </w:pPr>
      <w:bookmarkStart w:id="141" w:name="_Toc132962588"/>
      <w:r>
        <w:t>Prior acquittal evidence</w:t>
      </w:r>
      <w:bookmarkEnd w:id="141"/>
    </w:p>
    <w:p w14:paraId="368250D2" w14:textId="77777777" w:rsidR="00E13DFB" w:rsidRDefault="00E13DFB" w:rsidP="00E13DFB">
      <w:pPr>
        <w:pStyle w:val="BodyText"/>
      </w:pPr>
      <w:r>
        <w:t xml:space="preserve">The Act does not specifically address the status of evidence that has previously been led at a trial against the defendant and resulted in an acquittal (prior acquittal evidence). In </w:t>
      </w:r>
      <w:r w:rsidRPr="00A33411">
        <w:rPr>
          <w:i/>
          <w:iCs/>
        </w:rPr>
        <w:t>Fenemor v R</w:t>
      </w:r>
      <w:r>
        <w:t>, the Supreme Court confirmed that the Act treats prior acquittal evidence the same as other propensity evidence about a defendant.</w:t>
      </w:r>
      <w:r>
        <w:rPr>
          <w:rStyle w:val="FootnoteReference"/>
        </w:rPr>
        <w:footnoteReference w:id="839"/>
      </w:r>
      <w:r>
        <w:t xml:space="preserve"> The Court held, however, that when assessing the prejudicial effect of prior acquittal evidence on the defendant, the judge must consider whether the fact that the propensity evidence is prior acquittal evidence gives rise to any, or any additional, unfair prejudice. To the extent that it does, </w:t>
      </w:r>
      <w:r>
        <w:lastRenderedPageBreak/>
        <w:t>the judge should consider how this additional dimension affects the overall balance between probative value and unfair prejudice.</w:t>
      </w:r>
      <w:r>
        <w:rPr>
          <w:rStyle w:val="FootnoteReference"/>
        </w:rPr>
        <w:footnoteReference w:id="840"/>
      </w:r>
      <w:r>
        <w:t xml:space="preserve"> The Court explained:</w:t>
      </w:r>
      <w:r>
        <w:rPr>
          <w:rStyle w:val="FootnoteReference"/>
        </w:rPr>
        <w:footnoteReference w:id="841"/>
      </w:r>
    </w:p>
    <w:p w14:paraId="40635E9B" w14:textId="77777777" w:rsidR="00E13DFB" w:rsidRDefault="00E13DFB" w:rsidP="00E13DFB">
      <w:pPr>
        <w:pStyle w:val="Quote"/>
      </w:pPr>
      <w:r w:rsidRPr="00EF42F5">
        <w:t>In carrying out that evaluation, the focus will be on whether it is unfair to expect the defendant to respond again to the evidence in question in light of the fact that it was not regarded as sufficient to result in a conviction on the earlier occasion.</w:t>
      </w:r>
    </w:p>
    <w:p w14:paraId="3F3143BD" w14:textId="77777777" w:rsidR="00E13DFB" w:rsidRDefault="00E13DFB" w:rsidP="00E13DFB">
      <w:pPr>
        <w:pStyle w:val="BodyText"/>
      </w:pPr>
      <w:r>
        <w:t xml:space="preserve">The Court drew a distinction between </w:t>
      </w:r>
      <w:r w:rsidRPr="002A5772">
        <w:rPr>
          <w:i/>
          <w:iCs/>
        </w:rPr>
        <w:t>any</w:t>
      </w:r>
      <w:r>
        <w:t xml:space="preserve"> prejudice and </w:t>
      </w:r>
      <w:r w:rsidRPr="002A5772">
        <w:rPr>
          <w:i/>
          <w:iCs/>
        </w:rPr>
        <w:t>unfair</w:t>
      </w:r>
      <w:r>
        <w:t xml:space="preserve"> prejudice, noting that there will always be some prejudice to a defendant in having to address the same allegations a second time.</w:t>
      </w:r>
      <w:r>
        <w:rPr>
          <w:rStyle w:val="FootnoteReference"/>
        </w:rPr>
        <w:footnoteReference w:id="842"/>
      </w:r>
      <w:r>
        <w:t xml:space="preserve"> There must therefore be something about the circumstances of, or leading to, the acquittal that gives rise to prejudice that is unfair.</w:t>
      </w:r>
      <w:r>
        <w:rPr>
          <w:rStyle w:val="FootnoteReference"/>
        </w:rPr>
        <w:footnoteReference w:id="843"/>
      </w:r>
      <w:r>
        <w:t xml:space="preserve"> The Court did not seek to elaborate in the abstract on when it would be unfair to a defendant to admit prior acquittal evidence, observing that case law would likely provide further guidance over time.</w:t>
      </w:r>
      <w:r>
        <w:rPr>
          <w:rStyle w:val="FootnoteReference"/>
        </w:rPr>
        <w:footnoteReference w:id="844"/>
      </w:r>
    </w:p>
    <w:p w14:paraId="600084EC" w14:textId="77777777" w:rsidR="00E13DFB" w:rsidRDefault="00E13DFB" w:rsidP="00A410D3">
      <w:pPr>
        <w:pStyle w:val="Heading3"/>
      </w:pPr>
      <w:r>
        <w:t>What is the issue?</w:t>
      </w:r>
    </w:p>
    <w:p w14:paraId="0EF834B8" w14:textId="77777777" w:rsidR="00E13DFB" w:rsidRDefault="00E13DFB" w:rsidP="00E13DFB">
      <w:pPr>
        <w:pStyle w:val="BodyText"/>
      </w:pPr>
      <w:r>
        <w:t xml:space="preserve">Appellate case law since the Supreme Court’s decision in </w:t>
      </w:r>
      <w:r>
        <w:rPr>
          <w:i/>
          <w:iCs/>
        </w:rPr>
        <w:t xml:space="preserve">Fenemor </w:t>
      </w:r>
      <w:r>
        <w:t>appears to indicate that only in the rarest of cases will the acquittal dimension have a meaningful impact on the assessment of the prejudicial effect under section 43.</w:t>
      </w:r>
      <w:r w:rsidRPr="00DE05AA">
        <w:rPr>
          <w:rStyle w:val="FootnoteReference"/>
        </w:rPr>
        <w:t xml:space="preserve"> </w:t>
      </w:r>
      <w:r>
        <w:t>This has led to calls for further guidance as to when and under what circumstances acquittal evidence should be excluded under section 43.</w:t>
      </w:r>
      <w:r>
        <w:rPr>
          <w:rStyle w:val="FootnoteReference"/>
        </w:rPr>
        <w:footnoteReference w:id="845"/>
      </w:r>
      <w:r>
        <w:t xml:space="preserve"> </w:t>
      </w:r>
    </w:p>
    <w:p w14:paraId="630B284B" w14:textId="77777777" w:rsidR="00E13DFB" w:rsidRDefault="00E13DFB" w:rsidP="00E13DFB">
      <w:pPr>
        <w:pStyle w:val="BodyText"/>
      </w:pPr>
      <w:r>
        <w:t xml:space="preserve">In the years immediately following </w:t>
      </w:r>
      <w:r>
        <w:rPr>
          <w:i/>
          <w:iCs/>
        </w:rPr>
        <w:t>Fenemor</w:t>
      </w:r>
      <w:r w:rsidRPr="0092459D">
        <w:t>,</w:t>
      </w:r>
      <w:r>
        <w:rPr>
          <w:i/>
          <w:iCs/>
        </w:rPr>
        <w:t xml:space="preserve"> </w:t>
      </w:r>
      <w:r>
        <w:t xml:space="preserve">several Court of Appeal decisions ruled prior </w:t>
      </w:r>
      <w:r w:rsidRPr="00B572C0">
        <w:t>acquittal evidence inadmissible given the unfair prejudice posed by the acquittal dimension</w:t>
      </w:r>
      <w:r>
        <w:t>.</w:t>
      </w:r>
      <w:r>
        <w:rPr>
          <w:rStyle w:val="FootnoteReference"/>
        </w:rPr>
        <w:footnoteReference w:id="846"/>
      </w:r>
      <w:r>
        <w:t xml:space="preserve"> These cases suggested that relevant factors included the passage of time and the completeness of the records from the previous investigation and trial, as this impacted on the defendant’s ability to respond to the prior acquittal evidence at the present trial.</w:t>
      </w:r>
      <w:r>
        <w:rPr>
          <w:rStyle w:val="FootnoteReference"/>
        </w:rPr>
        <w:footnoteReference w:id="847"/>
      </w:r>
      <w:r>
        <w:t xml:space="preserve"> Other relevant factors included the risk of overwhelming the trial with the prior acquittal evidence and the consequential impact that this could have on jury decision-making.</w:t>
      </w:r>
      <w:r>
        <w:rPr>
          <w:rStyle w:val="FootnoteReference"/>
        </w:rPr>
        <w:footnoteReference w:id="848"/>
      </w:r>
    </w:p>
    <w:p w14:paraId="3E15C0F4" w14:textId="77777777" w:rsidR="00E13DFB" w:rsidRPr="00E56372" w:rsidRDefault="00E13DFB" w:rsidP="00E13DFB">
      <w:pPr>
        <w:pStyle w:val="BodyText"/>
      </w:pPr>
      <w:r w:rsidRPr="00F90683">
        <w:lastRenderedPageBreak/>
        <w:t>More recent cases, however, appear to take a different approach to assessing prior acquittal evidence.</w:t>
      </w:r>
      <w:r>
        <w:rPr>
          <w:rStyle w:val="FootnoteReference"/>
        </w:rPr>
        <w:footnoteReference w:id="849"/>
      </w:r>
      <w:r w:rsidRPr="00F90683">
        <w:t xml:space="preserve"> These cases suggest that it will be rare for prior acquittal evidence that is otherwise admissible under section 43 to be excluded for reasons connected to the acquittal dimension. </w:t>
      </w:r>
    </w:p>
    <w:p w14:paraId="63982635" w14:textId="77777777" w:rsidR="00E13DFB" w:rsidRDefault="00E13DFB" w:rsidP="00E13DFB">
      <w:pPr>
        <w:pStyle w:val="BodyText"/>
      </w:pPr>
      <w:r>
        <w:t xml:space="preserve">In </w:t>
      </w:r>
      <w:r>
        <w:rPr>
          <w:i/>
          <w:iCs/>
        </w:rPr>
        <w:t>Brooks v R</w:t>
      </w:r>
      <w:r w:rsidRPr="00C7445B">
        <w:t>,</w:t>
      </w:r>
      <w:r>
        <w:rPr>
          <w:i/>
          <w:iCs/>
        </w:rPr>
        <w:t xml:space="preserve"> </w:t>
      </w:r>
      <w:r>
        <w:t>the acquittal evidence related to a trial 23 years earlier.</w:t>
      </w:r>
      <w:r>
        <w:rPr>
          <w:rStyle w:val="FootnoteReference"/>
        </w:rPr>
        <w:footnoteReference w:id="850"/>
      </w:r>
      <w:r>
        <w:t xml:space="preserve"> Most of the records were lost – all that remained was the complainant’s original statement to police and a police statement from another witness in the form of recent complaint evidence. It was argued that the combination of the lapse of time and absence of files rendered the evidence unfairly prejudicial. The Court of Appeal was split, with the majority ruling in favour of admission.</w:t>
      </w:r>
    </w:p>
    <w:p w14:paraId="5EFEA9BA" w14:textId="77777777" w:rsidR="00E13DFB" w:rsidRDefault="00E13DFB" w:rsidP="00E13DFB">
      <w:pPr>
        <w:pStyle w:val="BodyText"/>
      </w:pPr>
      <w:r>
        <w:t>The majority observed that consideration of the acquittal dimension “</w:t>
      </w:r>
      <w:r w:rsidRPr="00780332">
        <w:t>extends to the reasons for the acquittal, the nature of the evidence and any circumstances making it unfair to respond again to the evidence”</w:t>
      </w:r>
      <w:r>
        <w:t>.</w:t>
      </w:r>
      <w:r>
        <w:rPr>
          <w:rStyle w:val="FootnoteReference"/>
        </w:rPr>
        <w:footnoteReference w:id="851"/>
      </w:r>
      <w:r>
        <w:t xml:space="preserve"> The majority stated that “the unavailability of the prior record </w:t>
      </w:r>
      <w:r w:rsidRPr="002924C1">
        <w:t>may</w:t>
      </w:r>
      <w:r>
        <w:rPr>
          <w:i/>
          <w:iCs/>
        </w:rPr>
        <w:t xml:space="preserve"> </w:t>
      </w:r>
      <w:r>
        <w:t>lead to unfair prejudice, but it is not sufficient in itself”.</w:t>
      </w:r>
      <w:r>
        <w:rPr>
          <w:rStyle w:val="FootnoteReference"/>
        </w:rPr>
        <w:footnoteReference w:id="852"/>
      </w:r>
      <w:r>
        <w:t xml:space="preserve"> To support this view, the majority noted that the jury’s reasons for acquitting the defendant will frequently not be discernible from the record.</w:t>
      </w:r>
      <w:r>
        <w:rPr>
          <w:rStyle w:val="FootnoteReference"/>
        </w:rPr>
        <w:footnoteReference w:id="853"/>
      </w:r>
      <w:r>
        <w:t xml:space="preserve"> Further, while an inference might be drawn from an acquittal that the jury did not find the complainant’s account sufficiently persuasive to prove the charge beyond reasonable doubt, that inference is not sufficient in itself since it is merely the opinion of the previous jury.</w:t>
      </w:r>
      <w:r>
        <w:rPr>
          <w:rStyle w:val="FootnoteReference"/>
        </w:rPr>
        <w:footnoteReference w:id="854"/>
      </w:r>
      <w:r>
        <w:t xml:space="preserve"> Ultimately, the majority considered that:</w:t>
      </w:r>
      <w:r>
        <w:rPr>
          <w:rStyle w:val="FootnoteReference"/>
        </w:rPr>
        <w:footnoteReference w:id="855"/>
      </w:r>
    </w:p>
    <w:p w14:paraId="6AC222AE" w14:textId="77777777" w:rsidR="00E13DFB" w:rsidRDefault="00E13DFB" w:rsidP="00E13DFB">
      <w:pPr>
        <w:pStyle w:val="Quote"/>
      </w:pPr>
      <w:r>
        <w:t xml:space="preserve">… a defendant seeking to exclude prior acquittal evidence must point to something more than the absence of a record. The court will not assume that the missing record must have been advantageous for the defendant at the new trial. To the extent that </w:t>
      </w:r>
      <w:r>
        <w:rPr>
          <w:i/>
          <w:iCs/>
        </w:rPr>
        <w:t xml:space="preserve">Mead </w:t>
      </w:r>
      <w:r>
        <w:t>held otherwise, we respectfully disagree.</w:t>
      </w:r>
    </w:p>
    <w:p w14:paraId="34B94C72" w14:textId="77777777" w:rsidR="00E13DFB" w:rsidRDefault="00E13DFB" w:rsidP="00E13DFB">
      <w:pPr>
        <w:pStyle w:val="BodyText"/>
      </w:pPr>
      <w:r>
        <w:t>The minority (Peters J) would have ruled the acquittal evidence inadmissible on the basis of the delay and its adverse effects on the accuracy of memory, including on the defendant who could not recall details of the earlier trial, as well as the fact that almost all relevant contemporaneous information was unavailable.</w:t>
      </w:r>
      <w:r>
        <w:rPr>
          <w:rStyle w:val="FootnoteReference"/>
        </w:rPr>
        <w:footnoteReference w:id="856"/>
      </w:r>
      <w:r>
        <w:t xml:space="preserve"> This meant that defence counsel could not mount an effective response to the evidence, which would put the defence at a distinct disadvantage.</w:t>
      </w:r>
      <w:r>
        <w:rPr>
          <w:rStyle w:val="FootnoteReference"/>
        </w:rPr>
        <w:footnoteReference w:id="857"/>
      </w:r>
      <w:r>
        <w:t xml:space="preserve"> The suggestion that it was “speculative” to suggest the missing material would have benefited the defendant did not, in the Judge’s view, withstand scrutiny.</w:t>
      </w:r>
      <w:r>
        <w:rPr>
          <w:rStyle w:val="FootnoteReference"/>
        </w:rPr>
        <w:footnoteReference w:id="858"/>
      </w:r>
      <w:r>
        <w:t xml:space="preserve"> </w:t>
      </w:r>
    </w:p>
    <w:p w14:paraId="43B68615" w14:textId="77777777" w:rsidR="00E13DFB" w:rsidRDefault="00E13DFB" w:rsidP="00A410D3">
      <w:pPr>
        <w:pStyle w:val="Heading3"/>
      </w:pPr>
      <w:r>
        <w:lastRenderedPageBreak/>
        <w:t>Is legislative reform necessary or desirable?</w:t>
      </w:r>
    </w:p>
    <w:p w14:paraId="4C42B735" w14:textId="77777777" w:rsidR="00E13DFB" w:rsidRDefault="00E13DFB" w:rsidP="00E13DFB">
      <w:pPr>
        <w:pStyle w:val="BodyText"/>
      </w:pPr>
      <w:r>
        <w:t xml:space="preserve">We are interested in views on whether there are concerns about how prior acquittal evidence is assessed under section 43 and, if so, whether section 43 should be amended to include specific guidance on assessing the prejudicial effect of prior acquittal evidence. </w:t>
      </w:r>
      <w:r>
        <w:rPr>
          <w:i/>
          <w:iCs/>
        </w:rPr>
        <w:t>Brooks</w:t>
      </w:r>
      <w:r>
        <w:t xml:space="preserve"> appears to suggest that prior acquittal evidence may be admitted even in situations where there is a significant lapse in time between the events that resulted in the acquittal and the present case and even where much of the record of that earlier investigation and trial are lost. Something more is required.</w:t>
      </w:r>
      <w:r>
        <w:rPr>
          <w:rStyle w:val="FootnoteReference"/>
        </w:rPr>
        <w:footnoteReference w:id="859"/>
      </w:r>
    </w:p>
    <w:p w14:paraId="367B5574" w14:textId="77777777" w:rsidR="00E13DFB" w:rsidRDefault="00E13DFB" w:rsidP="00E13DFB">
      <w:pPr>
        <w:pStyle w:val="BodyText"/>
      </w:pPr>
      <w:r>
        <w:t xml:space="preserve">Optican is critical of the current approach and of </w:t>
      </w:r>
      <w:r w:rsidRPr="00984D32">
        <w:t xml:space="preserve">the majority’s </w:t>
      </w:r>
      <w:r>
        <w:t xml:space="preserve">decision </w:t>
      </w:r>
      <w:r w:rsidRPr="00984D32">
        <w:t xml:space="preserve">in </w:t>
      </w:r>
      <w:r w:rsidRPr="00C67885">
        <w:rPr>
          <w:i/>
          <w:iCs/>
        </w:rPr>
        <w:t xml:space="preserve">Brooks </w:t>
      </w:r>
      <w:r w:rsidRPr="00984D32">
        <w:t>in particular, arguing that it establishes “an onerous and overly granular standard of unfair prejudice that, in most cases, the defence will struggle to meet and judges (who are so inclined) will readily find unsatisfied”.</w:t>
      </w:r>
      <w:r w:rsidRPr="00984D32">
        <w:rPr>
          <w:rStyle w:val="FootnoteReference"/>
        </w:rPr>
        <w:footnoteReference w:id="860"/>
      </w:r>
      <w:r w:rsidRPr="0058125D">
        <w:t xml:space="preserve"> </w:t>
      </w:r>
      <w:r>
        <w:t xml:space="preserve">The Supreme Court declined leave to appeal the decision in </w:t>
      </w:r>
      <w:r w:rsidRPr="00C67885">
        <w:rPr>
          <w:i/>
          <w:iCs/>
        </w:rPr>
        <w:t>Brooks</w:t>
      </w:r>
      <w:r w:rsidRPr="00FA4DD4">
        <w:t>,</w:t>
      </w:r>
      <w:r w:rsidRPr="00C67885">
        <w:rPr>
          <w:i/>
          <w:iCs/>
        </w:rPr>
        <w:t xml:space="preserve"> </w:t>
      </w:r>
      <w:r>
        <w:t>considering that the application “attempts to reargue the application of settled law to the facts of this case”.</w:t>
      </w:r>
      <w:r>
        <w:rPr>
          <w:rStyle w:val="FootnoteReference"/>
        </w:rPr>
        <w:footnoteReference w:id="861"/>
      </w:r>
      <w:r>
        <w:t xml:space="preserve"> </w:t>
      </w:r>
    </w:p>
    <w:p w14:paraId="348A1DE1" w14:textId="77777777" w:rsidR="00E13DFB" w:rsidRDefault="00E13DFB" w:rsidP="00E571FC">
      <w:pPr>
        <w:pStyle w:val="Heading3"/>
      </w:pPr>
      <w:r>
        <w:t>Option for reform</w:t>
      </w:r>
    </w:p>
    <w:p w14:paraId="31A9194E" w14:textId="77777777" w:rsidR="00E13DFB" w:rsidRDefault="00E13DFB" w:rsidP="00E13DFB">
      <w:pPr>
        <w:pStyle w:val="BodyText"/>
      </w:pPr>
      <w:r>
        <w:t>Should reform be considered necessary or desirable, section 43 could be amended to require the judge, when assessing the prejudicial effect of prior acquittal evidence, to consider certain factors. For example, the Act could require a judge to consider whether the defendant is able to fairly respond to the allegations in the present proceedings, having regard to the lapse of time since the earlier investigation and the present trial, the material available in relation to them and any other relevant matter.</w:t>
      </w:r>
      <w:r>
        <w:rPr>
          <w:rStyle w:val="FootnoteReference"/>
        </w:rPr>
        <w:footnoteReference w:id="862"/>
      </w:r>
    </w:p>
    <w:p w14:paraId="3F3C93A3" w14:textId="77777777" w:rsidR="00E13DFB" w:rsidRDefault="00E13DFB" w:rsidP="00E13DFB">
      <w:pPr>
        <w:pStyle w:val="BodyText"/>
      </w:pPr>
      <w:r w:rsidRPr="009558F2">
        <w:t>The purpose of such an amendment would be to elevate the significance of these matters in the court’s assessment of unfair prejudice.</w:t>
      </w:r>
      <w:r>
        <w:t xml:space="preserve"> T</w:t>
      </w:r>
      <w:r w:rsidRPr="009558F2">
        <w:t xml:space="preserve">his could better recognise the unfairness that arises in situations where, when a full hearing of the evidence has previously resulted in an acquittal, defence counsel is unable to rely on that same material to respond to the prior acquittal evidence. </w:t>
      </w:r>
      <w:r>
        <w:t>W</w:t>
      </w:r>
      <w:r w:rsidRPr="009558F2">
        <w:t>here the relevant records from a trial many years ago are largely absent, it should be open to the court to find that the unfair prejudice outweighs the probative value of the evidence without requiring the defence to point to a specific piece</w:t>
      </w:r>
      <w:r>
        <w:t xml:space="preserve"> of information in the absent records that had some material bearing on the acquittal. This may, however, not go far enough, and we welcome views on this. </w:t>
      </w:r>
    </w:p>
    <w:p w14:paraId="11F8A6F0" w14:textId="77F5213B" w:rsidR="00E13DFB" w:rsidRDefault="00E571FC" w:rsidP="00E13DFB">
      <w:pPr>
        <w:pStyle w:val="BodyText"/>
      </w:pPr>
      <w:r>
        <w:rPr>
          <w:noProof/>
        </w:rPr>
        <w:lastRenderedPageBreak/>
        <mc:AlternateContent>
          <mc:Choice Requires="wpg">
            <w:drawing>
              <wp:anchor distT="0" distB="0" distL="114300" distR="114300" simplePos="0" relativeHeight="251658354" behindDoc="1" locked="0" layoutInCell="1" allowOverlap="1" wp14:anchorId="25C84E46" wp14:editId="6375C1A8">
                <wp:simplePos x="0" y="0"/>
                <wp:positionH relativeFrom="column">
                  <wp:posOffset>-1962</wp:posOffset>
                </wp:positionH>
                <wp:positionV relativeFrom="paragraph">
                  <wp:posOffset>631038</wp:posOffset>
                </wp:positionV>
                <wp:extent cx="5760085" cy="1337513"/>
                <wp:effectExtent l="0" t="0" r="0" b="0"/>
                <wp:wrapNone/>
                <wp:docPr id="255" name="Group 255" descr="Question"/>
                <wp:cNvGraphicFramePr/>
                <a:graphic xmlns:a="http://schemas.openxmlformats.org/drawingml/2006/main">
                  <a:graphicData uri="http://schemas.microsoft.com/office/word/2010/wordprocessingGroup">
                    <wpg:wgp>
                      <wpg:cNvGrpSpPr/>
                      <wpg:grpSpPr>
                        <a:xfrm>
                          <a:off x="0" y="0"/>
                          <a:ext cx="5760085" cy="1337513"/>
                          <a:chOff x="0" y="62865"/>
                          <a:chExt cx="5760085" cy="1338225"/>
                        </a:xfrm>
                      </wpg:grpSpPr>
                      <wps:wsp>
                        <wps:cNvPr id="76451801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EB0C33" w14:textId="77777777" w:rsidR="00E571FC" w:rsidRDefault="00E571FC" w:rsidP="00E571FC">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17" name="Group 53"/>
                        <wpg:cNvGrpSpPr>
                          <a:grpSpLocks/>
                        </wpg:cNvGrpSpPr>
                        <wpg:grpSpPr bwMode="auto">
                          <a:xfrm>
                            <a:off x="0" y="315706"/>
                            <a:ext cx="5760085" cy="1085384"/>
                            <a:chOff x="1837" y="1786"/>
                            <a:chExt cx="9302" cy="11724"/>
                          </a:xfrm>
                        </wpg:grpSpPr>
                        <wps:wsp>
                          <wps:cNvPr id="764518018" name="Freeform 54"/>
                          <wps:cNvSpPr>
                            <a:spLocks/>
                          </wps:cNvSpPr>
                          <wps:spPr bwMode="auto">
                            <a:xfrm>
                              <a:off x="1837" y="1786"/>
                              <a:ext cx="9302" cy="117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19" name="Group 764518019"/>
                        <wpg:cNvGrpSpPr/>
                        <wpg:grpSpPr>
                          <a:xfrm>
                            <a:off x="0" y="494036"/>
                            <a:ext cx="1443794" cy="252000"/>
                            <a:chOff x="-15880" y="0"/>
                            <a:chExt cx="1444379" cy="252068"/>
                          </a:xfrm>
                        </wpg:grpSpPr>
                        <wps:wsp>
                          <wps:cNvPr id="76451802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2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6753D1" w14:textId="77777777" w:rsidR="00E571FC" w:rsidRPr="00E90B8A" w:rsidRDefault="00E571FC" w:rsidP="00E571FC">
                                <w:pPr>
                                  <w:pStyle w:val="BoxTitle"/>
                                  <w:spacing w:before="0" w:beforeAutospacing="0"/>
                                  <w:rPr>
                                    <w:sz w:val="18"/>
                                    <w:szCs w:val="18"/>
                                  </w:rPr>
                                </w:pPr>
                                <w:r w:rsidRPr="00E90B8A">
                                  <w:rPr>
                                    <w:sz w:val="18"/>
                                    <w:szCs w:val="18"/>
                                  </w:rPr>
                                  <w:t>Q</w:t>
                                </w:r>
                                <w:r>
                                  <w:rPr>
                                    <w:sz w:val="18"/>
                                    <w:szCs w:val="18"/>
                                  </w:rPr>
                                  <w:t>49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5C84E46" id="Group 255" o:spid="_x0000_s1367" alt="Question" style="position:absolute;left:0;text-align:left;margin-left:-.15pt;margin-top:49.7pt;width:453.55pt;height:105.3pt;z-index:-251658126;mso-height-relative:margin" coordorigin=",628" coordsize="57600,1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">
                <v:shape id="Freeform 52" o:spid="_x0000_s136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EEB0C33" w14:textId="77777777" w:rsidR="00E571FC" w:rsidRDefault="00E571FC" w:rsidP="00E571FC">
                        <w:pPr>
                          <w:pStyle w:val="BoxTitle"/>
                          <w:spacing w:before="0" w:beforeAutospacing="0"/>
                        </w:pPr>
                        <w:r w:rsidRPr="007F6876">
                          <w:t>QUESTION</w:t>
                        </w:r>
                      </w:p>
                    </w:txbxContent>
                  </v:textbox>
                </v:shape>
                <v:group id="Group 53" o:spid="_x0000_s1369" style="position:absolute;top:3157;width:57600;height:10853" coordorigin="1837,1786" coordsize="930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">
                  <v:shape id="Freeform 54" o:spid="_x0000_s1370" style="position:absolute;left:1837;top:1786;width:9302;height:117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" path="m,l9354,r,7809l,7809,,e" fillcolor="#edf2ea" stroked="f">
                    <v:path arrowok="t" o:connecttype="custom" o:connectlocs="0,1501;9302,1501;9302,13225;0,13225;0,1501" o:connectangles="0,0,0,0,0"/>
                  </v:shape>
                </v:group>
                <v:group id="Group 764518019" o:spid="_x0000_s137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">
                  <v:shape id="Freeform 58" o:spid="_x0000_s137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" path="m,l1815,e" filled="f" strokecolor="#72ab6a" strokeweight=".5pt">
                    <v:path arrowok="t" o:connecttype="custom" o:connectlocs="0,0;1073495,0" o:connectangles="0,0"/>
                  </v:shape>
                  <v:shape id="Freeform 66" o:spid="_x0000_s137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C6753D1" w14:textId="77777777" w:rsidR="00E571FC" w:rsidRPr="00E90B8A" w:rsidRDefault="00E571FC" w:rsidP="00E571FC">
                          <w:pPr>
                            <w:pStyle w:val="BoxTitle"/>
                            <w:spacing w:before="0" w:beforeAutospacing="0"/>
                            <w:rPr>
                              <w:sz w:val="18"/>
                              <w:szCs w:val="18"/>
                            </w:rPr>
                          </w:pPr>
                          <w:r w:rsidRPr="00E90B8A">
                            <w:rPr>
                              <w:sz w:val="18"/>
                              <w:szCs w:val="18"/>
                            </w:rPr>
                            <w:t>Q</w:t>
                          </w:r>
                          <w:r>
                            <w:rPr>
                              <w:sz w:val="18"/>
                              <w:szCs w:val="18"/>
                            </w:rPr>
                            <w:t>49</w:t>
                          </w:r>
                        </w:p>
                      </w:txbxContent>
                    </v:textbox>
                  </v:shape>
                </v:group>
              </v:group>
            </w:pict>
          </mc:Fallback>
        </mc:AlternateContent>
      </w:r>
      <w:r w:rsidR="00E13DFB">
        <w:t>Further consideration would need to be given to what constitutes prior acquittal evidence for such an amendment and whether it should include, for example, charges that are withdrawn prior to trial and charges that are dismissed.</w:t>
      </w:r>
    </w:p>
    <w:p w14:paraId="5330B046" w14:textId="6AA285D5" w:rsidR="00E571FC" w:rsidRDefault="00E571FC" w:rsidP="00E571FC">
      <w:pPr>
        <w:pStyle w:val="QuestionBox"/>
      </w:pPr>
    </w:p>
    <w:p w14:paraId="7F43B59A" w14:textId="77777777" w:rsidR="00E571FC" w:rsidRDefault="00E571FC" w:rsidP="00E571FC">
      <w:pPr>
        <w:pStyle w:val="QuestionBox"/>
      </w:pPr>
    </w:p>
    <w:p w14:paraId="0B290D0C" w14:textId="0DE758BB" w:rsidR="00E13DFB" w:rsidRDefault="00E13DFB" w:rsidP="00E571FC">
      <w:pPr>
        <w:pStyle w:val="QuestionBox"/>
      </w:pPr>
      <w:r>
        <w:t xml:space="preserve">Is the approach to prior acquittal evidence under section 43 causing problems in practice? If so, should it be amended to provide guidance on the factors that should be considered when assessing the prejudicial effect of prior acquittal evidence? </w:t>
      </w:r>
    </w:p>
    <w:p w14:paraId="45B38758" w14:textId="77777777" w:rsidR="00E571FC" w:rsidRPr="00D548B2" w:rsidRDefault="00E571FC" w:rsidP="00E571FC">
      <w:pPr>
        <w:pStyle w:val="QuestionBox"/>
      </w:pPr>
    </w:p>
    <w:p w14:paraId="40E64041" w14:textId="77777777" w:rsidR="00E13DFB" w:rsidRDefault="00E13DFB" w:rsidP="00E571FC">
      <w:pPr>
        <w:pStyle w:val="Heading2"/>
      </w:pPr>
      <w:bookmarkStart w:id="142" w:name="_Toc132962589"/>
      <w:r>
        <w:t>The unusualness factor in section 43(3)</w:t>
      </w:r>
      <w:bookmarkEnd w:id="142"/>
    </w:p>
    <w:p w14:paraId="5C3BCE9C" w14:textId="77777777" w:rsidR="00E13DFB" w:rsidRDefault="00E13DFB" w:rsidP="00E13DFB">
      <w:pPr>
        <w:pStyle w:val="BodyText"/>
      </w:pPr>
      <w:r>
        <w:t>Section 43(3) lists factors the judge may consider, among other matters, w</w:t>
      </w:r>
      <w:r w:rsidRPr="00D93CCD">
        <w:t>hen assessing the probative value of propensity evidence</w:t>
      </w:r>
      <w:r>
        <w:t>. One factor, in section 43(3)(f), is the “unusualness factor”, that is:</w:t>
      </w:r>
    </w:p>
    <w:p w14:paraId="7D721E12" w14:textId="77777777" w:rsidR="00E13DFB" w:rsidRPr="00FE5A3E" w:rsidRDefault="00E13DFB" w:rsidP="00E13DFB">
      <w:pPr>
        <w:pStyle w:val="Quote"/>
      </w:pPr>
      <w:r w:rsidRPr="002B0C78">
        <w:t>the extent to which the acts, omissions, events, or circumstances that are the subject of the evidence and the acts, omissions, events, or circumstances which constitute the offence for which the defendant is being tried are unusual.</w:t>
      </w:r>
    </w:p>
    <w:p w14:paraId="1DF88BDB" w14:textId="77777777" w:rsidR="00E13DFB" w:rsidRDefault="00E13DFB" w:rsidP="00E571FC">
      <w:pPr>
        <w:pStyle w:val="Heading3"/>
      </w:pPr>
      <w:r>
        <w:t>What is the issue?</w:t>
      </w:r>
    </w:p>
    <w:p w14:paraId="631A1903" w14:textId="77777777" w:rsidR="00E13DFB" w:rsidRDefault="00E13DFB" w:rsidP="00E13DFB">
      <w:pPr>
        <w:pStyle w:val="BodyText"/>
      </w:pPr>
      <w:r>
        <w:t>There have long been questions about how “unusualness” should be assessed.</w:t>
      </w:r>
      <w:r>
        <w:rPr>
          <w:rStyle w:val="FootnoteReference"/>
        </w:rPr>
        <w:footnoteReference w:id="863"/>
      </w:r>
      <w:r>
        <w:t xml:space="preserve"> There is no guidance in the Act and there was little discussion of this factor in the Commission’s early work on reforming the law of evidence. As a result, different approaches to determining unusualness have emerged in the case law.</w:t>
      </w:r>
    </w:p>
    <w:p w14:paraId="7B3E7ABA" w14:textId="77777777" w:rsidR="00E13DFB" w:rsidRDefault="00E13DFB" w:rsidP="00E13DFB">
      <w:pPr>
        <w:pStyle w:val="BodyText"/>
      </w:pPr>
      <w:r>
        <w:t>There appear to be three different approaches to assessing unusualness:</w:t>
      </w:r>
      <w:r>
        <w:rPr>
          <w:rStyle w:val="FootnoteReference"/>
        </w:rPr>
        <w:footnoteReference w:id="864"/>
      </w:r>
    </w:p>
    <w:p w14:paraId="26F72E54" w14:textId="77777777" w:rsidR="00E13DFB" w:rsidRDefault="00E13DFB" w:rsidP="00866891">
      <w:pPr>
        <w:pStyle w:val="BodyTextIndent"/>
        <w:numPr>
          <w:ilvl w:val="3"/>
          <w:numId w:val="28"/>
        </w:numPr>
      </w:pPr>
      <w:r>
        <w:t xml:space="preserve">Some cases focus on whether the </w:t>
      </w:r>
      <w:r>
        <w:rPr>
          <w:i/>
          <w:iCs/>
        </w:rPr>
        <w:t xml:space="preserve">type of offending </w:t>
      </w:r>
      <w:r>
        <w:t>is unusual, compared to other types of offending.</w:t>
      </w:r>
    </w:p>
    <w:p w14:paraId="73B9109F" w14:textId="77777777" w:rsidR="00E13DFB" w:rsidRDefault="00E13DFB" w:rsidP="00866891">
      <w:pPr>
        <w:pStyle w:val="BodyTextIndent"/>
        <w:numPr>
          <w:ilvl w:val="3"/>
          <w:numId w:val="28"/>
        </w:numPr>
      </w:pPr>
      <w:r>
        <w:t xml:space="preserve">Some cases focus on the </w:t>
      </w:r>
      <w:r w:rsidRPr="009807EE">
        <w:rPr>
          <w:i/>
        </w:rPr>
        <w:t>characteristics of the offending</w:t>
      </w:r>
      <w:r>
        <w:t xml:space="preserve"> (that is, whether the characteristics that are common to both the propensity evidence and the alleged offending disclose something distinctive and different to the usual run of cases of that nature). </w:t>
      </w:r>
    </w:p>
    <w:p w14:paraId="1DBFA83D" w14:textId="77777777" w:rsidR="00E13DFB" w:rsidRDefault="00E13DFB" w:rsidP="00866891">
      <w:pPr>
        <w:pStyle w:val="BodyTextIndent"/>
        <w:numPr>
          <w:ilvl w:val="3"/>
          <w:numId w:val="28"/>
        </w:numPr>
      </w:pPr>
      <w:r>
        <w:t xml:space="preserve">Other cases focus on the </w:t>
      </w:r>
      <w:r w:rsidRPr="00122F15">
        <w:rPr>
          <w:i/>
          <w:iCs/>
        </w:rPr>
        <w:t>nature of the offending</w:t>
      </w:r>
      <w:r>
        <w:t xml:space="preserve">, compared to normal standards of behaviour. </w:t>
      </w:r>
    </w:p>
    <w:p w14:paraId="5CA5E508" w14:textId="77777777" w:rsidR="00E13DFB" w:rsidRDefault="00E13DFB" w:rsidP="00E13DFB">
      <w:pPr>
        <w:pStyle w:val="BodyText"/>
        <w:tabs>
          <w:tab w:val="num" w:pos="709"/>
        </w:tabs>
      </w:pPr>
      <w:r>
        <w:t xml:space="preserve">In its Second Review of the Act, the Commission considered whether the approach to assessing unusualness should be clarified. It noted criticisms with the approaches that focus on the type of offending and nature of offending but observed a trend in that the </w:t>
      </w:r>
      <w:r>
        <w:lastRenderedPageBreak/>
        <w:t>courts seemed to be focusing on the characteristics of the offending. In light of this, the Commission concluded it was unnecessary to amend section 43(3)(f).</w:t>
      </w:r>
      <w:r>
        <w:rPr>
          <w:rStyle w:val="FootnoteReference"/>
        </w:rPr>
        <w:footnoteReference w:id="865"/>
      </w:r>
    </w:p>
    <w:p w14:paraId="63503893" w14:textId="77777777" w:rsidR="00E13DFB" w:rsidRPr="00E56372" w:rsidRDefault="00E13DFB" w:rsidP="00E13DFB">
      <w:pPr>
        <w:pStyle w:val="BodyText"/>
        <w:tabs>
          <w:tab w:val="num" w:pos="709"/>
        </w:tabs>
      </w:pPr>
      <w:r>
        <w:t>Cases since the Second Review and preliminary feedback have, however, confirmed that there remain multiple approaches to assessing unusualness.</w:t>
      </w:r>
      <w:r>
        <w:rPr>
          <w:rStyle w:val="FootnoteReference"/>
        </w:rPr>
        <w:footnoteReference w:id="866"/>
      </w:r>
      <w:r>
        <w:t xml:space="preserve"> A series of cases, for example, has established that sexual offending against children is inherently unusual by focusing on the nature of the offending compared to normal standards of behaviour.</w:t>
      </w:r>
      <w:r>
        <w:rPr>
          <w:rStyle w:val="FootnoteReference"/>
        </w:rPr>
        <w:footnoteReference w:id="867"/>
      </w:r>
      <w:r>
        <w:t xml:space="preserve"> </w:t>
      </w:r>
      <w:r w:rsidRPr="00237537">
        <w:rPr>
          <w:iCs/>
        </w:rPr>
        <w:t xml:space="preserve">Other recent cases have also assessed unusualness by reference to the type or nature of the offending rather than by focusing on distinctive characteristics common to the propensity evidence and alleged offending. In </w:t>
      </w:r>
      <w:r w:rsidRPr="00237537">
        <w:rPr>
          <w:i/>
        </w:rPr>
        <w:t>R v Ahlawat</w:t>
      </w:r>
      <w:r w:rsidRPr="00237537">
        <w:rPr>
          <w:iCs/>
        </w:rPr>
        <w:t>,</w:t>
      </w:r>
      <w:r w:rsidRPr="00237537">
        <w:rPr>
          <w:i/>
        </w:rPr>
        <w:t xml:space="preserve"> </w:t>
      </w:r>
      <w:r w:rsidRPr="00237537">
        <w:rPr>
          <w:iCs/>
        </w:rPr>
        <w:t>the Court of Appeal accepted a submission that arson “is itself conduct which is inherently unusual”.</w:t>
      </w:r>
      <w:r>
        <w:rPr>
          <w:rStyle w:val="FootnoteReference"/>
          <w:iCs/>
        </w:rPr>
        <w:footnoteReference w:id="868"/>
      </w:r>
      <w:r w:rsidRPr="00237537">
        <w:rPr>
          <w:iCs/>
        </w:rPr>
        <w:t xml:space="preserve"> In </w:t>
      </w:r>
      <w:r w:rsidRPr="00237537">
        <w:rPr>
          <w:i/>
        </w:rPr>
        <w:t>Goel v R</w:t>
      </w:r>
      <w:r w:rsidRPr="00971A57">
        <w:t>,</w:t>
      </w:r>
      <w:r w:rsidRPr="00237537">
        <w:rPr>
          <w:i/>
        </w:rPr>
        <w:t xml:space="preserve"> </w:t>
      </w:r>
      <w:r w:rsidRPr="00237537">
        <w:rPr>
          <w:iCs/>
        </w:rPr>
        <w:t>the defendants faced a number of charges relating to bribery and corruption of officials.</w:t>
      </w:r>
      <w:r>
        <w:rPr>
          <w:rStyle w:val="FootnoteReference"/>
          <w:iCs/>
        </w:rPr>
        <w:footnoteReference w:id="869"/>
      </w:r>
      <w:r w:rsidRPr="00237537">
        <w:rPr>
          <w:iCs/>
        </w:rPr>
        <w:t xml:space="preserve"> The Court of Appeal confirmed that the various charges were cross-admissible as propensity evidence, observing that “[t]he type of conduct alleged, (bribery and corruption of public officials) is unusual in New Zealand”.</w:t>
      </w:r>
      <w:r>
        <w:rPr>
          <w:rStyle w:val="FootnoteReference"/>
          <w:iCs/>
        </w:rPr>
        <w:footnoteReference w:id="870"/>
      </w:r>
    </w:p>
    <w:p w14:paraId="179742FC" w14:textId="77777777" w:rsidR="00E13DFB" w:rsidRPr="002E6932" w:rsidRDefault="00E13DFB" w:rsidP="00E13DFB">
      <w:pPr>
        <w:pStyle w:val="BodyText"/>
        <w:tabs>
          <w:tab w:val="num" w:pos="709"/>
        </w:tabs>
      </w:pPr>
      <w:r>
        <w:rPr>
          <w:iCs/>
        </w:rPr>
        <w:t>In contrast, other cases have focused on the unusualness of the common characteristics of the propensity evidence and the alleged offending.</w:t>
      </w:r>
      <w:r>
        <w:rPr>
          <w:rStyle w:val="FootnoteReference"/>
          <w:iCs/>
        </w:rPr>
        <w:footnoteReference w:id="871"/>
      </w:r>
      <w:r>
        <w:rPr>
          <w:iCs/>
        </w:rPr>
        <w:t xml:space="preserve"> This approach appears to be used when the alleged propensity is specific rather than general in nature. </w:t>
      </w:r>
    </w:p>
    <w:p w14:paraId="20F18063" w14:textId="77777777" w:rsidR="00E13DFB" w:rsidRDefault="00E13DFB" w:rsidP="00E571FC">
      <w:pPr>
        <w:pStyle w:val="Heading3"/>
      </w:pPr>
      <w:r>
        <w:t>Is legislative reform necessary or desirable?</w:t>
      </w:r>
    </w:p>
    <w:p w14:paraId="6BD70A56" w14:textId="77777777" w:rsidR="00E13DFB" w:rsidRPr="004434F4" w:rsidRDefault="00E13DFB" w:rsidP="00E13DFB">
      <w:pPr>
        <w:pStyle w:val="BodyText"/>
      </w:pPr>
      <w:r w:rsidRPr="00ED68AA">
        <w:rPr>
          <w:iCs/>
        </w:rPr>
        <w:t xml:space="preserve">We </w:t>
      </w:r>
      <w:r>
        <w:rPr>
          <w:iCs/>
        </w:rPr>
        <w:t xml:space="preserve">seek submissions on </w:t>
      </w:r>
      <w:r w:rsidRPr="00ED68AA">
        <w:rPr>
          <w:iCs/>
        </w:rPr>
        <w:t xml:space="preserve">whether the </w:t>
      </w:r>
      <w:r>
        <w:rPr>
          <w:iCs/>
        </w:rPr>
        <w:t>continued application of different ways to assess unusualness under section 43(3)(f) is a problem that warrants reform. On the one hand, having different approaches can result in uncertainty as to how the courts might approach this factor. However, the different approaches appear to be engaged in different situations. Where there is a general propensity, the courts will typically look at whether the nature or type of offending can be considered unusual compared to normal standards of behaviour or other types of offending. Where a specific propensity is alleged, the courts will consider whether the common characteristics in the propensity evidence and alleged offending are sufficiently distinctive or unusual.</w:t>
      </w:r>
    </w:p>
    <w:p w14:paraId="33B4842C" w14:textId="77777777" w:rsidR="00E13DFB" w:rsidRPr="00257C0F" w:rsidRDefault="00E13DFB" w:rsidP="00E13DFB">
      <w:pPr>
        <w:pStyle w:val="BodyText"/>
      </w:pPr>
      <w:r w:rsidRPr="00032DC3">
        <w:rPr>
          <w:iCs/>
        </w:rPr>
        <w:t xml:space="preserve">Should reform be considered necessary or desirable to clarify the approach to unusualness, the question then becomes </w:t>
      </w:r>
      <w:r>
        <w:rPr>
          <w:iCs/>
        </w:rPr>
        <w:t xml:space="preserve">how the Act should be amended. </w:t>
      </w:r>
      <w:r w:rsidRPr="00032DC3">
        <w:rPr>
          <w:iCs/>
        </w:rPr>
        <w:t xml:space="preserve">Each approach can be criticised for different reasons. An approach that focuses on the type or nature of offending has been criticised because of its lack of </w:t>
      </w:r>
      <w:r>
        <w:rPr>
          <w:iCs/>
        </w:rPr>
        <w:t xml:space="preserve">focus </w:t>
      </w:r>
      <w:r w:rsidRPr="00032DC3">
        <w:rPr>
          <w:iCs/>
        </w:rPr>
        <w:t xml:space="preserve">on the circumstances of the offending and the risk that it may lead to findings that are not based on empirical </w:t>
      </w:r>
      <w:r w:rsidRPr="00032DC3">
        <w:rPr>
          <w:iCs/>
        </w:rPr>
        <w:lastRenderedPageBreak/>
        <w:t>evidence.</w:t>
      </w:r>
      <w:r>
        <w:rPr>
          <w:rStyle w:val="FootnoteReference"/>
          <w:iCs/>
        </w:rPr>
        <w:footnoteReference w:id="872"/>
      </w:r>
      <w:r w:rsidRPr="00032DC3">
        <w:rPr>
          <w:iCs/>
        </w:rPr>
        <w:t xml:space="preserve"> However, an approach that focuses on the distinctiveness of the common characteristics is criticised as reverting to the stricter, common law similar fact rule.</w:t>
      </w:r>
      <w:r>
        <w:rPr>
          <w:rStyle w:val="FootnoteReference"/>
          <w:iCs/>
        </w:rPr>
        <w:footnoteReference w:id="873"/>
      </w:r>
      <w:r w:rsidRPr="00032DC3">
        <w:rPr>
          <w:iCs/>
        </w:rPr>
        <w:t xml:space="preserve"> The courts have observed on several occasions that the propensity rule “is not confined to a similar way of achieving a particular goal”.</w:t>
      </w:r>
      <w:r>
        <w:rPr>
          <w:rStyle w:val="FootnoteReference"/>
          <w:iCs/>
        </w:rPr>
        <w:footnoteReference w:id="874"/>
      </w:r>
      <w:r w:rsidRPr="00032DC3">
        <w:rPr>
          <w:iCs/>
        </w:rPr>
        <w:t xml:space="preserve"> Adopting this approach over all others would</w:t>
      </w:r>
      <w:r>
        <w:rPr>
          <w:iCs/>
        </w:rPr>
        <w:t>,</w:t>
      </w:r>
      <w:r w:rsidRPr="00032DC3">
        <w:rPr>
          <w:iCs/>
        </w:rPr>
        <w:t xml:space="preserve"> </w:t>
      </w:r>
      <w:r>
        <w:rPr>
          <w:iCs/>
        </w:rPr>
        <w:t xml:space="preserve">however, </w:t>
      </w:r>
      <w:r w:rsidRPr="00032DC3">
        <w:rPr>
          <w:iCs/>
        </w:rPr>
        <w:t xml:space="preserve">constitute a significant </w:t>
      </w:r>
      <w:r>
        <w:rPr>
          <w:iCs/>
        </w:rPr>
        <w:t>change in practice</w:t>
      </w:r>
      <w:r w:rsidRPr="00032DC3">
        <w:rPr>
          <w:iCs/>
        </w:rPr>
        <w:t>. It may, therefore, be desirable to leave this matter to the courts to develop through case law in response to specific circumstances, rather than through legislative amendment.</w:t>
      </w:r>
    </w:p>
    <w:p w14:paraId="2F3F5A70" w14:textId="77777777" w:rsidR="00E13DFB" w:rsidRPr="00B7776B" w:rsidRDefault="00E13DFB" w:rsidP="00E13DFB">
      <w:pPr>
        <w:pStyle w:val="BodyText"/>
      </w:pPr>
      <w:r>
        <w:rPr>
          <w:iCs/>
        </w:rPr>
        <w:t xml:space="preserve">Another reform option could be to simply repeal the unusualness factor altogether. This option may be appropriate if it is considered that the concerns identified with the approaches that focus on the type or nature of offending are insurmountable and would leave the distinctiveness of the common characteristics to be assessed under section 43(3)(c), which relates to the extent of the similarity between the propensity evidence and the facts in issue. This would, however, constitute a significant change in practice. </w:t>
      </w:r>
    </w:p>
    <w:p w14:paraId="0F6CC7EB" w14:textId="4B3642D0" w:rsidR="00E571FC" w:rsidRDefault="00E571FC" w:rsidP="00E571FC">
      <w:pPr>
        <w:pStyle w:val="QuestionBox"/>
      </w:pPr>
      <w:r>
        <w:rPr>
          <w:noProof/>
        </w:rPr>
        <mc:AlternateContent>
          <mc:Choice Requires="wpg">
            <w:drawing>
              <wp:anchor distT="0" distB="0" distL="114300" distR="114300" simplePos="0" relativeHeight="251658355" behindDoc="1" locked="0" layoutInCell="1" allowOverlap="1" wp14:anchorId="7BADF702" wp14:editId="3C51C728">
                <wp:simplePos x="0" y="0"/>
                <wp:positionH relativeFrom="column">
                  <wp:posOffset>-1962</wp:posOffset>
                </wp:positionH>
                <wp:positionV relativeFrom="paragraph">
                  <wp:posOffset>-5289</wp:posOffset>
                </wp:positionV>
                <wp:extent cx="5760085" cy="1442720"/>
                <wp:effectExtent l="0" t="0" r="0" b="5080"/>
                <wp:wrapNone/>
                <wp:docPr id="764518022" name="Group 764518022" descr="Question"/>
                <wp:cNvGraphicFramePr/>
                <a:graphic xmlns:a="http://schemas.openxmlformats.org/drawingml/2006/main">
                  <a:graphicData uri="http://schemas.microsoft.com/office/word/2010/wordprocessingGroup">
                    <wpg:wgp>
                      <wpg:cNvGrpSpPr/>
                      <wpg:grpSpPr>
                        <a:xfrm>
                          <a:off x="0" y="0"/>
                          <a:ext cx="5760085" cy="1442720"/>
                          <a:chOff x="0" y="62865"/>
                          <a:chExt cx="5760085" cy="1443487"/>
                        </a:xfrm>
                      </wpg:grpSpPr>
                      <wps:wsp>
                        <wps:cNvPr id="76451802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78DFA1" w14:textId="77777777" w:rsidR="00E571FC" w:rsidRDefault="00E571FC" w:rsidP="00E571FC">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24" name="Group 53"/>
                        <wpg:cNvGrpSpPr>
                          <a:grpSpLocks/>
                        </wpg:cNvGrpSpPr>
                        <wpg:grpSpPr bwMode="auto">
                          <a:xfrm>
                            <a:off x="0" y="315706"/>
                            <a:ext cx="5760085" cy="1190646"/>
                            <a:chOff x="1837" y="1786"/>
                            <a:chExt cx="9302" cy="12861"/>
                          </a:xfrm>
                        </wpg:grpSpPr>
                        <wps:wsp>
                          <wps:cNvPr id="764518025" name="Freeform 54"/>
                          <wps:cNvSpPr>
                            <a:spLocks/>
                          </wps:cNvSpPr>
                          <wps:spPr bwMode="auto">
                            <a:xfrm>
                              <a:off x="1837" y="1786"/>
                              <a:ext cx="9302" cy="1286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26" name="Group 764518026"/>
                        <wpg:cNvGrpSpPr/>
                        <wpg:grpSpPr>
                          <a:xfrm>
                            <a:off x="0" y="494036"/>
                            <a:ext cx="1443794" cy="252000"/>
                            <a:chOff x="-15880" y="0"/>
                            <a:chExt cx="1444379" cy="252068"/>
                          </a:xfrm>
                        </wpg:grpSpPr>
                        <wps:wsp>
                          <wps:cNvPr id="76451802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2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01014C" w14:textId="77777777" w:rsidR="00E571FC" w:rsidRPr="00E90B8A" w:rsidRDefault="00E571FC" w:rsidP="00E571FC">
                                <w:pPr>
                                  <w:pStyle w:val="BoxTitle"/>
                                  <w:spacing w:before="0" w:beforeAutospacing="0"/>
                                  <w:rPr>
                                    <w:sz w:val="18"/>
                                    <w:szCs w:val="18"/>
                                  </w:rPr>
                                </w:pPr>
                                <w:r w:rsidRPr="00E90B8A">
                                  <w:rPr>
                                    <w:sz w:val="18"/>
                                    <w:szCs w:val="18"/>
                                  </w:rPr>
                                  <w:t>Q</w:t>
                                </w:r>
                                <w:r>
                                  <w:rPr>
                                    <w:sz w:val="18"/>
                                    <w:szCs w:val="18"/>
                                  </w:rPr>
                                  <w:t>50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BADF702" id="Group 764518022" o:spid="_x0000_s1374" alt="Question" style="position:absolute;left:0;text-align:left;margin-left:-.15pt;margin-top:-.4pt;width:453.55pt;height:113.6pt;z-index:-251658125;mso-height-relative:margin" coordorigin=",628" coordsize="57600,1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">
                <v:shape id="Freeform 52" o:spid="_x0000_s137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D78DFA1" w14:textId="77777777" w:rsidR="00E571FC" w:rsidRDefault="00E571FC" w:rsidP="00E571FC">
                        <w:pPr>
                          <w:pStyle w:val="BoxTitle"/>
                          <w:spacing w:before="0" w:beforeAutospacing="0"/>
                        </w:pPr>
                        <w:r w:rsidRPr="007F6876">
                          <w:t>QUESTION</w:t>
                        </w:r>
                      </w:p>
                    </w:txbxContent>
                  </v:textbox>
                </v:shape>
                <v:group id="Group 53" o:spid="_x0000_s1376" style="position:absolute;top:3157;width:57600;height:11906" coordorigin="1837,1786" coordsize="9302,1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">
                  <v:shape id="Freeform 54" o:spid="_x0000_s1377" style="position:absolute;left:1837;top:1786;width:9302;height:1286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" path="m,l9354,r,7809l,7809,,e" fillcolor="#edf2ea" stroked="f">
                    <v:path arrowok="t" o:connecttype="custom" o:connectlocs="0,1647;9302,1647;9302,14508;0,14508;0,1647" o:connectangles="0,0,0,0,0"/>
                  </v:shape>
                </v:group>
                <v:group id="Group 764518026" o:spid="_x0000_s137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">
                  <v:shape id="Freeform 58" o:spid="_x0000_s137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" path="m,l1815,e" filled="f" strokecolor="#72ab6a" strokeweight=".5pt">
                    <v:path arrowok="t" o:connecttype="custom" o:connectlocs="0,0;1073495,0" o:connectangles="0,0"/>
                  </v:shape>
                  <v:shape id="Freeform 66" o:spid="_x0000_s138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201014C" w14:textId="77777777" w:rsidR="00E571FC" w:rsidRPr="00E90B8A" w:rsidRDefault="00E571FC" w:rsidP="00E571FC">
                          <w:pPr>
                            <w:pStyle w:val="BoxTitle"/>
                            <w:spacing w:before="0" w:beforeAutospacing="0"/>
                            <w:rPr>
                              <w:sz w:val="18"/>
                              <w:szCs w:val="18"/>
                            </w:rPr>
                          </w:pPr>
                          <w:r w:rsidRPr="00E90B8A">
                            <w:rPr>
                              <w:sz w:val="18"/>
                              <w:szCs w:val="18"/>
                            </w:rPr>
                            <w:t>Q</w:t>
                          </w:r>
                          <w:r>
                            <w:rPr>
                              <w:sz w:val="18"/>
                              <w:szCs w:val="18"/>
                            </w:rPr>
                            <w:t>50</w:t>
                          </w:r>
                        </w:p>
                      </w:txbxContent>
                    </v:textbox>
                  </v:shape>
                </v:group>
              </v:group>
            </w:pict>
          </mc:Fallback>
        </mc:AlternateContent>
      </w:r>
    </w:p>
    <w:p w14:paraId="7F22BACA" w14:textId="77777777" w:rsidR="00E571FC" w:rsidRDefault="00E571FC" w:rsidP="00E571FC">
      <w:pPr>
        <w:pStyle w:val="QuestionBox"/>
      </w:pPr>
    </w:p>
    <w:p w14:paraId="2C7D34FC" w14:textId="5B3E467B" w:rsidR="00E13DFB" w:rsidRDefault="00E13DFB" w:rsidP="00E571FC">
      <w:pPr>
        <w:pStyle w:val="QuestionBox"/>
      </w:pPr>
      <w:r>
        <w:t xml:space="preserve">Is </w:t>
      </w:r>
      <w:r w:rsidRPr="00F15AA7">
        <w:t xml:space="preserve">section 43(3)(f) </w:t>
      </w:r>
      <w:r>
        <w:t xml:space="preserve">causing problems in practice? If so, should it </w:t>
      </w:r>
      <w:r w:rsidRPr="00F15AA7">
        <w:t>be</w:t>
      </w:r>
      <w:r>
        <w:t>:</w:t>
      </w:r>
    </w:p>
    <w:p w14:paraId="5A666729" w14:textId="77777777" w:rsidR="00E13DFB" w:rsidRDefault="00E13DFB" w:rsidP="00866891">
      <w:pPr>
        <w:pStyle w:val="Questionabc"/>
        <w:numPr>
          <w:ilvl w:val="0"/>
          <w:numId w:val="74"/>
        </w:numPr>
        <w:ind w:left="1418" w:hanging="425"/>
      </w:pPr>
      <w:r w:rsidRPr="00F15AA7">
        <w:t>amended to clarify how unusualness should be assessed</w:t>
      </w:r>
      <w:r>
        <w:t xml:space="preserve">; or </w:t>
      </w:r>
    </w:p>
    <w:p w14:paraId="259071E7" w14:textId="77777777" w:rsidR="00E13DFB" w:rsidRDefault="00E13DFB" w:rsidP="00E571FC">
      <w:pPr>
        <w:pStyle w:val="Questionabc"/>
      </w:pPr>
      <w:r>
        <w:t>repealed altogether</w:t>
      </w:r>
      <w:r w:rsidRPr="00F15AA7">
        <w:t xml:space="preserve">? </w:t>
      </w:r>
    </w:p>
    <w:p w14:paraId="01E150C9" w14:textId="77777777" w:rsidR="00E571FC" w:rsidRPr="00E571FC" w:rsidRDefault="00E571FC" w:rsidP="00E571FC">
      <w:pPr>
        <w:pStyle w:val="QuestionBox"/>
        <w:rPr>
          <w:lang w:eastAsia="en-US"/>
        </w:rPr>
      </w:pPr>
    </w:p>
    <w:p w14:paraId="316E74E0" w14:textId="77777777" w:rsidR="00E13DFB" w:rsidRDefault="00E13DFB" w:rsidP="00E571FC">
      <w:pPr>
        <w:pStyle w:val="Heading2"/>
      </w:pPr>
      <w:bookmarkStart w:id="143" w:name="_Toc132962590"/>
      <w:r>
        <w:t>Relevance of reliability</w:t>
      </w:r>
      <w:bookmarkEnd w:id="143"/>
      <w:r>
        <w:t xml:space="preserve"> </w:t>
      </w:r>
    </w:p>
    <w:p w14:paraId="75867390" w14:textId="77777777" w:rsidR="00E13DFB" w:rsidRDefault="00E13DFB" w:rsidP="00E571FC">
      <w:pPr>
        <w:pStyle w:val="Heading3"/>
      </w:pPr>
      <w:r>
        <w:t>What is the issue?</w:t>
      </w:r>
    </w:p>
    <w:p w14:paraId="420C5260" w14:textId="77777777" w:rsidR="00E13DFB" w:rsidRDefault="00E13DFB" w:rsidP="00E13DFB">
      <w:pPr>
        <w:pStyle w:val="BodyText"/>
      </w:pPr>
      <w:r>
        <w:t>It is unclear whether a judge who is determining the admissibility of propensity evidence under section 43 should assess the reliability of that evidence.</w:t>
      </w:r>
      <w:r>
        <w:rPr>
          <w:rStyle w:val="FootnoteReference"/>
        </w:rPr>
        <w:footnoteReference w:id="875"/>
      </w:r>
    </w:p>
    <w:p w14:paraId="6DC0F87A" w14:textId="77777777" w:rsidR="00E13DFB" w:rsidRPr="00A60E7D" w:rsidRDefault="00E13DFB" w:rsidP="00E13DFB">
      <w:pPr>
        <w:pStyle w:val="BodyText"/>
      </w:pPr>
      <w:r>
        <w:t>Under the common law, the judge had to assume the truth of the propensity evidence where the allegations were denied by the defendant</w:t>
      </w:r>
      <w:r>
        <w:rPr>
          <w:lang w:val="en-GB"/>
        </w:rPr>
        <w:t>.</w:t>
      </w:r>
      <w:r>
        <w:rPr>
          <w:rStyle w:val="FootnoteReference"/>
          <w:lang w:val="en-GB"/>
        </w:rPr>
        <w:footnoteReference w:id="876"/>
      </w:r>
      <w:r>
        <w:t xml:space="preserve"> </w:t>
      </w:r>
      <w:r>
        <w:rPr>
          <w:lang w:val="en-GB"/>
        </w:rPr>
        <w:t xml:space="preserve">Section 43(3)(e) of the Act now permits judges to consider </w:t>
      </w:r>
      <w:r w:rsidRPr="00D243AE">
        <w:rPr>
          <w:lang w:val="en-GB"/>
        </w:rPr>
        <w:t xml:space="preserve">whether </w:t>
      </w:r>
      <w:r>
        <w:rPr>
          <w:lang w:val="en-GB"/>
        </w:rPr>
        <w:t xml:space="preserve">the </w:t>
      </w:r>
      <w:r w:rsidRPr="00D243AE">
        <w:rPr>
          <w:lang w:val="en-GB"/>
        </w:rPr>
        <w:t xml:space="preserve">allegations </w:t>
      </w:r>
      <w:r>
        <w:rPr>
          <w:lang w:val="en-GB"/>
        </w:rPr>
        <w:t>made by a propensity witness “</w:t>
      </w:r>
      <w:r w:rsidRPr="00D243AE">
        <w:rPr>
          <w:lang w:val="en-GB"/>
        </w:rPr>
        <w:t>may be the result of collusion or suggestibility</w:t>
      </w:r>
      <w:r>
        <w:rPr>
          <w:lang w:val="en-GB"/>
        </w:rPr>
        <w:t>”. The Court of Appeal has therefore treated the reliability of the propensity evidence as relevant to admissibility where collusion or suggestibility is in issue.</w:t>
      </w:r>
      <w:r>
        <w:rPr>
          <w:rStyle w:val="FootnoteReference"/>
          <w:lang w:val="en-GB"/>
        </w:rPr>
        <w:footnoteReference w:id="877"/>
      </w:r>
    </w:p>
    <w:p w14:paraId="1F0944BA" w14:textId="77777777" w:rsidR="00E13DFB" w:rsidRPr="00015600" w:rsidRDefault="00E13DFB" w:rsidP="00E13DFB">
      <w:pPr>
        <w:pStyle w:val="BodyText"/>
      </w:pPr>
      <w:r>
        <w:rPr>
          <w:lang w:val="en-GB"/>
        </w:rPr>
        <w:lastRenderedPageBreak/>
        <w:t>The Act is otherwise silent on the wider relevance of reliability to a judge’s assessment under section 43. There has been no general acceptance in case law of the proposition that the judge must consider the reliability of the proposed propensity evidence.</w:t>
      </w:r>
      <w:r>
        <w:rPr>
          <w:rStyle w:val="FootnoteReference"/>
          <w:lang w:val="en-GB"/>
        </w:rPr>
        <w:footnoteReference w:id="878"/>
      </w:r>
      <w:r>
        <w:rPr>
          <w:lang w:val="en-GB"/>
        </w:rPr>
        <w:t xml:space="preserve"> To the contrary, the Court of Appeal has observed that:</w:t>
      </w:r>
      <w:r>
        <w:rPr>
          <w:rStyle w:val="FootnoteReference"/>
          <w:lang w:val="en-GB"/>
        </w:rPr>
        <w:footnoteReference w:id="879"/>
      </w:r>
    </w:p>
    <w:p w14:paraId="419E5655" w14:textId="77777777" w:rsidR="00E13DFB" w:rsidRPr="00015600" w:rsidRDefault="00E13DFB" w:rsidP="00E13DFB">
      <w:pPr>
        <w:pStyle w:val="Quote"/>
      </w:pPr>
      <w:r w:rsidRPr="00B22CF4">
        <w:t>The general rule … is that challenges to the credibility and reliability of propensity witnesses are to be resolved at trial and that the Court should not usurp the jury’s role at a pre-trial stage.</w:t>
      </w:r>
    </w:p>
    <w:p w14:paraId="7262CEA5" w14:textId="77777777" w:rsidR="00E13DFB" w:rsidRPr="00991154" w:rsidRDefault="00E13DFB" w:rsidP="00E13DFB">
      <w:pPr>
        <w:pStyle w:val="BodyText"/>
      </w:pPr>
      <w:r>
        <w:rPr>
          <w:lang w:val="en-GB"/>
        </w:rPr>
        <w:t xml:space="preserve">In </w:t>
      </w:r>
      <w:r>
        <w:rPr>
          <w:i/>
          <w:iCs/>
          <w:lang w:val="en-GB"/>
        </w:rPr>
        <w:t>George v R</w:t>
      </w:r>
      <w:r>
        <w:rPr>
          <w:lang w:val="en-GB"/>
        </w:rPr>
        <w:t>, the Court of Appeal explained the relevance of reliability to an assessment under section 43 as follows:</w:t>
      </w:r>
      <w:r>
        <w:rPr>
          <w:rStyle w:val="FootnoteReference"/>
          <w:lang w:val="en-GB"/>
        </w:rPr>
        <w:footnoteReference w:id="880"/>
      </w:r>
    </w:p>
    <w:p w14:paraId="539E92FD" w14:textId="77777777" w:rsidR="00E13DFB" w:rsidRPr="00991154" w:rsidRDefault="00E13DFB" w:rsidP="00E13DFB">
      <w:pPr>
        <w:pStyle w:val="Quote"/>
      </w:pPr>
      <w:r>
        <w:t>There may be appropriate cases for hearing oral evidence on a contested propensity application. As a general rule the briefs of proposed evidence are accepted at face value, given the Court’s pre-trial threshold or gate-keeping function which is not to be confused with the jury’s ultimate inquiry into reliability or credibility. An example is when the evidence can be shown to be inherently improbable by reference to objectively provable facts. … Otherwise challenges to the reliability or credibility of propensity witnesses, as with any other class of witness, are to be resolved at trial. The issue for determination before trial is solely one of the admissibility of the proposed propensity evidence to be measured according to the relevant statutory criteria.</w:t>
      </w:r>
    </w:p>
    <w:p w14:paraId="0579E847" w14:textId="77777777" w:rsidR="00E13DFB" w:rsidRPr="005C4812" w:rsidRDefault="00E13DFB" w:rsidP="00E571FC">
      <w:pPr>
        <w:pStyle w:val="Heading4"/>
      </w:pPr>
      <w:r>
        <w:t xml:space="preserve">The Supreme Court’s decision in </w:t>
      </w:r>
      <w:r>
        <w:rPr>
          <w:iCs/>
        </w:rPr>
        <w:t>W (SC 38/2019) v R</w:t>
      </w:r>
    </w:p>
    <w:p w14:paraId="30D0A2A4" w14:textId="77777777" w:rsidR="00E13DFB" w:rsidRPr="005C4812" w:rsidRDefault="00E13DFB" w:rsidP="00E13DFB">
      <w:pPr>
        <w:pStyle w:val="BodyText"/>
      </w:pPr>
      <w:r>
        <w:t xml:space="preserve">The approach to reliability under section 43 established in the cases above is called into question indirectly by the Supreme Court’s decision in </w:t>
      </w:r>
      <w:r>
        <w:rPr>
          <w:i/>
          <w:iCs/>
        </w:rPr>
        <w:t>W (SC 38/2019) v R.</w:t>
      </w:r>
      <w:r w:rsidRPr="00D1712E">
        <w:rPr>
          <w:rStyle w:val="FootnoteReference"/>
        </w:rPr>
        <w:footnoteReference w:id="881"/>
      </w:r>
      <w:r>
        <w:rPr>
          <w:i/>
          <w:iCs/>
        </w:rPr>
        <w:t xml:space="preserve"> </w:t>
      </w:r>
      <w:r>
        <w:t>While that case considered the extent to which reliability may be considered under section 8 (general exclusion), the test in section 43 is very similar. Previously, the Supreme Court has observed that there is “little or no practical difference” between the section 43 and section 8 balancing tests.</w:t>
      </w:r>
      <w:r>
        <w:rPr>
          <w:rStyle w:val="FootnoteReference"/>
        </w:rPr>
        <w:footnoteReference w:id="882"/>
      </w:r>
    </w:p>
    <w:p w14:paraId="4EFC45EB" w14:textId="77777777" w:rsidR="00E13DFB" w:rsidRDefault="00E13DFB" w:rsidP="00E13DFB">
      <w:pPr>
        <w:pStyle w:val="BodyText"/>
      </w:pPr>
      <w:r>
        <w:t xml:space="preserve">In </w:t>
      </w:r>
      <w:r>
        <w:rPr>
          <w:i/>
          <w:iCs/>
        </w:rPr>
        <w:t>W (SC 38/2019) v R</w:t>
      </w:r>
      <w:r w:rsidRPr="00421E34">
        <w:t>,</w:t>
      </w:r>
      <w:r>
        <w:rPr>
          <w:i/>
          <w:iCs/>
        </w:rPr>
        <w:t xml:space="preserve"> </w:t>
      </w:r>
      <w:r>
        <w:t>the Court observed “it is clear from the statutory scheme that an evaluation of probative value may include considerations of reliability”.</w:t>
      </w:r>
      <w:r>
        <w:rPr>
          <w:rStyle w:val="FootnoteReference"/>
        </w:rPr>
        <w:footnoteReference w:id="883"/>
      </w:r>
      <w:r>
        <w:t xml:space="preserve"> The Court went on to explain:</w:t>
      </w:r>
      <w:r>
        <w:rPr>
          <w:rStyle w:val="FootnoteReference"/>
        </w:rPr>
        <w:footnoteReference w:id="884"/>
      </w:r>
    </w:p>
    <w:p w14:paraId="3F132821" w14:textId="77777777" w:rsidR="00E13DFB" w:rsidRDefault="00E13DFB" w:rsidP="00E13DFB">
      <w:pPr>
        <w:pStyle w:val="Quote"/>
      </w:pPr>
      <w:r w:rsidRPr="00013CB5">
        <w:t>In undertaking the gatekeeping role, reliability may be considered in assessing the probative value of the evidence as part of weighing that value as against the risk of the unfairly prejudicial effect of the evidence. The reliability assessment should be made without adding any artificial limits such as a requirement to take the evidence at its highest. Matters such as inconsistencies, difficulties with the chain of evidence, the circumstances in which the evidence arises, inherent implausibility as well as incentives to lie can all be considered.</w:t>
      </w:r>
    </w:p>
    <w:p w14:paraId="5CF75912" w14:textId="77777777" w:rsidR="00E13DFB" w:rsidRDefault="00E13DFB" w:rsidP="00E13DFB">
      <w:pPr>
        <w:pStyle w:val="BodyText"/>
      </w:pPr>
      <w:r w:rsidRPr="00F054FC">
        <w:lastRenderedPageBreak/>
        <w:t xml:space="preserve">While </w:t>
      </w:r>
      <w:r w:rsidRPr="00F054FC">
        <w:rPr>
          <w:i/>
          <w:iCs/>
        </w:rPr>
        <w:t xml:space="preserve">W (SC 38/2019) v R </w:t>
      </w:r>
      <w:r w:rsidRPr="00F054FC">
        <w:t xml:space="preserve">concerned the reliability of prison informant evidence, the </w:t>
      </w:r>
      <w:r>
        <w:t>Supreme Court has since confirmed that, as a general point, a court may have regard to the evidence’s reliability when weighing the probative value of evidence for the purposes of section 8.</w:t>
      </w:r>
      <w:r>
        <w:rPr>
          <w:rStyle w:val="FootnoteReference"/>
        </w:rPr>
        <w:footnoteReference w:id="885"/>
      </w:r>
    </w:p>
    <w:p w14:paraId="1820F4A3" w14:textId="77777777" w:rsidR="00E13DFB" w:rsidRDefault="00E13DFB" w:rsidP="00E13DFB">
      <w:pPr>
        <w:pStyle w:val="BodyText"/>
      </w:pPr>
      <w:r>
        <w:t xml:space="preserve">In the context of section 43, the Supreme Court’s comments were referred to and applied in </w:t>
      </w:r>
      <w:r>
        <w:rPr>
          <w:i/>
          <w:iCs/>
        </w:rPr>
        <w:t>R v Wallace</w:t>
      </w:r>
      <w:r w:rsidRPr="00D8139F">
        <w:t>,</w:t>
      </w:r>
      <w:r>
        <w:rPr>
          <w:i/>
          <w:iCs/>
        </w:rPr>
        <w:t xml:space="preserve"> </w:t>
      </w:r>
      <w:r>
        <w:t>a te Kōti Matua | High Court decision that considered an application to admit propensity evidence, which was challenged on the basis that the evidence was not reliable or credible.</w:t>
      </w:r>
      <w:r>
        <w:rPr>
          <w:rStyle w:val="FootnoteReference"/>
        </w:rPr>
        <w:footnoteReference w:id="886"/>
      </w:r>
      <w:r>
        <w:t xml:space="preserve"> The Court explained that:</w:t>
      </w:r>
      <w:r>
        <w:rPr>
          <w:rStyle w:val="FootnoteReference"/>
        </w:rPr>
        <w:footnoteReference w:id="887"/>
      </w:r>
    </w:p>
    <w:p w14:paraId="4355D6AC" w14:textId="77777777" w:rsidR="00E13DFB" w:rsidRDefault="00E13DFB" w:rsidP="00E13DFB">
      <w:pPr>
        <w:pStyle w:val="Quote"/>
      </w:pPr>
      <w:r>
        <w:t>My assessment of the probative value of the evidence may include considerations of reliability, but that reliability assessment should be made without applying any artificial limits or presumptions, while having regard to the division between the roles of judge and jury and the fact that the assessment is being undertaken at a preliminary stage without the full context.</w:t>
      </w:r>
    </w:p>
    <w:p w14:paraId="4F196CEF" w14:textId="77777777" w:rsidR="00E13DFB" w:rsidRDefault="00E13DFB" w:rsidP="00E571FC">
      <w:pPr>
        <w:pStyle w:val="Heading3"/>
      </w:pPr>
      <w:r>
        <w:t>Is legislative reform necessary or desirable?</w:t>
      </w:r>
    </w:p>
    <w:p w14:paraId="1D74EE9C" w14:textId="77777777" w:rsidR="00E13DFB" w:rsidRDefault="00E13DFB" w:rsidP="00E13DFB">
      <w:pPr>
        <w:pStyle w:val="BodyText"/>
      </w:pPr>
      <w:r>
        <w:t xml:space="preserve">In light of the Supreme Court’s decision in </w:t>
      </w:r>
      <w:r>
        <w:rPr>
          <w:i/>
          <w:iCs/>
        </w:rPr>
        <w:t>W (SC 38/2019) v R</w:t>
      </w:r>
      <w:r>
        <w:t>, it would be inconsistent to continue to apply a higher bar to the consideration of reliability under section 43 compared to section 8. Applying the Supreme Court’s approach to section 43 would also be consistent with the Commission’s original recommendations in the Evidence Code.</w:t>
      </w:r>
      <w:r>
        <w:rPr>
          <w:rStyle w:val="FootnoteReference"/>
        </w:rPr>
        <w:footnoteReference w:id="888"/>
      </w:r>
      <w:r>
        <w:t xml:space="preserve"> It would address concerns previously identified by the authors of </w:t>
      </w:r>
      <w:r w:rsidRPr="00A41182">
        <w:rPr>
          <w:i/>
          <w:iCs/>
        </w:rPr>
        <w:t>Mahoney on Evidence</w:t>
      </w:r>
      <w:r>
        <w:t>, who argue that:</w:t>
      </w:r>
      <w:r>
        <w:rPr>
          <w:rStyle w:val="FootnoteReference"/>
        </w:rPr>
        <w:footnoteReference w:id="889"/>
      </w:r>
    </w:p>
    <w:p w14:paraId="29F28BB9" w14:textId="77777777" w:rsidR="00E13DFB" w:rsidRDefault="00E13DFB" w:rsidP="00E13DFB">
      <w:pPr>
        <w:pStyle w:val="Quote"/>
      </w:pPr>
      <w:r>
        <w:t>… it is unreasonable to limit a judge’s enquiry to these topics [collusion and suggestibility] alone. After all, the overriding focus of s 43(3) is the assessment of probative value, and reliability is surely a central part of any such enquiry. Given that s 43(3)(e) has altered the common law by now requiring a judge to consider the truth of the allegations made by the propensity accusers, there does not appear to be any reason to restrict that enquiry to the possibility of collusion and suggestibility. Other factors, such as the veracity of the propensity accusers, should likewise be available for consideration. It is suggested that when propensity evidence consists of allegations which the defendant denies, the judge determining admissibility should make an overall assessment of the reliability of these allegations.</w:t>
      </w:r>
    </w:p>
    <w:p w14:paraId="58E702C2" w14:textId="77777777" w:rsidR="00E13DFB" w:rsidRDefault="00E13DFB" w:rsidP="00E13DFB">
      <w:pPr>
        <w:pStyle w:val="BodyText"/>
      </w:pPr>
      <w:r>
        <w:lastRenderedPageBreak/>
        <w:t xml:space="preserve">As noted above, we have identified one example of the Supreme Court’s approach in </w:t>
      </w:r>
      <w:r>
        <w:rPr>
          <w:i/>
          <w:iCs/>
        </w:rPr>
        <w:t xml:space="preserve">W (SC 38/2019) v R </w:t>
      </w:r>
      <w:r>
        <w:t>being applied by the High Court in the context of section</w:t>
      </w:r>
      <w:r>
        <w:rPr>
          <w:rFonts w:ascii="Calibri" w:hAnsi="Calibri" w:cs="Calibri"/>
        </w:rPr>
        <w:t> </w:t>
      </w:r>
      <w:r>
        <w:t xml:space="preserve">43. This indicates that reform may not be necessary to ensure the courts take a consistent approach under sections 8 and 43. We are, however, aware of another </w:t>
      </w:r>
      <w:r w:rsidRPr="00D15013">
        <w:t xml:space="preserve">Court of Appeal decision </w:t>
      </w:r>
      <w:r>
        <w:t>that</w:t>
      </w:r>
      <w:r w:rsidRPr="00D15013">
        <w:t xml:space="preserve"> took a different approach to the relevance of reliability under section 43 and was decided a</w:t>
      </w:r>
      <w:r>
        <w:t>fter these decisions.</w:t>
      </w:r>
      <w:r>
        <w:rPr>
          <w:rStyle w:val="FootnoteReference"/>
        </w:rPr>
        <w:footnoteReference w:id="890"/>
      </w:r>
      <w:r>
        <w:t xml:space="preserve"> As a result, a degree of uncertainty may remain. Another factor that may support reform of the Act is that section 43(3) already exclusively refers to two specific aspects of reliability (collusion and suggestibility).</w:t>
      </w:r>
    </w:p>
    <w:p w14:paraId="3161C26A" w14:textId="77777777" w:rsidR="00E13DFB" w:rsidRDefault="00E13DFB" w:rsidP="00E13DFB">
      <w:pPr>
        <w:pStyle w:val="BodyText"/>
      </w:pPr>
      <w:r>
        <w:t>If amendment is considered necessary or desirable, one option would be to amend section 43(3)(e) to read: “the reliability of the allegations described in paragraph (d), including whether they may be the result of collusion or suggestibility”.</w:t>
      </w:r>
    </w:p>
    <w:p w14:paraId="16861923" w14:textId="22169391" w:rsidR="00E571FC" w:rsidRDefault="00E571FC" w:rsidP="00E571FC">
      <w:pPr>
        <w:pStyle w:val="QuestionBox"/>
      </w:pPr>
      <w:r>
        <w:rPr>
          <w:noProof/>
        </w:rPr>
        <mc:AlternateContent>
          <mc:Choice Requires="wpg">
            <w:drawing>
              <wp:anchor distT="0" distB="0" distL="114300" distR="114300" simplePos="0" relativeHeight="251658356" behindDoc="1" locked="0" layoutInCell="1" allowOverlap="1" wp14:anchorId="5727F020" wp14:editId="2257F264">
                <wp:simplePos x="0" y="0"/>
                <wp:positionH relativeFrom="column">
                  <wp:posOffset>-1962</wp:posOffset>
                </wp:positionH>
                <wp:positionV relativeFrom="paragraph">
                  <wp:posOffset>-6132</wp:posOffset>
                </wp:positionV>
                <wp:extent cx="5760085" cy="1364810"/>
                <wp:effectExtent l="0" t="0" r="0" b="6985"/>
                <wp:wrapNone/>
                <wp:docPr id="764518029" name="Group 764518029" descr="Question"/>
                <wp:cNvGraphicFramePr/>
                <a:graphic xmlns:a="http://schemas.openxmlformats.org/drawingml/2006/main">
                  <a:graphicData uri="http://schemas.microsoft.com/office/word/2010/wordprocessingGroup">
                    <wpg:wgp>
                      <wpg:cNvGrpSpPr/>
                      <wpg:grpSpPr>
                        <a:xfrm>
                          <a:off x="0" y="0"/>
                          <a:ext cx="5760085" cy="1364810"/>
                          <a:chOff x="0" y="62865"/>
                          <a:chExt cx="5760085" cy="1365536"/>
                        </a:xfrm>
                      </wpg:grpSpPr>
                      <wps:wsp>
                        <wps:cNvPr id="76451803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231FE9" w14:textId="77777777" w:rsidR="00E571FC" w:rsidRDefault="00E571FC" w:rsidP="00E571FC">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31" name="Group 53"/>
                        <wpg:cNvGrpSpPr>
                          <a:grpSpLocks/>
                        </wpg:cNvGrpSpPr>
                        <wpg:grpSpPr bwMode="auto">
                          <a:xfrm>
                            <a:off x="0" y="315613"/>
                            <a:ext cx="5760085" cy="1112788"/>
                            <a:chOff x="1837" y="1785"/>
                            <a:chExt cx="9302" cy="12020"/>
                          </a:xfrm>
                        </wpg:grpSpPr>
                        <wps:wsp>
                          <wps:cNvPr id="764518032" name="Freeform 54"/>
                          <wps:cNvSpPr>
                            <a:spLocks/>
                          </wps:cNvSpPr>
                          <wps:spPr bwMode="auto">
                            <a:xfrm>
                              <a:off x="1837" y="1785"/>
                              <a:ext cx="9302" cy="1202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33" name="Group 764518033"/>
                        <wpg:cNvGrpSpPr/>
                        <wpg:grpSpPr>
                          <a:xfrm>
                            <a:off x="0" y="494036"/>
                            <a:ext cx="1443794" cy="252000"/>
                            <a:chOff x="-15880" y="0"/>
                            <a:chExt cx="1444379" cy="252068"/>
                          </a:xfrm>
                        </wpg:grpSpPr>
                        <wps:wsp>
                          <wps:cNvPr id="76451803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3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BDE31F" w14:textId="77777777" w:rsidR="00E571FC" w:rsidRPr="00E90B8A" w:rsidRDefault="00E571FC" w:rsidP="00E571FC">
                                <w:pPr>
                                  <w:pStyle w:val="BoxTitle"/>
                                  <w:spacing w:before="0" w:beforeAutospacing="0"/>
                                  <w:rPr>
                                    <w:sz w:val="18"/>
                                    <w:szCs w:val="18"/>
                                  </w:rPr>
                                </w:pPr>
                                <w:r w:rsidRPr="00E90B8A">
                                  <w:rPr>
                                    <w:sz w:val="18"/>
                                    <w:szCs w:val="18"/>
                                  </w:rPr>
                                  <w:t>Q</w:t>
                                </w:r>
                                <w:r>
                                  <w:rPr>
                                    <w:sz w:val="18"/>
                                    <w:szCs w:val="18"/>
                                  </w:rPr>
                                  <w:t>51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727F020" id="Group 764518029" o:spid="_x0000_s1381" alt="Question" style="position:absolute;left:0;text-align:left;margin-left:-.15pt;margin-top:-.5pt;width:453.55pt;height:107.45pt;z-index:-251658124;mso-height-relative:margin" coordorigin=",628" coordsize="57600,1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">
                <v:shape id="Freeform 52" o:spid="_x0000_s138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E231FE9" w14:textId="77777777" w:rsidR="00E571FC" w:rsidRDefault="00E571FC" w:rsidP="00E571FC">
                        <w:pPr>
                          <w:pStyle w:val="BoxTitle"/>
                          <w:spacing w:before="0" w:beforeAutospacing="0"/>
                        </w:pPr>
                        <w:r w:rsidRPr="007F6876">
                          <w:t>QUESTION</w:t>
                        </w:r>
                      </w:p>
                    </w:txbxContent>
                  </v:textbox>
                </v:shape>
                <v:group id="Group 53" o:spid="_x0000_s1383" style="position:absolute;top:3156;width:57600;height:11128" coordorigin="1837,1785" coordsize="9302,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">
                  <v:shape id="Freeform 54" o:spid="_x0000_s1384" style="position:absolute;left:1837;top:1785;width:9302;height:1202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" path="m,l9354,r,7809l,7809,,e" fillcolor="#edf2ea" stroked="f">
                    <v:path arrowok="t" o:connecttype="custom" o:connectlocs="0,1539;9302,1539;9302,13559;0,13559;0,1539" o:connectangles="0,0,0,0,0"/>
                  </v:shape>
                </v:group>
                <v:group id="Group 764518033" o:spid="_x0000_s138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">
                  <v:shape id="Freeform 58" o:spid="_x0000_s138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" path="m,l1815,e" filled="f" strokecolor="#72ab6a" strokeweight=".5pt">
                    <v:path arrowok="t" o:connecttype="custom" o:connectlocs="0,0;1073495,0" o:connectangles="0,0"/>
                  </v:shape>
                  <v:shape id="Freeform 66" o:spid="_x0000_s138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6BDE31F" w14:textId="77777777" w:rsidR="00E571FC" w:rsidRPr="00E90B8A" w:rsidRDefault="00E571FC" w:rsidP="00E571FC">
                          <w:pPr>
                            <w:pStyle w:val="BoxTitle"/>
                            <w:spacing w:before="0" w:beforeAutospacing="0"/>
                            <w:rPr>
                              <w:sz w:val="18"/>
                              <w:szCs w:val="18"/>
                            </w:rPr>
                          </w:pPr>
                          <w:r w:rsidRPr="00E90B8A">
                            <w:rPr>
                              <w:sz w:val="18"/>
                              <w:szCs w:val="18"/>
                            </w:rPr>
                            <w:t>Q</w:t>
                          </w:r>
                          <w:r>
                            <w:rPr>
                              <w:sz w:val="18"/>
                              <w:szCs w:val="18"/>
                            </w:rPr>
                            <w:t>51</w:t>
                          </w:r>
                        </w:p>
                      </w:txbxContent>
                    </v:textbox>
                  </v:shape>
                </v:group>
              </v:group>
            </w:pict>
          </mc:Fallback>
        </mc:AlternateContent>
      </w:r>
    </w:p>
    <w:p w14:paraId="75852375" w14:textId="77777777" w:rsidR="00E571FC" w:rsidRDefault="00E571FC" w:rsidP="00E571FC">
      <w:pPr>
        <w:pStyle w:val="QuestionBox"/>
      </w:pPr>
    </w:p>
    <w:p w14:paraId="0E6C329B" w14:textId="317F2397" w:rsidR="00E13DFB" w:rsidRPr="005A4DE8" w:rsidRDefault="00E13DFB" w:rsidP="00E571FC">
      <w:pPr>
        <w:pStyle w:val="QuestionBox"/>
      </w:pPr>
      <w:r w:rsidRPr="00051914">
        <w:t xml:space="preserve">Should section 43(3)(e) be amended to clarify that, when assessing the probative value of propensity evidence, the </w:t>
      </w:r>
      <w:r>
        <w:t>j</w:t>
      </w:r>
      <w:r w:rsidRPr="00051914">
        <w:t>udge may consider the reliability of the proposed propensity evidence</w:t>
      </w:r>
      <w:r>
        <w:t>?</w:t>
      </w:r>
    </w:p>
    <w:p w14:paraId="67DE0C78" w14:textId="77777777" w:rsidR="00E13DFB" w:rsidRDefault="00E13DFB" w:rsidP="00E13DFB">
      <w:pPr>
        <w:pStyle w:val="ListParagraph"/>
        <w:tabs>
          <w:tab w:val="left" w:pos="709"/>
        </w:tabs>
        <w:ind w:left="0"/>
        <w:contextualSpacing w:val="0"/>
        <w:jc w:val="both"/>
        <w:rPr>
          <w:rFonts w:eastAsia="Times New Roman" w:cs="Times New Roman"/>
          <w:color w:val="000000" w:themeColor="text1"/>
          <w:sz w:val="20"/>
          <w:szCs w:val="20"/>
          <w:lang w:eastAsia="en-AU"/>
        </w:rPr>
      </w:pPr>
    </w:p>
    <w:p w14:paraId="4C913F38" w14:textId="77777777" w:rsidR="00E13DFB" w:rsidRDefault="00E13DFB" w:rsidP="00E13DFB">
      <w:pPr>
        <w:pStyle w:val="ListParagraph"/>
        <w:tabs>
          <w:tab w:val="left" w:pos="709"/>
        </w:tabs>
        <w:ind w:left="0"/>
        <w:contextualSpacing w:val="0"/>
        <w:jc w:val="both"/>
        <w:rPr>
          <w:rFonts w:eastAsia="Times New Roman" w:cs="Times New Roman"/>
          <w:color w:val="000000" w:themeColor="text1"/>
          <w:sz w:val="20"/>
          <w:szCs w:val="20"/>
          <w:lang w:eastAsia="en-AU"/>
        </w:rPr>
      </w:pPr>
    </w:p>
    <w:p w14:paraId="7B332932" w14:textId="77777777" w:rsidR="00E13DFB" w:rsidRDefault="00E13DFB" w:rsidP="00E13DFB">
      <w:pPr>
        <w:pStyle w:val="ListParagraph"/>
        <w:tabs>
          <w:tab w:val="left" w:pos="709"/>
        </w:tabs>
        <w:ind w:left="0"/>
        <w:contextualSpacing w:val="0"/>
        <w:jc w:val="both"/>
        <w:rPr>
          <w:rFonts w:eastAsia="Times New Roman" w:cs="Times New Roman"/>
          <w:color w:val="000000" w:themeColor="text1"/>
          <w:sz w:val="20"/>
          <w:szCs w:val="20"/>
          <w:lang w:eastAsia="en-AU"/>
        </w:rPr>
      </w:pPr>
    </w:p>
    <w:p w14:paraId="74C06BE8" w14:textId="77777777" w:rsidR="00E13DFB" w:rsidRDefault="00E13DFB" w:rsidP="00E13DFB">
      <w:pPr>
        <w:pStyle w:val="ListParagraph"/>
        <w:tabs>
          <w:tab w:val="left" w:pos="709"/>
        </w:tabs>
        <w:ind w:left="0"/>
        <w:contextualSpacing w:val="0"/>
        <w:jc w:val="both"/>
        <w:rPr>
          <w:rFonts w:eastAsia="Times New Roman" w:cs="Times New Roman"/>
          <w:vanish/>
          <w:color w:val="000000" w:themeColor="text1"/>
          <w:sz w:val="20"/>
          <w:szCs w:val="20"/>
          <w:lang w:eastAsia="en-AU"/>
        </w:rPr>
      </w:pPr>
    </w:p>
    <w:p w14:paraId="14F89028" w14:textId="77777777" w:rsidR="00E13DFB" w:rsidRDefault="00E13DFB" w:rsidP="00E13DFB">
      <w:pPr>
        <w:pStyle w:val="ListParagraph"/>
        <w:tabs>
          <w:tab w:val="left" w:pos="709"/>
        </w:tabs>
        <w:ind w:left="0"/>
        <w:contextualSpacing w:val="0"/>
        <w:jc w:val="both"/>
        <w:rPr>
          <w:rFonts w:eastAsia="Times New Roman" w:cs="Times New Roman"/>
          <w:vanish/>
          <w:color w:val="000000" w:themeColor="text1"/>
          <w:sz w:val="20"/>
          <w:szCs w:val="20"/>
          <w:lang w:eastAsia="en-AU"/>
        </w:rPr>
      </w:pPr>
    </w:p>
    <w:p w14:paraId="1EBEFF29" w14:textId="77777777" w:rsidR="00E13DFB" w:rsidRDefault="00E13DFB" w:rsidP="00E13DFB">
      <w:pPr>
        <w:pStyle w:val="ListParagraph"/>
        <w:tabs>
          <w:tab w:val="left" w:pos="709"/>
        </w:tabs>
        <w:ind w:left="0"/>
        <w:contextualSpacing w:val="0"/>
        <w:jc w:val="both"/>
        <w:rPr>
          <w:rFonts w:eastAsia="Times New Roman" w:cs="Times New Roman"/>
          <w:vanish/>
          <w:color w:val="000000" w:themeColor="text1"/>
          <w:sz w:val="20"/>
          <w:szCs w:val="20"/>
          <w:lang w:eastAsia="en-AU"/>
        </w:rPr>
      </w:pPr>
      <w:r w:rsidRPr="00D37FCE">
        <w:rPr>
          <w:noProof/>
          <w:lang w:eastAsia="en-NZ"/>
        </w:rPr>
        <mc:AlternateContent>
          <mc:Choice Requires="wpg">
            <w:drawing>
              <wp:anchor distT="0" distB="0" distL="114300" distR="114300" simplePos="0" relativeHeight="251658343" behindDoc="1" locked="0" layoutInCell="1" allowOverlap="1" wp14:anchorId="4C5200D7" wp14:editId="00F719BE">
                <wp:simplePos x="0" y="0"/>
                <wp:positionH relativeFrom="page">
                  <wp:posOffset>1080135</wp:posOffset>
                </wp:positionH>
                <wp:positionV relativeFrom="paragraph">
                  <wp:posOffset>19050</wp:posOffset>
                </wp:positionV>
                <wp:extent cx="2411730" cy="1270"/>
                <wp:effectExtent l="0" t="19050" r="26670" b="17780"/>
                <wp:wrapNone/>
                <wp:docPr id="764518290" name="Group 764518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291"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9026C" id="Group 764518290" o:spid="_x0000_s1026" style="position:absolute;margin-left:85.05pt;margin-top:1.5pt;width:189.9pt;height:.1pt;z-index:-25165813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204F9D51" w14:textId="77777777" w:rsidR="00E13DFB" w:rsidRPr="00FF236A" w:rsidRDefault="00E13DFB" w:rsidP="00E13DFB">
      <w:pPr>
        <w:pStyle w:val="ListParagraph"/>
        <w:tabs>
          <w:tab w:val="left" w:pos="709"/>
        </w:tabs>
        <w:ind w:left="0"/>
        <w:contextualSpacing w:val="0"/>
        <w:jc w:val="both"/>
        <w:rPr>
          <w:rFonts w:eastAsia="Times New Roman" w:cs="Times New Roman"/>
          <w:vanish/>
          <w:color w:val="000000" w:themeColor="text1"/>
          <w:sz w:val="20"/>
          <w:szCs w:val="20"/>
          <w:lang w:eastAsia="en-AU"/>
        </w:rPr>
      </w:pPr>
    </w:p>
    <w:p w14:paraId="2952E29A" w14:textId="77777777" w:rsidR="00E13DFB" w:rsidRDefault="00E13DFB" w:rsidP="00E13DFB">
      <w:pPr>
        <w:pStyle w:val="HEADING2topchapter-notinTOC"/>
        <w:pageBreakBefore w:val="0"/>
        <w:rPr>
          <w:noProof/>
        </w:rPr>
        <w:sectPr w:rsidR="00E13DFB" w:rsidSect="00FD6721">
          <w:headerReference w:type="default" r:id="rId45"/>
          <w:footnotePr>
            <w:numRestart w:val="eachSect"/>
          </w:footnotePr>
          <w:type w:val="nextColumn"/>
          <w:pgSz w:w="11907" w:h="16840" w:code="9"/>
          <w:pgMar w:top="1134" w:right="1134" w:bottom="1134" w:left="1701" w:header="499" w:footer="46" w:gutter="0"/>
          <w:cols w:space="720"/>
        </w:sectPr>
      </w:pPr>
    </w:p>
    <w:p w14:paraId="6BCBEDEF" w14:textId="77777777" w:rsidR="00E13DFB" w:rsidRPr="00D37FCE" w:rsidRDefault="00E13DFB" w:rsidP="00E13DFB">
      <w:pPr>
        <w:pStyle w:val="HEADING2topchapter-notinTOC"/>
        <w:rPr>
          <w:sz w:val="21"/>
          <w:szCs w:val="21"/>
        </w:rPr>
      </w:pPr>
      <w:r w:rsidRPr="00D37FCE">
        <w:lastRenderedPageBreak/>
        <w:t>CHAPTER</w:t>
      </w:r>
      <w:r w:rsidRPr="00D37FCE">
        <w:rPr>
          <w:sz w:val="21"/>
          <w:szCs w:val="21"/>
        </w:rPr>
        <w:t xml:space="preserve"> </w:t>
      </w:r>
      <w:r>
        <w:rPr>
          <w:sz w:val="21"/>
          <w:szCs w:val="21"/>
        </w:rPr>
        <w:t>11</w:t>
      </w:r>
    </w:p>
    <w:p w14:paraId="0973C850"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24" behindDoc="1" locked="0" layoutInCell="1" allowOverlap="1" wp14:anchorId="22A33523" wp14:editId="6A3A5282">
                <wp:simplePos x="0" y="0"/>
                <wp:positionH relativeFrom="page">
                  <wp:posOffset>1076653</wp:posOffset>
                </wp:positionH>
                <wp:positionV relativeFrom="paragraph">
                  <wp:posOffset>53975</wp:posOffset>
                </wp:positionV>
                <wp:extent cx="1332230" cy="1270"/>
                <wp:effectExtent l="0" t="19050" r="1270" b="1778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8B9D1" id="Group 29" o:spid="_x0000_s1026" style="position:absolute;margin-left:84.8pt;margin-top:4.25pt;width:104.9pt;height:.1pt;z-index:-25165815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39D85A7D" w14:textId="77777777" w:rsidR="00E13DFB" w:rsidRPr="005D33A4" w:rsidRDefault="00E13DFB" w:rsidP="00006E8A">
      <w:pPr>
        <w:pStyle w:val="Heading1"/>
        <w:rPr>
          <w:rFonts w:eastAsia="Metropolis Black"/>
        </w:rPr>
      </w:pPr>
      <w:bookmarkStart w:id="144" w:name="_Toc132962591"/>
      <w:r>
        <w:rPr>
          <w:color w:val="FFFFFF" w:themeColor="background1"/>
          <w:sz w:val="2"/>
          <w:szCs w:val="2"/>
        </w:rPr>
        <w:t xml:space="preserve">11 </w:t>
      </w:r>
      <w:r>
        <w:rPr>
          <w:rFonts w:eastAsia="Metropolis Black"/>
        </w:rPr>
        <w:t>Identification</w:t>
      </w:r>
      <w:r w:rsidRPr="002E46EC">
        <w:rPr>
          <w:rFonts w:eastAsia="Metropolis Black"/>
        </w:rPr>
        <w:t xml:space="preserve"> evidence</w:t>
      </w:r>
      <w:bookmarkEnd w:id="144"/>
    </w:p>
    <w:p w14:paraId="3C143471"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25" behindDoc="1" locked="0" layoutInCell="1" allowOverlap="1" wp14:anchorId="5A7C45EA" wp14:editId="6C930DC1">
                <wp:simplePos x="0" y="0"/>
                <wp:positionH relativeFrom="page">
                  <wp:posOffset>1087427</wp:posOffset>
                </wp:positionH>
                <wp:positionV relativeFrom="paragraph">
                  <wp:posOffset>71755</wp:posOffset>
                </wp:positionV>
                <wp:extent cx="1332230" cy="1270"/>
                <wp:effectExtent l="0" t="19050" r="1270" b="1778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06913" id="Group 38" o:spid="_x0000_s1026" style="position:absolute;margin-left:85.6pt;margin-top:5.65pt;width:104.9pt;height:.1pt;z-index:-25165815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61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6E2CB461" w14:textId="77777777" w:rsidR="00E13DFB" w:rsidRDefault="00E13DFB" w:rsidP="00E13DFB">
      <w:pPr>
        <w:pStyle w:val="BodyTextalphalist"/>
        <w:ind w:left="0" w:firstLine="0"/>
      </w:pPr>
    </w:p>
    <w:p w14:paraId="4410EB91" w14:textId="77777777" w:rsidR="00E13DFB" w:rsidRDefault="00E13DFB" w:rsidP="00E13DFB">
      <w:pPr>
        <w:rPr>
          <w:lang w:eastAsia="zh-TW"/>
        </w:rPr>
      </w:pPr>
    </w:p>
    <w:p w14:paraId="5829FD1B" w14:textId="77777777" w:rsidR="00E13DFB" w:rsidRDefault="00E13DFB" w:rsidP="00E13DFB">
      <w:r w:rsidRPr="00D37FCE">
        <w:rPr>
          <w:rFonts w:eastAsia="Metropolis"/>
          <w:noProof/>
        </w:rPr>
        <mc:AlternateContent>
          <mc:Choice Requires="wpg">
            <w:drawing>
              <wp:anchor distT="0" distB="0" distL="114300" distR="114300" simplePos="0" relativeHeight="251658347" behindDoc="1" locked="0" layoutInCell="1" allowOverlap="1" wp14:anchorId="60838698" wp14:editId="5FCDBF9D">
                <wp:simplePos x="0" y="0"/>
                <wp:positionH relativeFrom="column">
                  <wp:posOffset>11686</wp:posOffset>
                </wp:positionH>
                <wp:positionV relativeFrom="paragraph">
                  <wp:posOffset>14501</wp:posOffset>
                </wp:positionV>
                <wp:extent cx="5792470" cy="1037252"/>
                <wp:effectExtent l="0" t="0" r="0" b="0"/>
                <wp:wrapNone/>
                <wp:docPr id="764518335" name="Group 764518335"/>
                <wp:cNvGraphicFramePr/>
                <a:graphic xmlns:a="http://schemas.openxmlformats.org/drawingml/2006/main">
                  <a:graphicData uri="http://schemas.microsoft.com/office/word/2010/wordprocessingGroup">
                    <wpg:wgp>
                      <wpg:cNvGrpSpPr/>
                      <wpg:grpSpPr>
                        <a:xfrm>
                          <a:off x="0" y="0"/>
                          <a:ext cx="5792470" cy="1037252"/>
                          <a:chOff x="0" y="-4768"/>
                          <a:chExt cx="5793105" cy="1264038"/>
                        </a:xfrm>
                      </wpg:grpSpPr>
                      <wpg:grpSp>
                        <wpg:cNvPr id="448" name="Group 53"/>
                        <wpg:cNvGrpSpPr>
                          <a:grpSpLocks/>
                        </wpg:cNvGrpSpPr>
                        <wpg:grpSpPr bwMode="auto">
                          <a:xfrm>
                            <a:off x="0" y="314182"/>
                            <a:ext cx="5793105" cy="945088"/>
                            <a:chOff x="1837" y="1791"/>
                            <a:chExt cx="9354" cy="10204"/>
                          </a:xfrm>
                        </wpg:grpSpPr>
                        <wps:wsp>
                          <wps:cNvPr id="449" name="Freeform 54"/>
                          <wps:cNvSpPr>
                            <a:spLocks/>
                          </wps:cNvSpPr>
                          <wps:spPr bwMode="auto">
                            <a:xfrm>
                              <a:off x="1837" y="1791"/>
                              <a:ext cx="9354" cy="102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0"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C082C4" w14:textId="77777777" w:rsidR="00E13DFB" w:rsidRDefault="00E13DFB" w:rsidP="00E13DFB">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60838698" id="Group 764518335" o:spid="_x0000_s1388" style="position:absolute;margin-left:.9pt;margin-top:1.15pt;width:456.1pt;height:81.65pt;z-index:-251658133;mso-height-relative:margin" coordorigin=",-47" coordsize="57931,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">
                <v:group id="Group 53" o:spid="_x0000_s1389" style="position:absolute;top:3141;width:57931;height:9451" coordorigin="1837,1791" coordsize="9354,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54" o:spid="_x0000_s1390" style="position:absolute;left:1837;top:1791;width:9354;height:102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" path="m,l9354,r,7809l,7809,,e" fillcolor="#edf2ea" stroked="f">
                    <v:path arrowok="t" o:connecttype="custom" o:connectlocs="0,1307;9354,1307;9354,11511;0,11511;0,1307" o:connectangles="0,0,0,0,0"/>
                  </v:shape>
                </v:group>
                <v:shape id="Freeform 52" o:spid="_x0000_s1391"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7CC082C4" w14:textId="77777777" w:rsidR="00E13DFB" w:rsidRDefault="00E13DFB" w:rsidP="00E13DFB">
                        <w:pPr>
                          <w:pStyle w:val="BoxTitle"/>
                          <w:spacing w:before="60" w:beforeAutospacing="0"/>
                        </w:pPr>
                        <w:r>
                          <w:t>INTRODUCTION</w:t>
                        </w:r>
                      </w:p>
                    </w:txbxContent>
                  </v:textbox>
                </v:shape>
              </v:group>
            </w:pict>
          </mc:Fallback>
        </mc:AlternateContent>
      </w:r>
    </w:p>
    <w:p w14:paraId="5DDFD012" w14:textId="77777777" w:rsidR="00E13DFB" w:rsidRDefault="00E13DFB" w:rsidP="00E13DFB">
      <w:pPr>
        <w:pStyle w:val="QuestionBox"/>
        <w:tabs>
          <w:tab w:val="clear" w:pos="709"/>
        </w:tabs>
        <w:ind w:left="0"/>
        <w:rPr>
          <w:rFonts w:eastAsia="Metropolis"/>
          <w:noProof/>
        </w:rPr>
      </w:pPr>
    </w:p>
    <w:p w14:paraId="6E3E2584" w14:textId="77777777" w:rsidR="00E13DFB" w:rsidRDefault="00E13DFB" w:rsidP="00E13DFB">
      <w:pPr>
        <w:pStyle w:val="QuestionBox"/>
        <w:ind w:left="284"/>
      </w:pPr>
      <w:r>
        <w:t>In this chapter, we consider and seek feedback on issues relating to the definition of visual identification evidence.</w:t>
      </w:r>
    </w:p>
    <w:p w14:paraId="58B4C3C6" w14:textId="77777777" w:rsidR="00006E8A" w:rsidRPr="00227190" w:rsidRDefault="00006E8A" w:rsidP="00E13DFB">
      <w:pPr>
        <w:pStyle w:val="QuestionBox"/>
        <w:ind w:left="284"/>
        <w:rPr>
          <w:rFonts w:eastAsia="Metropolis"/>
          <w:noProof/>
        </w:rPr>
      </w:pPr>
    </w:p>
    <w:p w14:paraId="61323721" w14:textId="77777777" w:rsidR="00E13DFB" w:rsidRDefault="00E13DFB" w:rsidP="00006E8A">
      <w:pPr>
        <w:pStyle w:val="Heading2"/>
      </w:pPr>
      <w:bookmarkStart w:id="145" w:name="_Toc132962592"/>
      <w:r>
        <w:t>Definition of visual identification evidence</w:t>
      </w:r>
      <w:bookmarkEnd w:id="145"/>
    </w:p>
    <w:p w14:paraId="5E79E8B1" w14:textId="77777777" w:rsidR="00E13DFB" w:rsidRPr="00542FDF" w:rsidRDefault="00E13DFB" w:rsidP="00866891">
      <w:pPr>
        <w:pStyle w:val="ListParagraph"/>
        <w:numPr>
          <w:ilvl w:val="0"/>
          <w:numId w:val="43"/>
        </w:numPr>
        <w:spacing w:before="80" w:after="120" w:line="360" w:lineRule="auto"/>
        <w:contextualSpacing w:val="0"/>
        <w:jc w:val="both"/>
        <w:rPr>
          <w:rFonts w:eastAsia="Times New Roman" w:cs="Times New Roman"/>
          <w:vanish/>
          <w:color w:val="000000" w:themeColor="text1"/>
          <w:sz w:val="20"/>
          <w:szCs w:val="24"/>
          <w:lang w:eastAsia="en-AU"/>
        </w:rPr>
      </w:pPr>
    </w:p>
    <w:p w14:paraId="05E0CA3C" w14:textId="77777777" w:rsidR="00E13DFB" w:rsidRDefault="00E13DFB" w:rsidP="00866891">
      <w:pPr>
        <w:pStyle w:val="BodyText"/>
        <w:numPr>
          <w:ilvl w:val="1"/>
          <w:numId w:val="43"/>
        </w:numPr>
        <w:tabs>
          <w:tab w:val="clear" w:pos="709"/>
          <w:tab w:val="num" w:pos="1425"/>
        </w:tabs>
        <w:ind w:hanging="709"/>
      </w:pPr>
      <w:r>
        <w:t xml:space="preserve">Section 4 of the Evidence Act 2006 defines “visual identification </w:t>
      </w:r>
      <w:r w:rsidDel="000F5D7C">
        <w:t xml:space="preserve">evidence” </w:t>
      </w:r>
      <w:r w:rsidRPr="00F356C4" w:rsidDel="000F5D7C">
        <w:t>as an assertion that a defendant “was present at or near a place where an act constituting direct or circumstantial evidence of the commission of an offence was done at, or about, the time the act was done”</w:t>
      </w:r>
      <w:r>
        <w:t>.</w:t>
      </w:r>
      <w:r>
        <w:rPr>
          <w:rStyle w:val="FootnoteReference"/>
          <w:color w:val="000000" w:themeColor="text1"/>
          <w14:textFill>
            <w14:solidFill>
              <w14:schemeClr w14:val="tx1">
                <w14:lumMod w14:val="85000"/>
                <w14:lumOff w14:val="15000"/>
                <w14:lumMod w14:val="95000"/>
                <w14:lumOff w14:val="5000"/>
              </w14:schemeClr>
            </w14:solidFill>
          </w14:textFill>
        </w:rPr>
        <w:footnoteReference w:id="891"/>
      </w:r>
    </w:p>
    <w:p w14:paraId="1BBB23E9" w14:textId="77777777" w:rsidR="00E13DFB" w:rsidRDefault="00E13DFB" w:rsidP="00866891">
      <w:pPr>
        <w:pStyle w:val="BodyText"/>
        <w:numPr>
          <w:ilvl w:val="1"/>
          <w:numId w:val="43"/>
        </w:numPr>
        <w:tabs>
          <w:tab w:val="left" w:pos="709"/>
        </w:tabs>
        <w:ind w:hanging="709"/>
      </w:pPr>
      <w:r>
        <w:rPr>
          <w:noProof/>
        </w:rPr>
        <w:t>The Act contains special provisions for visual identification evidence</w:t>
      </w:r>
      <w:r w:rsidRPr="00B1245D">
        <w:rPr>
          <w:noProof/>
        </w:rPr>
        <w:t xml:space="preserve">. These provisions, based on </w:t>
      </w:r>
      <w:r>
        <w:rPr>
          <w:noProof/>
        </w:rPr>
        <w:t>Te Aka Matua o te Ture | Law</w:t>
      </w:r>
      <w:r w:rsidRPr="00B1245D">
        <w:rPr>
          <w:noProof/>
        </w:rPr>
        <w:t xml:space="preserve"> Commission’s</w:t>
      </w:r>
      <w:r>
        <w:rPr>
          <w:noProof/>
        </w:rPr>
        <w:t xml:space="preserve"> proposed</w:t>
      </w:r>
      <w:r w:rsidRPr="00B1245D">
        <w:rPr>
          <w:noProof/>
        </w:rPr>
        <w:t xml:space="preserve"> Evidence Code, reflect scientific research that highlights reliability concerns with this type of evidence.</w:t>
      </w:r>
      <w:r w:rsidRPr="00B1245D">
        <w:rPr>
          <w:rStyle w:val="FootnoteReference"/>
          <w:noProof/>
        </w:rPr>
        <w:footnoteReference w:id="892"/>
      </w:r>
      <w:r w:rsidRPr="00B1245D">
        <w:rPr>
          <w:noProof/>
        </w:rPr>
        <w:t xml:space="preserve"> </w:t>
      </w:r>
    </w:p>
    <w:p w14:paraId="755D5963" w14:textId="77777777" w:rsidR="00E13DFB" w:rsidRPr="00CC78E2" w:rsidRDefault="00E13DFB" w:rsidP="00866891">
      <w:pPr>
        <w:pStyle w:val="BodyText"/>
        <w:numPr>
          <w:ilvl w:val="1"/>
          <w:numId w:val="25"/>
        </w:numPr>
        <w:ind w:hanging="709"/>
      </w:pPr>
      <w:r w:rsidRPr="00B26FC3">
        <w:rPr>
          <w:noProof/>
          <w:color w:val="0D0D0D" w:themeColor="text1" w:themeTint="F2"/>
        </w:rPr>
        <w:t>Section 45 controls the admissibility of visual identification evidence. It requires a formal procedure to be followed in obtaining visual identification evidence of a person alleged to have comm</w:t>
      </w:r>
      <w:r>
        <w:rPr>
          <w:noProof/>
          <w:color w:val="0D0D0D" w:themeColor="text1" w:themeTint="F2"/>
        </w:rPr>
        <w:t>i</w:t>
      </w:r>
      <w:r w:rsidRPr="00B26FC3">
        <w:rPr>
          <w:noProof/>
          <w:color w:val="0D0D0D" w:themeColor="text1" w:themeTint="F2"/>
        </w:rPr>
        <w:t xml:space="preserve">tted an offence unless there was a good reason for not following a formal procedure, for example, because it could not have been reasonably </w:t>
      </w:r>
      <w:r>
        <w:rPr>
          <w:noProof/>
          <w:color w:val="0D0D0D" w:themeColor="text1" w:themeTint="F2"/>
        </w:rPr>
        <w:t>anticipated</w:t>
      </w:r>
      <w:r w:rsidRPr="00B26FC3">
        <w:rPr>
          <w:noProof/>
          <w:color w:val="0D0D0D" w:themeColor="text1" w:themeTint="F2"/>
        </w:rPr>
        <w:t xml:space="preserve"> that identification would be an issue at trial.</w:t>
      </w:r>
      <w:r w:rsidRPr="0035295C">
        <w:rPr>
          <w:rStyle w:val="FootnoteReference"/>
          <w:noProof/>
          <w:color w:val="0D0D0D" w:themeColor="text1" w:themeTint="F2"/>
        </w:rPr>
        <w:footnoteReference w:id="893"/>
      </w:r>
    </w:p>
    <w:p w14:paraId="193B3091" w14:textId="77777777" w:rsidR="00E13DFB" w:rsidRPr="00D31459" w:rsidRDefault="00E13DFB" w:rsidP="00866891">
      <w:pPr>
        <w:pStyle w:val="BodyText"/>
        <w:numPr>
          <w:ilvl w:val="1"/>
          <w:numId w:val="25"/>
        </w:numPr>
        <w:ind w:hanging="709"/>
      </w:pPr>
      <w:r w:rsidRPr="00B26FC3">
        <w:rPr>
          <w:noProof/>
          <w:color w:val="0D0D0D" w:themeColor="text1" w:themeTint="F2"/>
        </w:rPr>
        <w:t xml:space="preserve">Section 126 </w:t>
      </w:r>
      <w:r w:rsidRPr="00B26FC3">
        <w:rPr>
          <w:color w:val="0D0D0D" w:themeColor="text1" w:themeTint="F2"/>
        </w:rPr>
        <w:t>requires the trial judge to warn the jury of the special need for caution when the case against the defendant “depends wholly or substantially on the correctness of 1 or more visual or voice identifications of the defendant or any other person”.</w:t>
      </w:r>
      <w:r w:rsidRPr="0035295C">
        <w:rPr>
          <w:rStyle w:val="FootnoteReference"/>
          <w:color w:val="0D0D0D" w:themeColor="text1" w:themeTint="F2"/>
        </w:rPr>
        <w:footnoteReference w:id="894"/>
      </w:r>
    </w:p>
    <w:p w14:paraId="0EC2D90F" w14:textId="77777777" w:rsidR="00E13DFB" w:rsidRDefault="00E13DFB" w:rsidP="00006E8A">
      <w:pPr>
        <w:pStyle w:val="Heading3"/>
      </w:pPr>
      <w:r>
        <w:t>What is the issue?</w:t>
      </w:r>
    </w:p>
    <w:p w14:paraId="640DD8A2" w14:textId="77777777" w:rsidR="00E13DFB" w:rsidRDefault="00E13DFB" w:rsidP="00866891">
      <w:pPr>
        <w:pStyle w:val="BodyText"/>
        <w:numPr>
          <w:ilvl w:val="1"/>
          <w:numId w:val="43"/>
        </w:numPr>
        <w:ind w:hanging="709"/>
      </w:pPr>
      <w:r w:rsidRPr="00DB7A8A">
        <w:rPr>
          <w:noProof/>
        </w:rPr>
        <w:t xml:space="preserve">There is conflicting case law on whether the Act’s identification </w:t>
      </w:r>
      <w:r>
        <w:rPr>
          <w:noProof/>
        </w:rPr>
        <w:t xml:space="preserve">evidence </w:t>
      </w:r>
      <w:r w:rsidRPr="00DB7A8A">
        <w:rPr>
          <w:noProof/>
        </w:rPr>
        <w:t xml:space="preserve">provisions apply if a defendant admits to being present at the scene of an offence but denies being the </w:t>
      </w:r>
      <w:r w:rsidRPr="00DB7A8A">
        <w:rPr>
          <w:noProof/>
        </w:rPr>
        <w:lastRenderedPageBreak/>
        <w:t>perpetrator.</w:t>
      </w:r>
      <w:r>
        <w:rPr>
          <w:noProof/>
        </w:rPr>
        <w:t xml:space="preserve"> For example, the defendant might claim that they were mistakenly identified as the person seen holding the weapon or commiting the assault.</w:t>
      </w:r>
    </w:p>
    <w:p w14:paraId="023CA3EF" w14:textId="77777777" w:rsidR="00E13DFB" w:rsidRPr="005E5671" w:rsidRDefault="00E13DFB" w:rsidP="00866891">
      <w:pPr>
        <w:pStyle w:val="BodyText"/>
        <w:numPr>
          <w:ilvl w:val="1"/>
          <w:numId w:val="43"/>
        </w:numPr>
        <w:ind w:hanging="709"/>
      </w:pPr>
      <w:r>
        <w:rPr>
          <w:noProof/>
        </w:rPr>
        <w:t>In the first five years after the Act was passed, t</w:t>
      </w:r>
      <w:r w:rsidRPr="000737F2">
        <w:rPr>
          <w:color w:val="262626" w:themeColor="text1" w:themeTint="D9"/>
        </w:rPr>
        <w:t>wo conflicting approaches</w:t>
      </w:r>
      <w:r>
        <w:rPr>
          <w:color w:val="262626" w:themeColor="text1" w:themeTint="D9"/>
        </w:rPr>
        <w:t xml:space="preserve"> </w:t>
      </w:r>
      <w:r w:rsidRPr="000737F2">
        <w:rPr>
          <w:color w:val="262626" w:themeColor="text1" w:themeTint="D9"/>
        </w:rPr>
        <w:t xml:space="preserve">emerged in appellate case law. The source of this conflict is the definition of “visual identification evidence” in section 4, which is focused solely on identifications of a person who was </w:t>
      </w:r>
      <w:r w:rsidRPr="00B26FC3">
        <w:rPr>
          <w:color w:val="262626" w:themeColor="text1" w:themeTint="D9"/>
        </w:rPr>
        <w:t>at the scene</w:t>
      </w:r>
      <w:r w:rsidRPr="00492FFB">
        <w:rPr>
          <w:color w:val="262626" w:themeColor="text1" w:themeTint="D9"/>
        </w:rPr>
        <w:t>,</w:t>
      </w:r>
      <w:r w:rsidRPr="000737F2">
        <w:rPr>
          <w:i/>
          <w:iCs/>
          <w:color w:val="262626" w:themeColor="text1" w:themeTint="D9"/>
        </w:rPr>
        <w:t xml:space="preserve"> </w:t>
      </w:r>
      <w:r w:rsidRPr="000737F2">
        <w:rPr>
          <w:color w:val="262626" w:themeColor="text1" w:themeTint="D9"/>
        </w:rPr>
        <w:t xml:space="preserve">not identifications of a person who </w:t>
      </w:r>
      <w:r w:rsidRPr="00B26FC3">
        <w:rPr>
          <w:color w:val="262626" w:themeColor="text1" w:themeTint="D9"/>
        </w:rPr>
        <w:t>was committing an act</w:t>
      </w:r>
      <w:r w:rsidRPr="000737F2">
        <w:rPr>
          <w:i/>
          <w:iCs/>
          <w:color w:val="262626" w:themeColor="text1" w:themeTint="D9"/>
        </w:rPr>
        <w:t>.</w:t>
      </w:r>
      <w:r w:rsidRPr="00A52FF6">
        <w:rPr>
          <w:color w:val="262626" w:themeColor="text1" w:themeTint="D9"/>
          <w:vertAlign w:val="superscript"/>
        </w:rPr>
        <w:footnoteReference w:id="895"/>
      </w:r>
      <w:r>
        <w:rPr>
          <w:i/>
          <w:iCs/>
          <w:color w:val="262626" w:themeColor="text1" w:themeTint="D9"/>
        </w:rPr>
        <w:t xml:space="preserve"> </w:t>
      </w:r>
      <w:r>
        <w:rPr>
          <w:color w:val="262626" w:themeColor="text1" w:themeTint="D9"/>
        </w:rPr>
        <w:t>Uncertainty arose when the defendant admitted to being at the scene but not to committing the relevant act.</w:t>
      </w:r>
    </w:p>
    <w:p w14:paraId="6B69BC92" w14:textId="77777777" w:rsidR="00E13DFB" w:rsidRPr="002F1F59" w:rsidRDefault="00E13DFB" w:rsidP="00866891">
      <w:pPr>
        <w:pStyle w:val="BodyText"/>
        <w:numPr>
          <w:ilvl w:val="1"/>
          <w:numId w:val="43"/>
        </w:numPr>
        <w:ind w:hanging="709"/>
      </w:pPr>
      <w:r>
        <w:rPr>
          <w:color w:val="262626" w:themeColor="text1" w:themeTint="D9"/>
        </w:rPr>
        <w:t>On o</w:t>
      </w:r>
      <w:r w:rsidRPr="0051491C">
        <w:rPr>
          <w:color w:val="262626" w:themeColor="text1" w:themeTint="D9"/>
        </w:rPr>
        <w:t xml:space="preserve">ne </w:t>
      </w:r>
      <w:r>
        <w:rPr>
          <w:color w:val="262626" w:themeColor="text1" w:themeTint="D9"/>
        </w:rPr>
        <w:t>line of authority (the restrictive approach), the definition of visual identification evidence is not engaged if the defendant admits they were present at the scene of an offence but disputes their role in the offending.</w:t>
      </w:r>
      <w:r>
        <w:rPr>
          <w:rStyle w:val="FootnoteReference"/>
        </w:rPr>
        <w:footnoteReference w:id="896"/>
      </w:r>
      <w:r w:rsidRPr="0051491C">
        <w:rPr>
          <w:color w:val="262626" w:themeColor="text1" w:themeTint="D9"/>
        </w:rPr>
        <w:t xml:space="preserve"> </w:t>
      </w:r>
      <w:r>
        <w:rPr>
          <w:color w:val="262626" w:themeColor="text1" w:themeTint="D9"/>
        </w:rPr>
        <w:t>This approach makes a strict distinction between “visual identification evidence” (identifications of a person who was at the scene) and “observation evidence” (identifications of the actions of a person).</w:t>
      </w:r>
      <w:r>
        <w:rPr>
          <w:rStyle w:val="FootnoteReference"/>
        </w:rPr>
        <w:footnoteReference w:id="897"/>
      </w:r>
    </w:p>
    <w:p w14:paraId="52742873" w14:textId="77777777" w:rsidR="00E13DFB" w:rsidRDefault="00E13DFB" w:rsidP="00866891">
      <w:pPr>
        <w:pStyle w:val="BodyText"/>
        <w:numPr>
          <w:ilvl w:val="1"/>
          <w:numId w:val="43"/>
        </w:numPr>
        <w:ind w:hanging="709"/>
      </w:pPr>
      <w:r>
        <w:rPr>
          <w:color w:val="262626" w:themeColor="text1" w:themeTint="D9"/>
        </w:rPr>
        <w:t>Another line of authority favours a more inclusive approach.</w:t>
      </w:r>
      <w:r>
        <w:rPr>
          <w:rStyle w:val="FootnoteReference"/>
        </w:rPr>
        <w:footnoteReference w:id="898"/>
      </w:r>
      <w:r>
        <w:rPr>
          <w:color w:val="262626" w:themeColor="text1" w:themeTint="D9"/>
        </w:rPr>
        <w:t xml:space="preserve"> In </w:t>
      </w:r>
      <w:r>
        <w:rPr>
          <w:i/>
          <w:iCs/>
          <w:color w:val="262626" w:themeColor="text1" w:themeTint="D9"/>
        </w:rPr>
        <w:t>Peato v R</w:t>
      </w:r>
      <w:r w:rsidRPr="00492FFB">
        <w:rPr>
          <w:color w:val="262626" w:themeColor="text1" w:themeTint="D9"/>
        </w:rPr>
        <w:t>,</w:t>
      </w:r>
      <w:r>
        <w:rPr>
          <w:i/>
          <w:iCs/>
          <w:color w:val="262626" w:themeColor="text1" w:themeTint="D9"/>
        </w:rPr>
        <w:t xml:space="preserve"> </w:t>
      </w:r>
      <w:r>
        <w:rPr>
          <w:color w:val="262626" w:themeColor="text1" w:themeTint="D9"/>
        </w:rPr>
        <w:t xml:space="preserve">te Kōti Pīra | Court of Appeal gave the definition of “visual identification evidence” a purposive reading to </w:t>
      </w:r>
      <w:r w:rsidRPr="00B26FC3">
        <w:rPr>
          <w:color w:val="262626" w:themeColor="text1" w:themeTint="D9"/>
        </w:rPr>
        <w:t>include</w:t>
      </w:r>
      <w:r>
        <w:rPr>
          <w:color w:val="262626" w:themeColor="text1" w:themeTint="D9"/>
        </w:rPr>
        <w:t xml:space="preserve"> evidence </w:t>
      </w:r>
      <w:r w:rsidRPr="0051491C">
        <w:rPr>
          <w:color w:val="262626" w:themeColor="text1" w:themeTint="D9"/>
        </w:rPr>
        <w:t xml:space="preserve">identifying the </w:t>
      </w:r>
      <w:r>
        <w:rPr>
          <w:color w:val="262626" w:themeColor="text1" w:themeTint="D9"/>
        </w:rPr>
        <w:t xml:space="preserve">defendant </w:t>
      </w:r>
      <w:r w:rsidRPr="0051491C">
        <w:rPr>
          <w:color w:val="262626" w:themeColor="text1" w:themeTint="D9"/>
        </w:rPr>
        <w:t>as the perpetrator of a crime, in circumstances where the reliability of the identification is at issue, notwithstanding an admission or other evidence placing the accused at or near the scene.</w:t>
      </w:r>
      <w:r w:rsidRPr="003B0E22">
        <w:rPr>
          <w:color w:val="262626" w:themeColor="text1" w:themeTint="D9"/>
          <w:vertAlign w:val="superscript"/>
        </w:rPr>
        <w:footnoteReference w:id="899"/>
      </w:r>
      <w:r>
        <w:rPr>
          <w:color w:val="262626" w:themeColor="text1" w:themeTint="D9"/>
        </w:rPr>
        <w:t xml:space="preserve"> It considered this to be consistent with the common law approach and the fact that the Commission’s intention when developing the Evidence Code had been</w:t>
      </w:r>
      <w:r>
        <w:rPr>
          <w:color w:val="262626" w:themeColor="text1" w:themeTint="D9"/>
          <w:vertAlign w:val="superscript"/>
        </w:rPr>
        <w:t xml:space="preserve"> </w:t>
      </w:r>
      <w:r>
        <w:t>to replicate or extend, rather than restrict, this approach.</w:t>
      </w:r>
      <w:r>
        <w:rPr>
          <w:rStyle w:val="FootnoteReference"/>
        </w:rPr>
        <w:footnoteReference w:id="900"/>
      </w:r>
    </w:p>
    <w:p w14:paraId="4D40947A" w14:textId="77777777" w:rsidR="00E13DFB" w:rsidRPr="008519FE" w:rsidRDefault="00E13DFB" w:rsidP="00866891">
      <w:pPr>
        <w:pStyle w:val="BodyText"/>
        <w:numPr>
          <w:ilvl w:val="1"/>
          <w:numId w:val="43"/>
        </w:numPr>
        <w:ind w:hanging="709"/>
      </w:pPr>
      <w:r>
        <w:rPr>
          <w:color w:val="262626" w:themeColor="text1" w:themeTint="D9"/>
        </w:rPr>
        <w:t xml:space="preserve">Later cases attempted to reconcile these two approaches, suggesting that, on both lines of authority, the </w:t>
      </w:r>
      <w:r w:rsidRPr="0051491C">
        <w:rPr>
          <w:color w:val="262626" w:themeColor="text1" w:themeTint="D9"/>
        </w:rPr>
        <w:t xml:space="preserve">question to be asked in each case </w:t>
      </w:r>
      <w:r>
        <w:rPr>
          <w:color w:val="262626" w:themeColor="text1" w:themeTint="D9"/>
        </w:rPr>
        <w:t xml:space="preserve">is </w:t>
      </w:r>
      <w:r w:rsidRPr="0051491C">
        <w:rPr>
          <w:color w:val="262626" w:themeColor="text1" w:themeTint="D9"/>
        </w:rPr>
        <w:t>“whether identification was in issue, or whether it was merely the accused’s actions”.</w:t>
      </w:r>
      <w:r w:rsidRPr="003B0E22">
        <w:rPr>
          <w:color w:val="262626" w:themeColor="text1" w:themeTint="D9"/>
          <w:vertAlign w:val="superscript"/>
        </w:rPr>
        <w:footnoteReference w:id="901"/>
      </w:r>
    </w:p>
    <w:p w14:paraId="418CD7D9" w14:textId="77777777" w:rsidR="00E13DFB" w:rsidRPr="003E599D" w:rsidRDefault="00E13DFB" w:rsidP="00866891">
      <w:pPr>
        <w:pStyle w:val="BodyText"/>
        <w:numPr>
          <w:ilvl w:val="1"/>
          <w:numId w:val="43"/>
        </w:numPr>
        <w:ind w:hanging="709"/>
      </w:pPr>
      <w:r w:rsidRPr="0051491C">
        <w:rPr>
          <w:color w:val="262626" w:themeColor="text1" w:themeTint="D9"/>
        </w:rPr>
        <w:t xml:space="preserve">The </w:t>
      </w:r>
      <w:r>
        <w:rPr>
          <w:color w:val="262626" w:themeColor="text1" w:themeTint="D9"/>
        </w:rPr>
        <w:t xml:space="preserve">Commission considered the conflicting case law in its </w:t>
      </w:r>
      <w:r w:rsidRPr="0051491C">
        <w:rPr>
          <w:color w:val="262626" w:themeColor="text1" w:themeTint="D9"/>
        </w:rPr>
        <w:t xml:space="preserve">2013 </w:t>
      </w:r>
      <w:r>
        <w:rPr>
          <w:color w:val="262626" w:themeColor="text1" w:themeTint="D9"/>
        </w:rPr>
        <w:t>R</w:t>
      </w:r>
      <w:r w:rsidRPr="0051491C">
        <w:rPr>
          <w:color w:val="262626" w:themeColor="text1" w:themeTint="D9"/>
        </w:rPr>
        <w:t>eview</w:t>
      </w:r>
      <w:r>
        <w:rPr>
          <w:color w:val="262626" w:themeColor="text1" w:themeTint="D9"/>
        </w:rPr>
        <w:t xml:space="preserve"> </w:t>
      </w:r>
      <w:r w:rsidRPr="0051491C">
        <w:rPr>
          <w:color w:val="262626" w:themeColor="text1" w:themeTint="D9"/>
        </w:rPr>
        <w:t>of the Act.</w:t>
      </w:r>
      <w:r w:rsidRPr="009600C9">
        <w:rPr>
          <w:color w:val="262626" w:themeColor="text1" w:themeTint="D9"/>
          <w:vertAlign w:val="superscript"/>
        </w:rPr>
        <w:footnoteReference w:id="902"/>
      </w:r>
      <w:r w:rsidRPr="0051491C">
        <w:rPr>
          <w:color w:val="262626" w:themeColor="text1" w:themeTint="D9"/>
        </w:rPr>
        <w:t xml:space="preserve"> </w:t>
      </w:r>
      <w:r>
        <w:rPr>
          <w:color w:val="262626" w:themeColor="text1" w:themeTint="D9"/>
        </w:rPr>
        <w:t>It considered the position under the case law was that observation evidence does not come within the definition of visual identification evidence (following the restrictive approach) but that a section 126 warning will be required for observation evidence if identification is still in issue.</w:t>
      </w:r>
      <w:r>
        <w:rPr>
          <w:rStyle w:val="FootnoteReference"/>
        </w:rPr>
        <w:footnoteReference w:id="903"/>
      </w:r>
      <w:r>
        <w:rPr>
          <w:color w:val="262626" w:themeColor="text1" w:themeTint="D9"/>
        </w:rPr>
        <w:t xml:space="preserve"> While it noted that some doubt had been cast on this interpretation of the </w:t>
      </w:r>
      <w:r>
        <w:rPr>
          <w:color w:val="262626" w:themeColor="text1" w:themeTint="D9"/>
        </w:rPr>
        <w:lastRenderedPageBreak/>
        <w:t>section 4 definition by cases following the inclusive approach, it was not aware of any problems in practice and accordingly considered no legislative change was required.</w:t>
      </w:r>
      <w:r>
        <w:rPr>
          <w:rStyle w:val="FootnoteReference"/>
        </w:rPr>
        <w:footnoteReference w:id="904"/>
      </w:r>
    </w:p>
    <w:p w14:paraId="53417D44" w14:textId="77777777" w:rsidR="00E13DFB" w:rsidRPr="003E599D" w:rsidRDefault="00E13DFB" w:rsidP="00CA7690">
      <w:pPr>
        <w:pStyle w:val="Heading4"/>
        <w:rPr>
          <w:color w:val="000000" w:themeColor="text1"/>
        </w:rPr>
      </w:pPr>
      <w:r>
        <w:t>Ongoing issues</w:t>
      </w:r>
    </w:p>
    <w:p w14:paraId="126F86F4" w14:textId="77777777" w:rsidR="00E13DFB" w:rsidRPr="00BA1B47" w:rsidRDefault="00E13DFB" w:rsidP="00866891">
      <w:pPr>
        <w:pStyle w:val="BodyText"/>
        <w:numPr>
          <w:ilvl w:val="1"/>
          <w:numId w:val="43"/>
        </w:numPr>
        <w:ind w:hanging="709"/>
      </w:pPr>
      <w:r w:rsidRPr="0051491C">
        <w:rPr>
          <w:color w:val="262626" w:themeColor="text1" w:themeTint="D9"/>
        </w:rPr>
        <w:t xml:space="preserve">Despite attempts to reconcile the </w:t>
      </w:r>
      <w:r>
        <w:rPr>
          <w:color w:val="262626" w:themeColor="text1" w:themeTint="D9"/>
        </w:rPr>
        <w:t xml:space="preserve">conflicting </w:t>
      </w:r>
      <w:r w:rsidRPr="0051491C">
        <w:rPr>
          <w:color w:val="262626" w:themeColor="text1" w:themeTint="D9"/>
        </w:rPr>
        <w:t>case law, problems have persisted.</w:t>
      </w:r>
    </w:p>
    <w:p w14:paraId="5B98EBAC" w14:textId="77777777" w:rsidR="00E13DFB" w:rsidRPr="00E245A1" w:rsidRDefault="00E13DFB" w:rsidP="00866891">
      <w:pPr>
        <w:pStyle w:val="BodyText"/>
        <w:numPr>
          <w:ilvl w:val="1"/>
          <w:numId w:val="43"/>
        </w:numPr>
        <w:ind w:hanging="709"/>
      </w:pPr>
      <w:r w:rsidRPr="0051491C">
        <w:rPr>
          <w:color w:val="262626" w:themeColor="text1" w:themeTint="D9"/>
        </w:rPr>
        <w:t xml:space="preserve">In </w:t>
      </w:r>
      <w:r>
        <w:rPr>
          <w:i/>
          <w:iCs/>
          <w:color w:val="262626" w:themeColor="text1" w:themeTint="D9"/>
        </w:rPr>
        <w:t xml:space="preserve">R v </w:t>
      </w:r>
      <w:r w:rsidRPr="00035A02">
        <w:rPr>
          <w:i/>
          <w:iCs/>
          <w:color w:val="262626" w:themeColor="text1" w:themeTint="D9"/>
        </w:rPr>
        <w:t>Eruera</w:t>
      </w:r>
      <w:r w:rsidRPr="0051491C">
        <w:rPr>
          <w:color w:val="262626" w:themeColor="text1" w:themeTint="D9"/>
        </w:rPr>
        <w:t xml:space="preserve">, the </w:t>
      </w:r>
      <w:r>
        <w:rPr>
          <w:color w:val="262626" w:themeColor="text1" w:themeTint="D9"/>
        </w:rPr>
        <w:t>prosecution</w:t>
      </w:r>
      <w:r w:rsidRPr="0051491C">
        <w:rPr>
          <w:color w:val="262626" w:themeColor="text1" w:themeTint="D9"/>
        </w:rPr>
        <w:t xml:space="preserve"> argued that</w:t>
      </w:r>
      <w:r>
        <w:rPr>
          <w:color w:val="262626" w:themeColor="text1" w:themeTint="D9"/>
        </w:rPr>
        <w:t>,</w:t>
      </w:r>
      <w:r w:rsidRPr="0051491C">
        <w:rPr>
          <w:color w:val="262626" w:themeColor="text1" w:themeTint="D9"/>
        </w:rPr>
        <w:t xml:space="preserve"> because the defendant had admitted their presence at the scene, </w:t>
      </w:r>
      <w:r>
        <w:rPr>
          <w:color w:val="262626" w:themeColor="text1" w:themeTint="D9"/>
        </w:rPr>
        <w:t xml:space="preserve">the evidence of </w:t>
      </w:r>
      <w:r w:rsidRPr="0051491C">
        <w:rPr>
          <w:color w:val="262626" w:themeColor="text1" w:themeTint="D9"/>
        </w:rPr>
        <w:t xml:space="preserve">two eyewitnesses </w:t>
      </w:r>
      <w:r>
        <w:rPr>
          <w:color w:val="262626" w:themeColor="text1" w:themeTint="D9"/>
        </w:rPr>
        <w:t xml:space="preserve">was not identification evidence but observation evidence </w:t>
      </w:r>
      <w:r w:rsidRPr="0051491C">
        <w:rPr>
          <w:color w:val="262626" w:themeColor="text1" w:themeTint="D9"/>
        </w:rPr>
        <w:t xml:space="preserve">and therefore section 45 </w:t>
      </w:r>
      <w:r>
        <w:rPr>
          <w:color w:val="262626" w:themeColor="text1" w:themeTint="D9"/>
        </w:rPr>
        <w:t>was irrelevant</w:t>
      </w:r>
      <w:r w:rsidRPr="0051491C">
        <w:rPr>
          <w:color w:val="262626" w:themeColor="text1" w:themeTint="D9"/>
        </w:rPr>
        <w:t>.</w:t>
      </w:r>
      <w:r w:rsidRPr="009E1882">
        <w:rPr>
          <w:color w:val="262626" w:themeColor="text1" w:themeTint="D9"/>
          <w:vertAlign w:val="superscript"/>
        </w:rPr>
        <w:footnoteReference w:id="905"/>
      </w:r>
      <w:r w:rsidRPr="009E1882">
        <w:rPr>
          <w:color w:val="262626" w:themeColor="text1" w:themeTint="D9"/>
          <w:vertAlign w:val="superscript"/>
        </w:rPr>
        <w:t xml:space="preserve"> </w:t>
      </w:r>
      <w:r w:rsidRPr="00CE0B7B">
        <w:rPr>
          <w:color w:val="262626" w:themeColor="text1" w:themeTint="D9"/>
        </w:rPr>
        <w:t>T</w:t>
      </w:r>
      <w:r>
        <w:rPr>
          <w:color w:val="262626" w:themeColor="text1" w:themeTint="D9"/>
        </w:rPr>
        <w:t xml:space="preserve">e Kōti Matua | </w:t>
      </w:r>
      <w:r w:rsidRPr="0051491C">
        <w:rPr>
          <w:color w:val="262626" w:themeColor="text1" w:themeTint="D9"/>
        </w:rPr>
        <w:t xml:space="preserve">High Court </w:t>
      </w:r>
      <w:r>
        <w:rPr>
          <w:color w:val="262626" w:themeColor="text1" w:themeTint="D9"/>
        </w:rPr>
        <w:t>considered the conflicting case law and preferred the inclusive approach</w:t>
      </w:r>
      <w:r w:rsidRPr="0051491C">
        <w:rPr>
          <w:color w:val="262626" w:themeColor="text1" w:themeTint="D9"/>
        </w:rPr>
        <w:t xml:space="preserve">. It reasoned that whether evidence is subject to </w:t>
      </w:r>
      <w:r>
        <w:rPr>
          <w:color w:val="262626" w:themeColor="text1" w:themeTint="D9"/>
        </w:rPr>
        <w:t xml:space="preserve">section 45 </w:t>
      </w:r>
      <w:r w:rsidRPr="0051491C">
        <w:rPr>
          <w:color w:val="262626" w:themeColor="text1" w:themeTint="D9"/>
        </w:rPr>
        <w:t>should depend not on a strict classification process but rather on whether the concerns that are traditionally raised by identification evidence are present.</w:t>
      </w:r>
      <w:r w:rsidRPr="009E1882">
        <w:rPr>
          <w:color w:val="262626" w:themeColor="text1" w:themeTint="D9"/>
          <w:vertAlign w:val="superscript"/>
        </w:rPr>
        <w:footnoteReference w:id="906"/>
      </w:r>
    </w:p>
    <w:p w14:paraId="149605B2" w14:textId="77777777" w:rsidR="00E13DFB" w:rsidRPr="00964875" w:rsidRDefault="00E13DFB" w:rsidP="00866891">
      <w:pPr>
        <w:pStyle w:val="BodyText"/>
        <w:numPr>
          <w:ilvl w:val="1"/>
          <w:numId w:val="43"/>
        </w:numPr>
        <w:ind w:hanging="709"/>
      </w:pPr>
      <w:r>
        <w:rPr>
          <w:color w:val="262626" w:themeColor="text1" w:themeTint="D9"/>
        </w:rPr>
        <w:t>In</w:t>
      </w:r>
      <w:r w:rsidRPr="0051491C">
        <w:rPr>
          <w:color w:val="262626" w:themeColor="text1" w:themeTint="D9"/>
        </w:rPr>
        <w:t xml:space="preserve"> contrast, </w:t>
      </w:r>
      <w:r>
        <w:rPr>
          <w:color w:val="262626" w:themeColor="text1" w:themeTint="D9"/>
        </w:rPr>
        <w:t xml:space="preserve">the Court of Appeal </w:t>
      </w:r>
      <w:r w:rsidRPr="0051491C">
        <w:rPr>
          <w:color w:val="262626" w:themeColor="text1" w:themeTint="D9"/>
        </w:rPr>
        <w:t xml:space="preserve">in </w:t>
      </w:r>
      <w:r>
        <w:rPr>
          <w:i/>
          <w:iCs/>
          <w:color w:val="262626" w:themeColor="text1" w:themeTint="D9"/>
        </w:rPr>
        <w:t xml:space="preserve">R v </w:t>
      </w:r>
      <w:r w:rsidRPr="00035A02">
        <w:rPr>
          <w:i/>
          <w:iCs/>
          <w:color w:val="262626" w:themeColor="text1" w:themeTint="D9"/>
        </w:rPr>
        <w:t>Howard</w:t>
      </w:r>
      <w:r>
        <w:rPr>
          <w:i/>
          <w:iCs/>
          <w:color w:val="262626" w:themeColor="text1" w:themeTint="D9"/>
        </w:rPr>
        <w:t xml:space="preserve"> </w:t>
      </w:r>
      <w:r>
        <w:rPr>
          <w:color w:val="262626" w:themeColor="text1" w:themeTint="D9"/>
        </w:rPr>
        <w:t>applied the restrictive approach</w:t>
      </w:r>
      <w:r>
        <w:rPr>
          <w:i/>
          <w:iCs/>
          <w:color w:val="262626" w:themeColor="text1" w:themeTint="D9"/>
        </w:rPr>
        <w:t>.</w:t>
      </w:r>
      <w:r w:rsidRPr="00D73DA7">
        <w:rPr>
          <w:rStyle w:val="FootnoteReference"/>
        </w:rPr>
        <w:footnoteReference w:id="907"/>
      </w:r>
      <w:r>
        <w:rPr>
          <w:color w:val="262626" w:themeColor="text1" w:themeTint="D9"/>
        </w:rPr>
        <w:t xml:space="preserve"> On the facts, however, the Court held that the evidence </w:t>
      </w:r>
      <w:r w:rsidRPr="006C3031">
        <w:rPr>
          <w:i/>
          <w:iCs/>
          <w:color w:val="262626" w:themeColor="text1" w:themeTint="D9"/>
        </w:rPr>
        <w:t>was</w:t>
      </w:r>
      <w:r>
        <w:rPr>
          <w:color w:val="262626" w:themeColor="text1" w:themeTint="D9"/>
        </w:rPr>
        <w:t xml:space="preserve"> visual identification evidence because the defendant disputed that he was present at the scene.</w:t>
      </w:r>
      <w:r w:rsidRPr="009E1882">
        <w:rPr>
          <w:color w:val="262626" w:themeColor="text1" w:themeTint="D9"/>
          <w:vertAlign w:val="superscript"/>
        </w:rPr>
        <w:footnoteReference w:id="908"/>
      </w:r>
    </w:p>
    <w:p w14:paraId="5A6539D5" w14:textId="77777777" w:rsidR="00E13DFB" w:rsidRPr="007B6FC6" w:rsidRDefault="00E13DFB" w:rsidP="00866891">
      <w:pPr>
        <w:pStyle w:val="BodyText"/>
        <w:numPr>
          <w:ilvl w:val="1"/>
          <w:numId w:val="43"/>
        </w:numPr>
        <w:ind w:hanging="709"/>
      </w:pPr>
      <w:r>
        <w:rPr>
          <w:color w:val="262626" w:themeColor="text1" w:themeTint="D9"/>
        </w:rPr>
        <w:t>In another case where the defendant had admitted to being at the scene, te Kōti-ā-Rohe | District Court applied the restrictive approach in determining that the prosecution could offer evidence that had not gone through a formal identification process from a witness who identified the defendant as a person involved in a group assault. This was on the basis that the evidence was observation evidence and not caught by the definition of visual identification evidence and did not, therefore, have to comply with section 45.</w:t>
      </w:r>
      <w:r>
        <w:rPr>
          <w:rStyle w:val="FootnoteReference"/>
        </w:rPr>
        <w:footnoteReference w:id="909"/>
      </w:r>
      <w:r>
        <w:rPr>
          <w:color w:val="262626" w:themeColor="text1" w:themeTint="D9"/>
        </w:rPr>
        <w:t xml:space="preserve"> That decision was appealed, but the Court of Appeal did not address the issue as it allowed the appeal on a different point.</w:t>
      </w:r>
      <w:r>
        <w:rPr>
          <w:rStyle w:val="FootnoteReference"/>
        </w:rPr>
        <w:footnoteReference w:id="910"/>
      </w:r>
    </w:p>
    <w:p w14:paraId="786874BF" w14:textId="77777777" w:rsidR="00E13DFB" w:rsidRPr="0096165F" w:rsidRDefault="00E13DFB" w:rsidP="00866891">
      <w:pPr>
        <w:pStyle w:val="BodyText"/>
        <w:numPr>
          <w:ilvl w:val="1"/>
          <w:numId w:val="43"/>
        </w:numPr>
        <w:ind w:hanging="709"/>
      </w:pPr>
      <w:r w:rsidRPr="00DA259A">
        <w:rPr>
          <w:color w:val="262626" w:themeColor="text1" w:themeTint="D9"/>
        </w:rPr>
        <w:t xml:space="preserve">Commentators have expressed concern </w:t>
      </w:r>
      <w:r>
        <w:rPr>
          <w:color w:val="262626" w:themeColor="text1" w:themeTint="D9"/>
        </w:rPr>
        <w:t xml:space="preserve">about </w:t>
      </w:r>
      <w:r w:rsidRPr="00DA259A">
        <w:rPr>
          <w:color w:val="262626" w:themeColor="text1" w:themeTint="D9"/>
        </w:rPr>
        <w:t xml:space="preserve">the conflicting case law and </w:t>
      </w:r>
      <w:r>
        <w:rPr>
          <w:color w:val="262626" w:themeColor="text1" w:themeTint="D9"/>
        </w:rPr>
        <w:t xml:space="preserve">about </w:t>
      </w:r>
      <w:r w:rsidRPr="00DA259A">
        <w:rPr>
          <w:color w:val="262626" w:themeColor="text1" w:themeTint="D9"/>
        </w:rPr>
        <w:t>the persistence of the restrictive approach.</w:t>
      </w:r>
      <w:r w:rsidRPr="00DA259A">
        <w:rPr>
          <w:rStyle w:val="FootnoteReference"/>
        </w:rPr>
        <w:footnoteReference w:id="911"/>
      </w:r>
      <w:r w:rsidRPr="00DA259A">
        <w:rPr>
          <w:color w:val="262626" w:themeColor="text1" w:themeTint="D9"/>
        </w:rPr>
        <w:t xml:space="preserve"> </w:t>
      </w:r>
      <w:r>
        <w:rPr>
          <w:color w:val="262626" w:themeColor="text1" w:themeTint="D9"/>
        </w:rPr>
        <w:t>T</w:t>
      </w:r>
      <w:r w:rsidRPr="008E66D0">
        <w:rPr>
          <w:color w:val="262626" w:themeColor="text1" w:themeTint="D9"/>
        </w:rPr>
        <w:t xml:space="preserve">he authors of </w:t>
      </w:r>
      <w:r w:rsidRPr="008E66D0">
        <w:rPr>
          <w:i/>
          <w:iCs/>
          <w:color w:val="262626" w:themeColor="text1" w:themeTint="D9"/>
        </w:rPr>
        <w:t>Mahoney on Evidence</w:t>
      </w:r>
      <w:r w:rsidRPr="008E66D0">
        <w:rPr>
          <w:color w:val="262626" w:themeColor="text1" w:themeTint="D9"/>
        </w:rPr>
        <w:t xml:space="preserve"> </w:t>
      </w:r>
      <w:r>
        <w:rPr>
          <w:color w:val="262626" w:themeColor="text1" w:themeTint="D9"/>
        </w:rPr>
        <w:t xml:space="preserve">argue the restrictive approach has produced </w:t>
      </w:r>
      <w:r w:rsidRPr="008E66D0">
        <w:rPr>
          <w:color w:val="262626" w:themeColor="text1" w:themeTint="D9"/>
        </w:rPr>
        <w:t>an “unsatisfactory” and “watered down” interpretation of section 126.</w:t>
      </w:r>
      <w:r w:rsidRPr="0069429F">
        <w:rPr>
          <w:color w:val="262626" w:themeColor="text1" w:themeTint="D9"/>
          <w:vertAlign w:val="superscript"/>
        </w:rPr>
        <w:footnoteReference w:id="912"/>
      </w:r>
      <w:r w:rsidRPr="008E66D0">
        <w:rPr>
          <w:color w:val="262626" w:themeColor="text1" w:themeTint="D9"/>
          <w:vertAlign w:val="superscript"/>
        </w:rPr>
        <w:t xml:space="preserve"> </w:t>
      </w:r>
      <w:r w:rsidRPr="008E66D0">
        <w:rPr>
          <w:color w:val="262626" w:themeColor="text1" w:themeTint="D9"/>
        </w:rPr>
        <w:t xml:space="preserve">They suggest the inclusive approach “better promotes the purpose for the statutory scheme in </w:t>
      </w:r>
      <w:r>
        <w:rPr>
          <w:color w:val="262626" w:themeColor="text1" w:themeTint="D9"/>
        </w:rPr>
        <w:t>sections</w:t>
      </w:r>
      <w:r w:rsidRPr="008E66D0">
        <w:rPr>
          <w:color w:val="262626" w:themeColor="text1" w:themeTint="D9"/>
        </w:rPr>
        <w:t xml:space="preserve"> 45 and 126 more clearly, and rightly </w:t>
      </w:r>
      <w:r w:rsidRPr="008E66D0">
        <w:rPr>
          <w:color w:val="262626" w:themeColor="text1" w:themeTint="D9"/>
        </w:rPr>
        <w:lastRenderedPageBreak/>
        <w:t>acknowledges the possibility that identification may be an issue even where the defendant admits to being present at the scene of the offen</w:t>
      </w:r>
      <w:r>
        <w:rPr>
          <w:color w:val="262626" w:themeColor="text1" w:themeTint="D9"/>
        </w:rPr>
        <w:t>c</w:t>
      </w:r>
      <w:r w:rsidRPr="008E66D0">
        <w:rPr>
          <w:color w:val="262626" w:themeColor="text1" w:themeTint="D9"/>
        </w:rPr>
        <w:t>e”.</w:t>
      </w:r>
      <w:r w:rsidRPr="0069429F">
        <w:rPr>
          <w:color w:val="262626" w:themeColor="text1" w:themeTint="D9"/>
          <w:vertAlign w:val="superscript"/>
        </w:rPr>
        <w:footnoteReference w:id="913"/>
      </w:r>
    </w:p>
    <w:p w14:paraId="5A53B175" w14:textId="77777777" w:rsidR="00E13DFB" w:rsidRPr="0096165F" w:rsidRDefault="00E13DFB" w:rsidP="00CA7690">
      <w:pPr>
        <w:pStyle w:val="Heading4"/>
        <w:rPr>
          <w:color w:val="000000" w:themeColor="text1"/>
        </w:rPr>
      </w:pPr>
      <w:r>
        <w:t>The Court of Appeal’s decision in Pink v R</w:t>
      </w:r>
    </w:p>
    <w:p w14:paraId="57CBA8E6" w14:textId="77777777" w:rsidR="00E13DFB" w:rsidRPr="007066F5" w:rsidRDefault="00E13DFB" w:rsidP="00866891">
      <w:pPr>
        <w:pStyle w:val="BodyText"/>
        <w:numPr>
          <w:ilvl w:val="1"/>
          <w:numId w:val="43"/>
        </w:numPr>
        <w:ind w:hanging="709"/>
      </w:pPr>
      <w:r w:rsidRPr="0051491C">
        <w:rPr>
          <w:color w:val="262626" w:themeColor="text1" w:themeTint="D9"/>
        </w:rPr>
        <w:t>In 2021</w:t>
      </w:r>
      <w:r>
        <w:rPr>
          <w:color w:val="262626" w:themeColor="text1" w:themeTint="D9"/>
        </w:rPr>
        <w:t>,</w:t>
      </w:r>
      <w:r w:rsidRPr="0051491C">
        <w:rPr>
          <w:color w:val="262626" w:themeColor="text1" w:themeTint="D9"/>
        </w:rPr>
        <w:t xml:space="preserve"> this issue was again considered by the Court of Appeal in </w:t>
      </w:r>
      <w:r w:rsidRPr="009D266C">
        <w:rPr>
          <w:i/>
          <w:iCs/>
          <w:color w:val="262626" w:themeColor="text1" w:themeTint="D9"/>
        </w:rPr>
        <w:t>Pink v R</w:t>
      </w:r>
      <w:r w:rsidRPr="0051491C">
        <w:rPr>
          <w:color w:val="262626" w:themeColor="text1" w:themeTint="D9"/>
        </w:rPr>
        <w:t>.</w:t>
      </w:r>
      <w:r w:rsidRPr="0069429F">
        <w:rPr>
          <w:color w:val="262626" w:themeColor="text1" w:themeTint="D9"/>
          <w:vertAlign w:val="superscript"/>
        </w:rPr>
        <w:footnoteReference w:id="914"/>
      </w:r>
      <w:r w:rsidRPr="0069429F">
        <w:rPr>
          <w:color w:val="262626" w:themeColor="text1" w:themeTint="D9"/>
          <w:vertAlign w:val="superscript"/>
        </w:rPr>
        <w:t xml:space="preserve"> </w:t>
      </w:r>
      <w:r w:rsidRPr="0051491C">
        <w:rPr>
          <w:color w:val="262626" w:themeColor="text1" w:themeTint="D9"/>
        </w:rPr>
        <w:t>The Court commented that cases where the defendant admits to being present in a group but denies any personal wrongdoing cause difficulties due to how the definition of visual identification was drafted.</w:t>
      </w:r>
      <w:r w:rsidRPr="0069429F">
        <w:rPr>
          <w:color w:val="262626" w:themeColor="text1" w:themeTint="D9"/>
          <w:vertAlign w:val="superscript"/>
        </w:rPr>
        <w:footnoteReference w:id="915"/>
      </w:r>
      <w:r w:rsidRPr="0051491C">
        <w:rPr>
          <w:color w:val="262626" w:themeColor="text1" w:themeTint="D9"/>
        </w:rPr>
        <w:t xml:space="preserve"> After </w:t>
      </w:r>
      <w:r>
        <w:rPr>
          <w:color w:val="262626" w:themeColor="text1" w:themeTint="D9"/>
        </w:rPr>
        <w:t>examining the earlier</w:t>
      </w:r>
      <w:r w:rsidRPr="0051491C">
        <w:rPr>
          <w:color w:val="262626" w:themeColor="text1" w:themeTint="D9"/>
        </w:rPr>
        <w:t xml:space="preserve"> </w:t>
      </w:r>
      <w:r>
        <w:rPr>
          <w:color w:val="262626" w:themeColor="text1" w:themeTint="D9"/>
        </w:rPr>
        <w:t>authorities, it observed that</w:t>
      </w:r>
      <w:r w:rsidRPr="0051491C">
        <w:rPr>
          <w:color w:val="262626" w:themeColor="text1" w:themeTint="D9"/>
        </w:rPr>
        <w:t>:</w:t>
      </w:r>
      <w:r w:rsidRPr="0069429F">
        <w:rPr>
          <w:color w:val="262626" w:themeColor="text1" w:themeTint="D9"/>
          <w:vertAlign w:val="superscript"/>
        </w:rPr>
        <w:footnoteReference w:id="916"/>
      </w:r>
    </w:p>
    <w:p w14:paraId="3B1B5FC3" w14:textId="77777777" w:rsidR="00E13DFB" w:rsidRPr="00FC069D" w:rsidRDefault="00E13DFB" w:rsidP="00E13DFB">
      <w:pPr>
        <w:pStyle w:val="Quote"/>
      </w:pPr>
      <w:r>
        <w:t xml:space="preserve">… </w:t>
      </w:r>
      <w:r w:rsidRPr="00F5144D">
        <w:t xml:space="preserve">it can be safely concluded from the authorities that there is no bright line distinction between visual identification evidence in the strict sense and observation evidence. That is to say, </w:t>
      </w:r>
      <w:r w:rsidRPr="00D73DA7">
        <w:t>it is wrong to suggest that an identification warning is only required when the defendant denies being at the scene. A warning may still be required where the defendant admits being present and it is a live issue as to whether he or someone else present was the perpetrator</w:t>
      </w:r>
      <w:r>
        <w:t>.</w:t>
      </w:r>
    </w:p>
    <w:p w14:paraId="24359E5F" w14:textId="77777777" w:rsidR="00E13DFB" w:rsidRPr="00395FB4" w:rsidRDefault="00E13DFB" w:rsidP="00866891">
      <w:pPr>
        <w:pStyle w:val="BodyText"/>
        <w:numPr>
          <w:ilvl w:val="1"/>
          <w:numId w:val="43"/>
        </w:numPr>
        <w:ind w:hanging="709"/>
      </w:pPr>
      <w:r w:rsidRPr="0051491C">
        <w:rPr>
          <w:color w:val="262626" w:themeColor="text1" w:themeTint="D9"/>
        </w:rPr>
        <w:t xml:space="preserve">The </w:t>
      </w:r>
      <w:r>
        <w:rPr>
          <w:color w:val="262626" w:themeColor="text1" w:themeTint="D9"/>
        </w:rPr>
        <w:t>C</w:t>
      </w:r>
      <w:r w:rsidRPr="0051491C">
        <w:rPr>
          <w:color w:val="262626" w:themeColor="text1" w:themeTint="D9"/>
        </w:rPr>
        <w:t xml:space="preserve">ourt then applied this approach to the facts. </w:t>
      </w:r>
      <w:r>
        <w:rPr>
          <w:color w:val="262626" w:themeColor="text1" w:themeTint="D9"/>
        </w:rPr>
        <w:t xml:space="preserve">The witnesses said they had seen the defendant swinging the axe and bringing it down on the man lying on the ground. The </w:t>
      </w:r>
      <w:r w:rsidRPr="0051491C">
        <w:rPr>
          <w:color w:val="262626" w:themeColor="text1" w:themeTint="D9"/>
        </w:rPr>
        <w:t xml:space="preserve">defendant admitted to being present at the scene and holding the axe used in the attack but claimed </w:t>
      </w:r>
      <w:r>
        <w:rPr>
          <w:color w:val="262626" w:themeColor="text1" w:themeTint="D9"/>
        </w:rPr>
        <w:t xml:space="preserve">he was </w:t>
      </w:r>
      <w:r w:rsidRPr="0051491C">
        <w:rPr>
          <w:color w:val="262626" w:themeColor="text1" w:themeTint="D9"/>
        </w:rPr>
        <w:t xml:space="preserve">intervening to </w:t>
      </w:r>
      <w:r>
        <w:rPr>
          <w:color w:val="262626" w:themeColor="text1" w:themeTint="D9"/>
        </w:rPr>
        <w:t xml:space="preserve">confiscate the axe and </w:t>
      </w:r>
      <w:r w:rsidRPr="0051491C">
        <w:rPr>
          <w:color w:val="262626" w:themeColor="text1" w:themeTint="D9"/>
        </w:rPr>
        <w:t>stop the attack. The Court said that</w:t>
      </w:r>
      <w:r>
        <w:rPr>
          <w:color w:val="262626" w:themeColor="text1" w:themeTint="D9"/>
        </w:rPr>
        <w:t>,</w:t>
      </w:r>
      <w:r w:rsidRPr="0051491C">
        <w:rPr>
          <w:color w:val="262626" w:themeColor="text1" w:themeTint="D9"/>
        </w:rPr>
        <w:t xml:space="preserve"> if that was the extent of the dispute</w:t>
      </w:r>
      <w:r>
        <w:rPr>
          <w:color w:val="262626" w:themeColor="text1" w:themeTint="D9"/>
        </w:rPr>
        <w:t>,</w:t>
      </w:r>
      <w:r w:rsidRPr="0051491C">
        <w:rPr>
          <w:color w:val="262626" w:themeColor="text1" w:themeTint="D9"/>
        </w:rPr>
        <w:t xml:space="preserve"> there was a “very strong argument” for saying no identification warning was required</w:t>
      </w:r>
      <w:r>
        <w:rPr>
          <w:color w:val="262626" w:themeColor="text1" w:themeTint="D9"/>
        </w:rPr>
        <w:t xml:space="preserve"> under section 126</w:t>
      </w:r>
      <w:r w:rsidRPr="0051491C">
        <w:rPr>
          <w:color w:val="262626" w:themeColor="text1" w:themeTint="D9"/>
        </w:rPr>
        <w:t>.</w:t>
      </w:r>
      <w:r>
        <w:rPr>
          <w:rStyle w:val="FootnoteReference"/>
        </w:rPr>
        <w:footnoteReference w:id="917"/>
      </w:r>
      <w:r w:rsidRPr="0051491C">
        <w:rPr>
          <w:color w:val="262626" w:themeColor="text1" w:themeTint="D9"/>
        </w:rPr>
        <w:t xml:space="preserve"> </w:t>
      </w:r>
      <w:r>
        <w:rPr>
          <w:color w:val="262626" w:themeColor="text1" w:themeTint="D9"/>
        </w:rPr>
        <w:t xml:space="preserve">That was because, on that version of events, the witnesses’ mistake was not as to who the witnesses had seen with the axe, but rather what they had seen the defendant do with it. </w:t>
      </w:r>
      <w:r w:rsidRPr="0051491C">
        <w:rPr>
          <w:color w:val="262626" w:themeColor="text1" w:themeTint="D9"/>
        </w:rPr>
        <w:t xml:space="preserve">However, the </w:t>
      </w:r>
      <w:r>
        <w:rPr>
          <w:color w:val="262626" w:themeColor="text1" w:themeTint="D9"/>
        </w:rPr>
        <w:t>C</w:t>
      </w:r>
      <w:r w:rsidRPr="0051491C">
        <w:rPr>
          <w:color w:val="262626" w:themeColor="text1" w:themeTint="D9"/>
        </w:rPr>
        <w:t>ourt found that in both cross-examination and its closing addres</w:t>
      </w:r>
      <w:r>
        <w:rPr>
          <w:color w:val="262626" w:themeColor="text1" w:themeTint="D9"/>
        </w:rPr>
        <w:t>s</w:t>
      </w:r>
      <w:r w:rsidRPr="0051491C">
        <w:rPr>
          <w:color w:val="262626" w:themeColor="text1" w:themeTint="D9"/>
        </w:rPr>
        <w:t xml:space="preserve">, the defence had implicitly </w:t>
      </w:r>
      <w:r>
        <w:rPr>
          <w:color w:val="262626" w:themeColor="text1" w:themeTint="D9"/>
        </w:rPr>
        <w:t xml:space="preserve">advanced the possibility that </w:t>
      </w:r>
      <w:r w:rsidRPr="0051491C">
        <w:rPr>
          <w:color w:val="262626" w:themeColor="text1" w:themeTint="D9"/>
        </w:rPr>
        <w:t xml:space="preserve">the </w:t>
      </w:r>
      <w:r>
        <w:rPr>
          <w:color w:val="262626" w:themeColor="text1" w:themeTint="D9"/>
        </w:rPr>
        <w:t xml:space="preserve">eyewitnesses </w:t>
      </w:r>
      <w:r w:rsidRPr="0051491C">
        <w:rPr>
          <w:color w:val="262626" w:themeColor="text1" w:themeTint="D9"/>
        </w:rPr>
        <w:t xml:space="preserve">may have come on the scene before the defendant confiscated the axe and therefore </w:t>
      </w:r>
      <w:r>
        <w:rPr>
          <w:color w:val="262626" w:themeColor="text1" w:themeTint="D9"/>
        </w:rPr>
        <w:t xml:space="preserve">had </w:t>
      </w:r>
      <w:r w:rsidRPr="0051491C">
        <w:rPr>
          <w:color w:val="262626" w:themeColor="text1" w:themeTint="D9"/>
        </w:rPr>
        <w:t xml:space="preserve">seen someone else wielding it. </w:t>
      </w:r>
      <w:r>
        <w:rPr>
          <w:color w:val="262626" w:themeColor="text1" w:themeTint="D9"/>
        </w:rPr>
        <w:t xml:space="preserve">This meant that identification was a live issue. </w:t>
      </w:r>
      <w:r w:rsidRPr="0051491C">
        <w:rPr>
          <w:color w:val="262626" w:themeColor="text1" w:themeTint="D9"/>
        </w:rPr>
        <w:t xml:space="preserve">The </w:t>
      </w:r>
      <w:r>
        <w:rPr>
          <w:color w:val="262626" w:themeColor="text1" w:themeTint="D9"/>
        </w:rPr>
        <w:t>C</w:t>
      </w:r>
      <w:r w:rsidRPr="0051491C">
        <w:rPr>
          <w:color w:val="262626" w:themeColor="text1" w:themeTint="D9"/>
        </w:rPr>
        <w:t>ourt therefore concluded section 126 was engaged.</w:t>
      </w:r>
      <w:r w:rsidRPr="0069429F">
        <w:rPr>
          <w:color w:val="262626" w:themeColor="text1" w:themeTint="D9"/>
          <w:vertAlign w:val="superscript"/>
        </w:rPr>
        <w:footnoteReference w:id="918"/>
      </w:r>
    </w:p>
    <w:p w14:paraId="380976E2" w14:textId="77777777" w:rsidR="00E13DFB" w:rsidRPr="00395FB4" w:rsidRDefault="00E13DFB" w:rsidP="00CA7690">
      <w:pPr>
        <w:pStyle w:val="Heading3"/>
        <w:rPr>
          <w:color w:val="000000" w:themeColor="text1"/>
        </w:rPr>
      </w:pPr>
      <w:r>
        <w:t>Is legislative reform necessary or desirable?</w:t>
      </w:r>
    </w:p>
    <w:p w14:paraId="5E2283CE" w14:textId="77777777" w:rsidR="00E13DFB" w:rsidRPr="00C2403F" w:rsidRDefault="00E13DFB" w:rsidP="00866891">
      <w:pPr>
        <w:pStyle w:val="BodyText"/>
        <w:numPr>
          <w:ilvl w:val="1"/>
          <w:numId w:val="43"/>
        </w:numPr>
        <w:ind w:hanging="709"/>
      </w:pPr>
      <w:r w:rsidRPr="00D73DA7">
        <w:rPr>
          <w:color w:val="auto"/>
        </w:rPr>
        <w:t>Given the conflicting case law and criticisms in the commentary described above, we think that reform is desirable to clarify the application of the identification evidence provisions in situations where a defendant admits to being at the scene.</w:t>
      </w:r>
    </w:p>
    <w:p w14:paraId="6D276F84" w14:textId="77777777" w:rsidR="00E13DFB" w:rsidRPr="002C13E0" w:rsidRDefault="00E13DFB" w:rsidP="00866891">
      <w:pPr>
        <w:pStyle w:val="BodyText"/>
        <w:numPr>
          <w:ilvl w:val="1"/>
          <w:numId w:val="43"/>
        </w:numPr>
        <w:ind w:hanging="709"/>
      </w:pPr>
      <w:r w:rsidRPr="00D73DA7">
        <w:rPr>
          <w:color w:val="auto"/>
        </w:rPr>
        <w:t xml:space="preserve">Our preliminary view is that the </w:t>
      </w:r>
      <w:r>
        <w:rPr>
          <w:color w:val="auto"/>
        </w:rPr>
        <w:t xml:space="preserve">protections in the </w:t>
      </w:r>
      <w:r w:rsidRPr="00D73DA7">
        <w:rPr>
          <w:color w:val="auto"/>
        </w:rPr>
        <w:t xml:space="preserve">identification evidence provisions should apply whenever the identity of the perpetrator is in issue. We agree with the Court of Appeal that, even when the accused admits their presence at the scene, the </w:t>
      </w:r>
      <w:r w:rsidRPr="0055745E">
        <w:rPr>
          <w:color w:val="auto"/>
        </w:rPr>
        <w:t>risk</w:t>
      </w:r>
      <w:r w:rsidRPr="00D73DA7">
        <w:rPr>
          <w:color w:val="auto"/>
        </w:rPr>
        <w:t xml:space="preserve"> of mistaken identification can be just as real.</w:t>
      </w:r>
      <w:r w:rsidRPr="00D73DA7">
        <w:rPr>
          <w:rStyle w:val="FootnoteReference"/>
          <w:color w:val="auto"/>
        </w:rPr>
        <w:footnoteReference w:id="919"/>
      </w:r>
      <w:r w:rsidRPr="0055745E">
        <w:rPr>
          <w:color w:val="auto"/>
        </w:rPr>
        <w:t xml:space="preserve"> While the Court of Appeal in </w:t>
      </w:r>
      <w:r w:rsidRPr="0055745E">
        <w:rPr>
          <w:i/>
          <w:iCs/>
          <w:color w:val="auto"/>
        </w:rPr>
        <w:t xml:space="preserve">Pink </w:t>
      </w:r>
      <w:r w:rsidRPr="0055745E">
        <w:rPr>
          <w:color w:val="auto"/>
        </w:rPr>
        <w:t xml:space="preserve">provided </w:t>
      </w:r>
      <w:r w:rsidRPr="0055745E">
        <w:rPr>
          <w:color w:val="auto"/>
        </w:rPr>
        <w:lastRenderedPageBreak/>
        <w:t>guidance on the proper approach to section 126 directions, our view is that it would be preferable to clarify this in the Act in relation to both section 45 and section 126.</w:t>
      </w:r>
    </w:p>
    <w:p w14:paraId="1CEE1A8F" w14:textId="77777777" w:rsidR="00E13DFB" w:rsidRPr="00872B3B" w:rsidRDefault="00E13DFB" w:rsidP="00866891">
      <w:pPr>
        <w:pStyle w:val="BodyText"/>
        <w:numPr>
          <w:ilvl w:val="1"/>
          <w:numId w:val="43"/>
        </w:numPr>
        <w:ind w:hanging="709"/>
      </w:pPr>
      <w:r>
        <w:rPr>
          <w:color w:val="262626" w:themeColor="text1" w:themeTint="D9"/>
        </w:rPr>
        <w:t xml:space="preserve">Should reform be considered necessary or desirable, one option is to amend </w:t>
      </w:r>
      <w:r w:rsidRPr="004B2AEF">
        <w:rPr>
          <w:color w:val="262626" w:themeColor="text1" w:themeTint="D9"/>
        </w:rPr>
        <w:t xml:space="preserve">the definition of “visual identification evidence” </w:t>
      </w:r>
      <w:r>
        <w:rPr>
          <w:color w:val="262626" w:themeColor="text1" w:themeTint="D9"/>
        </w:rPr>
        <w:t>to add a new paragraph to address the following situation (based on existing wording of subsection (a) of the definition with variations on the language in italics):</w:t>
      </w:r>
    </w:p>
    <w:p w14:paraId="757DA04F" w14:textId="77777777" w:rsidR="00E13DFB" w:rsidRPr="00872B3B" w:rsidRDefault="00E13DFB" w:rsidP="00E13DFB">
      <w:pPr>
        <w:pStyle w:val="Quote"/>
      </w:pPr>
      <w:r>
        <w:t>evidence that is</w:t>
      </w:r>
      <w:r w:rsidRPr="004B2AEF">
        <w:t xml:space="preserve"> </w:t>
      </w:r>
      <w:r>
        <w:t xml:space="preserve">an assertion by a person, based wholly or partly on what that person saw, to the effect that a defendant </w:t>
      </w:r>
      <w:r>
        <w:rPr>
          <w:i/>
          <w:iCs/>
        </w:rPr>
        <w:t xml:space="preserve">was the person observed performing an act </w:t>
      </w:r>
      <w:r w:rsidRPr="00D73DA7">
        <w:t>c</w:t>
      </w:r>
      <w:r>
        <w:t>onstituting direct or circumstantial evidence of the commission of an offence.</w:t>
      </w:r>
    </w:p>
    <w:p w14:paraId="6F7BF806" w14:textId="77777777" w:rsidR="00E13DFB" w:rsidRDefault="00E13DFB" w:rsidP="00866891">
      <w:pPr>
        <w:pStyle w:val="BodyText"/>
        <w:numPr>
          <w:ilvl w:val="1"/>
          <w:numId w:val="25"/>
        </w:numPr>
        <w:ind w:hanging="709"/>
      </w:pPr>
      <w:r w:rsidRPr="00B26FC3">
        <w:rPr>
          <w:color w:val="262626" w:themeColor="text1" w:themeTint="D9"/>
        </w:rPr>
        <w:t xml:space="preserve">The effect of this amendment would be two-fold. </w:t>
      </w:r>
      <w:r>
        <w:t>First, under section 45, a formal identification procedure would need to be followed when a witness says they saw the defendant commit the offence, unless there is good reason not to.</w:t>
      </w:r>
      <w:r>
        <w:rPr>
          <w:rStyle w:val="FootnoteReference"/>
        </w:rPr>
        <w:footnoteReference w:id="920"/>
      </w:r>
      <w:r>
        <w:t xml:space="preserve"> While this could risk creating an undue burden on enforcement agencies, the existing guidance in the Act and case law on the meaning of “good reason” could accommodate these concerns. A good reason for not following a formal procedure exists if no officer involved in the investigation or the prosecution could reasonably anticipate that identification would be an issue at trial.</w:t>
      </w:r>
      <w:r>
        <w:rPr>
          <w:rStyle w:val="FootnoteReference"/>
        </w:rPr>
        <w:footnoteReference w:id="921"/>
      </w:r>
      <w:r>
        <w:t xml:space="preserve"> </w:t>
      </w:r>
      <w:r w:rsidRPr="001B54CE">
        <w:t xml:space="preserve">It is </w:t>
      </w:r>
      <w:r>
        <w:t xml:space="preserve">already </w:t>
      </w:r>
      <w:r w:rsidRPr="001B54CE">
        <w:t>well established that identification based on strong recognition evidence (</w:t>
      </w:r>
      <w:r>
        <w:t xml:space="preserve">for example, when </w:t>
      </w:r>
      <w:r w:rsidRPr="001B54CE">
        <w:t xml:space="preserve">the witness is well acquainted with the defendant) can </w:t>
      </w:r>
      <w:r>
        <w:t>satisfy this ground</w:t>
      </w:r>
      <w:r w:rsidRPr="001B54CE">
        <w:t>.</w:t>
      </w:r>
      <w:r w:rsidRPr="00E37035">
        <w:rPr>
          <w:vertAlign w:val="superscript"/>
        </w:rPr>
        <w:footnoteReference w:id="922"/>
      </w:r>
      <w:r w:rsidRPr="00B26FC3">
        <w:rPr>
          <w:vertAlign w:val="superscript"/>
        </w:rPr>
        <w:t xml:space="preserve"> </w:t>
      </w:r>
      <w:r>
        <w:t xml:space="preserve">Our view is that there would arguably be a “good reason” for not following a formal procedure if the defendant admits to being at the scene and does not suggest the witness was mistaken as to </w:t>
      </w:r>
      <w:r w:rsidRPr="00B26FC3">
        <w:t>who</w:t>
      </w:r>
      <w:r>
        <w:t xml:space="preserve"> they saw commit the offence. In this situation, identity is not in issue but rather the witness’ recollection of what they saw </w:t>
      </w:r>
      <w:r w:rsidRPr="00B26FC3">
        <w:t>the defendant</w:t>
      </w:r>
      <w:r w:rsidRPr="00B26FC3">
        <w:rPr>
          <w:i/>
          <w:iCs/>
        </w:rPr>
        <w:t xml:space="preserve"> </w:t>
      </w:r>
      <w:r>
        <w:t xml:space="preserve">do. If, however, the defendant claims the witness is mistaken as to who they saw commit the offence, they will have put identification in issue. If there are concerns that the existing guidance on “good reasons” is not sufficient to address these situations, clearer guidance could be included in section 45(4). We welcome submissions on this point. </w:t>
      </w:r>
    </w:p>
    <w:p w14:paraId="01E6EBCE" w14:textId="77777777" w:rsidR="00E13DFB" w:rsidRPr="00745B3A" w:rsidRDefault="00E13DFB" w:rsidP="00866891">
      <w:pPr>
        <w:pStyle w:val="BodyText"/>
        <w:numPr>
          <w:ilvl w:val="1"/>
          <w:numId w:val="25"/>
        </w:numPr>
        <w:ind w:hanging="709"/>
      </w:pPr>
      <w:r>
        <w:t xml:space="preserve">Second, the court would be required to direct the jury under section 126 when the case depends “wholly or substantially” on the correctness of witness testimony identifying the defendant as the person who committed the offence. We do not anticipate that this would result in any significant change in practice, in light of </w:t>
      </w:r>
      <w:r w:rsidRPr="00B26FC3">
        <w:rPr>
          <w:i/>
          <w:iCs/>
        </w:rPr>
        <w:t>Pink</w:t>
      </w:r>
      <w:r>
        <w:t>,</w:t>
      </w:r>
      <w:r w:rsidRPr="00B26FC3">
        <w:rPr>
          <w:i/>
          <w:iCs/>
        </w:rPr>
        <w:t xml:space="preserve"> </w:t>
      </w:r>
      <w:r>
        <w:t>but we welcome submissions on this point</w:t>
      </w:r>
      <w:r w:rsidRPr="00B26FC3">
        <w:rPr>
          <w:i/>
          <w:iCs/>
        </w:rPr>
        <w:t>.</w:t>
      </w:r>
    </w:p>
    <w:p w14:paraId="7F8413BD" w14:textId="08F64029" w:rsidR="00193A2C" w:rsidRDefault="00193A2C">
      <w:pPr>
        <w:widowControl w:val="0"/>
        <w:spacing w:after="200" w:line="276" w:lineRule="auto"/>
        <w:rPr>
          <w:rFonts w:eastAsia="Times New Roman" w:cs="Times New Roman"/>
          <w:color w:val="000000" w:themeColor="text1"/>
          <w:szCs w:val="24"/>
          <w:lang w:eastAsia="en-AU"/>
        </w:rPr>
      </w:pPr>
      <w:r>
        <w:br w:type="page"/>
      </w:r>
    </w:p>
    <w:p w14:paraId="3FE2AA54" w14:textId="5685D109" w:rsidR="00CA7690" w:rsidRDefault="00CA7690" w:rsidP="00CA7690">
      <w:pPr>
        <w:pStyle w:val="QuestionBox"/>
      </w:pPr>
      <w:r>
        <w:rPr>
          <w:noProof/>
        </w:rPr>
        <w:lastRenderedPageBreak/>
        <mc:AlternateContent>
          <mc:Choice Requires="wpg">
            <w:drawing>
              <wp:anchor distT="0" distB="0" distL="114300" distR="114300" simplePos="0" relativeHeight="251658373" behindDoc="1" locked="0" layoutInCell="1" allowOverlap="1" wp14:anchorId="66B13862" wp14:editId="3471AB31">
                <wp:simplePos x="0" y="0"/>
                <wp:positionH relativeFrom="column">
                  <wp:posOffset>-482</wp:posOffset>
                </wp:positionH>
                <wp:positionV relativeFrom="paragraph">
                  <wp:posOffset>-2486</wp:posOffset>
                </wp:positionV>
                <wp:extent cx="5760085" cy="1316502"/>
                <wp:effectExtent l="0" t="0" r="0" b="0"/>
                <wp:wrapNone/>
                <wp:docPr id="764518036" name="Group 764518036" descr="Question"/>
                <wp:cNvGraphicFramePr/>
                <a:graphic xmlns:a="http://schemas.openxmlformats.org/drawingml/2006/main">
                  <a:graphicData uri="http://schemas.microsoft.com/office/word/2010/wordprocessingGroup">
                    <wpg:wgp>
                      <wpg:cNvGrpSpPr/>
                      <wpg:grpSpPr>
                        <a:xfrm>
                          <a:off x="0" y="0"/>
                          <a:ext cx="5760085" cy="1316502"/>
                          <a:chOff x="0" y="62865"/>
                          <a:chExt cx="5760085" cy="1317303"/>
                        </a:xfrm>
                      </wpg:grpSpPr>
                      <wps:wsp>
                        <wps:cNvPr id="76451803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A24AE0" w14:textId="77777777" w:rsidR="00CA7690" w:rsidRDefault="00CA7690" w:rsidP="00CA7690">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38" name="Group 53"/>
                        <wpg:cNvGrpSpPr>
                          <a:grpSpLocks/>
                        </wpg:cNvGrpSpPr>
                        <wpg:grpSpPr bwMode="auto">
                          <a:xfrm>
                            <a:off x="0" y="315706"/>
                            <a:ext cx="5760085" cy="1064462"/>
                            <a:chOff x="1837" y="1786"/>
                            <a:chExt cx="9302" cy="11498"/>
                          </a:xfrm>
                        </wpg:grpSpPr>
                        <wps:wsp>
                          <wps:cNvPr id="764518039" name="Freeform 54"/>
                          <wps:cNvSpPr>
                            <a:spLocks/>
                          </wps:cNvSpPr>
                          <wps:spPr bwMode="auto">
                            <a:xfrm>
                              <a:off x="1837" y="1786"/>
                              <a:ext cx="9302" cy="1149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40" name="Group 764518040"/>
                        <wpg:cNvGrpSpPr/>
                        <wpg:grpSpPr>
                          <a:xfrm>
                            <a:off x="0" y="494036"/>
                            <a:ext cx="1443794" cy="252000"/>
                            <a:chOff x="-15880" y="0"/>
                            <a:chExt cx="1444379" cy="252068"/>
                          </a:xfrm>
                        </wpg:grpSpPr>
                        <wps:wsp>
                          <wps:cNvPr id="7645180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4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9A0060" w14:textId="77777777" w:rsidR="00CA7690" w:rsidRPr="00E90B8A" w:rsidRDefault="00CA7690" w:rsidP="00CA7690">
                                <w:pPr>
                                  <w:pStyle w:val="BoxTitle"/>
                                  <w:spacing w:before="0" w:beforeAutospacing="0"/>
                                  <w:rPr>
                                    <w:sz w:val="18"/>
                                    <w:szCs w:val="18"/>
                                  </w:rPr>
                                </w:pPr>
                                <w:r w:rsidRPr="00E90B8A">
                                  <w:rPr>
                                    <w:sz w:val="18"/>
                                    <w:szCs w:val="18"/>
                                  </w:rPr>
                                  <w:t>Q</w:t>
                                </w:r>
                                <w:r>
                                  <w:rPr>
                                    <w:sz w:val="18"/>
                                    <w:szCs w:val="18"/>
                                  </w:rPr>
                                  <w:t>52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6B13862" id="Group 764518036" o:spid="_x0000_s1392" alt="Question" style="position:absolute;left:0;text-align:left;margin-left:-.05pt;margin-top:-.2pt;width:453.55pt;height:103.65pt;z-index:-251658107;mso-height-relative:margin" coordorigin=",628" coordsize="57600,1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">
                <v:shape id="Freeform 52" o:spid="_x0000_s139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FA24AE0" w14:textId="77777777" w:rsidR="00CA7690" w:rsidRDefault="00CA7690" w:rsidP="00CA7690">
                        <w:pPr>
                          <w:pStyle w:val="BoxTitle"/>
                          <w:spacing w:before="0" w:beforeAutospacing="0"/>
                        </w:pPr>
                        <w:r w:rsidRPr="007F6876">
                          <w:t>QUESTION</w:t>
                        </w:r>
                      </w:p>
                    </w:txbxContent>
                  </v:textbox>
                </v:shape>
                <v:group id="Group 53" o:spid="_x0000_s1394" style="position:absolute;top:3157;width:57600;height:10644" coordorigin="1837,1786" coordsize="9302,1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">
                  <v:shape id="Freeform 54" o:spid="_x0000_s1395" style="position:absolute;left:1837;top:1786;width:9302;height:1149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" path="m,l9354,r,7809l,7809,,e" fillcolor="#edf2ea" stroked="f">
                    <v:path arrowok="t" o:connecttype="custom" o:connectlocs="0,1472;9302,1472;9302,12970;0,12970;0,1472" o:connectangles="0,0,0,0,0"/>
                  </v:shape>
                </v:group>
                <v:group id="Group 764518040" o:spid="_x0000_s139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">
                  <v:shape id="Freeform 58" o:spid="_x0000_s139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" path="m,l1815,e" filled="f" strokecolor="#72ab6a" strokeweight=".5pt">
                    <v:path arrowok="t" o:connecttype="custom" o:connectlocs="0,0;1073495,0" o:connectangles="0,0"/>
                  </v:shape>
                  <v:shape id="Freeform 66" o:spid="_x0000_s139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C9A0060" w14:textId="77777777" w:rsidR="00CA7690" w:rsidRPr="00E90B8A" w:rsidRDefault="00CA7690" w:rsidP="00CA7690">
                          <w:pPr>
                            <w:pStyle w:val="BoxTitle"/>
                            <w:spacing w:before="0" w:beforeAutospacing="0"/>
                            <w:rPr>
                              <w:sz w:val="18"/>
                              <w:szCs w:val="18"/>
                            </w:rPr>
                          </w:pPr>
                          <w:r w:rsidRPr="00E90B8A">
                            <w:rPr>
                              <w:sz w:val="18"/>
                              <w:szCs w:val="18"/>
                            </w:rPr>
                            <w:t>Q</w:t>
                          </w:r>
                          <w:r>
                            <w:rPr>
                              <w:sz w:val="18"/>
                              <w:szCs w:val="18"/>
                            </w:rPr>
                            <w:t>52</w:t>
                          </w:r>
                        </w:p>
                      </w:txbxContent>
                    </v:textbox>
                  </v:shape>
                </v:group>
              </v:group>
            </w:pict>
          </mc:Fallback>
        </mc:AlternateContent>
      </w:r>
    </w:p>
    <w:p w14:paraId="0D91BFD7" w14:textId="77777777" w:rsidR="00CA7690" w:rsidRDefault="00CA7690" w:rsidP="00CA7690">
      <w:pPr>
        <w:pStyle w:val="QuestionBox"/>
      </w:pPr>
    </w:p>
    <w:p w14:paraId="12F0E76D" w14:textId="75AD1F2C" w:rsidR="00E13DFB" w:rsidRPr="005837DA" w:rsidRDefault="00E13DFB" w:rsidP="00CA7690">
      <w:pPr>
        <w:pStyle w:val="QuestionBox"/>
      </w:pPr>
      <w:r>
        <w:t>Should the definition of “visual identification evidence” be amended to more explicitly include evidence of a person asserting that they observed the defendant act in the commission of an offence?</w:t>
      </w:r>
    </w:p>
    <w:p w14:paraId="35329E1D" w14:textId="77777777" w:rsidR="00193A2C" w:rsidRPr="005837DA" w:rsidRDefault="00193A2C" w:rsidP="00CA7690">
      <w:pPr>
        <w:pStyle w:val="QuestionBox"/>
      </w:pPr>
    </w:p>
    <w:p w14:paraId="3EEAECCF" w14:textId="77777777" w:rsidR="00E13DFB" w:rsidRDefault="00E13DFB" w:rsidP="00CA7690">
      <w:pPr>
        <w:pStyle w:val="Heading2"/>
      </w:pPr>
      <w:bookmarkStart w:id="146" w:name="_Toc132962593"/>
      <w:bookmarkStart w:id="147" w:name="_Toc67460046"/>
      <w:bookmarkStart w:id="148" w:name="_Toc206310267"/>
      <w:bookmarkStart w:id="149" w:name="_Toc206310445"/>
      <w:bookmarkStart w:id="150" w:name="_Toc364765330"/>
      <w:bookmarkStart w:id="151" w:name="_Toc273189523"/>
      <w:r>
        <w:t>Requirements for formal visual identification procedures</w:t>
      </w:r>
      <w:bookmarkEnd w:id="146"/>
      <w:r>
        <w:t xml:space="preserve"> </w:t>
      </w:r>
      <w:bookmarkEnd w:id="147"/>
      <w:bookmarkEnd w:id="148"/>
      <w:bookmarkEnd w:id="149"/>
      <w:bookmarkEnd w:id="150"/>
      <w:bookmarkEnd w:id="151"/>
    </w:p>
    <w:p w14:paraId="558B921F" w14:textId="77777777" w:rsidR="00E13DFB" w:rsidRDefault="00E13DFB" w:rsidP="00866891">
      <w:pPr>
        <w:pStyle w:val="BodyText"/>
        <w:numPr>
          <w:ilvl w:val="1"/>
          <w:numId w:val="43"/>
        </w:numPr>
        <w:tabs>
          <w:tab w:val="left" w:pos="709"/>
        </w:tabs>
        <w:ind w:hanging="709"/>
      </w:pPr>
      <w:r>
        <w:rPr>
          <w:noProof/>
          <w:color w:val="0D0D0D" w:themeColor="text1" w:themeTint="F2"/>
        </w:rPr>
        <w:t>V</w:t>
      </w:r>
      <w:r w:rsidRPr="0035295C">
        <w:rPr>
          <w:noProof/>
          <w:color w:val="0D0D0D" w:themeColor="text1" w:themeTint="F2"/>
        </w:rPr>
        <w:t>isual identification evidence</w:t>
      </w:r>
      <w:r>
        <w:rPr>
          <w:noProof/>
          <w:color w:val="0D0D0D" w:themeColor="text1" w:themeTint="F2"/>
        </w:rPr>
        <w:t xml:space="preserve"> is admissible if a “formal procedure” is followed </w:t>
      </w:r>
      <w:r w:rsidRPr="005F0C93">
        <w:rPr>
          <w:noProof/>
          <w:color w:val="0D0D0D" w:themeColor="text1" w:themeTint="F2"/>
        </w:rPr>
        <w:t>unless the defendant proves on the balance of probabilities that the evidence is unreliable.</w:t>
      </w:r>
      <w:r>
        <w:rPr>
          <w:rStyle w:val="FootnoteReference"/>
          <w:noProof/>
        </w:rPr>
        <w:footnoteReference w:id="923"/>
      </w:r>
      <w:r>
        <w:rPr>
          <w:noProof/>
          <w:color w:val="0D0D0D" w:themeColor="text1" w:themeTint="F2"/>
        </w:rPr>
        <w:t xml:space="preserve"> Section 45(3) prescribes a range of requirements the formal procedure must satisfy</w:t>
      </w:r>
      <w:r w:rsidRPr="007C05CE">
        <w:rPr>
          <w:noProof/>
          <w:color w:val="0D0D0D" w:themeColor="text1" w:themeTint="F2"/>
        </w:rPr>
        <w:t xml:space="preserve">. </w:t>
      </w:r>
      <w:r>
        <w:t xml:space="preserve">In practice, a formal procedure can take the form of an </w:t>
      </w:r>
      <w:r w:rsidRPr="00AC7489">
        <w:t>identification parade or a photo</w:t>
      </w:r>
      <w:r>
        <w:t xml:space="preserve"> </w:t>
      </w:r>
      <w:r w:rsidRPr="00AC7489">
        <w:t>lineup.</w:t>
      </w:r>
      <w:r w:rsidRPr="00AC7489">
        <w:rPr>
          <w:rStyle w:val="FootnoteReference"/>
          <w:rFonts w:eastAsiaTheme="minorHAnsi"/>
        </w:rPr>
        <w:footnoteReference w:id="924"/>
      </w:r>
    </w:p>
    <w:p w14:paraId="66718FB1" w14:textId="77777777" w:rsidR="00E13DFB" w:rsidRDefault="00E13DFB" w:rsidP="00E13DFB">
      <w:pPr>
        <w:pStyle w:val="BodyText"/>
      </w:pPr>
      <w:r>
        <w:t>Preliminary feedback has identified a general concern that the formal procedure requirements in section 45(3) no longer reflect best practice. A particular concern is that the Act does not require the visual identification process to be video recorded. While a written record of the procedure carried out is required under section 45(3)(e), this may not be as comprehensive or accurate as a video record. For example, it may be difficult to ascertain the degree of confidence with which an identification is made if there is no video record of the process.</w:t>
      </w:r>
    </w:p>
    <w:p w14:paraId="2DA270BD" w14:textId="77777777" w:rsidR="00E13DFB" w:rsidRDefault="00E13DFB" w:rsidP="00E13DFB">
      <w:pPr>
        <w:pStyle w:val="BodyText"/>
      </w:pPr>
      <w:r>
        <w:t>Te Kāhui Tātari Ture | the Criminal Cases Review Commission (CCRC) is undertaking consultation until 26 May 2023 concerning best practice for visual identification procedures, as part of its wider examination of issues concerning eyewitness identification evidence. The CCRC’s preliminary review suggests eyewitness identification evidence is a risk factor in miscarriage of justice cases.</w:t>
      </w:r>
    </w:p>
    <w:p w14:paraId="4BCBCAAA" w14:textId="77777777" w:rsidR="00E13DFB" w:rsidRDefault="00E13DFB" w:rsidP="00E13DFB">
      <w:pPr>
        <w:pStyle w:val="BodyText"/>
      </w:pPr>
      <w:r>
        <w:t>In light of the CCRC’s work, we do not explore further whether formal procedure requirements for visual identification evidence are causing concern or problems in practice. Submitters are welcome, however, to provide information on the current requirements or best practice should they wish to do so, which we can then assess as part of finalising our advice to the Minister.</w:t>
      </w:r>
    </w:p>
    <w:p w14:paraId="642ACAF3" w14:textId="77777777" w:rsidR="00E13DFB" w:rsidRDefault="00E13DFB" w:rsidP="00E13DFB">
      <w:pPr>
        <w:pStyle w:val="BodyText"/>
        <w:numPr>
          <w:ilvl w:val="0"/>
          <w:numId w:val="0"/>
        </w:numPr>
        <w:ind w:left="596"/>
      </w:pPr>
    </w:p>
    <w:p w14:paraId="58B8BB65" w14:textId="77777777" w:rsidR="00E13DFB" w:rsidRPr="00542FDF" w:rsidRDefault="00E13DFB" w:rsidP="00E13DFB">
      <w:pPr>
        <w:tabs>
          <w:tab w:val="left" w:pos="709"/>
        </w:tabs>
        <w:jc w:val="both"/>
        <w:rPr>
          <w:rFonts w:eastAsia="Times New Roman" w:cs="Times New Roman"/>
          <w:vanish/>
          <w:color w:val="000000" w:themeColor="text1"/>
          <w:szCs w:val="20"/>
          <w:lang w:eastAsia="en-AU"/>
        </w:rPr>
      </w:pPr>
    </w:p>
    <w:p w14:paraId="41F9F9D8" w14:textId="77777777" w:rsidR="00E13DFB" w:rsidRDefault="00E13DFB" w:rsidP="00E13DFB">
      <w:pPr>
        <w:pStyle w:val="HEADING2topchapter-notinTOC"/>
        <w:pageBreakBefore w:val="0"/>
        <w:rPr>
          <w:noProof/>
        </w:rPr>
      </w:pPr>
    </w:p>
    <w:p w14:paraId="2DF29961" w14:textId="77777777" w:rsidR="00E13DFB" w:rsidRDefault="00E13DFB" w:rsidP="00E13DFB">
      <w:pPr>
        <w:pStyle w:val="HEADING2topchapter-notinTOC"/>
        <w:pageBreakBefore w:val="0"/>
        <w:rPr>
          <w:noProof/>
        </w:rPr>
        <w:sectPr w:rsidR="00E13DFB" w:rsidSect="00FD6721">
          <w:headerReference w:type="default" r:id="rId46"/>
          <w:footnotePr>
            <w:numRestart w:val="eachSect"/>
          </w:footnotePr>
          <w:type w:val="nextColumn"/>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8342" behindDoc="1" locked="0" layoutInCell="1" allowOverlap="1" wp14:anchorId="1DEA6F2C" wp14:editId="45B7B4F0">
                <wp:simplePos x="0" y="0"/>
                <wp:positionH relativeFrom="page">
                  <wp:posOffset>1080135</wp:posOffset>
                </wp:positionH>
                <wp:positionV relativeFrom="paragraph">
                  <wp:posOffset>-260350</wp:posOffset>
                </wp:positionV>
                <wp:extent cx="2411730" cy="1270"/>
                <wp:effectExtent l="0" t="19050" r="26670" b="17780"/>
                <wp:wrapNone/>
                <wp:docPr id="764518279" name="Group 764518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28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114B5" id="Group 764518279" o:spid="_x0000_s1026" style="position:absolute;margin-left:85.05pt;margin-top:-20.5pt;width:189.9pt;height:.1pt;z-index:-25165813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4EF2E3C5" w14:textId="77777777" w:rsidR="00E13DFB" w:rsidRPr="00D37FCE" w:rsidRDefault="00E13DFB" w:rsidP="00E13DFB">
      <w:pPr>
        <w:pStyle w:val="HEADING2topchapter-notinTOC"/>
        <w:rPr>
          <w:sz w:val="21"/>
          <w:szCs w:val="21"/>
        </w:rPr>
      </w:pPr>
      <w:r w:rsidRPr="00D37FCE">
        <w:lastRenderedPageBreak/>
        <w:t>CHAPTER</w:t>
      </w:r>
      <w:r w:rsidRPr="00D37FCE">
        <w:rPr>
          <w:sz w:val="21"/>
          <w:szCs w:val="21"/>
        </w:rPr>
        <w:t xml:space="preserve"> </w:t>
      </w:r>
      <w:r>
        <w:rPr>
          <w:sz w:val="21"/>
          <w:szCs w:val="21"/>
        </w:rPr>
        <w:t>12</w:t>
      </w:r>
    </w:p>
    <w:p w14:paraId="5718EBFC"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26" behindDoc="1" locked="0" layoutInCell="1" allowOverlap="1" wp14:anchorId="33A53FBE" wp14:editId="658B2CB8">
                <wp:simplePos x="0" y="0"/>
                <wp:positionH relativeFrom="page">
                  <wp:posOffset>1076653</wp:posOffset>
                </wp:positionH>
                <wp:positionV relativeFrom="paragraph">
                  <wp:posOffset>53975</wp:posOffset>
                </wp:positionV>
                <wp:extent cx="1332230" cy="1270"/>
                <wp:effectExtent l="0" t="19050" r="1270" b="1778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A7412" id="Group 43" o:spid="_x0000_s1026" style="position:absolute;margin-left:84.8pt;margin-top:4.25pt;width:104.9pt;height:.1pt;z-index:-25165815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p>
    <w:p w14:paraId="72220034" w14:textId="77777777" w:rsidR="00E13DFB" w:rsidRPr="005D33A4" w:rsidRDefault="00E13DFB" w:rsidP="00CA7690">
      <w:pPr>
        <w:pStyle w:val="Heading1"/>
        <w:rPr>
          <w:rFonts w:eastAsia="Metropolis Black"/>
        </w:rPr>
      </w:pPr>
      <w:bookmarkStart w:id="152" w:name="_Toc132962594"/>
      <w:r>
        <w:rPr>
          <w:color w:val="FFFFFF" w:themeColor="background1"/>
          <w:sz w:val="2"/>
          <w:szCs w:val="2"/>
        </w:rPr>
        <w:t>12</w:t>
      </w:r>
      <w:r w:rsidRPr="00D37FCE">
        <w:rPr>
          <w:color w:val="FFFFFF" w:themeColor="background1"/>
          <w:sz w:val="2"/>
          <w:szCs w:val="2"/>
        </w:rPr>
        <w:t xml:space="preserve"> </w:t>
      </w:r>
      <w:r>
        <w:rPr>
          <w:rFonts w:eastAsia="Metropolis Black"/>
        </w:rPr>
        <w:t>Medical privilege</w:t>
      </w:r>
      <w:bookmarkEnd w:id="152"/>
    </w:p>
    <w:p w14:paraId="1D6ECD0B"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27" behindDoc="1" locked="0" layoutInCell="1" allowOverlap="1" wp14:anchorId="273F80BD" wp14:editId="4A3A89BB">
                <wp:simplePos x="0" y="0"/>
                <wp:positionH relativeFrom="page">
                  <wp:posOffset>1087427</wp:posOffset>
                </wp:positionH>
                <wp:positionV relativeFrom="paragraph">
                  <wp:posOffset>71755</wp:posOffset>
                </wp:positionV>
                <wp:extent cx="1332230" cy="1270"/>
                <wp:effectExtent l="0" t="19050" r="1270" b="1778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1C3B6" id="Group 50" o:spid="_x0000_s1026" style="position:absolute;margin-left:85.6pt;margin-top:5.65pt;width:104.9pt;height:.1pt;z-index:-25165815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6d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3EBCE61A" w14:textId="77777777" w:rsidR="00E13DFB" w:rsidRDefault="00E13DFB" w:rsidP="00E13DFB">
      <w:pPr>
        <w:pStyle w:val="BodyTextalphalist"/>
        <w:ind w:left="0" w:firstLine="0"/>
      </w:pPr>
    </w:p>
    <w:p w14:paraId="6FD45BBE" w14:textId="77777777" w:rsidR="00E13DFB" w:rsidRDefault="00E13DFB" w:rsidP="00E13DFB">
      <w:pPr>
        <w:rPr>
          <w:lang w:eastAsia="zh-TW"/>
        </w:rPr>
      </w:pPr>
    </w:p>
    <w:p w14:paraId="40D0823B" w14:textId="77777777" w:rsidR="00E13DFB" w:rsidRDefault="00E13DFB" w:rsidP="00E13DFB">
      <w:r w:rsidRPr="00D37FCE">
        <w:rPr>
          <w:rFonts w:eastAsia="Metropolis"/>
          <w:noProof/>
        </w:rPr>
        <mc:AlternateContent>
          <mc:Choice Requires="wpg">
            <w:drawing>
              <wp:anchor distT="0" distB="0" distL="114300" distR="114300" simplePos="0" relativeHeight="251658344" behindDoc="1" locked="0" layoutInCell="1" allowOverlap="1" wp14:anchorId="42C2B82E" wp14:editId="4320901B">
                <wp:simplePos x="0" y="0"/>
                <wp:positionH relativeFrom="column">
                  <wp:posOffset>5715</wp:posOffset>
                </wp:positionH>
                <wp:positionV relativeFrom="paragraph">
                  <wp:posOffset>19050</wp:posOffset>
                </wp:positionV>
                <wp:extent cx="5792470" cy="1809790"/>
                <wp:effectExtent l="0" t="0" r="0" b="0"/>
                <wp:wrapNone/>
                <wp:docPr id="451" name="Group 451"/>
                <wp:cNvGraphicFramePr/>
                <a:graphic xmlns:a="http://schemas.openxmlformats.org/drawingml/2006/main">
                  <a:graphicData uri="http://schemas.microsoft.com/office/word/2010/wordprocessingGroup">
                    <wpg:wgp>
                      <wpg:cNvGrpSpPr/>
                      <wpg:grpSpPr>
                        <a:xfrm>
                          <a:off x="0" y="0"/>
                          <a:ext cx="5792470" cy="1809790"/>
                          <a:chOff x="0" y="-4768"/>
                          <a:chExt cx="5793105" cy="1812437"/>
                        </a:xfrm>
                      </wpg:grpSpPr>
                      <wpg:grpSp>
                        <wpg:cNvPr id="452" name="Group 53"/>
                        <wpg:cNvGrpSpPr>
                          <a:grpSpLocks/>
                        </wpg:cNvGrpSpPr>
                        <wpg:grpSpPr bwMode="auto">
                          <a:xfrm>
                            <a:off x="0" y="314182"/>
                            <a:ext cx="5793105" cy="1493487"/>
                            <a:chOff x="1837" y="1791"/>
                            <a:chExt cx="9354" cy="16125"/>
                          </a:xfrm>
                        </wpg:grpSpPr>
                        <wps:wsp>
                          <wps:cNvPr id="453" name="Freeform 54"/>
                          <wps:cNvSpPr>
                            <a:spLocks/>
                          </wps:cNvSpPr>
                          <wps:spPr bwMode="auto">
                            <a:xfrm>
                              <a:off x="1837" y="1791"/>
                              <a:ext cx="9354" cy="1612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4"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5CAEDD" w14:textId="77777777" w:rsidR="00E13DFB" w:rsidRDefault="00E13DFB" w:rsidP="00E13DFB">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42C2B82E" id="Group 451" o:spid="_x0000_s1399" style="position:absolute;margin-left:.45pt;margin-top:1.5pt;width:456.1pt;height:142.5pt;z-index:-251658136;mso-height-relative:margin" coordorigin=",-47" coordsize="57931,1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">
                <v:group id="Group 53" o:spid="_x0000_s1400" style="position:absolute;top:3141;width:57931;height:14935" coordorigin="1837,1791" coordsize="9354,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54" o:spid="_x0000_s1401" style="position:absolute;left:1837;top:1791;width:9354;height:1612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" path="m,l9354,r,7809l,7809,,e" fillcolor="#edf2ea" stroked="f">
                    <v:path arrowok="t" o:connecttype="custom" o:connectlocs="0,2065;9354,2065;9354,18190;0,18190;0,2065" o:connectangles="0,0,0,0,0"/>
                  </v:shape>
                </v:group>
                <v:shape id="Freeform 52" o:spid="_x0000_s1402"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515CAEDD" w14:textId="77777777" w:rsidR="00E13DFB" w:rsidRDefault="00E13DFB" w:rsidP="00E13DFB">
                        <w:pPr>
                          <w:pStyle w:val="BoxTitle"/>
                          <w:spacing w:before="60" w:beforeAutospacing="0"/>
                        </w:pPr>
                        <w:r>
                          <w:t>INTRODUCTION</w:t>
                        </w:r>
                      </w:p>
                    </w:txbxContent>
                  </v:textbox>
                </v:shape>
              </v:group>
            </w:pict>
          </mc:Fallback>
        </mc:AlternateContent>
      </w:r>
    </w:p>
    <w:p w14:paraId="1A20F52A" w14:textId="77777777" w:rsidR="00E13DFB" w:rsidRDefault="00E13DFB" w:rsidP="00E13DFB">
      <w:pPr>
        <w:pStyle w:val="QuestionBox"/>
        <w:tabs>
          <w:tab w:val="clear" w:pos="709"/>
        </w:tabs>
        <w:ind w:left="0"/>
        <w:rPr>
          <w:rFonts w:eastAsia="Metropolis"/>
          <w:noProof/>
        </w:rPr>
      </w:pPr>
    </w:p>
    <w:p w14:paraId="7D6A1D07" w14:textId="77777777" w:rsidR="00E13DFB" w:rsidRDefault="00E13DFB" w:rsidP="00E13DFB">
      <w:pPr>
        <w:pStyle w:val="QuestionBox"/>
        <w:ind w:left="284"/>
      </w:pPr>
      <w:r>
        <w:t xml:space="preserve">In this chapter, we consider section 59 (medical privilege) and seek feedback on issues relating to: </w:t>
      </w:r>
    </w:p>
    <w:p w14:paraId="6AE88E66" w14:textId="77777777" w:rsidR="00E13DFB" w:rsidRDefault="00E13DFB" w:rsidP="00866891">
      <w:pPr>
        <w:pStyle w:val="ListBullet"/>
        <w:numPr>
          <w:ilvl w:val="0"/>
          <w:numId w:val="20"/>
        </w:numPr>
        <w:ind w:left="709" w:hanging="425"/>
        <w:rPr>
          <w:rFonts w:eastAsia="Metropolis"/>
        </w:rPr>
      </w:pPr>
      <w:r>
        <w:t>the scope of the exception created by section 59(1)(b); and</w:t>
      </w:r>
    </w:p>
    <w:p w14:paraId="76ABDECE" w14:textId="77777777" w:rsidR="00E13DFB" w:rsidRDefault="00E13DFB" w:rsidP="00866891">
      <w:pPr>
        <w:pStyle w:val="ListBullet"/>
        <w:numPr>
          <w:ilvl w:val="0"/>
          <w:numId w:val="20"/>
        </w:numPr>
        <w:ind w:left="709" w:hanging="425"/>
        <w:rPr>
          <w:rFonts w:eastAsia="Metropolis"/>
        </w:rPr>
      </w:pPr>
      <w:r>
        <w:t xml:space="preserve">when somebody is acting “on behalf of” a medical practitioner or clinical psychologist under section 59(5). </w:t>
      </w:r>
    </w:p>
    <w:p w14:paraId="3A8F7980" w14:textId="77777777" w:rsidR="00E13DFB" w:rsidRPr="00D37FCE" w:rsidRDefault="00E13DFB" w:rsidP="00E13DFB">
      <w:pPr>
        <w:pStyle w:val="ListBullet"/>
        <w:numPr>
          <w:ilvl w:val="0"/>
          <w:numId w:val="0"/>
        </w:numPr>
        <w:ind w:left="709"/>
      </w:pPr>
    </w:p>
    <w:p w14:paraId="2D34F64C" w14:textId="77777777" w:rsidR="00E13DFB" w:rsidRPr="00C64781" w:rsidRDefault="00E13DFB" w:rsidP="00E13DFB">
      <w:pPr>
        <w:pStyle w:val="Summarybodytext"/>
        <w:numPr>
          <w:ilvl w:val="0"/>
          <w:numId w:val="0"/>
        </w:numPr>
        <w:ind w:left="720"/>
        <w:rPr>
          <w:vanish/>
        </w:rPr>
      </w:pPr>
    </w:p>
    <w:p w14:paraId="63D9906F" w14:textId="77777777" w:rsidR="00E13DFB" w:rsidRDefault="00E13DFB" w:rsidP="00CA7690">
      <w:pPr>
        <w:pStyle w:val="Heading2"/>
      </w:pPr>
      <w:bookmarkStart w:id="153" w:name="_Toc132962595"/>
      <w:r w:rsidRPr="003849F0">
        <w:t>Background</w:t>
      </w:r>
      <w:bookmarkEnd w:id="153"/>
    </w:p>
    <w:p w14:paraId="2C86CF76" w14:textId="77777777" w:rsidR="00E13DFB" w:rsidRPr="00A43F87" w:rsidRDefault="00E13DFB" w:rsidP="00866891">
      <w:pPr>
        <w:pStyle w:val="ListParagraph"/>
        <w:numPr>
          <w:ilvl w:val="0"/>
          <w:numId w:val="28"/>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4AD1B33D" w14:textId="77777777" w:rsidR="00E13DFB" w:rsidRDefault="00E13DFB" w:rsidP="00E13DFB">
      <w:pPr>
        <w:pStyle w:val="BodyText"/>
        <w:tabs>
          <w:tab w:val="num" w:pos="709"/>
          <w:tab w:val="num" w:pos="1425"/>
        </w:tabs>
      </w:pPr>
      <w:r>
        <w:t>A privilege is an exception to the general rule that relevant and otherwise admissible evidence can be compelled to be given to a court.</w:t>
      </w:r>
      <w:r>
        <w:rPr>
          <w:rStyle w:val="FootnoteReference"/>
        </w:rPr>
        <w:footnoteReference w:id="925"/>
      </w:r>
      <w:r>
        <w:t xml:space="preserve"> </w:t>
      </w:r>
    </w:p>
    <w:p w14:paraId="69D60F0A" w14:textId="77777777" w:rsidR="00E13DFB" w:rsidRDefault="00E13DFB" w:rsidP="00E13DFB">
      <w:pPr>
        <w:pStyle w:val="BodyText"/>
      </w:pPr>
      <w:r>
        <w:t>Section 59 of the Evidence Act 2006 creates a privilege in criminal proceedings for communications made to, and information obtained by, medical practitioners and clinical psychologists</w:t>
      </w:r>
      <w:r>
        <w:rPr>
          <w:rStyle w:val="FootnoteReference"/>
        </w:rPr>
        <w:footnoteReference w:id="926"/>
      </w:r>
      <w:r>
        <w:t xml:space="preserve"> in the course of the examination, treatment or care of a person but only in relation to drug dependency or other conditions or behaviour that may manifest itself in criminal conduct (medical privilege).</w:t>
      </w:r>
      <w:r>
        <w:rPr>
          <w:rStyle w:val="FootnoteReference"/>
        </w:rPr>
        <w:footnoteReference w:id="927"/>
      </w:r>
      <w:r>
        <w:t xml:space="preserve"> </w:t>
      </w:r>
    </w:p>
    <w:p w14:paraId="540BD157" w14:textId="77777777" w:rsidR="00E13DFB" w:rsidRDefault="00E13DFB" w:rsidP="00E13DFB">
      <w:pPr>
        <w:pStyle w:val="BodyText"/>
      </w:pPr>
      <w:r>
        <w:t>Medical privilege also extends to people “acting in a professional capacity on behalf of a medical practitioner or clinical psychologist”.</w:t>
      </w:r>
      <w:r>
        <w:rPr>
          <w:rStyle w:val="FootnoteReference"/>
        </w:rPr>
        <w:footnoteReference w:id="928"/>
      </w:r>
    </w:p>
    <w:p w14:paraId="646AE739" w14:textId="77777777" w:rsidR="00E13DFB" w:rsidRDefault="00E13DFB" w:rsidP="00E13DFB">
      <w:pPr>
        <w:pStyle w:val="BodyText"/>
      </w:pPr>
      <w:r>
        <w:t xml:space="preserve">The privilege contained in section 59 is intentionally narrowly defined. As the privilege conferred is absolute, Te Aka Matua o te Ture | Law Commission, when developing the Evidence Code, considered that it was preferable to have clarity and certainty as to its </w:t>
      </w:r>
      <w:r>
        <w:lastRenderedPageBreak/>
        <w:t>application.</w:t>
      </w:r>
      <w:r>
        <w:rPr>
          <w:rStyle w:val="FootnoteReference"/>
        </w:rPr>
        <w:footnoteReference w:id="929"/>
      </w:r>
      <w:r>
        <w:t xml:space="preserve"> Section 69 of the Act confers a general discretion to exclude confidential information, which provides “fall-back protection” for information not captured by section 59.</w:t>
      </w:r>
      <w:r>
        <w:rPr>
          <w:rStyle w:val="FootnoteReference"/>
        </w:rPr>
        <w:footnoteReference w:id="930"/>
      </w:r>
      <w:r>
        <w:t xml:space="preserve"> </w:t>
      </w:r>
    </w:p>
    <w:p w14:paraId="74354FC5" w14:textId="77777777" w:rsidR="00E13DFB" w:rsidRDefault="00E13DFB" w:rsidP="00CA7690">
      <w:pPr>
        <w:pStyle w:val="Heading3"/>
      </w:pPr>
      <w:r>
        <w:t>Purpose and origins of medical privilege</w:t>
      </w:r>
    </w:p>
    <w:p w14:paraId="3C421F25" w14:textId="77777777" w:rsidR="00E13DFB" w:rsidRDefault="00E13DFB" w:rsidP="00E13DFB">
      <w:pPr>
        <w:pStyle w:val="BodyText"/>
      </w:pPr>
      <w:r>
        <w:t>Medical privilege is justified on two grounds:</w:t>
      </w:r>
      <w:r>
        <w:rPr>
          <w:rStyle w:val="FootnoteReference"/>
        </w:rPr>
        <w:footnoteReference w:id="931"/>
      </w:r>
    </w:p>
    <w:p w14:paraId="4FB19B8B" w14:textId="77777777" w:rsidR="00E13DFB" w:rsidRDefault="00E13DFB" w:rsidP="00866891">
      <w:pPr>
        <w:pStyle w:val="BodyTextnonum"/>
        <w:numPr>
          <w:ilvl w:val="3"/>
          <w:numId w:val="28"/>
        </w:numPr>
      </w:pPr>
      <w:r>
        <w:t xml:space="preserve">First, society has an interest in encouraging people to seek medical attention and to communicate openly and honestly with healthcare professionals in doing so. If patients were aware that their disclosures could be used as evidence against them in court, it is argued, this would prevent people from seeking medical attention, or inhibit communication when they did so. </w:t>
      </w:r>
    </w:p>
    <w:p w14:paraId="6BA8F9D0" w14:textId="77777777" w:rsidR="00E13DFB" w:rsidRPr="00FE071D" w:rsidRDefault="00E13DFB" w:rsidP="00866891">
      <w:pPr>
        <w:pStyle w:val="BodyTextnonum"/>
        <w:numPr>
          <w:ilvl w:val="3"/>
          <w:numId w:val="28"/>
        </w:numPr>
      </w:pPr>
      <w:r>
        <w:t>Second, individuals prefer, and should expect, privacy when it comes to intimate details of disease and illness.</w:t>
      </w:r>
    </w:p>
    <w:p w14:paraId="4C8483FE" w14:textId="77777777" w:rsidR="00E13DFB" w:rsidRDefault="00E13DFB" w:rsidP="00E13DFB">
      <w:pPr>
        <w:pStyle w:val="BodyText"/>
      </w:pPr>
      <w:r>
        <w:t>When developing the Evidence Code, the Commission identified a further policy reason justifying the existence of a privilege in the specific context of a person seeking treatment for drug dependency or other behaviours that might manifest themselves in criminal conduct. In these cases, compliance with the law is more likely to be achieved through medical treatment than through criminal prosecution.</w:t>
      </w:r>
      <w:r>
        <w:rPr>
          <w:rStyle w:val="FootnoteReference"/>
        </w:rPr>
        <w:footnoteReference w:id="932"/>
      </w:r>
    </w:p>
    <w:p w14:paraId="12C8829D" w14:textId="77777777" w:rsidR="00E13DFB" w:rsidRDefault="00E13DFB" w:rsidP="00E13DFB">
      <w:pPr>
        <w:pStyle w:val="BodyText"/>
      </w:pPr>
      <w:r>
        <w:t>As with all privileges, the concern is with balancing these interests against the public interests in securing the administration of justice by placing all relevant evidence in front of a court.</w:t>
      </w:r>
      <w:r>
        <w:rPr>
          <w:rStyle w:val="FootnoteReference"/>
        </w:rPr>
        <w:footnoteReference w:id="933"/>
      </w:r>
      <w:r>
        <w:t xml:space="preserve"> </w:t>
      </w:r>
    </w:p>
    <w:p w14:paraId="3147849F" w14:textId="77777777" w:rsidR="00E13DFB" w:rsidRDefault="00E13DFB" w:rsidP="00E13DFB">
      <w:pPr>
        <w:pStyle w:val="BodyText"/>
      </w:pPr>
      <w:r>
        <w:t>Some form of medical privilege has existed in statute since the late 19</w:t>
      </w:r>
      <w:r w:rsidRPr="00A07F11">
        <w:t>th</w:t>
      </w:r>
      <w:r>
        <w:t xml:space="preserve"> century.</w:t>
      </w:r>
      <w:r>
        <w:rPr>
          <w:rStyle w:val="FootnoteReference"/>
        </w:rPr>
        <w:footnoteReference w:id="934"/>
      </w:r>
      <w:r>
        <w:t xml:space="preserve"> The modern form of medical privilege emerged from the Torts and General Law Reform Committee’s policy review of professional privilege in the law of evidence in 1977.</w:t>
      </w:r>
      <w:r>
        <w:rPr>
          <w:rStyle w:val="FootnoteReference"/>
        </w:rPr>
        <w:footnoteReference w:id="935"/>
      </w:r>
      <w:r>
        <w:t xml:space="preserve"> The Committee’s recommendations were taken forward in sections 32 and 33 of the Evidence Amendment Act (No 2) 1980, under which a privilege existed in respect of communications to medical practitioners in both civil and criminal proceedings. The scope of the privilege in criminal proceedings was limited to communications made in the course of examination or treatment for drug dependency or other condition or behaviour that </w:t>
      </w:r>
      <w:r>
        <w:lastRenderedPageBreak/>
        <w:t>might manifest itself in criminal conduct.</w:t>
      </w:r>
      <w:r>
        <w:rPr>
          <w:rStyle w:val="FootnoteReference"/>
        </w:rPr>
        <w:footnoteReference w:id="936"/>
      </w:r>
      <w:r>
        <w:t xml:space="preserve"> The privilege was broadened to include clinical psychologists in 1989.</w:t>
      </w:r>
      <w:r>
        <w:rPr>
          <w:rStyle w:val="FootnoteReference"/>
        </w:rPr>
        <w:footnoteReference w:id="937"/>
      </w:r>
      <w:r>
        <w:t xml:space="preserve"> </w:t>
      </w:r>
    </w:p>
    <w:p w14:paraId="1FB79B75" w14:textId="77777777" w:rsidR="00E13DFB" w:rsidRDefault="00E13DFB" w:rsidP="00E13DFB">
      <w:pPr>
        <w:pStyle w:val="BodyText"/>
      </w:pPr>
      <w:r>
        <w:t>In its development of the Evidence Code, the Commission took forward the existing statutory privilege in criminal proceedings, widening it to include all information obtained in the course of examination and treatment for drug dependency and other conditions that might manifest itself in criminal behaviour, and to cover disclosure in any criminal proceedings, not just proceedings where the person being treated was the defendant.</w:t>
      </w:r>
      <w:r>
        <w:rPr>
          <w:rStyle w:val="FootnoteReference"/>
        </w:rPr>
        <w:footnoteReference w:id="938"/>
      </w:r>
      <w:r>
        <w:t xml:space="preserve"> It also removed the existence of a medical privilege in civil proceedings</w:t>
      </w:r>
      <w:r>
        <w:rPr>
          <w:rStyle w:val="FootnoteReference"/>
        </w:rPr>
        <w:footnoteReference w:id="939"/>
      </w:r>
      <w:r>
        <w:t xml:space="preserve"> and recommended not extending the privilege to apply beyond medical practitioners, clinical psychologists, and those acting in a professional capacity on behalf of those professions.</w:t>
      </w:r>
      <w:r>
        <w:rPr>
          <w:rStyle w:val="FootnoteReference"/>
        </w:rPr>
        <w:footnoteReference w:id="940"/>
      </w:r>
      <w:r>
        <w:t xml:space="preserve"> These recommendations were enacted as section 59. </w:t>
      </w:r>
    </w:p>
    <w:p w14:paraId="61D3AD38" w14:textId="77777777" w:rsidR="00E13DFB" w:rsidRDefault="00E13DFB" w:rsidP="00CA7690">
      <w:pPr>
        <w:pStyle w:val="Heading2"/>
      </w:pPr>
      <w:bookmarkStart w:id="154" w:name="_Toc132962596"/>
      <w:r>
        <w:t>Scope of the section 59(1)(b) exception</w:t>
      </w:r>
      <w:bookmarkEnd w:id="154"/>
    </w:p>
    <w:p w14:paraId="10A935C2" w14:textId="77777777" w:rsidR="00E13DFB" w:rsidRDefault="00E13DFB" w:rsidP="00E13DFB">
      <w:pPr>
        <w:pStyle w:val="BodyText"/>
      </w:pPr>
      <w:r>
        <w:t>Section 59(1)(b) creates an exception to medical privilege:</w:t>
      </w:r>
    </w:p>
    <w:p w14:paraId="468002FB" w14:textId="77777777" w:rsidR="00E13DFB" w:rsidRDefault="00E13DFB" w:rsidP="00E13DFB">
      <w:pPr>
        <w:pStyle w:val="QuoteIndent0"/>
        <w:tabs>
          <w:tab w:val="left" w:pos="1134"/>
        </w:tabs>
      </w:pPr>
      <w:r>
        <w:t xml:space="preserve">[This section] does not apply in the case of a person who has been required by an order of a Judge, or by other lawful authority, to submit himself or herself to the medical practitioner or clinical psychologist for any examination, test, or for any other purpose. </w:t>
      </w:r>
    </w:p>
    <w:p w14:paraId="37FF372B" w14:textId="77777777" w:rsidR="00E13DFB" w:rsidRDefault="00E13DFB" w:rsidP="00CA7690">
      <w:pPr>
        <w:pStyle w:val="Heading3"/>
      </w:pPr>
      <w:r>
        <w:t>What is the issue?</w:t>
      </w:r>
    </w:p>
    <w:p w14:paraId="54F43A3F" w14:textId="77777777" w:rsidR="00E13DFB" w:rsidRDefault="00E13DFB" w:rsidP="00E13DFB">
      <w:pPr>
        <w:pStyle w:val="BodyText"/>
      </w:pPr>
      <w:r>
        <w:t xml:space="preserve">We have received preliminary feedback that it is not clear whether court-ordered </w:t>
      </w:r>
      <w:r>
        <w:rPr>
          <w:i/>
          <w:iCs/>
        </w:rPr>
        <w:t>treatment</w:t>
      </w:r>
      <w:r>
        <w:t xml:space="preserve"> (as opposed to court-ordered </w:t>
      </w:r>
      <w:r>
        <w:rPr>
          <w:i/>
          <w:iCs/>
        </w:rPr>
        <w:t xml:space="preserve">examination </w:t>
      </w:r>
      <w:r>
        <w:t xml:space="preserve">or </w:t>
      </w:r>
      <w:r>
        <w:rPr>
          <w:i/>
          <w:iCs/>
        </w:rPr>
        <w:t>test</w:t>
      </w:r>
      <w:r>
        <w:t>, as set out in statute) is captured by section 59(1)(b). For example, it is not clear whether the exception would apply to information obtained during a rehabilitative counselling programme that a person has been directed to attend by the court as part of an extended supervision order (ESO). This uncertainty</w:t>
      </w:r>
      <w:r w:rsidDel="00571D8E">
        <w:t xml:space="preserve"> </w:t>
      </w:r>
      <w:r>
        <w:t>arises from the open-ended phrasing of “for any other purpose”, which, on a plain wording interpretation, could be taken to apply to any other purpose as ordered by the court, including treatment</w:t>
      </w:r>
      <w:r w:rsidDel="008E0E94">
        <w:t>.</w:t>
      </w:r>
      <w:r>
        <w:t xml:space="preserve"> </w:t>
      </w:r>
    </w:p>
    <w:p w14:paraId="386B639F" w14:textId="77777777" w:rsidR="00E13DFB" w:rsidRDefault="00E13DFB" w:rsidP="00E13DFB">
      <w:pPr>
        <w:pStyle w:val="BodyText"/>
      </w:pPr>
      <w:r>
        <w:t>A related concern with the scope of section 59(1)(b) is that it appears to permit information obtained for one purpose (for example, an assessment in the context of a preventive detention application) being used for another unconnected purpose (for example, to support criminal charges in unrelated offending).</w:t>
      </w:r>
      <w:r>
        <w:rPr>
          <w:rStyle w:val="FootnoteReference"/>
        </w:rPr>
        <w:footnoteReference w:id="941"/>
      </w:r>
      <w:r>
        <w:t xml:space="preserve"> This issue was identified in the Commission’s 2013 Review of the Act but not resolved due to the lack of submissions addressing this point and the lack of opportunity to consult with healthcare </w:t>
      </w:r>
      <w:r>
        <w:lastRenderedPageBreak/>
        <w:t>professionals.</w:t>
      </w:r>
      <w:r>
        <w:rPr>
          <w:rStyle w:val="FootnoteReference"/>
        </w:rPr>
        <w:footnoteReference w:id="942"/>
      </w:r>
      <w:r>
        <w:t xml:space="preserve"> The Commission recommended the issue be considered in the context of a wider review of issues arising in relation to the Criminal Procedure (Mentally Impaired Persons) Act 2002 (CPMIP Act). We are not aware of any subsequent consideration of medical privilege, in the context of a review of the CPMIP Act or otherwise. </w:t>
      </w:r>
    </w:p>
    <w:p w14:paraId="0AD99159" w14:textId="77777777" w:rsidR="00E13DFB" w:rsidRDefault="00E13DFB" w:rsidP="00CA7690">
      <w:pPr>
        <w:pStyle w:val="Heading4"/>
      </w:pPr>
      <w:r>
        <w:t>Policy and legislative background</w:t>
      </w:r>
    </w:p>
    <w:p w14:paraId="57A9BADA" w14:textId="77777777" w:rsidR="00E13DFB" w:rsidRDefault="00E13DFB" w:rsidP="00E13DFB">
      <w:pPr>
        <w:pStyle w:val="BodyText"/>
      </w:pPr>
      <w:r>
        <w:t>The exception’s original objective</w:t>
      </w:r>
      <w:r w:rsidDel="00A1693E">
        <w:t xml:space="preserve"> </w:t>
      </w:r>
      <w:r>
        <w:t xml:space="preserve">appears to have been to ensure that relevant information obtained by a medical practitioner during a court-ordered assessment could not be withheld from the courts on the grounds of medical privilege. The first mention of such an exception was in section 9(2) of the Evidence Further Amendment Act 1895, which granted a privilege “unless the sanity of the patient be the matter in dispute”. This language was carried over to section 8 of the Evidence Act 1908. </w:t>
      </w:r>
    </w:p>
    <w:p w14:paraId="25722DE4" w14:textId="77777777" w:rsidR="00E13DFB" w:rsidRPr="00817526" w:rsidRDefault="00E13DFB" w:rsidP="00E13DFB">
      <w:pPr>
        <w:pStyle w:val="BodyText"/>
      </w:pPr>
      <w:r>
        <w:t>Commenting on medical privilege in civil proceedings in 1977, the Torts and General Law Reform Committee observed that “public policy undoubtedly requires that such an important legal issue as testamentary capacity should not be hamstrung by medical privilege”.</w:t>
      </w:r>
      <w:r>
        <w:rPr>
          <w:rStyle w:val="FootnoteReference"/>
        </w:rPr>
        <w:footnoteReference w:id="943"/>
      </w:r>
      <w:r>
        <w:t xml:space="preserve"> The Committee did not explicitly discuss similar concerns in relation to criminal proceedings, but </w:t>
      </w:r>
      <w:r>
        <w:rPr>
          <w:szCs w:val="20"/>
        </w:rPr>
        <w:t>s</w:t>
      </w:r>
      <w:r w:rsidRPr="000C601F">
        <w:rPr>
          <w:szCs w:val="20"/>
        </w:rPr>
        <w:t>ection 33 of the Evidence Amendment Act (No 2) 1980</w:t>
      </w:r>
      <w:r>
        <w:rPr>
          <w:szCs w:val="20"/>
        </w:rPr>
        <w:t xml:space="preserve"> </w:t>
      </w:r>
      <w:r w:rsidRPr="000C601F">
        <w:rPr>
          <w:szCs w:val="20"/>
        </w:rPr>
        <w:t>introduced an exception</w:t>
      </w:r>
      <w:r>
        <w:rPr>
          <w:szCs w:val="20"/>
        </w:rPr>
        <w:t xml:space="preserve"> for privilege in criminal proceedings</w:t>
      </w:r>
      <w:r w:rsidRPr="000C601F">
        <w:rPr>
          <w:szCs w:val="20"/>
        </w:rPr>
        <w:t xml:space="preserve"> using the wording of “examination, test or other purpose</w:t>
      </w:r>
      <w:r>
        <w:rPr>
          <w:szCs w:val="20"/>
        </w:rPr>
        <w:t>”.</w:t>
      </w:r>
    </w:p>
    <w:p w14:paraId="28573E80" w14:textId="77777777" w:rsidR="00E13DFB" w:rsidRPr="00A40975" w:rsidRDefault="00E13DFB" w:rsidP="00E13DFB">
      <w:pPr>
        <w:pStyle w:val="BodyText"/>
        <w:tabs>
          <w:tab w:val="num" w:pos="709"/>
        </w:tabs>
      </w:pPr>
      <w:r w:rsidRPr="0013281E">
        <w:t xml:space="preserve">In its Evidence Code, the Commission proposed retaining such an exception, commenting that this “excludes from protection consultations </w:t>
      </w:r>
      <w:r>
        <w:t>that are ordered by a court or other lawful authority”.</w:t>
      </w:r>
      <w:r>
        <w:rPr>
          <w:rStyle w:val="FootnoteReference"/>
          <w:szCs w:val="20"/>
        </w:rPr>
        <w:footnoteReference w:id="944"/>
      </w:r>
      <w:r w:rsidRPr="0013281E">
        <w:t xml:space="preserve"> The Commission’s proposed Code provision mirrored the language of the 1980 Act,</w:t>
      </w:r>
      <w:r>
        <w:rPr>
          <w:rStyle w:val="FootnoteReference"/>
          <w:szCs w:val="20"/>
        </w:rPr>
        <w:footnoteReference w:id="945"/>
      </w:r>
      <w:r w:rsidRPr="0013281E">
        <w:t xml:space="preserve"> with the change to “any </w:t>
      </w:r>
      <w:r w:rsidRPr="0013281E">
        <w:rPr>
          <w:i/>
        </w:rPr>
        <w:t>other</w:t>
      </w:r>
      <w:r w:rsidRPr="0013281E">
        <w:t xml:space="preserve"> purpose” being a drafting decision made when the Evidence Bill was introduced to Parliament.</w:t>
      </w:r>
      <w:r w:rsidRPr="000C601F">
        <w:rPr>
          <w:rStyle w:val="FootnoteReference"/>
          <w:szCs w:val="20"/>
        </w:rPr>
        <w:footnoteReference w:id="946"/>
      </w:r>
    </w:p>
    <w:p w14:paraId="36057098" w14:textId="77777777" w:rsidR="00E13DFB" w:rsidRPr="00A40975" w:rsidRDefault="00E13DFB" w:rsidP="00CA7690">
      <w:pPr>
        <w:pStyle w:val="Heading4"/>
      </w:pPr>
      <w:r>
        <w:t>Subsequent developments</w:t>
      </w:r>
    </w:p>
    <w:p w14:paraId="09BD44A0" w14:textId="77777777" w:rsidR="00E13DFB" w:rsidRPr="00A40975" w:rsidRDefault="00E13DFB" w:rsidP="00E13DFB">
      <w:pPr>
        <w:pStyle w:val="BodyText"/>
        <w:tabs>
          <w:tab w:val="clear" w:pos="709"/>
        </w:tabs>
      </w:pPr>
      <w:r w:rsidRPr="00A40975">
        <w:rPr>
          <w:szCs w:val="20"/>
        </w:rPr>
        <w:t>The scope of section 59(1)(b) has not been discussed in any detail in the case law.</w:t>
      </w:r>
      <w:r w:rsidRPr="000C601F">
        <w:rPr>
          <w:rStyle w:val="FootnoteReference"/>
          <w:szCs w:val="20"/>
        </w:rPr>
        <w:footnoteReference w:id="947"/>
      </w:r>
      <w:r w:rsidRPr="00A40975">
        <w:rPr>
          <w:szCs w:val="20"/>
        </w:rPr>
        <w:t xml:space="preserve"> In its 2013 </w:t>
      </w:r>
      <w:r>
        <w:rPr>
          <w:szCs w:val="20"/>
        </w:rPr>
        <w:t>r</w:t>
      </w:r>
      <w:r w:rsidRPr="00A40975">
        <w:rPr>
          <w:szCs w:val="20"/>
        </w:rPr>
        <w:t>eview, the Commission was made aware of variation in practice amongst psychiatrists arising from uncertainty as to the precise operation of section 59(1)(b).</w:t>
      </w:r>
      <w:r w:rsidRPr="000C601F">
        <w:rPr>
          <w:rStyle w:val="FootnoteReference"/>
          <w:szCs w:val="20"/>
        </w:rPr>
        <w:footnoteReference w:id="948"/>
      </w:r>
      <w:r w:rsidRPr="00A40975">
        <w:rPr>
          <w:szCs w:val="20"/>
        </w:rPr>
        <w:t xml:space="preserve"> Some psychiatrists were taking the view that a literal reading of section 59(1)(b) meant that privilege did not apply at all to any person required to undergo assessment by a </w:t>
      </w:r>
      <w:r w:rsidRPr="00A40975">
        <w:rPr>
          <w:szCs w:val="20"/>
        </w:rPr>
        <w:lastRenderedPageBreak/>
        <w:t>court and therefore the person’s complete medical records could be freely examined and presented to the court. The Commission held that:</w:t>
      </w:r>
      <w:r w:rsidRPr="000C601F">
        <w:rPr>
          <w:rStyle w:val="FootnoteReference"/>
          <w:szCs w:val="20"/>
        </w:rPr>
        <w:footnoteReference w:id="949"/>
      </w:r>
    </w:p>
    <w:p w14:paraId="3CFE5397" w14:textId="77777777" w:rsidR="00E13DFB" w:rsidRPr="00A40975" w:rsidRDefault="00E13DFB" w:rsidP="00E13DFB">
      <w:pPr>
        <w:pStyle w:val="QuoteIndent0"/>
      </w:pPr>
      <w:r>
        <w:t xml:space="preserve">The submitters do not consider that any substantial change of this nature was intended when the Evidence Act was passed. We agree that </w:t>
      </w:r>
      <w:r w:rsidRPr="006D4D77">
        <w:t>the intention at the time was clearly to maintain the substance of the privilege in criminal proceedings and to broaden its scope</w:t>
      </w:r>
      <w:r>
        <w:t>,</w:t>
      </w:r>
      <w:r w:rsidRPr="006D4D77">
        <w:t xml:space="preserve"> rather than narrowing it in the dramatic way that </w:t>
      </w:r>
      <w:r w:rsidRPr="009414EC">
        <w:t>the</w:t>
      </w:r>
      <w:r w:rsidRPr="006D4D77">
        <w:t xml:space="preserve"> above interpretation would do.</w:t>
      </w:r>
    </w:p>
    <w:p w14:paraId="03D99ACE" w14:textId="77777777" w:rsidR="00E13DFB" w:rsidRPr="006968AA" w:rsidRDefault="00E13DFB" w:rsidP="00E13DFB">
      <w:pPr>
        <w:pStyle w:val="BodyText"/>
        <w:tabs>
          <w:tab w:val="num" w:pos="709"/>
        </w:tabs>
      </w:pPr>
      <w:r w:rsidRPr="0013281E">
        <w:t>The Commission recommended amending section 59 to make it clear that the section 59(1)(b) exception applies only to communications, observations and information collected or generated during a court-ordered assessment and does not affect the privilege that attaches to other medical records of the privilege-holder. This was enacted as section 59(1A) through the Evidence Amendment Act 2016.</w:t>
      </w:r>
    </w:p>
    <w:p w14:paraId="4E14873C" w14:textId="77777777" w:rsidR="00E13DFB" w:rsidRDefault="00E13DFB" w:rsidP="00E13DFB">
      <w:pPr>
        <w:pStyle w:val="BodyText"/>
        <w:tabs>
          <w:tab w:val="clear" w:pos="709"/>
        </w:tabs>
      </w:pPr>
      <w:r w:rsidRPr="00A40975">
        <w:rPr>
          <w:szCs w:val="20"/>
        </w:rPr>
        <w:t>As noted above, the 2013 Review also identified a concern that the possibility of information imparted during a court-ordered examination being disclosed in subsequent proceedings was having a detrimental effect on those examinations.</w:t>
      </w:r>
      <w:r>
        <w:rPr>
          <w:rStyle w:val="FootnoteReference"/>
          <w:szCs w:val="20"/>
        </w:rPr>
        <w:footnoteReference w:id="950"/>
      </w:r>
      <w:r w:rsidRPr="00A40975">
        <w:rPr>
          <w:szCs w:val="20"/>
        </w:rPr>
        <w:t xml:space="preserve"> The concern was that the broad nature of the exception might hamper free and frank discussion because of a fear that any information may be used in court against them. The Commission did not reach a conclusion or make any recommendations on this point</w:t>
      </w:r>
      <w:r>
        <w:rPr>
          <w:szCs w:val="20"/>
        </w:rPr>
        <w:t>, for the reasons noted above.</w:t>
      </w:r>
      <w:r>
        <w:rPr>
          <w:rStyle w:val="FootnoteReference"/>
          <w:szCs w:val="20"/>
        </w:rPr>
        <w:footnoteReference w:id="951"/>
      </w:r>
      <w:r w:rsidRPr="00A40975">
        <w:rPr>
          <w:szCs w:val="20"/>
        </w:rPr>
        <w:t xml:space="preserve"> </w:t>
      </w:r>
    </w:p>
    <w:p w14:paraId="0494DDB2" w14:textId="77777777" w:rsidR="00E13DFB" w:rsidRDefault="00E13DFB" w:rsidP="00CA7690">
      <w:pPr>
        <w:pStyle w:val="Heading3"/>
      </w:pPr>
      <w:r>
        <w:t xml:space="preserve">Is legislative </w:t>
      </w:r>
      <w:r w:rsidRPr="00317D6A">
        <w:t>reform</w:t>
      </w:r>
      <w:r>
        <w:t xml:space="preserve"> necessary or desirable?</w:t>
      </w:r>
    </w:p>
    <w:p w14:paraId="5E09A16C" w14:textId="77777777" w:rsidR="00E13DFB" w:rsidRPr="00613422" w:rsidRDefault="00E13DFB" w:rsidP="00E13DFB">
      <w:pPr>
        <w:pStyle w:val="BodyText"/>
        <w:tabs>
          <w:tab w:val="num" w:pos="709"/>
          <w:tab w:val="num" w:pos="1425"/>
        </w:tabs>
        <w:spacing w:after="80"/>
      </w:pPr>
      <w:r w:rsidRPr="005A40DA">
        <w:rPr>
          <w:szCs w:val="20"/>
        </w:rPr>
        <w:t>It is unlikely that the</w:t>
      </w:r>
      <w:r>
        <w:rPr>
          <w:szCs w:val="20"/>
        </w:rPr>
        <w:t xml:space="preserve"> section 59(1)(b)</w:t>
      </w:r>
      <w:r w:rsidRPr="005A40DA">
        <w:rPr>
          <w:szCs w:val="20"/>
        </w:rPr>
        <w:t xml:space="preserve"> exception was intended to apply</w:t>
      </w:r>
      <w:r>
        <w:rPr>
          <w:szCs w:val="20"/>
        </w:rPr>
        <w:t xml:space="preserve"> so broadly as to apply to all court-ordered examinations, assessments or treatment.</w:t>
      </w:r>
      <w:r w:rsidRPr="005A40DA">
        <w:rPr>
          <w:szCs w:val="20"/>
        </w:rPr>
        <w:t xml:space="preserve"> If, as </w:t>
      </w:r>
      <w:r>
        <w:rPr>
          <w:szCs w:val="20"/>
        </w:rPr>
        <w:t>the early policy and legislative history suggests</w:t>
      </w:r>
      <w:r w:rsidRPr="005A40DA">
        <w:rPr>
          <w:szCs w:val="20"/>
        </w:rPr>
        <w:t xml:space="preserve">, the intention was to ensure that </w:t>
      </w:r>
      <w:r>
        <w:rPr>
          <w:szCs w:val="20"/>
        </w:rPr>
        <w:t xml:space="preserve">information gathered during a court-ordered medical </w:t>
      </w:r>
      <w:r w:rsidRPr="005A40DA">
        <w:rPr>
          <w:szCs w:val="20"/>
        </w:rPr>
        <w:t>assessment w</w:t>
      </w:r>
      <w:r>
        <w:rPr>
          <w:szCs w:val="20"/>
        </w:rPr>
        <w:t>as</w:t>
      </w:r>
      <w:r w:rsidRPr="005A40DA">
        <w:rPr>
          <w:szCs w:val="20"/>
        </w:rPr>
        <w:t xml:space="preserve"> not shielded from view by a privilege, it </w:t>
      </w:r>
      <w:r>
        <w:rPr>
          <w:szCs w:val="20"/>
        </w:rPr>
        <w:t xml:space="preserve">seems </w:t>
      </w:r>
      <w:r w:rsidRPr="005A40DA">
        <w:rPr>
          <w:szCs w:val="20"/>
        </w:rPr>
        <w:t xml:space="preserve">unlikely that the section 59(1)(b) exception </w:t>
      </w:r>
      <w:r>
        <w:rPr>
          <w:szCs w:val="20"/>
        </w:rPr>
        <w:t xml:space="preserve">was intended </w:t>
      </w:r>
      <w:r w:rsidRPr="005A40DA">
        <w:rPr>
          <w:szCs w:val="20"/>
        </w:rPr>
        <w:t xml:space="preserve">to apply to court-ordered treatment. In considering a similar issue of interpretation as part of </w:t>
      </w:r>
      <w:r>
        <w:rPr>
          <w:szCs w:val="20"/>
        </w:rPr>
        <w:t>the</w:t>
      </w:r>
      <w:r w:rsidRPr="005A40DA">
        <w:rPr>
          <w:szCs w:val="20"/>
        </w:rPr>
        <w:t xml:space="preserve"> 2013 Review, the Commission was clear that the intention at the time the Act was passed was to maintain the substance of medical privilege, and to broaden its scope – not to narrow it.</w:t>
      </w:r>
      <w:r>
        <w:rPr>
          <w:rStyle w:val="FootnoteReference"/>
          <w:szCs w:val="20"/>
        </w:rPr>
        <w:footnoteReference w:id="952"/>
      </w:r>
      <w:r w:rsidRPr="005A40DA">
        <w:rPr>
          <w:szCs w:val="20"/>
        </w:rPr>
        <w:t xml:space="preserve"> </w:t>
      </w:r>
    </w:p>
    <w:p w14:paraId="32828912" w14:textId="77777777" w:rsidR="00E13DFB" w:rsidRPr="00613422" w:rsidRDefault="00E13DFB" w:rsidP="00E13DFB">
      <w:pPr>
        <w:pStyle w:val="BodyText"/>
        <w:tabs>
          <w:tab w:val="num" w:pos="709"/>
          <w:tab w:val="num" w:pos="1425"/>
        </w:tabs>
        <w:spacing w:after="80"/>
      </w:pPr>
      <w:r w:rsidRPr="005A40DA">
        <w:rPr>
          <w:szCs w:val="20"/>
        </w:rPr>
        <w:t xml:space="preserve">Interpreting the section 59(1)(b) </w:t>
      </w:r>
      <w:r>
        <w:rPr>
          <w:szCs w:val="20"/>
        </w:rPr>
        <w:t>exception</w:t>
      </w:r>
      <w:r w:rsidRPr="005A40DA">
        <w:rPr>
          <w:szCs w:val="20"/>
        </w:rPr>
        <w:t xml:space="preserve"> as including court-ordered treatment would also be inconsistent with the policy underlying medical privilege. The privilege is clearly directed at encouraging people to seek medical attention</w:t>
      </w:r>
      <w:r>
        <w:rPr>
          <w:szCs w:val="20"/>
        </w:rPr>
        <w:t xml:space="preserve">, </w:t>
      </w:r>
      <w:r w:rsidRPr="005A40DA">
        <w:rPr>
          <w:szCs w:val="20"/>
        </w:rPr>
        <w:t xml:space="preserve">to be open and truthful with the healthcare professionals caring for them and </w:t>
      </w:r>
      <w:r>
        <w:rPr>
          <w:szCs w:val="20"/>
        </w:rPr>
        <w:t>to</w:t>
      </w:r>
      <w:r w:rsidRPr="005A40DA">
        <w:rPr>
          <w:szCs w:val="20"/>
        </w:rPr>
        <w:t xml:space="preserve"> protect privacy.</w:t>
      </w:r>
      <w:r>
        <w:rPr>
          <w:szCs w:val="20"/>
        </w:rPr>
        <w:t xml:space="preserve"> The additional policy rationale identified by the Law Commission – that, in some circumstances compliance with the law is more likely to be achieved through treatment than censure </w:t>
      </w:r>
      <w:r w:rsidRPr="005A40DA">
        <w:rPr>
          <w:szCs w:val="20"/>
        </w:rPr>
        <w:t>applies equally</w:t>
      </w:r>
      <w:r>
        <w:rPr>
          <w:szCs w:val="20"/>
        </w:rPr>
        <w:t>,</w:t>
      </w:r>
      <w:r w:rsidRPr="005A40DA">
        <w:rPr>
          <w:szCs w:val="20"/>
        </w:rPr>
        <w:t xml:space="preserve"> or perhaps more so</w:t>
      </w:r>
      <w:r>
        <w:rPr>
          <w:szCs w:val="20"/>
        </w:rPr>
        <w:t>,</w:t>
      </w:r>
      <w:r w:rsidRPr="005A40DA">
        <w:rPr>
          <w:szCs w:val="20"/>
        </w:rPr>
        <w:t xml:space="preserve"> if a person’s drug dependency or other condition has already manifested in criminal conduct and led them to have contact with the criminal justice system to the </w:t>
      </w:r>
      <w:r>
        <w:rPr>
          <w:szCs w:val="20"/>
        </w:rPr>
        <w:t>point</w:t>
      </w:r>
      <w:r w:rsidRPr="005A40DA">
        <w:rPr>
          <w:szCs w:val="20"/>
        </w:rPr>
        <w:t xml:space="preserve"> that treatment has been court-ordered. </w:t>
      </w:r>
    </w:p>
    <w:p w14:paraId="54D15366" w14:textId="77777777" w:rsidR="00E13DFB" w:rsidRPr="00613422" w:rsidRDefault="00E13DFB" w:rsidP="00E13DFB">
      <w:pPr>
        <w:pStyle w:val="BodyText"/>
        <w:tabs>
          <w:tab w:val="num" w:pos="709"/>
          <w:tab w:val="num" w:pos="1425"/>
        </w:tabs>
        <w:spacing w:after="80"/>
      </w:pPr>
      <w:r w:rsidRPr="005A40DA">
        <w:rPr>
          <w:szCs w:val="20"/>
        </w:rPr>
        <w:t xml:space="preserve">There is also the risk of unintended consequences should the section </w:t>
      </w:r>
      <w:r>
        <w:rPr>
          <w:szCs w:val="20"/>
        </w:rPr>
        <w:t xml:space="preserve">59(1)(b) exception </w:t>
      </w:r>
      <w:r w:rsidRPr="005A40DA">
        <w:rPr>
          <w:szCs w:val="20"/>
        </w:rPr>
        <w:t xml:space="preserve">be interpreted </w:t>
      </w:r>
      <w:r>
        <w:rPr>
          <w:szCs w:val="20"/>
        </w:rPr>
        <w:t>as extending to court-ordered treatment.</w:t>
      </w:r>
      <w:r w:rsidRPr="005A40DA">
        <w:rPr>
          <w:szCs w:val="20"/>
        </w:rPr>
        <w:t xml:space="preserve"> </w:t>
      </w:r>
      <w:r>
        <w:rPr>
          <w:szCs w:val="20"/>
        </w:rPr>
        <w:t>F</w:t>
      </w:r>
      <w:r w:rsidRPr="005A40DA">
        <w:rPr>
          <w:szCs w:val="20"/>
        </w:rPr>
        <w:t xml:space="preserve">or example, this </w:t>
      </w:r>
      <w:r>
        <w:rPr>
          <w:szCs w:val="20"/>
        </w:rPr>
        <w:t>c</w:t>
      </w:r>
      <w:r w:rsidRPr="005A40DA">
        <w:rPr>
          <w:szCs w:val="20"/>
        </w:rPr>
        <w:t xml:space="preserve">ould mean that information obtained during compulsory examination, care and treatment </w:t>
      </w:r>
      <w:r>
        <w:rPr>
          <w:szCs w:val="20"/>
        </w:rPr>
        <w:t xml:space="preserve">under the </w:t>
      </w:r>
      <w:r>
        <w:rPr>
          <w:szCs w:val="20"/>
        </w:rPr>
        <w:lastRenderedPageBreak/>
        <w:t>Mental Health (Compulsory Treatment and Assessment) Act 1992</w:t>
      </w:r>
      <w:r>
        <w:rPr>
          <w:rStyle w:val="FootnoteReference"/>
          <w:szCs w:val="20"/>
        </w:rPr>
        <w:footnoteReference w:id="953"/>
      </w:r>
      <w:r>
        <w:rPr>
          <w:szCs w:val="20"/>
        </w:rPr>
        <w:t xml:space="preserve"> </w:t>
      </w:r>
      <w:r w:rsidRPr="005A40DA">
        <w:rPr>
          <w:szCs w:val="20"/>
        </w:rPr>
        <w:t xml:space="preserve">would not be privileged. This </w:t>
      </w:r>
      <w:r>
        <w:rPr>
          <w:szCs w:val="20"/>
        </w:rPr>
        <w:t>would</w:t>
      </w:r>
      <w:r w:rsidRPr="005A40DA">
        <w:rPr>
          <w:szCs w:val="20"/>
        </w:rPr>
        <w:t xml:space="preserve"> be a broad carve</w:t>
      </w:r>
      <w:r>
        <w:rPr>
          <w:szCs w:val="20"/>
        </w:rPr>
        <w:t>-</w:t>
      </w:r>
      <w:r w:rsidRPr="005A40DA">
        <w:rPr>
          <w:szCs w:val="20"/>
        </w:rPr>
        <w:t xml:space="preserve">out from medical privilege and is unlikely to have been intended. </w:t>
      </w:r>
    </w:p>
    <w:p w14:paraId="7D79646A" w14:textId="77777777" w:rsidR="00E13DFB" w:rsidRPr="005A40DA" w:rsidRDefault="00E13DFB" w:rsidP="00E13DFB">
      <w:pPr>
        <w:pStyle w:val="BodyText"/>
        <w:tabs>
          <w:tab w:val="num" w:pos="709"/>
          <w:tab w:val="num" w:pos="1425"/>
        </w:tabs>
        <w:spacing w:after="80"/>
      </w:pPr>
      <w:r w:rsidRPr="005A40DA">
        <w:rPr>
          <w:szCs w:val="20"/>
        </w:rPr>
        <w:t xml:space="preserve">As to whether the </w:t>
      </w:r>
      <w:r>
        <w:rPr>
          <w:szCs w:val="20"/>
        </w:rPr>
        <w:t>section 59(1)(b)</w:t>
      </w:r>
      <w:r w:rsidRPr="005A40DA">
        <w:rPr>
          <w:szCs w:val="20"/>
        </w:rPr>
        <w:t xml:space="preserve"> exception should permit information obtained for one purpose to be used for another, the concern is that this unduly undercuts the objectives of the privilege itself (aimed at ensuring candour between doctors and patients) and goes further than is necessary to achieve the objectives of the exception (aimed at ensuring a court has access t</w:t>
      </w:r>
      <w:r>
        <w:rPr>
          <w:szCs w:val="20"/>
        </w:rPr>
        <w:t>o</w:t>
      </w:r>
      <w:r w:rsidRPr="005A40DA">
        <w:rPr>
          <w:szCs w:val="20"/>
        </w:rPr>
        <w:t xml:space="preserve"> the information it</w:t>
      </w:r>
      <w:r>
        <w:rPr>
          <w:szCs w:val="20"/>
        </w:rPr>
        <w:t xml:space="preserve"> requires to reach a determination)</w:t>
      </w:r>
      <w:r w:rsidRPr="005A40DA">
        <w:rPr>
          <w:szCs w:val="20"/>
        </w:rPr>
        <w:t xml:space="preserve">. </w:t>
      </w:r>
      <w:r>
        <w:rPr>
          <w:szCs w:val="20"/>
        </w:rPr>
        <w:t>T</w:t>
      </w:r>
      <w:r w:rsidRPr="005A40DA">
        <w:rPr>
          <w:szCs w:val="20"/>
        </w:rPr>
        <w:t>here are mixed views on whether the exception does, in fact, impact on what a patient chooses to disclose during a court-ordered assessment.</w:t>
      </w:r>
      <w:r>
        <w:rPr>
          <w:rStyle w:val="FootnoteReference"/>
          <w:szCs w:val="20"/>
        </w:rPr>
        <w:footnoteReference w:id="954"/>
      </w:r>
      <w:r w:rsidRPr="005A40DA">
        <w:rPr>
          <w:szCs w:val="20"/>
        </w:rPr>
        <w:t xml:space="preserve"> Nonetheless, we think it is arguable that the scope of the exception is not consistent with reasonable expectations of privacy. Furthermore, it has the potential to result in inconsistent approach</w:t>
      </w:r>
      <w:r>
        <w:rPr>
          <w:szCs w:val="20"/>
        </w:rPr>
        <w:t>es. I</w:t>
      </w:r>
      <w:r w:rsidRPr="005A40DA">
        <w:rPr>
          <w:szCs w:val="20"/>
        </w:rPr>
        <w:t>f an admission of unrelated offending is made in a court-ordered examination, for example, it could be used against the defendant in separate proceedings, but the same admission made in an independently sought examination would be privileged.</w:t>
      </w:r>
    </w:p>
    <w:p w14:paraId="350E3A15" w14:textId="77777777" w:rsidR="00E13DFB" w:rsidRPr="00A73D24" w:rsidRDefault="00E13DFB" w:rsidP="00E13DFB">
      <w:pPr>
        <w:pStyle w:val="BodyText"/>
        <w:tabs>
          <w:tab w:val="num" w:pos="709"/>
          <w:tab w:val="num" w:pos="1425"/>
        </w:tabs>
        <w:spacing w:after="80"/>
      </w:pPr>
      <w:r w:rsidRPr="00A73D24">
        <w:rPr>
          <w:szCs w:val="20"/>
        </w:rPr>
        <w:t xml:space="preserve">Our preliminary view is, therefore, that it </w:t>
      </w:r>
      <w:r>
        <w:rPr>
          <w:szCs w:val="20"/>
        </w:rPr>
        <w:t>would be</w:t>
      </w:r>
      <w:r w:rsidRPr="00A73D24">
        <w:rPr>
          <w:szCs w:val="20"/>
        </w:rPr>
        <w:t xml:space="preserve"> desirable to amend section 59(1)(b) to clarify the circumstances in which the exception applies. We seek views on how this would best be achieved. </w:t>
      </w:r>
    </w:p>
    <w:p w14:paraId="7DD70FF7" w14:textId="77777777" w:rsidR="00E13DFB" w:rsidRDefault="00E13DFB" w:rsidP="00CA7690">
      <w:pPr>
        <w:pStyle w:val="Heading3"/>
      </w:pPr>
      <w:r>
        <w:t>Options for reform</w:t>
      </w:r>
    </w:p>
    <w:p w14:paraId="3E8C7CDA" w14:textId="77777777" w:rsidR="00E13DFB" w:rsidRPr="001B215C" w:rsidRDefault="00E13DFB" w:rsidP="00E13DFB">
      <w:pPr>
        <w:pStyle w:val="BodyText"/>
        <w:tabs>
          <w:tab w:val="num" w:pos="709"/>
        </w:tabs>
      </w:pPr>
      <w:r w:rsidRPr="00900923">
        <w:t>We have identified two possible options for reform:</w:t>
      </w:r>
    </w:p>
    <w:p w14:paraId="2E9E966E" w14:textId="77777777" w:rsidR="00E13DFB" w:rsidRDefault="00E13DFB" w:rsidP="00866891">
      <w:pPr>
        <w:pStyle w:val="BodyTextnonum"/>
        <w:numPr>
          <w:ilvl w:val="3"/>
          <w:numId w:val="28"/>
        </w:numPr>
        <w:tabs>
          <w:tab w:val="num" w:pos="709"/>
        </w:tabs>
      </w:pPr>
      <w:r w:rsidRPr="006264A0">
        <w:rPr>
          <w:b/>
          <w:bCs/>
        </w:rPr>
        <w:t>Option 1:</w:t>
      </w:r>
      <w:r>
        <w:t xml:space="preserve"> </w:t>
      </w:r>
      <w:r w:rsidRPr="00616838">
        <w:t>Amend section 59(1)(b) to remove the words “or for any other purpose”</w:t>
      </w:r>
      <w:r>
        <w:t>.</w:t>
      </w:r>
    </w:p>
    <w:p w14:paraId="14FDCEA2" w14:textId="77777777" w:rsidR="00E13DFB" w:rsidRPr="001B215C" w:rsidRDefault="00E13DFB" w:rsidP="00866891">
      <w:pPr>
        <w:pStyle w:val="BodyTextnonum"/>
        <w:numPr>
          <w:ilvl w:val="3"/>
          <w:numId w:val="28"/>
        </w:numPr>
        <w:tabs>
          <w:tab w:val="num" w:pos="709"/>
        </w:tabs>
      </w:pPr>
      <w:r w:rsidRPr="006264A0">
        <w:rPr>
          <w:b/>
          <w:bCs/>
          <w:szCs w:val="20"/>
        </w:rPr>
        <w:t xml:space="preserve">Option 2: </w:t>
      </w:r>
      <w:r w:rsidRPr="00616838">
        <w:rPr>
          <w:szCs w:val="20"/>
        </w:rPr>
        <w:t xml:space="preserve">Amend section 59(1)(b) to </w:t>
      </w:r>
      <w:r>
        <w:rPr>
          <w:szCs w:val="20"/>
        </w:rPr>
        <w:t xml:space="preserve">remove the words “or for any other purpose” </w:t>
      </w:r>
      <w:r w:rsidRPr="00193A2C">
        <w:rPr>
          <w:i/>
          <w:szCs w:val="20"/>
        </w:rPr>
        <w:t>and</w:t>
      </w:r>
      <w:r>
        <w:rPr>
          <w:b/>
          <w:bCs/>
          <w:szCs w:val="20"/>
        </w:rPr>
        <w:t xml:space="preserve"> </w:t>
      </w:r>
      <w:r>
        <w:rPr>
          <w:szCs w:val="20"/>
        </w:rPr>
        <w:t>limit</w:t>
      </w:r>
      <w:r w:rsidRPr="00616838">
        <w:rPr>
          <w:szCs w:val="20"/>
        </w:rPr>
        <w:t xml:space="preserve"> the exception by reference to the purpose for which the information or communication is obtained.</w:t>
      </w:r>
    </w:p>
    <w:p w14:paraId="67ECDA11" w14:textId="77777777" w:rsidR="00E13DFB" w:rsidRDefault="00E13DFB" w:rsidP="00E13DFB">
      <w:pPr>
        <w:pStyle w:val="BodyText"/>
        <w:tabs>
          <w:tab w:val="num" w:pos="709"/>
        </w:tabs>
      </w:pPr>
      <w:r w:rsidRPr="00900923">
        <w:t xml:space="preserve">Option 1 would clarify the existing uncertainty as to the status of court-ordered treatment by expressly limiting the section 59(1)(b) </w:t>
      </w:r>
      <w:r>
        <w:t xml:space="preserve">exception </w:t>
      </w:r>
      <w:r w:rsidRPr="00900923">
        <w:t xml:space="preserve">to cases where a person “has been required by an order of a </w:t>
      </w:r>
      <w:r>
        <w:t>j</w:t>
      </w:r>
      <w:r w:rsidRPr="00900923">
        <w:t xml:space="preserve">udge, or by other lawful authority, to submit himself or herself to the medical practitioner or clinical psychologist for </w:t>
      </w:r>
      <w:r w:rsidRPr="00900923">
        <w:rPr>
          <w:i/>
        </w:rPr>
        <w:t>any examination or test</w:t>
      </w:r>
      <w:r w:rsidRPr="00900923">
        <w:t>” (emphasis added). This would be consistent with the policy intent of ensuring that</w:t>
      </w:r>
      <w:r>
        <w:t xml:space="preserve"> relevant</w:t>
      </w:r>
      <w:r w:rsidRPr="00900923">
        <w:t xml:space="preserve"> </w:t>
      </w:r>
      <w:r>
        <w:t xml:space="preserve">medical obtained during a court-ordered assessment </w:t>
      </w:r>
      <w:r w:rsidRPr="00900923">
        <w:t xml:space="preserve">is still able to be presented to and heard by </w:t>
      </w:r>
      <w:r>
        <w:t>the</w:t>
      </w:r>
      <w:r w:rsidRPr="00900923">
        <w:t xml:space="preserve"> court. </w:t>
      </w:r>
    </w:p>
    <w:p w14:paraId="0476A761" w14:textId="77777777" w:rsidR="00E13DFB" w:rsidRDefault="00E13DFB" w:rsidP="00E13DFB">
      <w:pPr>
        <w:pStyle w:val="BodyText"/>
        <w:tabs>
          <w:tab w:val="num" w:pos="709"/>
        </w:tabs>
      </w:pPr>
      <w:r>
        <w:t xml:space="preserve">This </w:t>
      </w:r>
      <w:r w:rsidRPr="00900923">
        <w:t>leave</w:t>
      </w:r>
      <w:r>
        <w:t>s</w:t>
      </w:r>
      <w:r w:rsidRPr="00900923">
        <w:t xml:space="preserve"> open definitional issues as to what constitutes an examination or test for the purposes of the Act</w:t>
      </w:r>
      <w:r>
        <w:t xml:space="preserve">. Our preliminary view is that it is appropriate that the courts are able </w:t>
      </w:r>
      <w:r>
        <w:lastRenderedPageBreak/>
        <w:t>to consider these issues on a case-by-case basis</w:t>
      </w:r>
      <w:r w:rsidRPr="00900923">
        <w:t xml:space="preserve">: it may not be easy to clearly delineate </w:t>
      </w:r>
      <w:r>
        <w:t xml:space="preserve">in legislation when </w:t>
      </w:r>
      <w:r w:rsidRPr="00900923">
        <w:t xml:space="preserve">a healthcare professional is </w:t>
      </w:r>
      <w:r>
        <w:t>acting</w:t>
      </w:r>
      <w:r w:rsidRPr="00900923">
        <w:t xml:space="preserve"> for the purposes of examination, or for the purposes of treatment. </w:t>
      </w:r>
    </w:p>
    <w:p w14:paraId="56FFE89D" w14:textId="77777777" w:rsidR="00E13DFB" w:rsidRPr="00564B5B" w:rsidRDefault="00E13DFB" w:rsidP="00E13DFB">
      <w:pPr>
        <w:pStyle w:val="BodyText"/>
        <w:tabs>
          <w:tab w:val="num" w:pos="709"/>
        </w:tabs>
      </w:pPr>
      <w:r>
        <w:t xml:space="preserve">Option 1 would, however, </w:t>
      </w:r>
      <w:r w:rsidRPr="00900923">
        <w:t xml:space="preserve">reduce the flexibility of the section, which may be undesirable if there are other types of information or communications that a court may need to rely on to reach a determination </w:t>
      </w:r>
      <w:r>
        <w:t>and that</w:t>
      </w:r>
      <w:r w:rsidRPr="00900923">
        <w:t xml:space="preserve"> do not fall within </w:t>
      </w:r>
      <w:r>
        <w:t xml:space="preserve">a </w:t>
      </w:r>
      <w:r w:rsidRPr="00900923">
        <w:t>definition of examination or test.</w:t>
      </w:r>
    </w:p>
    <w:p w14:paraId="328BA79A" w14:textId="77777777" w:rsidR="00E13DFB" w:rsidRPr="00F370F2" w:rsidRDefault="00E13DFB" w:rsidP="00E13DFB">
      <w:pPr>
        <w:pStyle w:val="BodyText"/>
        <w:tabs>
          <w:tab w:val="num" w:pos="709"/>
        </w:tabs>
      </w:pPr>
      <w:r w:rsidRPr="000F2CCB">
        <w:rPr>
          <w:szCs w:val="20"/>
        </w:rPr>
        <w:t xml:space="preserve">Option 2 would </w:t>
      </w:r>
      <w:r>
        <w:rPr>
          <w:szCs w:val="20"/>
        </w:rPr>
        <w:t xml:space="preserve">adopt the same change as Option 1 but go further to </w:t>
      </w:r>
      <w:r w:rsidRPr="000F2CCB">
        <w:rPr>
          <w:szCs w:val="20"/>
        </w:rPr>
        <w:t xml:space="preserve">address </w:t>
      </w:r>
      <w:r>
        <w:rPr>
          <w:szCs w:val="20"/>
        </w:rPr>
        <w:t>the</w:t>
      </w:r>
      <w:r w:rsidRPr="000F2CCB">
        <w:rPr>
          <w:szCs w:val="20"/>
        </w:rPr>
        <w:t xml:space="preserve"> broader concerns about information obtained for one purpose being used for another. Although </w:t>
      </w:r>
      <w:r>
        <w:rPr>
          <w:szCs w:val="20"/>
        </w:rPr>
        <w:t xml:space="preserve">it </w:t>
      </w:r>
      <w:r w:rsidRPr="000F2CCB">
        <w:rPr>
          <w:szCs w:val="20"/>
        </w:rPr>
        <w:t xml:space="preserve">represents a more fundamental shift in the purpose and application of </w:t>
      </w:r>
      <w:r>
        <w:rPr>
          <w:szCs w:val="20"/>
        </w:rPr>
        <w:t xml:space="preserve">the </w:t>
      </w:r>
      <w:r w:rsidRPr="000F2CCB">
        <w:rPr>
          <w:szCs w:val="20"/>
        </w:rPr>
        <w:t>section 59(1)(b)</w:t>
      </w:r>
      <w:r>
        <w:rPr>
          <w:szCs w:val="20"/>
        </w:rPr>
        <w:t xml:space="preserve"> exception</w:t>
      </w:r>
      <w:r w:rsidRPr="000F2CCB">
        <w:rPr>
          <w:szCs w:val="20"/>
        </w:rPr>
        <w:t xml:space="preserve">, it could more closely reflect both the intentions behind the creation of medical privilege (to create an absolute privilege directed at not discouraging people from seeking medical attention and to ensure open and honest communication with healthcare professionals) and the intentions behind the creation of an exception from privilege (to ensure that </w:t>
      </w:r>
      <w:r>
        <w:rPr>
          <w:szCs w:val="20"/>
        </w:rPr>
        <w:t xml:space="preserve">relevant information obtained during a court-ordered assessment </w:t>
      </w:r>
      <w:r>
        <w:t xml:space="preserve">is available to </w:t>
      </w:r>
      <w:r>
        <w:rPr>
          <w:szCs w:val="20"/>
        </w:rPr>
        <w:t>the court</w:t>
      </w:r>
      <w:r w:rsidRPr="000F2CCB">
        <w:rPr>
          <w:szCs w:val="20"/>
        </w:rPr>
        <w:t xml:space="preserve"> and not shielded by privilege). It would also align with the general </w:t>
      </w:r>
      <w:r>
        <w:rPr>
          <w:szCs w:val="20"/>
        </w:rPr>
        <w:t xml:space="preserve">professional and </w:t>
      </w:r>
      <w:r w:rsidRPr="000F2CCB">
        <w:rPr>
          <w:szCs w:val="20"/>
        </w:rPr>
        <w:t xml:space="preserve">ethical obligations of </w:t>
      </w:r>
      <w:r>
        <w:rPr>
          <w:szCs w:val="20"/>
        </w:rPr>
        <w:t xml:space="preserve">medical professionals </w:t>
      </w:r>
      <w:r w:rsidRPr="000F2CCB">
        <w:rPr>
          <w:szCs w:val="20"/>
        </w:rPr>
        <w:t>– that disclosure of confidential information must be necessary (the goal cannot be achieved without it) and proportionate (only the information that is relevant to the goal should be disclosed and only as much as is necessary to achieve it).</w:t>
      </w:r>
      <w:r>
        <w:rPr>
          <w:rStyle w:val="FootnoteReference"/>
          <w:szCs w:val="20"/>
        </w:rPr>
        <w:footnoteReference w:id="955"/>
      </w:r>
      <w:r w:rsidRPr="000F2CCB">
        <w:rPr>
          <w:szCs w:val="20"/>
        </w:rPr>
        <w:t xml:space="preserve"> </w:t>
      </w:r>
    </w:p>
    <w:p w14:paraId="32A98D3F" w14:textId="77777777" w:rsidR="00E13DFB" w:rsidRPr="00564B5B" w:rsidRDefault="00E13DFB" w:rsidP="00E13DFB">
      <w:pPr>
        <w:pStyle w:val="BodyText"/>
        <w:tabs>
          <w:tab w:val="num" w:pos="709"/>
        </w:tabs>
      </w:pPr>
      <w:r w:rsidRPr="000F2CCB">
        <w:rPr>
          <w:szCs w:val="20"/>
        </w:rPr>
        <w:t xml:space="preserve">Under this option, section 59(1)(b) </w:t>
      </w:r>
      <w:r>
        <w:rPr>
          <w:szCs w:val="20"/>
        </w:rPr>
        <w:t>c</w:t>
      </w:r>
      <w:r w:rsidRPr="000F2CCB">
        <w:rPr>
          <w:szCs w:val="20"/>
        </w:rPr>
        <w:t xml:space="preserve">ould be redrafted to state that privilege does not apply to the </w:t>
      </w:r>
      <w:r w:rsidRPr="000F2CCB">
        <w:rPr>
          <w:i/>
          <w:iCs/>
          <w:szCs w:val="20"/>
        </w:rPr>
        <w:t>use</w:t>
      </w:r>
      <w:r w:rsidRPr="00C252D1">
        <w:rPr>
          <w:szCs w:val="20"/>
        </w:rPr>
        <w:t>,</w:t>
      </w:r>
      <w:r w:rsidRPr="000F2CCB">
        <w:rPr>
          <w:i/>
          <w:iCs/>
          <w:szCs w:val="20"/>
        </w:rPr>
        <w:t xml:space="preserve"> in a proceeding</w:t>
      </w:r>
      <w:r w:rsidRPr="002A2D0D">
        <w:rPr>
          <w:szCs w:val="20"/>
        </w:rPr>
        <w:t>,</w:t>
      </w:r>
      <w:r w:rsidRPr="000F2CCB">
        <w:rPr>
          <w:i/>
          <w:iCs/>
          <w:szCs w:val="20"/>
        </w:rPr>
        <w:t xml:space="preserve"> </w:t>
      </w:r>
      <w:r w:rsidRPr="000F2CCB">
        <w:rPr>
          <w:szCs w:val="20"/>
        </w:rPr>
        <w:t>of any information</w:t>
      </w:r>
      <w:r w:rsidRPr="000F2CCB">
        <w:rPr>
          <w:i/>
          <w:iCs/>
          <w:szCs w:val="20"/>
        </w:rPr>
        <w:t xml:space="preserve"> </w:t>
      </w:r>
      <w:r w:rsidRPr="000F2CCB">
        <w:rPr>
          <w:szCs w:val="20"/>
        </w:rPr>
        <w:t>obtained or communications made in the course of a</w:t>
      </w:r>
      <w:r>
        <w:rPr>
          <w:szCs w:val="20"/>
        </w:rPr>
        <w:t xml:space="preserve">n </w:t>
      </w:r>
      <w:r w:rsidRPr="000F2CCB">
        <w:rPr>
          <w:szCs w:val="20"/>
        </w:rPr>
        <w:t xml:space="preserve">examination </w:t>
      </w:r>
      <w:r>
        <w:rPr>
          <w:szCs w:val="20"/>
        </w:rPr>
        <w:t>or</w:t>
      </w:r>
      <w:r w:rsidRPr="000F2CCB">
        <w:rPr>
          <w:szCs w:val="20"/>
        </w:rPr>
        <w:t xml:space="preserve"> test ordered by a </w:t>
      </w:r>
      <w:r>
        <w:rPr>
          <w:szCs w:val="20"/>
        </w:rPr>
        <w:t>j</w:t>
      </w:r>
      <w:r w:rsidRPr="000F2CCB">
        <w:rPr>
          <w:szCs w:val="20"/>
        </w:rPr>
        <w:t xml:space="preserve">udge or other lawful authority </w:t>
      </w:r>
      <w:r w:rsidRPr="000F2CCB">
        <w:rPr>
          <w:i/>
          <w:iCs/>
          <w:szCs w:val="20"/>
        </w:rPr>
        <w:t>for the purpose for which</w:t>
      </w:r>
      <w:r w:rsidRPr="000F2CCB">
        <w:rPr>
          <w:szCs w:val="20"/>
        </w:rPr>
        <w:t xml:space="preserve"> that </w:t>
      </w:r>
      <w:r>
        <w:rPr>
          <w:szCs w:val="20"/>
        </w:rPr>
        <w:t xml:space="preserve">examination or </w:t>
      </w:r>
      <w:r w:rsidRPr="000F2CCB">
        <w:rPr>
          <w:szCs w:val="20"/>
        </w:rPr>
        <w:t>test was ordered. Under this approach, only information relevant to the purpose for which it is sought would be exempt from privilege. For example, in the context of a</w:t>
      </w:r>
      <w:r>
        <w:rPr>
          <w:szCs w:val="20"/>
        </w:rPr>
        <w:t>n</w:t>
      </w:r>
      <w:r w:rsidRPr="000F2CCB">
        <w:rPr>
          <w:szCs w:val="20"/>
        </w:rPr>
        <w:t xml:space="preserve"> assessment</w:t>
      </w:r>
      <w:r>
        <w:rPr>
          <w:szCs w:val="20"/>
        </w:rPr>
        <w:t xml:space="preserve"> of</w:t>
      </w:r>
      <w:r w:rsidRPr="000F2CCB">
        <w:rPr>
          <w:szCs w:val="20"/>
        </w:rPr>
        <w:t xml:space="preserve"> fitness to stand trial, only information relevant to the determination of fitness to stand trial would be exempt from privilege and disclosable in subsequent proceedings. Any other information disclosed as part of that assessment would continue to be privileged as long as the other requirements of section 59 were met. This approach would align with exceptions to other privileges in the Act</w:t>
      </w:r>
      <w:r>
        <w:rPr>
          <w:szCs w:val="20"/>
        </w:rPr>
        <w:t xml:space="preserve"> that</w:t>
      </w:r>
      <w:r w:rsidRPr="000F2CCB">
        <w:rPr>
          <w:szCs w:val="20"/>
        </w:rPr>
        <w:t xml:space="preserve"> are more tightly constrained and focused on the use of information for a specific purpose in proceedings</w:t>
      </w:r>
      <w:r>
        <w:rPr>
          <w:szCs w:val="20"/>
        </w:rPr>
        <w:t>,</w:t>
      </w:r>
      <w:r w:rsidRPr="000F2CCB">
        <w:rPr>
          <w:szCs w:val="20"/>
        </w:rPr>
        <w:t xml:space="preserve"> for example, section 57(3)(c) on privilege for settlement negotiations, mediation or plea discussions.</w:t>
      </w:r>
      <w:r>
        <w:rPr>
          <w:rStyle w:val="FootnoteReference"/>
          <w:szCs w:val="20"/>
        </w:rPr>
        <w:footnoteReference w:id="956"/>
      </w:r>
    </w:p>
    <w:p w14:paraId="2D9C7C9C" w14:textId="77777777" w:rsidR="00E13DFB" w:rsidRPr="00564B5B" w:rsidRDefault="00E13DFB" w:rsidP="00E13DFB">
      <w:pPr>
        <w:pStyle w:val="BodyText"/>
        <w:tabs>
          <w:tab w:val="num" w:pos="709"/>
        </w:tabs>
      </w:pPr>
      <w:r w:rsidRPr="000F2CCB">
        <w:rPr>
          <w:szCs w:val="20"/>
        </w:rPr>
        <w:t xml:space="preserve">An alternative approach would be to </w:t>
      </w:r>
      <w:r>
        <w:rPr>
          <w:szCs w:val="20"/>
        </w:rPr>
        <w:t>re</w:t>
      </w:r>
      <w:r w:rsidRPr="000F2CCB">
        <w:rPr>
          <w:szCs w:val="20"/>
        </w:rPr>
        <w:t xml:space="preserve">draft </w:t>
      </w:r>
      <w:r>
        <w:rPr>
          <w:szCs w:val="20"/>
        </w:rPr>
        <w:t>the</w:t>
      </w:r>
      <w:r w:rsidRPr="000F2CCB">
        <w:rPr>
          <w:szCs w:val="20"/>
        </w:rPr>
        <w:t xml:space="preserve"> section 59(1)(b) </w:t>
      </w:r>
      <w:r>
        <w:rPr>
          <w:szCs w:val="20"/>
        </w:rPr>
        <w:t>exception</w:t>
      </w:r>
      <w:r w:rsidRPr="000F2CCB">
        <w:rPr>
          <w:szCs w:val="20"/>
        </w:rPr>
        <w:t xml:space="preserve"> with reference to specific statutory powers of the court – for example, to state that the privilege does not apply to information and communications made in the course of a test or assessment ordered under section 38 of the </w:t>
      </w:r>
      <w:r>
        <w:rPr>
          <w:szCs w:val="20"/>
        </w:rPr>
        <w:t>CPMIP</w:t>
      </w:r>
      <w:r w:rsidRPr="000F2CCB">
        <w:rPr>
          <w:szCs w:val="20"/>
        </w:rPr>
        <w:t xml:space="preserve"> Act</w:t>
      </w:r>
      <w:r>
        <w:rPr>
          <w:szCs w:val="20"/>
        </w:rPr>
        <w:t>,</w:t>
      </w:r>
      <w:r w:rsidRPr="000F2CCB">
        <w:rPr>
          <w:szCs w:val="20"/>
        </w:rPr>
        <w:t xml:space="preserve"> section 88 of the Sentencing Act 2002</w:t>
      </w:r>
      <w:r>
        <w:rPr>
          <w:szCs w:val="20"/>
        </w:rPr>
        <w:t>,</w:t>
      </w:r>
      <w:r w:rsidRPr="000F2CCB">
        <w:rPr>
          <w:szCs w:val="20"/>
        </w:rPr>
        <w:t xml:space="preserve"> and section 107F of the Parole Act 2002.</w:t>
      </w:r>
      <w:r w:rsidRPr="00616838">
        <w:rPr>
          <w:rStyle w:val="FootnoteReference"/>
          <w:szCs w:val="20"/>
        </w:rPr>
        <w:footnoteReference w:id="957"/>
      </w:r>
      <w:r w:rsidRPr="000F2CCB">
        <w:rPr>
          <w:szCs w:val="20"/>
        </w:rPr>
        <w:t xml:space="preserve"> The main difficulty with this approach is that it would require an exhaustive definition of the precise circumstances in which court-ordered examinations and tests would not be subject to privilege, which could result in unanticipated gaps.</w:t>
      </w:r>
    </w:p>
    <w:p w14:paraId="72B0BA3D" w14:textId="69BEA9E9" w:rsidR="004E3379" w:rsidRDefault="004E3379" w:rsidP="004E3379">
      <w:pPr>
        <w:pStyle w:val="QuestionBox"/>
      </w:pPr>
      <w:r>
        <w:rPr>
          <w:noProof/>
        </w:rPr>
        <w:lastRenderedPageBreak/>
        <mc:AlternateContent>
          <mc:Choice Requires="wpg">
            <w:drawing>
              <wp:anchor distT="0" distB="0" distL="114300" distR="114300" simplePos="0" relativeHeight="251658357" behindDoc="1" locked="0" layoutInCell="1" allowOverlap="1" wp14:anchorId="52893BEA" wp14:editId="1C79C6CC">
                <wp:simplePos x="0" y="0"/>
                <wp:positionH relativeFrom="column">
                  <wp:posOffset>-1962</wp:posOffset>
                </wp:positionH>
                <wp:positionV relativeFrom="paragraph">
                  <wp:posOffset>-22794</wp:posOffset>
                </wp:positionV>
                <wp:extent cx="5760085" cy="2033546"/>
                <wp:effectExtent l="0" t="0" r="0" b="5080"/>
                <wp:wrapNone/>
                <wp:docPr id="1928627720" name="Group 1928627720" descr="Question"/>
                <wp:cNvGraphicFramePr/>
                <a:graphic xmlns:a="http://schemas.openxmlformats.org/drawingml/2006/main">
                  <a:graphicData uri="http://schemas.microsoft.com/office/word/2010/wordprocessingGroup">
                    <wpg:wgp>
                      <wpg:cNvGrpSpPr/>
                      <wpg:grpSpPr>
                        <a:xfrm>
                          <a:off x="0" y="0"/>
                          <a:ext cx="5760085" cy="2033546"/>
                          <a:chOff x="0" y="62865"/>
                          <a:chExt cx="5760085" cy="2034783"/>
                        </a:xfrm>
                      </wpg:grpSpPr>
                      <wps:wsp>
                        <wps:cNvPr id="82666489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96CE73" w14:textId="77777777" w:rsidR="004E3379" w:rsidRDefault="004E3379" w:rsidP="004E3379">
                              <w:pPr>
                                <w:pStyle w:val="BoxTitle"/>
                                <w:spacing w:before="0" w:beforeAutospacing="0"/>
                              </w:pPr>
                              <w:r w:rsidRPr="007F6876">
                                <w:t>QUESTION</w:t>
                              </w:r>
                            </w:p>
                          </w:txbxContent>
                        </wps:txbx>
                        <wps:bodyPr rot="0" vert="horz" wrap="square" lIns="91440" tIns="0" rIns="0" bIns="45720" anchor="ctr" anchorCtr="0" upright="1">
                          <a:noAutofit/>
                        </wps:bodyPr>
                      </wps:wsp>
                      <wpg:grpSp>
                        <wpg:cNvPr id="1733477103" name="Group 53"/>
                        <wpg:cNvGrpSpPr>
                          <a:grpSpLocks/>
                        </wpg:cNvGrpSpPr>
                        <wpg:grpSpPr bwMode="auto">
                          <a:xfrm>
                            <a:off x="0" y="315706"/>
                            <a:ext cx="5760085" cy="1781942"/>
                            <a:chOff x="1837" y="1786"/>
                            <a:chExt cx="9302" cy="19248"/>
                          </a:xfrm>
                        </wpg:grpSpPr>
                        <wps:wsp>
                          <wps:cNvPr id="1364417827" name="Freeform 54"/>
                          <wps:cNvSpPr>
                            <a:spLocks/>
                          </wps:cNvSpPr>
                          <wps:spPr bwMode="auto">
                            <a:xfrm>
                              <a:off x="1837" y="1786"/>
                              <a:ext cx="9302" cy="1924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222988" name="Group 568222988"/>
                        <wpg:cNvGrpSpPr/>
                        <wpg:grpSpPr>
                          <a:xfrm>
                            <a:off x="0" y="494036"/>
                            <a:ext cx="1443794" cy="252000"/>
                            <a:chOff x="-15880" y="0"/>
                            <a:chExt cx="1444379" cy="252068"/>
                          </a:xfrm>
                        </wpg:grpSpPr>
                        <wps:wsp>
                          <wps:cNvPr id="109398332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59902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B1A2FE" w14:textId="2AA9DF15" w:rsidR="004E3379" w:rsidRPr="00E90B8A" w:rsidRDefault="004E3379" w:rsidP="004E3379">
                                <w:pPr>
                                  <w:pStyle w:val="BoxTitle"/>
                                  <w:spacing w:before="0" w:beforeAutospacing="0"/>
                                  <w:rPr>
                                    <w:sz w:val="18"/>
                                    <w:szCs w:val="18"/>
                                  </w:rPr>
                                </w:pPr>
                                <w:r w:rsidRPr="00E90B8A">
                                  <w:rPr>
                                    <w:sz w:val="18"/>
                                    <w:szCs w:val="18"/>
                                  </w:rPr>
                                  <w:t>Q</w:t>
                                </w:r>
                                <w:r>
                                  <w:rPr>
                                    <w:sz w:val="18"/>
                                    <w:szCs w:val="18"/>
                                  </w:rPr>
                                  <w:t>53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2893BEA" id="Group 1928627720" o:spid="_x0000_s1403" alt="Question" style="position:absolute;left:0;text-align:left;margin-left:-.15pt;margin-top:-1.8pt;width:453.55pt;height:160.1pt;z-index:-251658123;mso-height-relative:margin" coordorigin=",628" coordsize="57600,2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">
                <v:shape id="Freeform 52" o:spid="_x0000_s140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396CE73" w14:textId="77777777" w:rsidR="004E3379" w:rsidRDefault="004E3379" w:rsidP="004E3379">
                        <w:pPr>
                          <w:pStyle w:val="BoxTitle"/>
                          <w:spacing w:before="0" w:beforeAutospacing="0"/>
                        </w:pPr>
                        <w:r w:rsidRPr="007F6876">
                          <w:t>QUESTION</w:t>
                        </w:r>
                      </w:p>
                    </w:txbxContent>
                  </v:textbox>
                </v:shape>
                <v:group id="Group 53" o:spid="_x0000_s1405" style="position:absolute;top:3157;width:57600;height:17819" coordorigin="1837,1786" coordsize="9302,1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">
                  <v:shape id="Freeform 54" o:spid="_x0000_s1406" style="position:absolute;left:1837;top:1786;width:9302;height:1924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" path="m,l9354,r,7809l,7809,,e" fillcolor="#edf2ea" stroked="f">
                    <v:path arrowok="t" o:connecttype="custom" o:connectlocs="0,2465;9302,2465;9302,21713;0,21713;0,2465" o:connectangles="0,0,0,0,0"/>
                  </v:shape>
                </v:group>
                <v:group id="Group 568222988" o:spid="_x0000_s140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">
                  <v:shape id="Freeform 58" o:spid="_x0000_s140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" path="m,l1815,e" filled="f" strokecolor="#72ab6a" strokeweight=".5pt">
                    <v:path arrowok="t" o:connecttype="custom" o:connectlocs="0,0;1073495,0" o:connectangles="0,0"/>
                  </v:shape>
                  <v:shape id="Freeform 66" o:spid="_x0000_s140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0B1A2FE" w14:textId="2AA9DF15" w:rsidR="004E3379" w:rsidRPr="00E90B8A" w:rsidRDefault="004E3379" w:rsidP="004E3379">
                          <w:pPr>
                            <w:pStyle w:val="BoxTitle"/>
                            <w:spacing w:before="0" w:beforeAutospacing="0"/>
                            <w:rPr>
                              <w:sz w:val="18"/>
                              <w:szCs w:val="18"/>
                            </w:rPr>
                          </w:pPr>
                          <w:r w:rsidRPr="00E90B8A">
                            <w:rPr>
                              <w:sz w:val="18"/>
                              <w:szCs w:val="18"/>
                            </w:rPr>
                            <w:t>Q</w:t>
                          </w:r>
                          <w:r>
                            <w:rPr>
                              <w:sz w:val="18"/>
                              <w:szCs w:val="18"/>
                            </w:rPr>
                            <w:t>53</w:t>
                          </w:r>
                        </w:p>
                      </w:txbxContent>
                    </v:textbox>
                  </v:shape>
                </v:group>
              </v:group>
            </w:pict>
          </mc:Fallback>
        </mc:AlternateContent>
      </w:r>
    </w:p>
    <w:p w14:paraId="053BFA70" w14:textId="77777777" w:rsidR="004E3379" w:rsidRDefault="004E3379" w:rsidP="004E3379">
      <w:pPr>
        <w:pStyle w:val="QuestionBox"/>
      </w:pPr>
    </w:p>
    <w:p w14:paraId="67653487" w14:textId="00E5A6C8" w:rsidR="00E13DFB" w:rsidRDefault="00E13DFB" w:rsidP="004E3379">
      <w:pPr>
        <w:pStyle w:val="QuestionBox"/>
      </w:pPr>
      <w:r>
        <w:t>Should section 59(1)(b) be amended to clarify the scope of its application? If so, should it be amended to:</w:t>
      </w:r>
    </w:p>
    <w:p w14:paraId="309D004D" w14:textId="77777777" w:rsidR="00E13DFB" w:rsidRDefault="00E13DFB" w:rsidP="00866891">
      <w:pPr>
        <w:pStyle w:val="Questionabc"/>
        <w:numPr>
          <w:ilvl w:val="0"/>
          <w:numId w:val="75"/>
        </w:numPr>
        <w:ind w:left="1418" w:hanging="425"/>
      </w:pPr>
      <w:r>
        <w:t>remove the words “or for any other purpose”; or</w:t>
      </w:r>
    </w:p>
    <w:p w14:paraId="12215AF9" w14:textId="77777777" w:rsidR="00E13DFB" w:rsidRDefault="00E13DFB" w:rsidP="004E3379">
      <w:pPr>
        <w:pStyle w:val="Questionabc"/>
      </w:pPr>
      <w:r>
        <w:t xml:space="preserve">remove the words “or for any other purpose” </w:t>
      </w:r>
      <w:r w:rsidRPr="003C3559">
        <w:rPr>
          <w:i/>
          <w:iCs/>
        </w:rPr>
        <w:t>and</w:t>
      </w:r>
      <w:r>
        <w:rPr>
          <w:b/>
          <w:bCs/>
        </w:rPr>
        <w:t xml:space="preserve"> </w:t>
      </w:r>
      <w:r>
        <w:t xml:space="preserve">limit the exception by reference to the purpose for which the information or communication is obtained? </w:t>
      </w:r>
    </w:p>
    <w:p w14:paraId="3C0EBEA1" w14:textId="77777777" w:rsidR="004E3379" w:rsidRPr="004E3379" w:rsidRDefault="004E3379" w:rsidP="004E3379">
      <w:pPr>
        <w:pStyle w:val="QuestionBox"/>
        <w:rPr>
          <w:sz w:val="16"/>
          <w:szCs w:val="20"/>
          <w:lang w:eastAsia="en-US"/>
        </w:rPr>
      </w:pPr>
    </w:p>
    <w:p w14:paraId="24ABC37F" w14:textId="77777777" w:rsidR="00E13DFB" w:rsidRPr="005607EA" w:rsidRDefault="00E13DFB" w:rsidP="00CA7690">
      <w:pPr>
        <w:pStyle w:val="Heading2"/>
      </w:pPr>
      <w:bookmarkStart w:id="155" w:name="_Toc132962597"/>
      <w:r>
        <w:t>Acting “on behalf of” a medical practitioner or clinical psychologist</w:t>
      </w:r>
      <w:bookmarkEnd w:id="155"/>
    </w:p>
    <w:p w14:paraId="6C77AC16" w14:textId="77777777" w:rsidR="00E13DFB" w:rsidRDefault="00E13DFB" w:rsidP="00E13DFB">
      <w:pPr>
        <w:pStyle w:val="BodyText"/>
      </w:pPr>
      <w:r>
        <w:t>Section 59(5) states that:</w:t>
      </w:r>
    </w:p>
    <w:p w14:paraId="4611B6BC" w14:textId="77777777" w:rsidR="00E13DFB" w:rsidRDefault="00E13DFB" w:rsidP="00E13DFB">
      <w:pPr>
        <w:pStyle w:val="QuoteIndent0"/>
      </w:pPr>
      <w:r>
        <w:t xml:space="preserve">A reference in this section to a communication to, or information obtained by, a medical practitioner or clinical psychologist is to be taken to include a reference to a communication to, or information obtained by, a person acting in a professional capacity on behalf of a medical practitioner or clinical psychologist in the course of the examination or treatment of, or care for, the person by that medical practitioner or clinical psychologist. </w:t>
      </w:r>
    </w:p>
    <w:p w14:paraId="309C361F" w14:textId="77777777" w:rsidR="00E13DFB" w:rsidRDefault="00E13DFB" w:rsidP="00CA7690">
      <w:pPr>
        <w:pStyle w:val="Heading3"/>
      </w:pPr>
      <w:r>
        <w:t>What is the issue?</w:t>
      </w:r>
    </w:p>
    <w:p w14:paraId="73D50558" w14:textId="77777777" w:rsidR="00E13DFB" w:rsidRDefault="00E13DFB" w:rsidP="00E13DFB">
      <w:pPr>
        <w:pStyle w:val="BodyText"/>
        <w:tabs>
          <w:tab w:val="num" w:pos="709"/>
        </w:tabs>
        <w:spacing w:after="80"/>
      </w:pPr>
      <w:r>
        <w:t xml:space="preserve">There is uncertainty as to when a person is “acting on behalf of” a medical practitioner or clinical psychologist and therefore whether communications to or information obtained by that person is privileged. The courts have interpreted this provision narrowly, and the issue has been raised before te Kōti Mana Nui | Supreme Court but not resolved. </w:t>
      </w:r>
    </w:p>
    <w:p w14:paraId="4E3B091D" w14:textId="77777777" w:rsidR="00E13DFB" w:rsidRDefault="00E13DFB" w:rsidP="00CA7690">
      <w:pPr>
        <w:pStyle w:val="Heading4"/>
      </w:pPr>
      <w:r>
        <w:t>Policy and legislative background</w:t>
      </w:r>
    </w:p>
    <w:p w14:paraId="49D97906" w14:textId="77777777" w:rsidR="00E13DFB" w:rsidRDefault="00E13DFB" w:rsidP="00E13DFB">
      <w:pPr>
        <w:pStyle w:val="BodyText"/>
        <w:tabs>
          <w:tab w:val="num" w:pos="709"/>
        </w:tabs>
        <w:spacing w:after="80"/>
      </w:pPr>
      <w:r>
        <w:t>Section 59 is narrowly drafted with regard to the class of relationships to which medical privilege attaches. Historically, the privilege only attached to medical practitioners.</w:t>
      </w:r>
      <w:r>
        <w:rPr>
          <w:rStyle w:val="FootnoteReference"/>
        </w:rPr>
        <w:footnoteReference w:id="958"/>
      </w:r>
      <w:r>
        <w:t xml:space="preserve"> It was extended to clinical psychologists following the recommendation of the Torts and General Law Reform Committee that “when clinical psychologists are able to register under an Act of Parliament, privilege should attach to the communications made to them by patients”.</w:t>
      </w:r>
      <w:r>
        <w:rPr>
          <w:rStyle w:val="FootnoteReference"/>
        </w:rPr>
        <w:footnoteReference w:id="959"/>
      </w:r>
      <w:r>
        <w:t xml:space="preserve"> This was on the basis that clinical psychologists were engaged in the same activities as psychiatrists (“the treatment or diagnosis of mental or emotional problems”).</w:t>
      </w:r>
      <w:r>
        <w:rPr>
          <w:rStyle w:val="FootnoteReference"/>
        </w:rPr>
        <w:footnoteReference w:id="960"/>
      </w:r>
    </w:p>
    <w:p w14:paraId="3704ACB4" w14:textId="77777777" w:rsidR="00E13DFB" w:rsidRDefault="00E13DFB" w:rsidP="00E13DFB">
      <w:pPr>
        <w:pStyle w:val="BodyText"/>
        <w:tabs>
          <w:tab w:val="num" w:pos="709"/>
        </w:tabs>
        <w:spacing w:after="80"/>
      </w:pPr>
      <w:r>
        <w:t xml:space="preserve">The Committee recognised that other “para-medical personnel” could be involved in the care and treatment of patients either acting in their own right or in the capacity of assisting the medical practitioner in the performance of their task. With regard to the </w:t>
      </w:r>
      <w:r>
        <w:lastRenderedPageBreak/>
        <w:t>former category, the Committee considered some of the various categories of para-medical personnel individually but concluded the privilege should only be extended to clinical psychologists (at the point they became regulated under statute).</w:t>
      </w:r>
      <w:r>
        <w:rPr>
          <w:rStyle w:val="FootnoteReference"/>
        </w:rPr>
        <w:footnoteReference w:id="961"/>
      </w:r>
      <w:r>
        <w:t xml:space="preserve"> With regard to the latter category, those acting to assist the medical practitioner, it concluded that the rationale behind privilege was not reduced simply because it might be another health professional fulfilling a particular part of a doctor’s treatment programme. Accordingly, it recommended an extension of privilege to people in para-medical categories while “acting on behalf of” a medical practitioner (or clinical psychologist). This formula “envisaged tasks both preliminary as well as following actual examination or treatment by the doctor and was intended to extend to the doctor’s receptionist”.</w:t>
      </w:r>
      <w:r>
        <w:rPr>
          <w:rStyle w:val="FootnoteReference"/>
        </w:rPr>
        <w:footnoteReference w:id="962"/>
      </w:r>
    </w:p>
    <w:p w14:paraId="496240D8" w14:textId="77777777" w:rsidR="00E13DFB" w:rsidRDefault="00E13DFB" w:rsidP="00E13DFB">
      <w:pPr>
        <w:pStyle w:val="BodyText"/>
        <w:tabs>
          <w:tab w:val="num" w:pos="709"/>
        </w:tabs>
        <w:spacing w:after="80"/>
      </w:pPr>
      <w:r>
        <w:t>The Commission also considered but rejected a wider and more functional definition in its preliminary paper on privilege under which it would be sufficient that the person seeking assistance genuinely believed that the person consulted was appropriately qualified to offer professional assistance.</w:t>
      </w:r>
      <w:r>
        <w:rPr>
          <w:rStyle w:val="FootnoteReference"/>
        </w:rPr>
        <w:footnoteReference w:id="963"/>
      </w:r>
      <w:r>
        <w:t xml:space="preserve"> It rejected that approach as “entailing needless uncertainty” and ultimately recommended retaining the existing approach.</w:t>
      </w:r>
      <w:r>
        <w:rPr>
          <w:rStyle w:val="FootnoteReference"/>
        </w:rPr>
        <w:footnoteReference w:id="964"/>
      </w:r>
      <w:r>
        <w:t xml:space="preserve"> </w:t>
      </w:r>
    </w:p>
    <w:p w14:paraId="595E74EF" w14:textId="77777777" w:rsidR="00E13DFB" w:rsidRDefault="00E13DFB" w:rsidP="00E13DFB">
      <w:pPr>
        <w:pStyle w:val="BodyText"/>
        <w:tabs>
          <w:tab w:val="num" w:pos="709"/>
        </w:tabs>
        <w:spacing w:after="80"/>
      </w:pPr>
      <w:r>
        <w:t>In its 2013 Review, the Commission considered submissions that section 59 be amended to extend the privilege to psychotherapists. It concluded that disclosures to psychotherapists were adequately protected by the general overriding discretion as to confidential information under section 69, noting that there was no evidence to suggest that this arrangement had failed to protect information shared in this way from disclosure.</w:t>
      </w:r>
      <w:r>
        <w:rPr>
          <w:rStyle w:val="FootnoteReference"/>
        </w:rPr>
        <w:footnoteReference w:id="965"/>
      </w:r>
      <w:r>
        <w:t xml:space="preserve"> The Commission restated the view that the nature of the absolute privilege favoured certainty and clarity as to scope. </w:t>
      </w:r>
    </w:p>
    <w:p w14:paraId="17B8E632" w14:textId="77777777" w:rsidR="00E13DFB" w:rsidRDefault="00E13DFB" w:rsidP="004E3379">
      <w:pPr>
        <w:pStyle w:val="Heading4"/>
      </w:pPr>
      <w:r>
        <w:t>How have the courts approached section 59(5)?</w:t>
      </w:r>
    </w:p>
    <w:p w14:paraId="2B63B8D3" w14:textId="77777777" w:rsidR="00E13DFB" w:rsidRPr="00C75AAE" w:rsidRDefault="00E13DFB" w:rsidP="00E13DFB">
      <w:pPr>
        <w:pStyle w:val="BodyText"/>
        <w:tabs>
          <w:tab w:val="num" w:pos="709"/>
        </w:tabs>
        <w:spacing w:after="80"/>
      </w:pPr>
      <w:r>
        <w:t>The courts have taken a narrow interpretation of “acting on behalf of”. Under the equivalent section of the 1980 Act, this was held to include nurses acting at the direction of a medical practitioner or clinical psychologist employed at a hospital</w:t>
      </w:r>
      <w:r>
        <w:rPr>
          <w:rStyle w:val="FootnoteReference"/>
        </w:rPr>
        <w:footnoteReference w:id="966"/>
      </w:r>
      <w:r>
        <w:t xml:space="preserve"> but not a counsellor working in a programme for sexual offenders to whom the defendant had been referred by a psychologist.</w:t>
      </w:r>
      <w:r>
        <w:rPr>
          <w:rStyle w:val="FootnoteReference"/>
        </w:rPr>
        <w:footnoteReference w:id="967"/>
      </w:r>
    </w:p>
    <w:p w14:paraId="2BB63405" w14:textId="77777777" w:rsidR="00E13DFB" w:rsidRPr="00C75AAE" w:rsidRDefault="00E13DFB" w:rsidP="00E13DFB">
      <w:pPr>
        <w:pStyle w:val="BodyText"/>
        <w:tabs>
          <w:tab w:val="num" w:pos="709"/>
        </w:tabs>
        <w:spacing w:after="80"/>
      </w:pPr>
      <w:r>
        <w:t xml:space="preserve">Under the 2006 Act, it has been held that medical privilege can only be claimed by someone acting on behalf of a medical practitioner or clinical psychologist if the practitioner or psychologist had already initiated an examination, treatment or care </w:t>
      </w:r>
      <w:r>
        <w:lastRenderedPageBreak/>
        <w:t>regime.</w:t>
      </w:r>
      <w:r>
        <w:rPr>
          <w:rStyle w:val="FootnoteReference"/>
        </w:rPr>
        <w:footnoteReference w:id="968"/>
      </w:r>
      <w:r>
        <w:t xml:space="preserve"> This introduced a requirement for a pre-existing relationship between a patient and a medical practitioner or clinical psychologist before someone can be said to be acting on their behalf.</w:t>
      </w:r>
      <w:r>
        <w:rPr>
          <w:rStyle w:val="FootnoteReference"/>
        </w:rPr>
        <w:footnoteReference w:id="969"/>
      </w:r>
    </w:p>
    <w:p w14:paraId="07F67498" w14:textId="77777777" w:rsidR="00E13DFB" w:rsidRPr="00C75AAE" w:rsidRDefault="00E13DFB" w:rsidP="00E13DFB">
      <w:pPr>
        <w:pStyle w:val="BodyText"/>
        <w:tabs>
          <w:tab w:val="num" w:pos="709"/>
        </w:tabs>
        <w:spacing w:after="80"/>
      </w:pPr>
      <w:r>
        <w:t xml:space="preserve">In </w:t>
      </w:r>
      <w:r w:rsidRPr="003B5107">
        <w:rPr>
          <w:i/>
          <w:iCs/>
        </w:rPr>
        <w:t>D v R</w:t>
      </w:r>
      <w:r w:rsidRPr="00896822">
        <w:t>,</w:t>
      </w:r>
      <w:r w:rsidRPr="003B5107">
        <w:rPr>
          <w:i/>
          <w:iCs/>
        </w:rPr>
        <w:t xml:space="preserve"> </w:t>
      </w:r>
      <w:r>
        <w:t>D argued that the call-taker was acting in a professional capacity “on behalf of” a medical practitioner or clinical psychologist by filtering and referring calls to the local Crisis Assessment Team (CAT) for that team’s intervention.</w:t>
      </w:r>
      <w:r>
        <w:rPr>
          <w:rStyle w:val="FootnoteReference"/>
        </w:rPr>
        <w:footnoteReference w:id="970"/>
      </w:r>
      <w:r>
        <w:t xml:space="preserve"> Te Kōti Pīra | Court of Appeal did not find it necessary to provide a definitive answer to that question.</w:t>
      </w:r>
      <w:r>
        <w:rPr>
          <w:rStyle w:val="FootnoteReference"/>
        </w:rPr>
        <w:footnoteReference w:id="971"/>
      </w:r>
      <w:r>
        <w:t xml:space="preserve"> On an application for leave to appeal, the Supreme Court accepted that the interpretation of section 59 potentially gave rise to a point of public importance, but declined leave to appeal as it was not an appropriate case to consider the issue.</w:t>
      </w:r>
      <w:r>
        <w:rPr>
          <w:rStyle w:val="FootnoteReference"/>
        </w:rPr>
        <w:footnoteReference w:id="972"/>
      </w:r>
    </w:p>
    <w:p w14:paraId="14E3975B" w14:textId="77777777" w:rsidR="00E13DFB" w:rsidRDefault="00E13DFB" w:rsidP="004E3379">
      <w:pPr>
        <w:pStyle w:val="Heading4"/>
      </w:pPr>
      <w:r>
        <w:t>Relationship with section 69</w:t>
      </w:r>
    </w:p>
    <w:p w14:paraId="7A323102" w14:textId="77777777" w:rsidR="00E13DFB" w:rsidRPr="00973F25" w:rsidRDefault="00E13DFB" w:rsidP="00E13DFB">
      <w:pPr>
        <w:pStyle w:val="BodyText"/>
        <w:tabs>
          <w:tab w:val="num" w:pos="709"/>
        </w:tabs>
        <w:spacing w:after="80"/>
      </w:pPr>
      <w:r>
        <w:t>Section 69 confers a general discretion on the court to require that any confidential information not be disclosed in a proceeding. It provides a fallback for anything not captured by section 59. Even if someone is held to not have been acting “on behalf of” a medical practitioner or clinical psychologist, disclosure of confidential information can still be prevented if the judge considers that the public interest in the disclosure is outweighed by the public interest in preventing harm to the person by whom or about whom the confidential information was obtained, or to the particular relationship in the course of which it was obtained. In making this assessment, the judge must have regard to a number of factors set out under section 69(3).</w:t>
      </w:r>
    </w:p>
    <w:p w14:paraId="728F0758" w14:textId="77777777" w:rsidR="00E13DFB" w:rsidRDefault="00E13DFB" w:rsidP="00E13DFB">
      <w:pPr>
        <w:pStyle w:val="BodyText"/>
        <w:tabs>
          <w:tab w:val="num" w:pos="709"/>
        </w:tabs>
        <w:spacing w:after="80"/>
      </w:pPr>
      <w:r>
        <w:t xml:space="preserve">The courts have tended to agree that information shared with healthcare professionals is confidential information for the purposes of section 69. There is </w:t>
      </w:r>
      <w:r w:rsidRPr="00045EFB">
        <w:t>greater disagreement</w:t>
      </w:r>
      <w:r>
        <w:t xml:space="preserve"> as to where the balance between the public interest in disclosure and the prevention of harm to individuals is to be struck. Typically, the courts have ruled in favour of disclosure under section 69</w:t>
      </w:r>
      <w:r>
        <w:rPr>
          <w:rStyle w:val="FootnoteReference"/>
        </w:rPr>
        <w:footnoteReference w:id="973"/>
      </w:r>
      <w:r>
        <w:t xml:space="preserve"> – indeed, in </w:t>
      </w:r>
      <w:r w:rsidRPr="00C95211">
        <w:rPr>
          <w:i/>
          <w:iCs/>
        </w:rPr>
        <w:t>R v X</w:t>
      </w:r>
      <w:r>
        <w:t>,</w:t>
      </w:r>
      <w:r w:rsidRPr="00C95211">
        <w:rPr>
          <w:i/>
          <w:iCs/>
        </w:rPr>
        <w:t xml:space="preserve"> </w:t>
      </w:r>
      <w:r>
        <w:t>the majority held that “the weight of appellate authority in this country and elsewhere favours the appropriateness of the disclosure of criminality”.</w:t>
      </w:r>
      <w:r>
        <w:rPr>
          <w:rStyle w:val="FootnoteReference"/>
        </w:rPr>
        <w:footnoteReference w:id="974"/>
      </w:r>
      <w:r>
        <w:t xml:space="preserve"> This is largely on the basis of the significance of the communication to the issue at hand </w:t>
      </w:r>
      <w:r>
        <w:lastRenderedPageBreak/>
        <w:t>(the disclosures often being key to the prosecution case)</w:t>
      </w:r>
      <w:r>
        <w:rPr>
          <w:rStyle w:val="FootnoteReference"/>
        </w:rPr>
        <w:footnoteReference w:id="975"/>
      </w:r>
      <w:r>
        <w:t xml:space="preserve"> and the lack of empirical evidence as to harm caused by disclosure,</w:t>
      </w:r>
      <w:r>
        <w:rPr>
          <w:rStyle w:val="FootnoteReference"/>
        </w:rPr>
        <w:footnoteReference w:id="976"/>
      </w:r>
      <w:r>
        <w:t xml:space="preserve"> but it is far from settled. In a dissenting judgment in </w:t>
      </w:r>
      <w:r>
        <w:rPr>
          <w:i/>
          <w:iCs/>
        </w:rPr>
        <w:t xml:space="preserve">R v </w:t>
      </w:r>
      <w:r w:rsidRPr="00070F50">
        <w:rPr>
          <w:i/>
          <w:iCs/>
        </w:rPr>
        <w:t>X</w:t>
      </w:r>
      <w:r w:rsidRPr="00735680">
        <w:t>,</w:t>
      </w:r>
      <w:r w:rsidRPr="00070F50">
        <w:rPr>
          <w:i/>
          <w:iCs/>
        </w:rPr>
        <w:t xml:space="preserve"> </w:t>
      </w:r>
      <w:r>
        <w:t>Ronald Young J held that the balance “clearly” lay in protecting the confidential communication between the nurses and X:</w:t>
      </w:r>
      <w:r>
        <w:rPr>
          <w:rStyle w:val="FootnoteReference"/>
        </w:rPr>
        <w:footnoteReference w:id="977"/>
      </w:r>
    </w:p>
    <w:p w14:paraId="7419B147" w14:textId="77777777" w:rsidR="00E13DFB" w:rsidRDefault="00E13DFB" w:rsidP="00E13DFB">
      <w:pPr>
        <w:pStyle w:val="QuoteIndent1"/>
        <w:ind w:left="1418" w:firstLine="0"/>
      </w:pPr>
      <w:r>
        <w:t>If the confidentiality of these discussions is not protected then counsel acting for such persons are highly likely to advise their client not to talk to a forensic nurse … Compromising the capacity of forensic nurses to undertake their task will in turn potentially compromise the immediate safety of defendants and others involved in the criminal courts. This illustrates the powerful public interest in protecting free communication between the nurses and an accused.</w:t>
      </w:r>
    </w:p>
    <w:p w14:paraId="18B2E9CE" w14:textId="77777777" w:rsidR="00E13DFB" w:rsidRDefault="00E13DFB" w:rsidP="004E3379">
      <w:pPr>
        <w:pStyle w:val="Heading3"/>
      </w:pPr>
      <w:r>
        <w:t>Is legislative reform necessary or desirable?</w:t>
      </w:r>
    </w:p>
    <w:p w14:paraId="22C044CD" w14:textId="77777777" w:rsidR="00E13DFB" w:rsidRDefault="00E13DFB" w:rsidP="00E13DFB">
      <w:pPr>
        <w:pStyle w:val="BodyText"/>
        <w:tabs>
          <w:tab w:val="num" w:pos="709"/>
        </w:tabs>
        <w:spacing w:after="80"/>
      </w:pPr>
      <w:r>
        <w:t>There is plainly some uncertainty as to the scope of section 59(5) and the status of disclosures made to healthcare professionals who are not medical practitioners or clinical psychologists. The courts have taken a narrow approach as to who can be said to be acting “on behalf of” a medical practitioner or clinical psychologist, some of which appear inconsistent with the original intention of the Torts and General Law Reform Committee.</w:t>
      </w:r>
      <w:r>
        <w:rPr>
          <w:rStyle w:val="FootnoteReference"/>
        </w:rPr>
        <w:footnoteReference w:id="978"/>
      </w:r>
      <w:r>
        <w:t xml:space="preserve"> Neither the Court of Appeal nor the Supreme Court has decided the issue. </w:t>
      </w:r>
    </w:p>
    <w:p w14:paraId="451C3275" w14:textId="77777777" w:rsidR="00E13DFB" w:rsidRDefault="00E13DFB" w:rsidP="00E13DFB">
      <w:pPr>
        <w:pStyle w:val="BodyText"/>
        <w:tabs>
          <w:tab w:val="num" w:pos="709"/>
        </w:tabs>
        <w:spacing w:after="80"/>
      </w:pPr>
      <w:r>
        <w:t>There is also a question as to whether the approach taken by the courts – particularly in relation to the sequencing of treatment and referral of patients – is consistent with modern multi-disciplinary teams (MDTs) working in healthcare or with patients’ understandings of their interactions with the various professionals who make up these teams. Patients are often reviewed and screened by other members of the team before being seen by a medical practitioner, with care and treatment being provided autonomously by individual members of the team (that is, not on behalf of a medical practitioner or clinical psychologist).</w:t>
      </w:r>
      <w:r>
        <w:rPr>
          <w:rStyle w:val="FootnoteReference"/>
        </w:rPr>
        <w:footnoteReference w:id="979"/>
      </w:r>
      <w:r>
        <w:t xml:space="preserve"> Many patients might make disclosures to these individuals on the basis that the information they share is necessary to initiate or direct their care and treatment and might reasonably expect that information to remain confidential. This is of note given the subjective element of section 59(2) – that it applies to communications “the person </w:t>
      </w:r>
      <w:r w:rsidRPr="0097516D">
        <w:rPr>
          <w:i/>
          <w:iCs/>
        </w:rPr>
        <w:t xml:space="preserve">believes is necessary </w:t>
      </w:r>
      <w:r>
        <w:t xml:space="preserve">to enable the medical practitioner to examine, treat or care for” them. </w:t>
      </w:r>
    </w:p>
    <w:p w14:paraId="65C87F01" w14:textId="77777777" w:rsidR="00E13DFB" w:rsidRPr="00712096" w:rsidRDefault="00E13DFB" w:rsidP="00E13DFB">
      <w:pPr>
        <w:pStyle w:val="BodyText"/>
        <w:tabs>
          <w:tab w:val="clear" w:pos="709"/>
        </w:tabs>
        <w:spacing w:after="80"/>
      </w:pPr>
      <w:r>
        <w:lastRenderedPageBreak/>
        <w:t>This issue may be of more pressing concern in light of the recent proliferation of telehealth and digital technologies in healthcare,</w:t>
      </w:r>
      <w:r>
        <w:rPr>
          <w:rStyle w:val="FootnoteReference"/>
        </w:rPr>
        <w:footnoteReference w:id="980"/>
      </w:r>
      <w:r>
        <w:t xml:space="preserve"> much of which has been accelerated by the COVID-19 pandemic. This is particularly true in the area of mental health, where a number of non-medical professionals or digital tools could be recipients of information analogous to the situation to the helpline call-taker in </w:t>
      </w:r>
      <w:r w:rsidRPr="0097516D">
        <w:rPr>
          <w:i/>
          <w:iCs/>
        </w:rPr>
        <w:t>D v R.</w:t>
      </w:r>
      <w:r w:rsidRPr="0089193D">
        <w:rPr>
          <w:rStyle w:val="FootnoteReference"/>
        </w:rPr>
        <w:footnoteReference w:id="981"/>
      </w:r>
      <w:r>
        <w:rPr>
          <w:i/>
          <w:iCs/>
        </w:rPr>
        <w:t xml:space="preserve"> </w:t>
      </w:r>
      <w:r w:rsidRPr="00BF791F">
        <w:t>It is also clear that the healthcare system is under increasing pressure. McQueen J observed in a recent civil case regarding the interpretation of the</w:t>
      </w:r>
      <w:r>
        <w:t xml:space="preserve"> CPMIP Act </w:t>
      </w:r>
      <w:r w:rsidRPr="00BF791F">
        <w:t>that “a shortage of psychiatrists and psychologists in New Zealand and world-wide has developed</w:t>
      </w:r>
      <w:r>
        <w:t xml:space="preserve"> </w:t>
      </w:r>
      <w:r w:rsidRPr="00BF791F">
        <w:t>… exacerbated by the COVID-19 pandemic”.</w:t>
      </w:r>
      <w:r w:rsidRPr="00BF791F">
        <w:rPr>
          <w:rStyle w:val="FootnoteReference"/>
        </w:rPr>
        <w:footnoteReference w:id="982"/>
      </w:r>
      <w:r w:rsidRPr="00BF791F">
        <w:t xml:space="preserve"> This means that more individuals, at least </w:t>
      </w:r>
      <w:r>
        <w:t xml:space="preserve">in the </w:t>
      </w:r>
      <w:r w:rsidRPr="00BF791F">
        <w:t>initia</w:t>
      </w:r>
      <w:r>
        <w:t>l stages of seeking medical attention</w:t>
      </w:r>
      <w:r w:rsidRPr="00BF791F">
        <w:t>, may find themselves under the assessment or care and treatment of a professional other than a medical practitioner or clinical psychologist.</w:t>
      </w:r>
      <w:r>
        <w:t xml:space="preserve"> </w:t>
      </w:r>
    </w:p>
    <w:p w14:paraId="57BD34A9" w14:textId="77777777" w:rsidR="00E13DFB" w:rsidRDefault="00E13DFB" w:rsidP="00E13DFB">
      <w:pPr>
        <w:pStyle w:val="BodyText"/>
        <w:tabs>
          <w:tab w:val="num" w:pos="709"/>
        </w:tabs>
        <w:spacing w:after="80"/>
      </w:pPr>
      <w:r>
        <w:t>The existence of section 69 was critical in the conclusions of an earlier Commission review not to broaden the scope of section 59. At that time, it was not aware of “any situations where the discretion available under section 69 in relation to confidential information has failed to adequately protect information disclosed in the course of consultation with a health professional that did not attract medical privilege”.</w:t>
      </w:r>
      <w:r>
        <w:rPr>
          <w:rStyle w:val="FootnoteReference"/>
        </w:rPr>
        <w:footnoteReference w:id="983"/>
      </w:r>
      <w:r w:rsidRPr="00045EFB">
        <w:t xml:space="preserve"> I</w:t>
      </w:r>
      <w:r>
        <w:t>f</w:t>
      </w:r>
      <w:r w:rsidRPr="00045EFB">
        <w:t xml:space="preserve"> the courts tend to favour disclosure under section 69, however, there is a very tangible impact for confidential information if it is not found to attract privilege under section 59.</w:t>
      </w:r>
      <w:r>
        <w:t xml:space="preserve"> </w:t>
      </w:r>
    </w:p>
    <w:p w14:paraId="109A156F" w14:textId="77777777" w:rsidR="00E13DFB" w:rsidRDefault="00E13DFB" w:rsidP="00E13DFB">
      <w:pPr>
        <w:pStyle w:val="BodyText"/>
        <w:tabs>
          <w:tab w:val="num" w:pos="709"/>
        </w:tabs>
        <w:spacing w:after="80"/>
      </w:pPr>
      <w:r>
        <w:t xml:space="preserve">Our preliminary view is that reform may be desirable to address the ongoing uncertainties in relation to the status of disclosures to professionals other than medical practitioners and clinical psychologists and to reflect the reality of modern healthcare provision and systems. We seek views on whether this is the case and, if so, how section 59 should be amended. </w:t>
      </w:r>
    </w:p>
    <w:p w14:paraId="0234F53B" w14:textId="77777777" w:rsidR="00E13DFB" w:rsidRDefault="00E13DFB" w:rsidP="004E3379">
      <w:pPr>
        <w:pStyle w:val="Heading3"/>
      </w:pPr>
      <w:r w:rsidRPr="00BF791F">
        <w:t>Options for reform</w:t>
      </w:r>
    </w:p>
    <w:p w14:paraId="44B08ADC" w14:textId="77777777" w:rsidR="00E13DFB" w:rsidRDefault="00E13DFB" w:rsidP="00E13DFB">
      <w:pPr>
        <w:pStyle w:val="BodyText"/>
        <w:tabs>
          <w:tab w:val="num" w:pos="709"/>
        </w:tabs>
        <w:spacing w:after="80"/>
      </w:pPr>
      <w:r>
        <w:t>We have identified two options for reform:</w:t>
      </w:r>
    </w:p>
    <w:p w14:paraId="43CBFD21" w14:textId="77777777" w:rsidR="00E13DFB" w:rsidRDefault="00E13DFB" w:rsidP="00866891">
      <w:pPr>
        <w:pStyle w:val="BodyTextIndent"/>
        <w:numPr>
          <w:ilvl w:val="3"/>
          <w:numId w:val="28"/>
        </w:numPr>
      </w:pPr>
      <w:r w:rsidRPr="0008423B">
        <w:rPr>
          <w:b/>
          <w:bCs/>
        </w:rPr>
        <w:t>Option 1</w:t>
      </w:r>
      <w:r w:rsidRPr="005D0475">
        <w:rPr>
          <w:b/>
        </w:rPr>
        <w:t>:</w:t>
      </w:r>
      <w:r>
        <w:t xml:space="preserve"> Amend section 59(5) to clarify the meaning of “on behalf of”; or</w:t>
      </w:r>
    </w:p>
    <w:p w14:paraId="03BAB85A" w14:textId="77777777" w:rsidR="00E13DFB" w:rsidRDefault="00E13DFB" w:rsidP="00866891">
      <w:pPr>
        <w:pStyle w:val="BodyTextIndent"/>
        <w:numPr>
          <w:ilvl w:val="3"/>
          <w:numId w:val="28"/>
        </w:numPr>
      </w:pPr>
      <w:r w:rsidRPr="0008423B">
        <w:rPr>
          <w:b/>
          <w:bCs/>
        </w:rPr>
        <w:t>Option 2</w:t>
      </w:r>
      <w:r w:rsidRPr="005D0475">
        <w:rPr>
          <w:b/>
        </w:rPr>
        <w:t>:</w:t>
      </w:r>
      <w:r>
        <w:t xml:space="preserve"> Expand the section 59 privilege to apply to a broader range of healthcare workers beyond just medical practitioners and clinical psychologists.</w:t>
      </w:r>
    </w:p>
    <w:p w14:paraId="2D3F149C" w14:textId="77777777" w:rsidR="00E13DFB" w:rsidRDefault="00E13DFB" w:rsidP="00E13DFB">
      <w:pPr>
        <w:pStyle w:val="BodyText"/>
        <w:tabs>
          <w:tab w:val="clear" w:pos="709"/>
        </w:tabs>
        <w:spacing w:after="80"/>
      </w:pPr>
      <w:r>
        <w:t xml:space="preserve">Option 1 could be achieved by inserting new wording into section 59(5) to clarify the meaning of “on behalf of”. This could clarify that it applies to any person with whom the patient communicates for the purpose of arranging or facilitating examination or treatment by, or at the request of, the medical practitioner or clinical psychologist. This would retain the original policy behind the section by keeping the privilege strictly limited to medical practitioners and clinical psychologists. It would also clearly capture situations where non-clinical staff are the recipients of relevant information, for example, medical </w:t>
      </w:r>
      <w:r>
        <w:lastRenderedPageBreak/>
        <w:t>receptionists, who the Torts and General Law Reform Committee envisaged as falling within the scope of acting “on behalf of”.</w:t>
      </w:r>
      <w:r>
        <w:rPr>
          <w:rStyle w:val="FootnoteReference"/>
        </w:rPr>
        <w:footnoteReference w:id="984"/>
      </w:r>
      <w:r>
        <w:t xml:space="preserve"> </w:t>
      </w:r>
    </w:p>
    <w:p w14:paraId="68067C30" w14:textId="77777777" w:rsidR="00E13DFB" w:rsidRDefault="00E13DFB" w:rsidP="00E13DFB">
      <w:pPr>
        <w:pStyle w:val="BodyText"/>
        <w:tabs>
          <w:tab w:val="clear" w:pos="709"/>
        </w:tabs>
        <w:spacing w:after="80"/>
      </w:pPr>
      <w:r>
        <w:t xml:space="preserve">The drawback of Option 1 is that it may not totally resolve the uncertainty with this section, and courts may still have to engage in finer distinction as to who falls within this category and in which circumstances. For example, it is debateable whether call-takers or helpline advisers would fall within this category, as it would have to be determined whether their role is simply directing calls or the individual to further advice or support, as opposed to arranging or facilitating care or treatment by an identifiable individual. It would also not capture situations where healthcare professionals provide examination or treatment autonomously (for example, nurse practitioners) or where an individual may not, or only infrequently, see a medical practitioner or clinical psychologist in the course of their treatment. </w:t>
      </w:r>
    </w:p>
    <w:p w14:paraId="5BD71D45" w14:textId="77777777" w:rsidR="00E13DFB" w:rsidRDefault="00E13DFB" w:rsidP="00E13DFB">
      <w:pPr>
        <w:pStyle w:val="BodyText"/>
        <w:tabs>
          <w:tab w:val="num" w:pos="709"/>
        </w:tabs>
        <w:spacing w:after="80"/>
      </w:pPr>
      <w:r>
        <w:t xml:space="preserve">Under Option 2, section 59 could be amended to include a broader list of healthcare professions. A profession could qualify for inclusion on this list if it is involved in the treatment of </w:t>
      </w:r>
      <w:r w:rsidRPr="00436129">
        <w:t>drug dependency or any other condition or behaviour that may manifest itself in criminal conduct</w:t>
      </w:r>
      <w:r>
        <w:t xml:space="preserve">. Alternatively, the reference to “medical practitioners and clinical psychologists” could be replaced with a reference to “health practitioner (as defined by the Health Practitioners Competence Assurance Act 2003)”. </w:t>
      </w:r>
    </w:p>
    <w:p w14:paraId="668AC61E" w14:textId="77777777" w:rsidR="00E13DFB" w:rsidRDefault="00E13DFB" w:rsidP="00E13DFB">
      <w:pPr>
        <w:pStyle w:val="BodyText"/>
        <w:tabs>
          <w:tab w:val="clear" w:pos="709"/>
        </w:tabs>
        <w:spacing w:after="80"/>
      </w:pPr>
      <w:r>
        <w:t xml:space="preserve">This option would eliminate the need to clarify when someone is said to be acting “on behalf of” a medical practitioner or clinical psychologist but would require revisiting the original policy intention behind the narrow drafting of the section 59 privilege: to ensure clarity and certainty as to the application of an absolute privilege. Expanding the privilege to cover a far greater number of healthcare professionals could make the section so broad so as to lose the clarity and certainty desired by the original drafters and diminish the significance of the existence of an absolute medical privilege. It should be noted, however, that there are already various restrictions built in to section 59 that necessarily limit its application. For example, the privilege applies only in the context of examination or treatment for drug dependency or behaviour that may manifest itself in criminal conduct (under section 59(1)(a)) and only to communications the patient believes is “necessary” to enable examination or treatment (under section 59(2)). </w:t>
      </w:r>
    </w:p>
    <w:p w14:paraId="74DF55DF" w14:textId="77777777" w:rsidR="00E13DFB" w:rsidRDefault="00E13DFB" w:rsidP="00E13DFB">
      <w:pPr>
        <w:pStyle w:val="BodyText"/>
        <w:tabs>
          <w:tab w:val="clear" w:pos="709"/>
        </w:tabs>
        <w:spacing w:after="80"/>
      </w:pPr>
      <w:r>
        <w:t xml:space="preserve">Additionally, expanding the privilege to cover a wider range of healthcare professionals could be seen to be giving true effect to the underlying policy justifications for the privilege – the public interest in encouraging individuals to seek medical attention and to communicate openly in the expectation that information will be kept private applies equally to communications made to a broader range of healthcare professionals. Patients may not see a distinction, and reasonably expect the information they share with a nurse or another healthcare professional, to be treated in the same way as information they were to share with a medical practitioner or clinical psychologist. </w:t>
      </w:r>
    </w:p>
    <w:p w14:paraId="36EE3836" w14:textId="77777777" w:rsidR="00E13DFB" w:rsidRDefault="00E13DFB" w:rsidP="00E13DFB">
      <w:pPr>
        <w:pStyle w:val="BodyText"/>
        <w:tabs>
          <w:tab w:val="clear" w:pos="709"/>
        </w:tabs>
        <w:spacing w:after="80"/>
      </w:pPr>
      <w:r>
        <w:t xml:space="preserve">Expanding the privilege to cover a wider range of healthcare workers might also be more closely aligned with modern approaches to healthcare provision (particularly whether other healthcare professionals are in fact acting on behalf of a doctor or in their own right) and patients’ perceptions of and relationships with a range of different healthcare professionals. Additionally, the scope of medical privilege has never been completely static, as demonstrated by the inclusion of clinical psychologists </w:t>
      </w:r>
      <w:r w:rsidDel="00046992">
        <w:t xml:space="preserve">in </w:t>
      </w:r>
      <w:r>
        <w:t>1989. There may be</w:t>
      </w:r>
      <w:r w:rsidDel="00F56E72">
        <w:t xml:space="preserve"> </w:t>
      </w:r>
      <w:r>
        <w:lastRenderedPageBreak/>
        <w:t>other healthcare professions that can be said to be closely analogous to clinical psychologists in terms of the role they undertake in relation to drug dependency and other conditions that might manifest in criminal behaviour and in being similarly statutorily registered and regulated.</w:t>
      </w:r>
    </w:p>
    <w:p w14:paraId="6BEF2E2E" w14:textId="77777777" w:rsidR="00E13DFB" w:rsidRDefault="00E13DFB" w:rsidP="00E13DFB">
      <w:pPr>
        <w:pStyle w:val="BodyText"/>
        <w:tabs>
          <w:tab w:val="clear" w:pos="709"/>
        </w:tabs>
        <w:spacing w:after="80"/>
      </w:pPr>
      <w:r>
        <w:t xml:space="preserve">There are limitations to each approach under Option 2. An approach guided by the Health Practitioners Competence Assurance Act would be simpler, but it could exclude health professions not regulated by the Act (notably, in this context, drug and alcohol addiction practitioners) or broader support staff who may be the recipients of confidential information (such as receptionists, who as noted above were envisaged as acting on behalf of the medical practitioner by the Torts and General Law Reform Committee), should their inclusion be considered desirable. Such an approach could also include some professions who are regulated under the Health Practitioners Competence Assurance Act but who are unlikely to be offering relevant treatment. </w:t>
      </w:r>
    </w:p>
    <w:p w14:paraId="51CB8E40" w14:textId="77777777" w:rsidR="00E13DFB" w:rsidRDefault="00E13DFB" w:rsidP="00E13DFB">
      <w:pPr>
        <w:pStyle w:val="BodyText"/>
        <w:tabs>
          <w:tab w:val="clear" w:pos="709"/>
        </w:tabs>
        <w:spacing w:after="80"/>
      </w:pPr>
      <w:r>
        <w:t xml:space="preserve">The alternative approach of seeking to provide a definitive list of professionals covered by the privilege, however, could introduce unnecessary rigidity or unintentional gaps by seeking to provide a definitive list. This is particularly true in the context of an ever-changing and expanding healthcare system and models of MDT working. One possibility to address this would be to include a provision allowing for any additional professions to be included in scope in future through regulations made under the Act. </w:t>
      </w:r>
    </w:p>
    <w:p w14:paraId="236ABF99" w14:textId="04E382F6" w:rsidR="004E3379" w:rsidRDefault="004E3379" w:rsidP="004E3379">
      <w:pPr>
        <w:pStyle w:val="QuestionBox"/>
      </w:pPr>
      <w:r>
        <w:rPr>
          <w:noProof/>
        </w:rPr>
        <mc:AlternateContent>
          <mc:Choice Requires="wpg">
            <w:drawing>
              <wp:anchor distT="0" distB="0" distL="114300" distR="114300" simplePos="0" relativeHeight="251658358" behindDoc="1" locked="0" layoutInCell="1" allowOverlap="1" wp14:anchorId="2723D8EE" wp14:editId="3852D4D1">
                <wp:simplePos x="0" y="0"/>
                <wp:positionH relativeFrom="column">
                  <wp:posOffset>-1962</wp:posOffset>
                </wp:positionH>
                <wp:positionV relativeFrom="paragraph">
                  <wp:posOffset>-616</wp:posOffset>
                </wp:positionV>
                <wp:extent cx="5760085" cy="2088109"/>
                <wp:effectExtent l="0" t="0" r="0" b="7620"/>
                <wp:wrapNone/>
                <wp:docPr id="764518061" name="Group 764518061" descr="Question"/>
                <wp:cNvGraphicFramePr/>
                <a:graphic xmlns:a="http://schemas.openxmlformats.org/drawingml/2006/main">
                  <a:graphicData uri="http://schemas.microsoft.com/office/word/2010/wordprocessingGroup">
                    <wpg:wgp>
                      <wpg:cNvGrpSpPr/>
                      <wpg:grpSpPr>
                        <a:xfrm>
                          <a:off x="0" y="0"/>
                          <a:ext cx="5760085" cy="2088109"/>
                          <a:chOff x="0" y="62865"/>
                          <a:chExt cx="5760085" cy="2089219"/>
                        </a:xfrm>
                      </wpg:grpSpPr>
                      <wps:wsp>
                        <wps:cNvPr id="76451806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625A76" w14:textId="77777777" w:rsidR="004E3379" w:rsidRDefault="004E3379" w:rsidP="004E3379">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63" name="Group 53"/>
                        <wpg:cNvGrpSpPr>
                          <a:grpSpLocks/>
                        </wpg:cNvGrpSpPr>
                        <wpg:grpSpPr bwMode="auto">
                          <a:xfrm>
                            <a:off x="0" y="315706"/>
                            <a:ext cx="5760085" cy="1836378"/>
                            <a:chOff x="1837" y="1786"/>
                            <a:chExt cx="9302" cy="19836"/>
                          </a:xfrm>
                        </wpg:grpSpPr>
                        <wps:wsp>
                          <wps:cNvPr id="764518064" name="Freeform 54"/>
                          <wps:cNvSpPr>
                            <a:spLocks/>
                          </wps:cNvSpPr>
                          <wps:spPr bwMode="auto">
                            <a:xfrm>
                              <a:off x="1837" y="1786"/>
                              <a:ext cx="9302" cy="1983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65" name="Group 764518065"/>
                        <wpg:cNvGrpSpPr/>
                        <wpg:grpSpPr>
                          <a:xfrm>
                            <a:off x="0" y="494036"/>
                            <a:ext cx="1443794" cy="252000"/>
                            <a:chOff x="-15880" y="0"/>
                            <a:chExt cx="1444379" cy="252068"/>
                          </a:xfrm>
                        </wpg:grpSpPr>
                        <wps:wsp>
                          <wps:cNvPr id="76451806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6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5F2BD5" w14:textId="77777777" w:rsidR="004E3379" w:rsidRPr="00E90B8A" w:rsidRDefault="004E3379" w:rsidP="004E3379">
                                <w:pPr>
                                  <w:pStyle w:val="BoxTitle"/>
                                  <w:spacing w:before="0" w:beforeAutospacing="0"/>
                                  <w:rPr>
                                    <w:sz w:val="18"/>
                                    <w:szCs w:val="18"/>
                                  </w:rPr>
                                </w:pPr>
                                <w:r w:rsidRPr="00E90B8A">
                                  <w:rPr>
                                    <w:sz w:val="18"/>
                                    <w:szCs w:val="18"/>
                                  </w:rPr>
                                  <w:t>Q</w:t>
                                </w:r>
                                <w:r>
                                  <w:rPr>
                                    <w:sz w:val="18"/>
                                    <w:szCs w:val="18"/>
                                  </w:rPr>
                                  <w:t>54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723D8EE" id="Group 764518061" o:spid="_x0000_s1410" alt="Question" style="position:absolute;left:0;text-align:left;margin-left:-.15pt;margin-top:-.05pt;width:453.55pt;height:164.4pt;z-index:-251658122;mso-height-relative:margin" coordorigin=",628" coordsize="57600,2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">
                <v:shape id="Freeform 52" o:spid="_x0000_s141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7625A76" w14:textId="77777777" w:rsidR="004E3379" w:rsidRDefault="004E3379" w:rsidP="004E3379">
                        <w:pPr>
                          <w:pStyle w:val="BoxTitle"/>
                          <w:spacing w:before="0" w:beforeAutospacing="0"/>
                        </w:pPr>
                        <w:r w:rsidRPr="007F6876">
                          <w:t>QUESTION</w:t>
                        </w:r>
                      </w:p>
                    </w:txbxContent>
                  </v:textbox>
                </v:shape>
                <v:group id="Group 53" o:spid="_x0000_s1412" style="position:absolute;top:3157;width:57600;height:18363" coordorigin="1837,1786" coordsize="9302,1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">
                  <v:shape id="Freeform 54" o:spid="_x0000_s1413" style="position:absolute;left:1837;top:1786;width:9302;height:1983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" path="m,l9354,r,7809l,7809,,e" fillcolor="#edf2ea" stroked="f">
                    <v:path arrowok="t" o:connecttype="custom" o:connectlocs="0,2540;9302,2540;9302,22376;0,22376;0,2540" o:connectangles="0,0,0,0,0"/>
                  </v:shape>
                </v:group>
                <v:group id="Group 764518065" o:spid="_x0000_s141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">
                  <v:shape id="Freeform 58" o:spid="_x0000_s141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" path="m,l1815,e" filled="f" strokecolor="#72ab6a" strokeweight=".5pt">
                    <v:path arrowok="t" o:connecttype="custom" o:connectlocs="0,0;1073495,0" o:connectangles="0,0"/>
                  </v:shape>
                  <v:shape id="Freeform 66" o:spid="_x0000_s141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B5F2BD5" w14:textId="77777777" w:rsidR="004E3379" w:rsidRPr="00E90B8A" w:rsidRDefault="004E3379" w:rsidP="004E3379">
                          <w:pPr>
                            <w:pStyle w:val="BoxTitle"/>
                            <w:spacing w:before="0" w:beforeAutospacing="0"/>
                            <w:rPr>
                              <w:sz w:val="18"/>
                              <w:szCs w:val="18"/>
                            </w:rPr>
                          </w:pPr>
                          <w:r w:rsidRPr="00E90B8A">
                            <w:rPr>
                              <w:sz w:val="18"/>
                              <w:szCs w:val="18"/>
                            </w:rPr>
                            <w:t>Q</w:t>
                          </w:r>
                          <w:r>
                            <w:rPr>
                              <w:sz w:val="18"/>
                              <w:szCs w:val="18"/>
                            </w:rPr>
                            <w:t>54</w:t>
                          </w:r>
                        </w:p>
                      </w:txbxContent>
                    </v:textbox>
                  </v:shape>
                </v:group>
              </v:group>
            </w:pict>
          </mc:Fallback>
        </mc:AlternateContent>
      </w:r>
    </w:p>
    <w:p w14:paraId="60323FB0" w14:textId="77777777" w:rsidR="004E3379" w:rsidRDefault="004E3379" w:rsidP="004E3379">
      <w:pPr>
        <w:pStyle w:val="QuestionBox"/>
      </w:pPr>
    </w:p>
    <w:p w14:paraId="091D0AB0" w14:textId="51450734" w:rsidR="00E13DFB" w:rsidRDefault="00E13DFB" w:rsidP="004E3379">
      <w:pPr>
        <w:pStyle w:val="QuestionBox"/>
      </w:pPr>
      <w:r>
        <w:t xml:space="preserve"> Should section 59 be amended to clarify when communications to, or information obtained by, healthcare professionals other than a medical practitioner or clinical psychologist are privileged? If so, should it be amended to: </w:t>
      </w:r>
    </w:p>
    <w:p w14:paraId="3A2FC8D2" w14:textId="77777777" w:rsidR="00E13DFB" w:rsidRDefault="00E13DFB" w:rsidP="00866891">
      <w:pPr>
        <w:pStyle w:val="Questionabc"/>
        <w:numPr>
          <w:ilvl w:val="0"/>
          <w:numId w:val="76"/>
        </w:numPr>
        <w:ind w:left="1418" w:hanging="425"/>
      </w:pPr>
      <w:r>
        <w:t>clarify when someone is acting “on behalf of” a medical practitioner or clinical psychologist under section 59(5); or</w:t>
      </w:r>
    </w:p>
    <w:p w14:paraId="5637F3AF" w14:textId="77777777" w:rsidR="00E13DFB" w:rsidRDefault="00E13DFB" w:rsidP="004E3379">
      <w:pPr>
        <w:pStyle w:val="Questionabc"/>
      </w:pPr>
      <w:r>
        <w:t xml:space="preserve">extend the privilege to attach to a wider range of healthcare professionals? </w:t>
      </w:r>
    </w:p>
    <w:p w14:paraId="3B8C60C8" w14:textId="77777777" w:rsidR="00E13DFB" w:rsidRDefault="00E13DFB" w:rsidP="00E13DFB">
      <w:pPr>
        <w:pStyle w:val="BodyText"/>
        <w:numPr>
          <w:ilvl w:val="0"/>
          <w:numId w:val="0"/>
        </w:numPr>
        <w:ind w:left="709"/>
        <w:rPr>
          <w:lang w:val="en-US"/>
        </w:rPr>
      </w:pPr>
    </w:p>
    <w:p w14:paraId="1369BB31" w14:textId="4051AB8C" w:rsidR="00E13DFB" w:rsidRPr="00356A2D" w:rsidRDefault="00E13DFB" w:rsidP="00E13DFB">
      <w:pPr>
        <w:pStyle w:val="BodyText"/>
        <w:numPr>
          <w:ilvl w:val="0"/>
          <w:numId w:val="0"/>
        </w:numPr>
        <w:ind w:left="709"/>
        <w:rPr>
          <w:lang w:val="en-US"/>
        </w:rPr>
      </w:pPr>
    </w:p>
    <w:p w14:paraId="5A3EF4CE" w14:textId="182EF054" w:rsidR="00E13DFB" w:rsidRPr="00D37FCE" w:rsidRDefault="00B97E98" w:rsidP="00E13DFB">
      <w:pPr>
        <w:pStyle w:val="BodyTextalphalist"/>
        <w:ind w:left="0" w:firstLine="0"/>
      </w:pPr>
      <w:r w:rsidRPr="00D37FCE">
        <w:rPr>
          <w:rFonts w:eastAsiaTheme="minorHAnsi"/>
          <w:noProof/>
          <w:lang w:eastAsia="en-NZ"/>
        </w:rPr>
        <mc:AlternateContent>
          <mc:Choice Requires="wpg">
            <w:drawing>
              <wp:anchor distT="0" distB="0" distL="114300" distR="114300" simplePos="0" relativeHeight="251658345" behindDoc="1" locked="0" layoutInCell="1" allowOverlap="1" wp14:anchorId="53453C04" wp14:editId="65B88277">
                <wp:simplePos x="0" y="0"/>
                <wp:positionH relativeFrom="page">
                  <wp:posOffset>1079851</wp:posOffset>
                </wp:positionH>
                <wp:positionV relativeFrom="paragraph">
                  <wp:posOffset>206385</wp:posOffset>
                </wp:positionV>
                <wp:extent cx="2411730" cy="1270"/>
                <wp:effectExtent l="0" t="19050" r="26670" b="17780"/>
                <wp:wrapNone/>
                <wp:docPr id="764518292" name="Group 764518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29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8687B" id="Group 764518292" o:spid="_x0000_s1026" style="position:absolute;margin-left:85.05pt;margin-top:16.25pt;width:189.9pt;height:.1pt;z-index:-251658135;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3C4270E8" w14:textId="273DDCEC" w:rsidR="00E13DFB" w:rsidRDefault="00E13DFB" w:rsidP="00E13DFB">
      <w:pPr>
        <w:spacing w:before="80" w:after="80" w:line="360" w:lineRule="auto"/>
        <w:jc w:val="both"/>
        <w:rPr>
          <w:rFonts w:eastAsia="Times New Roman" w:cs="Times New Roman"/>
          <w:vanish/>
          <w:color w:val="000000" w:themeColor="text1"/>
          <w:szCs w:val="24"/>
          <w:lang w:eastAsia="en-AU"/>
        </w:rPr>
      </w:pPr>
    </w:p>
    <w:p w14:paraId="5BF2479A" w14:textId="77777777" w:rsidR="00E13DFB" w:rsidRPr="00405991" w:rsidRDefault="00E13DFB" w:rsidP="00E13DFB">
      <w:pPr>
        <w:spacing w:before="80" w:after="80" w:line="360" w:lineRule="auto"/>
        <w:jc w:val="both"/>
        <w:rPr>
          <w:rFonts w:eastAsia="Times New Roman" w:cs="Times New Roman"/>
          <w:vanish/>
          <w:color w:val="000000" w:themeColor="text1"/>
          <w:szCs w:val="24"/>
          <w:lang w:eastAsia="en-AU"/>
        </w:rPr>
      </w:pPr>
    </w:p>
    <w:p w14:paraId="78B1B82F" w14:textId="77777777" w:rsidR="00E13DFB" w:rsidRDefault="00E13DFB" w:rsidP="00E13DFB">
      <w:pPr>
        <w:pStyle w:val="HEADING2topchapter-notinTOC"/>
        <w:pageBreakBefore w:val="0"/>
        <w:rPr>
          <w:noProof/>
        </w:rPr>
        <w:sectPr w:rsidR="00E13DFB" w:rsidSect="00FD6721">
          <w:headerReference w:type="default" r:id="rId47"/>
          <w:footnotePr>
            <w:numRestart w:val="eachSect"/>
          </w:footnotePr>
          <w:type w:val="nextColumn"/>
          <w:pgSz w:w="11907" w:h="16840" w:code="9"/>
          <w:pgMar w:top="1134" w:right="1134" w:bottom="1134" w:left="1701" w:header="499" w:footer="46" w:gutter="0"/>
          <w:cols w:space="720"/>
        </w:sectPr>
      </w:pPr>
    </w:p>
    <w:p w14:paraId="54F3C9BA" w14:textId="77777777" w:rsidR="00E13DFB" w:rsidRPr="00D37FCE" w:rsidRDefault="00E13DFB" w:rsidP="00E13DFB">
      <w:pPr>
        <w:pStyle w:val="HEADING2topchapter-notinTOC"/>
        <w:rPr>
          <w:sz w:val="21"/>
          <w:szCs w:val="21"/>
        </w:rPr>
      </w:pPr>
      <w:r w:rsidRPr="00D37FCE">
        <w:lastRenderedPageBreak/>
        <w:t>CHAPTER</w:t>
      </w:r>
      <w:r w:rsidRPr="00D37FCE">
        <w:rPr>
          <w:sz w:val="21"/>
          <w:szCs w:val="21"/>
        </w:rPr>
        <w:t xml:space="preserve"> </w:t>
      </w:r>
      <w:r>
        <w:rPr>
          <w:sz w:val="21"/>
          <w:szCs w:val="21"/>
        </w:rPr>
        <w:t>13</w:t>
      </w:r>
    </w:p>
    <w:p w14:paraId="278EB8B7"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28" behindDoc="1" locked="0" layoutInCell="1" allowOverlap="1" wp14:anchorId="320262EB" wp14:editId="20999914">
                <wp:simplePos x="0" y="0"/>
                <wp:positionH relativeFrom="page">
                  <wp:posOffset>1076653</wp:posOffset>
                </wp:positionH>
                <wp:positionV relativeFrom="paragraph">
                  <wp:posOffset>53975</wp:posOffset>
                </wp:positionV>
                <wp:extent cx="1332230" cy="1270"/>
                <wp:effectExtent l="0" t="19050" r="1270" b="1778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6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968AB" id="Group 56" o:spid="_x0000_s1026" style="position:absolute;margin-left:84.8pt;margin-top:4.25pt;width:104.9pt;height:.1pt;z-index:-25165815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p>
    <w:p w14:paraId="29511DA6" w14:textId="77777777" w:rsidR="00E13DFB" w:rsidRPr="005D33A4" w:rsidRDefault="00E13DFB" w:rsidP="00842DCF">
      <w:pPr>
        <w:pStyle w:val="Heading1"/>
        <w:rPr>
          <w:rFonts w:eastAsia="Metropolis Black"/>
        </w:rPr>
      </w:pPr>
      <w:bookmarkStart w:id="157" w:name="_Toc132962598"/>
      <w:r>
        <w:rPr>
          <w:color w:val="FFFFFF" w:themeColor="background1"/>
          <w:sz w:val="2"/>
          <w:szCs w:val="2"/>
        </w:rPr>
        <w:t xml:space="preserve">13 </w:t>
      </w:r>
      <w:r>
        <w:rPr>
          <w:rFonts w:eastAsia="Metropolis Black"/>
        </w:rPr>
        <w:t>Other privilege issues</w:t>
      </w:r>
      <w:bookmarkEnd w:id="157"/>
    </w:p>
    <w:p w14:paraId="27EB22A0"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29" behindDoc="1" locked="0" layoutInCell="1" allowOverlap="1" wp14:anchorId="3F926796" wp14:editId="6E9CBEBB">
                <wp:simplePos x="0" y="0"/>
                <wp:positionH relativeFrom="page">
                  <wp:posOffset>1087427</wp:posOffset>
                </wp:positionH>
                <wp:positionV relativeFrom="paragraph">
                  <wp:posOffset>71755</wp:posOffset>
                </wp:positionV>
                <wp:extent cx="1332230" cy="1270"/>
                <wp:effectExtent l="0" t="19050" r="1270" b="1778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6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54BB6" id="Group 59" o:spid="_x0000_s1026" style="position:absolute;margin-left:85.6pt;margin-top:5.65pt;width:104.9pt;height:.1pt;z-index:-25165815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g3+A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029C2C3F" w14:textId="77777777" w:rsidR="00E13DFB" w:rsidRDefault="00E13DFB" w:rsidP="00E13DFB">
      <w:pPr>
        <w:pStyle w:val="BodyTextalphalist"/>
        <w:ind w:left="0" w:firstLine="0"/>
      </w:pPr>
    </w:p>
    <w:p w14:paraId="3C5A1161" w14:textId="77777777" w:rsidR="00E13DFB" w:rsidRDefault="00E13DFB" w:rsidP="00E13DFB">
      <w:pPr>
        <w:rPr>
          <w:lang w:eastAsia="zh-TW"/>
        </w:rPr>
      </w:pPr>
    </w:p>
    <w:p w14:paraId="66597B53" w14:textId="77777777" w:rsidR="00E13DFB" w:rsidRDefault="00E13DFB" w:rsidP="00E13DFB">
      <w:r w:rsidRPr="00D37FCE">
        <w:rPr>
          <w:rFonts w:eastAsia="Metropolis"/>
          <w:noProof/>
        </w:rPr>
        <mc:AlternateContent>
          <mc:Choice Requires="wpg">
            <w:drawing>
              <wp:anchor distT="0" distB="0" distL="114300" distR="114300" simplePos="0" relativeHeight="251658336" behindDoc="1" locked="0" layoutInCell="1" allowOverlap="1" wp14:anchorId="0E4DF297" wp14:editId="5F6038A3">
                <wp:simplePos x="0" y="0"/>
                <wp:positionH relativeFrom="column">
                  <wp:posOffset>5715</wp:posOffset>
                </wp:positionH>
                <wp:positionV relativeFrom="paragraph">
                  <wp:posOffset>19050</wp:posOffset>
                </wp:positionV>
                <wp:extent cx="5792470" cy="2806065"/>
                <wp:effectExtent l="0" t="0" r="0" b="0"/>
                <wp:wrapNone/>
                <wp:docPr id="455" name="Group 455"/>
                <wp:cNvGraphicFramePr/>
                <a:graphic xmlns:a="http://schemas.openxmlformats.org/drawingml/2006/main">
                  <a:graphicData uri="http://schemas.microsoft.com/office/word/2010/wordprocessingGroup">
                    <wpg:wgp>
                      <wpg:cNvGrpSpPr/>
                      <wpg:grpSpPr>
                        <a:xfrm>
                          <a:off x="0" y="0"/>
                          <a:ext cx="5792470" cy="2806065"/>
                          <a:chOff x="0" y="-4768"/>
                          <a:chExt cx="5793105" cy="2809855"/>
                        </a:xfrm>
                      </wpg:grpSpPr>
                      <wpg:grpSp>
                        <wpg:cNvPr id="456" name="Group 53"/>
                        <wpg:cNvGrpSpPr>
                          <a:grpSpLocks/>
                        </wpg:cNvGrpSpPr>
                        <wpg:grpSpPr bwMode="auto">
                          <a:xfrm>
                            <a:off x="0" y="314182"/>
                            <a:ext cx="5793105" cy="2490905"/>
                            <a:chOff x="1837" y="1791"/>
                            <a:chExt cx="9354" cy="26894"/>
                          </a:xfrm>
                        </wpg:grpSpPr>
                        <wps:wsp>
                          <wps:cNvPr id="459" name="Freeform 54"/>
                          <wps:cNvSpPr>
                            <a:spLocks/>
                          </wps:cNvSpPr>
                          <wps:spPr bwMode="auto">
                            <a:xfrm>
                              <a:off x="1837" y="1791"/>
                              <a:ext cx="9354" cy="2689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0"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EEA93D" w14:textId="77777777" w:rsidR="00E13DFB" w:rsidRDefault="00E13DFB" w:rsidP="00E13DFB">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E4DF297" id="Group 455" o:spid="_x0000_s1417" style="position:absolute;margin-left:.45pt;margin-top:1.5pt;width:456.1pt;height:220.95pt;z-index:-251658144;mso-height-relative:margin" coordorigin=",-47" coordsize="57931,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">
                <v:group id="Group 53" o:spid="_x0000_s1418" style="position:absolute;top:3141;width:57931;height:24909" coordorigin="1837,1791" coordsize="9354,2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54" o:spid="_x0000_s1419" style="position:absolute;left:1837;top:1791;width:9354;height:2689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" path="m,l9354,r,7809l,7809,,e" fillcolor="#edf2ea" stroked="f">
                    <v:path arrowok="t" o:connecttype="custom" o:connectlocs="0,3444;9354,3444;9354,30338;0,30338;0,3444" o:connectangles="0,0,0,0,0"/>
                  </v:shape>
                </v:group>
                <v:shape id="Freeform 52" o:spid="_x0000_s1420"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6FEEA93D" w14:textId="77777777" w:rsidR="00E13DFB" w:rsidRDefault="00E13DFB" w:rsidP="00E13DFB">
                        <w:pPr>
                          <w:pStyle w:val="BoxTitle"/>
                          <w:spacing w:before="60" w:beforeAutospacing="0"/>
                        </w:pPr>
                        <w:r>
                          <w:t>INTRODUCTION</w:t>
                        </w:r>
                      </w:p>
                    </w:txbxContent>
                  </v:textbox>
                </v:shape>
              </v:group>
            </w:pict>
          </mc:Fallback>
        </mc:AlternateContent>
      </w:r>
    </w:p>
    <w:p w14:paraId="11DCFBC4" w14:textId="77777777" w:rsidR="00E13DFB" w:rsidRDefault="00E13DFB" w:rsidP="00E13DFB">
      <w:pPr>
        <w:pStyle w:val="QuestionBox"/>
        <w:tabs>
          <w:tab w:val="clear" w:pos="709"/>
        </w:tabs>
        <w:ind w:left="0"/>
        <w:rPr>
          <w:rFonts w:eastAsia="Metropolis"/>
          <w:noProof/>
        </w:rPr>
      </w:pPr>
    </w:p>
    <w:p w14:paraId="65B35529" w14:textId="77777777" w:rsidR="00E13DFB" w:rsidRPr="002D4453" w:rsidRDefault="00E13DFB" w:rsidP="00E13DFB">
      <w:pPr>
        <w:pStyle w:val="QuestionBox"/>
        <w:ind w:left="284"/>
        <w:rPr>
          <w:rFonts w:eastAsia="Metropolis"/>
          <w:noProof/>
        </w:rPr>
      </w:pPr>
      <w:r>
        <w:t xml:space="preserve">In this chapter, we consider the operation of the privilege provisions in the Act (other than medical privilege, which is discussed in </w:t>
      </w:r>
      <w:r w:rsidRPr="0089660D">
        <w:t>Chapter 12)</w:t>
      </w:r>
      <w:r>
        <w:t xml:space="preserve"> and seek feedback on issues relating to: </w:t>
      </w:r>
    </w:p>
    <w:p w14:paraId="2BD6E042" w14:textId="77777777" w:rsidR="00E13DFB" w:rsidRPr="002D4453" w:rsidRDefault="00E13DFB" w:rsidP="00866891">
      <w:pPr>
        <w:pStyle w:val="ListBullet"/>
        <w:numPr>
          <w:ilvl w:val="0"/>
          <w:numId w:val="20"/>
        </w:numPr>
        <w:ind w:left="709" w:hanging="425"/>
        <w:rPr>
          <w:rFonts w:eastAsia="Metropolis"/>
          <w:noProof/>
        </w:rPr>
      </w:pPr>
      <w:r>
        <w:t>the application of legal advice privilege (section 54) to documents prepared but not communicated between clients and legal advisers;</w:t>
      </w:r>
    </w:p>
    <w:p w14:paraId="6D662010" w14:textId="77777777" w:rsidR="00E13DFB" w:rsidRPr="002D4453" w:rsidRDefault="00E13DFB" w:rsidP="00866891">
      <w:pPr>
        <w:pStyle w:val="ListBullet"/>
        <w:numPr>
          <w:ilvl w:val="0"/>
          <w:numId w:val="20"/>
        </w:numPr>
        <w:ind w:left="709" w:hanging="425"/>
        <w:rPr>
          <w:rFonts w:eastAsia="Metropolis"/>
          <w:noProof/>
        </w:rPr>
      </w:pPr>
      <w:r>
        <w:t>termination of litigation privilege (section 57);</w:t>
      </w:r>
    </w:p>
    <w:p w14:paraId="01E8E8B9" w14:textId="77777777" w:rsidR="00E13DFB" w:rsidRPr="00AE5DF5" w:rsidRDefault="00E13DFB" w:rsidP="00866891">
      <w:pPr>
        <w:pStyle w:val="ListBullet"/>
        <w:numPr>
          <w:ilvl w:val="0"/>
          <w:numId w:val="20"/>
        </w:numPr>
        <w:ind w:left="709" w:hanging="425"/>
        <w:rPr>
          <w:rFonts w:eastAsia="Metropolis"/>
          <w:noProof/>
        </w:rPr>
      </w:pPr>
      <w:r>
        <w:t>litigation privilege and confidentiality;</w:t>
      </w:r>
    </w:p>
    <w:p w14:paraId="5F34ABB1" w14:textId="77777777" w:rsidR="00E13DFB" w:rsidRPr="00FF7BA9" w:rsidRDefault="00E13DFB" w:rsidP="00866891">
      <w:pPr>
        <w:pStyle w:val="ListBullet"/>
        <w:numPr>
          <w:ilvl w:val="0"/>
          <w:numId w:val="20"/>
        </w:numPr>
        <w:ind w:left="709" w:hanging="425"/>
        <w:rPr>
          <w:rFonts w:eastAsia="Metropolis"/>
          <w:noProof/>
        </w:rPr>
      </w:pPr>
      <w:r>
        <w:t>settlement privilege and the interests of justice exception; and</w:t>
      </w:r>
    </w:p>
    <w:p w14:paraId="02AB7EC6" w14:textId="77777777" w:rsidR="00E13DFB" w:rsidRDefault="00E13DFB" w:rsidP="00866891">
      <w:pPr>
        <w:pStyle w:val="ListBullet"/>
        <w:numPr>
          <w:ilvl w:val="0"/>
          <w:numId w:val="20"/>
        </w:numPr>
        <w:ind w:left="709" w:hanging="425"/>
        <w:rPr>
          <w:rFonts w:eastAsia="Metropolis"/>
          <w:noProof/>
        </w:rPr>
      </w:pPr>
      <w:r>
        <w:t>successive interests in privileged material (section 66(2)–(4)).</w:t>
      </w:r>
    </w:p>
    <w:p w14:paraId="082B1167" w14:textId="77777777" w:rsidR="00E13DFB" w:rsidRPr="00D37FCE" w:rsidRDefault="00E13DFB" w:rsidP="00E13DFB">
      <w:pPr>
        <w:pStyle w:val="BodyTextalphalist"/>
        <w:ind w:left="0" w:firstLine="0"/>
      </w:pPr>
    </w:p>
    <w:p w14:paraId="77475AFB" w14:textId="77777777" w:rsidR="00E13DFB" w:rsidRDefault="00E13DFB" w:rsidP="00E13DFB">
      <w:pPr>
        <w:tabs>
          <w:tab w:val="left" w:pos="709"/>
        </w:tabs>
        <w:jc w:val="both"/>
        <w:rPr>
          <w:rFonts w:eastAsia="Times New Roman" w:cs="Times New Roman"/>
          <w:vanish/>
          <w:color w:val="000000" w:themeColor="text1"/>
          <w:szCs w:val="20"/>
          <w:lang w:eastAsia="en-AU"/>
        </w:rPr>
      </w:pPr>
    </w:p>
    <w:p w14:paraId="077A59B8" w14:textId="77777777" w:rsidR="00E13DFB" w:rsidRDefault="00E13DFB" w:rsidP="00842DCF">
      <w:pPr>
        <w:pStyle w:val="Heading2"/>
        <w:rPr>
          <w:rFonts w:eastAsia="Calibri"/>
          <w:lang w:val="mi-NZ"/>
        </w:rPr>
      </w:pPr>
      <w:bookmarkStart w:id="158" w:name="_Toc132962599"/>
      <w:r>
        <w:rPr>
          <w:rFonts w:eastAsia="Calibri"/>
          <w:lang w:val="mi-NZ"/>
        </w:rPr>
        <w:t>Legal advice privilege and documents prepared but not communicated between clients and legal advisers</w:t>
      </w:r>
      <w:bookmarkEnd w:id="158"/>
    </w:p>
    <w:p w14:paraId="7BD0ACD9" w14:textId="77777777" w:rsidR="00E13DFB" w:rsidRPr="006F597A" w:rsidRDefault="00E13DFB" w:rsidP="00866891">
      <w:pPr>
        <w:pStyle w:val="ListParagraph"/>
        <w:numPr>
          <w:ilvl w:val="0"/>
          <w:numId w:val="28"/>
        </w:numPr>
        <w:tabs>
          <w:tab w:val="left" w:pos="709"/>
        </w:tabs>
        <w:spacing w:before="80" w:after="120" w:line="360" w:lineRule="auto"/>
        <w:contextualSpacing w:val="0"/>
        <w:jc w:val="both"/>
        <w:rPr>
          <w:rFonts w:eastAsia="Times New Roman" w:cs="Times New Roman"/>
          <w:vanish/>
          <w:color w:val="000000" w:themeColor="text1"/>
          <w:sz w:val="20"/>
          <w:szCs w:val="24"/>
          <w:lang w:eastAsia="en-AU"/>
        </w:rPr>
      </w:pPr>
    </w:p>
    <w:p w14:paraId="0F840C34" w14:textId="77777777" w:rsidR="00E13DFB" w:rsidRPr="006F597A" w:rsidRDefault="00E13DFB" w:rsidP="00E13DFB">
      <w:pPr>
        <w:pStyle w:val="BodyText"/>
        <w:tabs>
          <w:tab w:val="clear" w:pos="709"/>
        </w:tabs>
        <w:rPr>
          <w:rFonts w:eastAsia="Calibri"/>
          <w:lang w:val="mi-NZ"/>
        </w:rPr>
      </w:pPr>
      <w:r>
        <w:t>Section 54 of the Evidence Act 2006 is known as “legal advice privilege”. It enshrines what was solicitor-client privilege under the common law. Under section 54, communications with legal advisers are privileged provided the communication was intended to be confidential and was made in the course of and for the purpose of obtaining (or providing) professional legal services.</w:t>
      </w:r>
    </w:p>
    <w:p w14:paraId="57D4D4AC" w14:textId="77777777" w:rsidR="00E13DFB" w:rsidRPr="006416F3" w:rsidRDefault="00E13DFB" w:rsidP="00842DCF">
      <w:pPr>
        <w:pStyle w:val="Heading3"/>
        <w:rPr>
          <w:rFonts w:eastAsia="Calibri"/>
          <w:lang w:val="mi-NZ"/>
        </w:rPr>
      </w:pPr>
      <w:r>
        <w:t>What is the issue?</w:t>
      </w:r>
    </w:p>
    <w:p w14:paraId="1AEFA3A7" w14:textId="77777777" w:rsidR="00E13DFB" w:rsidRPr="00B163D3" w:rsidRDefault="00E13DFB" w:rsidP="00E13DFB">
      <w:pPr>
        <w:pStyle w:val="BodyText"/>
        <w:rPr>
          <w:rFonts w:eastAsia="Calibri"/>
          <w:lang w:val="mi-NZ"/>
        </w:rPr>
      </w:pPr>
      <w:r>
        <w:t xml:space="preserve">Section 54 only refers to “communications” with legal advisers. Under the common law, however, solicitor-client privilege extended to </w:t>
      </w:r>
      <w:r w:rsidRPr="00892152">
        <w:t xml:space="preserve">material brought into existence for the purpose of </w:t>
      </w:r>
      <w:r>
        <w:t xml:space="preserve">obtaining or providing legal services even if the material was not </w:t>
      </w:r>
      <w:r w:rsidRPr="00892152">
        <w:t>in fact communicated</w:t>
      </w:r>
      <w:r>
        <w:t>. This included drafts and working papers prepared by lawyers or notes prepared by a client for the purpose of better communicating with a lawyer</w:t>
      </w:r>
      <w:r w:rsidRPr="00892152">
        <w:t>.</w:t>
      </w:r>
      <w:r w:rsidRPr="00892152">
        <w:rPr>
          <w:rStyle w:val="FootnoteReference"/>
        </w:rPr>
        <w:footnoteReference w:id="985"/>
      </w:r>
    </w:p>
    <w:p w14:paraId="7665F6FC" w14:textId="77777777" w:rsidR="00E13DFB" w:rsidRPr="0065226B" w:rsidRDefault="00E13DFB" w:rsidP="00E13DFB">
      <w:pPr>
        <w:pStyle w:val="BodyText"/>
        <w:rPr>
          <w:rFonts w:eastAsia="Calibri"/>
          <w:lang w:val="mi-NZ"/>
        </w:rPr>
      </w:pPr>
      <w:r w:rsidRPr="00892152">
        <w:lastRenderedPageBreak/>
        <w:t>It is unclear</w:t>
      </w:r>
      <w:r>
        <w:t xml:space="preserve"> whether section 54 extends to documents prepared for the purpose of obtaining or providing legal services but not communicated. On a strict reading, the use of the word “communication” in section 54 does not accommodate such material. This does not appear to have been Te Aka Matua o te Ture | Law Commission’s intention when developing the Evidence Code upon which section 54 is based. The Commission explained that its proposed Code provision “essentially re-enacts the current law on privilege for communications with legal advisers”.</w:t>
      </w:r>
      <w:r>
        <w:rPr>
          <w:rStyle w:val="FootnoteReference"/>
        </w:rPr>
        <w:footnoteReference w:id="986"/>
      </w:r>
    </w:p>
    <w:p w14:paraId="40C12007" w14:textId="77777777" w:rsidR="00E13DFB" w:rsidRPr="00491641" w:rsidRDefault="00E13DFB" w:rsidP="00E13DFB">
      <w:pPr>
        <w:pStyle w:val="BodyText"/>
        <w:rPr>
          <w:rFonts w:eastAsia="Calibri"/>
          <w:lang w:val="mi-NZ"/>
        </w:rPr>
      </w:pPr>
      <w:r>
        <w:t>There is some te Kōti Matua | High Court authority for the proposition that legal advice privilege extends to documents not communicated.</w:t>
      </w:r>
      <w:r>
        <w:rPr>
          <w:rStyle w:val="FootnoteReference"/>
        </w:rPr>
        <w:footnoteReference w:id="987"/>
      </w:r>
      <w:r>
        <w:t xml:space="preserve"> These decisions, however, did not analyse how such an approach is available on the wording of section 54.</w:t>
      </w:r>
      <w:r>
        <w:rPr>
          <w:rStyle w:val="FootnoteReference"/>
        </w:rPr>
        <w:footnoteReference w:id="988"/>
      </w:r>
      <w:r>
        <w:t xml:space="preserve"> As some commentators have observed, such an interpretation is difficult to reconcile with the plain words of section 54.</w:t>
      </w:r>
      <w:r>
        <w:rPr>
          <w:rStyle w:val="FootnoteReference"/>
        </w:rPr>
        <w:footnoteReference w:id="989"/>
      </w:r>
      <w:r>
        <w:t xml:space="preserve"> To date there has been no te Kōti Pīra | Court of Appeal or te Kōti Mana Nui | Supreme Court consideration of this issue.</w:t>
      </w:r>
    </w:p>
    <w:p w14:paraId="4BF67765" w14:textId="77777777" w:rsidR="00E13DFB" w:rsidRPr="00491641" w:rsidRDefault="00E13DFB" w:rsidP="00842DCF">
      <w:pPr>
        <w:pStyle w:val="Heading3"/>
        <w:rPr>
          <w:rFonts w:eastAsia="Calibri"/>
          <w:lang w:val="mi-NZ"/>
        </w:rPr>
      </w:pPr>
      <w:r>
        <w:t>Is legislative reform necessary or desirable?</w:t>
      </w:r>
    </w:p>
    <w:p w14:paraId="494F4923" w14:textId="77777777" w:rsidR="00E13DFB" w:rsidRPr="004D21DE" w:rsidRDefault="00E13DFB" w:rsidP="00E13DFB">
      <w:pPr>
        <w:pStyle w:val="BodyText"/>
        <w:rPr>
          <w:rFonts w:eastAsia="Calibri"/>
          <w:lang w:val="mi-NZ"/>
        </w:rPr>
      </w:pPr>
      <w:r>
        <w:t xml:space="preserve">We seek submissions on whether section 54 should be amended to clarify that legal advice privilege applies to documents prepared but not communicated for the purpose of obtaining or providing legal advice, consistent with the common law and the decisions in </w:t>
      </w:r>
      <w:r>
        <w:rPr>
          <w:i/>
          <w:iCs/>
        </w:rPr>
        <w:t xml:space="preserve">Huang </w:t>
      </w:r>
      <w:r>
        <w:t xml:space="preserve">and </w:t>
      </w:r>
      <w:r>
        <w:rPr>
          <w:i/>
          <w:iCs/>
        </w:rPr>
        <w:t>Bain</w:t>
      </w:r>
      <w:r>
        <w:t>. I</w:t>
      </w:r>
      <w:r w:rsidRPr="003B47CB">
        <w:t xml:space="preserve">t </w:t>
      </w:r>
      <w:r>
        <w:t xml:space="preserve">does not appear that there was any intention to depart from the previous common law approach when the Act was passed. Further, as the authors of </w:t>
      </w:r>
      <w:r w:rsidRPr="003B47CB">
        <w:rPr>
          <w:i/>
          <w:iCs/>
        </w:rPr>
        <w:t>Mahoney on Evidence</w:t>
      </w:r>
      <w:r>
        <w:t xml:space="preserve"> have observed, </w:t>
      </w:r>
      <w:r w:rsidRPr="003B47CB">
        <w:t>excluding documents prepared for the purpose of obtaining legal advice but not actually communicated to a lawyer “is arguably inconsistent with the policy rationale for the privilege, namely to encourage full and frank communication with lawyers”.</w:t>
      </w:r>
      <w:r>
        <w:rPr>
          <w:rStyle w:val="FootnoteReference"/>
        </w:rPr>
        <w:footnoteReference w:id="990"/>
      </w:r>
    </w:p>
    <w:p w14:paraId="01B5AFB1" w14:textId="6AE58278" w:rsidR="00E13DFB" w:rsidRPr="001F5446" w:rsidRDefault="00E13DFB" w:rsidP="00E13DFB">
      <w:pPr>
        <w:pStyle w:val="BodyText"/>
        <w:rPr>
          <w:rFonts w:eastAsia="Calibri"/>
          <w:lang w:val="mi-NZ"/>
        </w:rPr>
      </w:pPr>
      <w:r>
        <w:t xml:space="preserve">Should reform be considered necessary or desirable, one option would be to amend section 54(1) to clarify that the privilege applies to communications </w:t>
      </w:r>
      <w:r w:rsidRPr="001C49DE">
        <w:rPr>
          <w:i/>
          <w:iCs/>
        </w:rPr>
        <w:t xml:space="preserve">and related documents. </w:t>
      </w:r>
      <w:r>
        <w:t>The word “document” is broadly defined in the Act to mean “any material, … and information electronically recorded or stored”.</w:t>
      </w:r>
      <w:r>
        <w:rPr>
          <w:rStyle w:val="FootnoteReference"/>
        </w:rPr>
        <w:footnoteReference w:id="991"/>
      </w:r>
      <w:r>
        <w:t xml:space="preserve"> The requirements in subsections 54(1)(a) and (b) would however still apply, which means that the related document would need to have been intended to be confidential and made in the course of and for the </w:t>
      </w:r>
      <w:r>
        <w:lastRenderedPageBreak/>
        <w:t xml:space="preserve">purposes of obtaining or providing legal services. This would avoid the need to further define the concept of “related document” as it would only capture documents connected to the request for or provision of legal advice. Documents that are merely sent to a lawyer, but not prepared for the purpose of seeking legal advice, would not attract the </w:t>
      </w:r>
      <w:r w:rsidR="00842DCF">
        <w:rPr>
          <w:noProof/>
        </w:rPr>
        <mc:AlternateContent>
          <mc:Choice Requires="wpg">
            <w:drawing>
              <wp:anchor distT="0" distB="0" distL="114300" distR="114300" simplePos="0" relativeHeight="251658359" behindDoc="1" locked="0" layoutInCell="1" allowOverlap="1" wp14:anchorId="07981B81" wp14:editId="2D22B140">
                <wp:simplePos x="0" y="0"/>
                <wp:positionH relativeFrom="column">
                  <wp:posOffset>-2540</wp:posOffset>
                </wp:positionH>
                <wp:positionV relativeFrom="paragraph">
                  <wp:posOffset>1026795</wp:posOffset>
                </wp:positionV>
                <wp:extent cx="5760085" cy="1514475"/>
                <wp:effectExtent l="0" t="0" r="0" b="9525"/>
                <wp:wrapNone/>
                <wp:docPr id="764518068" name="Group 764518068" descr="Question"/>
                <wp:cNvGraphicFramePr/>
                <a:graphic xmlns:a="http://schemas.openxmlformats.org/drawingml/2006/main">
                  <a:graphicData uri="http://schemas.microsoft.com/office/word/2010/wordprocessingGroup">
                    <wpg:wgp>
                      <wpg:cNvGrpSpPr/>
                      <wpg:grpSpPr>
                        <a:xfrm>
                          <a:off x="0" y="0"/>
                          <a:ext cx="5760085" cy="1514475"/>
                          <a:chOff x="0" y="62865"/>
                          <a:chExt cx="5760085" cy="1515698"/>
                        </a:xfrm>
                      </wpg:grpSpPr>
                      <wps:wsp>
                        <wps:cNvPr id="76451806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3C56FC" w14:textId="77777777" w:rsidR="00842DCF" w:rsidRDefault="00842DCF" w:rsidP="00842DCF">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70" name="Group 53"/>
                        <wpg:cNvGrpSpPr>
                          <a:grpSpLocks/>
                        </wpg:cNvGrpSpPr>
                        <wpg:grpSpPr bwMode="auto">
                          <a:xfrm>
                            <a:off x="0" y="315706"/>
                            <a:ext cx="5760085" cy="1262857"/>
                            <a:chOff x="1837" y="1786"/>
                            <a:chExt cx="9302" cy="13641"/>
                          </a:xfrm>
                        </wpg:grpSpPr>
                        <wps:wsp>
                          <wps:cNvPr id="764518071" name="Freeform 54"/>
                          <wps:cNvSpPr>
                            <a:spLocks/>
                          </wps:cNvSpPr>
                          <wps:spPr bwMode="auto">
                            <a:xfrm>
                              <a:off x="1837" y="1786"/>
                              <a:ext cx="9302" cy="1364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72" name="Group 764518072"/>
                        <wpg:cNvGrpSpPr/>
                        <wpg:grpSpPr>
                          <a:xfrm>
                            <a:off x="0" y="494036"/>
                            <a:ext cx="1443794" cy="252000"/>
                            <a:chOff x="-15880" y="0"/>
                            <a:chExt cx="1444379" cy="252068"/>
                          </a:xfrm>
                        </wpg:grpSpPr>
                        <wps:wsp>
                          <wps:cNvPr id="76451807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7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9E0930" w14:textId="77777777" w:rsidR="00842DCF" w:rsidRPr="00E90B8A" w:rsidRDefault="00842DCF" w:rsidP="00842DCF">
                                <w:pPr>
                                  <w:pStyle w:val="BoxTitle"/>
                                  <w:spacing w:before="0" w:beforeAutospacing="0"/>
                                  <w:rPr>
                                    <w:sz w:val="18"/>
                                    <w:szCs w:val="18"/>
                                  </w:rPr>
                                </w:pPr>
                                <w:r w:rsidRPr="00E90B8A">
                                  <w:rPr>
                                    <w:sz w:val="18"/>
                                    <w:szCs w:val="18"/>
                                  </w:rPr>
                                  <w:t>Q</w:t>
                                </w:r>
                                <w:r>
                                  <w:rPr>
                                    <w:sz w:val="18"/>
                                    <w:szCs w:val="18"/>
                                  </w:rPr>
                                  <w:t>55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7981B81" id="Group 764518068" o:spid="_x0000_s1421" alt="Question" style="position:absolute;left:0;text-align:left;margin-left:-.2pt;margin-top:80.85pt;width:453.55pt;height:119.25pt;z-index:-251658121;mso-height-relative:margin" coordorigin=",628" coordsize="57600,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">
                <v:shape id="Freeform 52" o:spid="_x0000_s142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E3C56FC" w14:textId="77777777" w:rsidR="00842DCF" w:rsidRDefault="00842DCF" w:rsidP="00842DCF">
                        <w:pPr>
                          <w:pStyle w:val="BoxTitle"/>
                          <w:spacing w:before="0" w:beforeAutospacing="0"/>
                        </w:pPr>
                        <w:r w:rsidRPr="007F6876">
                          <w:t>QUESTION</w:t>
                        </w:r>
                      </w:p>
                    </w:txbxContent>
                  </v:textbox>
                </v:shape>
                <v:group id="Group 53" o:spid="_x0000_s1423" style="position:absolute;top:3157;width:57600;height:12628" coordorigin="1837,1786" coordsize="9302,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">
                  <v:shape id="Freeform 54" o:spid="_x0000_s1424" style="position:absolute;left:1837;top:1786;width:9302;height:1364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" path="m,l9354,r,7809l,7809,,e" fillcolor="#edf2ea" stroked="f">
                    <v:path arrowok="t" o:connecttype="custom" o:connectlocs="0,1747;9302,1747;9302,15388;0,15388;0,1747" o:connectangles="0,0,0,0,0"/>
                  </v:shape>
                </v:group>
                <v:group id="Group 764518072" o:spid="_x0000_s142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">
                  <v:shape id="Freeform 58" o:spid="_x0000_s142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" path="m,l1815,e" filled="f" strokecolor="#72ab6a" strokeweight=".5pt">
                    <v:path arrowok="t" o:connecttype="custom" o:connectlocs="0,0;1073495,0" o:connectangles="0,0"/>
                  </v:shape>
                  <v:shape id="Freeform 66" o:spid="_x0000_s142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69E0930" w14:textId="77777777" w:rsidR="00842DCF" w:rsidRPr="00E90B8A" w:rsidRDefault="00842DCF" w:rsidP="00842DCF">
                          <w:pPr>
                            <w:pStyle w:val="BoxTitle"/>
                            <w:spacing w:before="0" w:beforeAutospacing="0"/>
                            <w:rPr>
                              <w:sz w:val="18"/>
                              <w:szCs w:val="18"/>
                            </w:rPr>
                          </w:pPr>
                          <w:r w:rsidRPr="00E90B8A">
                            <w:rPr>
                              <w:sz w:val="18"/>
                              <w:szCs w:val="18"/>
                            </w:rPr>
                            <w:t>Q</w:t>
                          </w:r>
                          <w:r>
                            <w:rPr>
                              <w:sz w:val="18"/>
                              <w:szCs w:val="18"/>
                            </w:rPr>
                            <w:t>55</w:t>
                          </w:r>
                        </w:p>
                      </w:txbxContent>
                    </v:textbox>
                  </v:shape>
                </v:group>
              </v:group>
            </w:pict>
          </mc:Fallback>
        </mc:AlternateContent>
      </w:r>
      <w:r>
        <w:t>privilege.</w:t>
      </w:r>
      <w:r>
        <w:rPr>
          <w:rStyle w:val="FootnoteReference"/>
        </w:rPr>
        <w:footnoteReference w:id="992"/>
      </w:r>
      <w:r>
        <w:t xml:space="preserve"> This option is similar to approaches adopted in Australia.</w:t>
      </w:r>
      <w:r>
        <w:rPr>
          <w:rStyle w:val="FootnoteReference"/>
        </w:rPr>
        <w:footnoteReference w:id="993"/>
      </w:r>
    </w:p>
    <w:p w14:paraId="7D42AC0C" w14:textId="07D0A8B9" w:rsidR="00842DCF" w:rsidRDefault="00842DCF" w:rsidP="00842DCF">
      <w:pPr>
        <w:pStyle w:val="QuestionBox"/>
      </w:pPr>
    </w:p>
    <w:p w14:paraId="0595EB4A" w14:textId="77777777" w:rsidR="00842DCF" w:rsidRDefault="00842DCF" w:rsidP="00842DCF">
      <w:pPr>
        <w:pStyle w:val="QuestionBox"/>
      </w:pPr>
    </w:p>
    <w:p w14:paraId="3221C2F6" w14:textId="01CF37A2" w:rsidR="00E13DFB" w:rsidRDefault="00E13DFB" w:rsidP="00842DCF">
      <w:pPr>
        <w:pStyle w:val="QuestionBox"/>
      </w:pPr>
      <w:r>
        <w:t>Should section 54 be amended to clarify that the privilege applies to related documents that meet the conditions described in subsections 54(1)(a) and (b) but are not communicated between the person requesting or obtaining professional legal services and the legal adviser?</w:t>
      </w:r>
    </w:p>
    <w:p w14:paraId="6381D978" w14:textId="77777777" w:rsidR="00842DCF" w:rsidRDefault="00842DCF" w:rsidP="00842DCF">
      <w:pPr>
        <w:pStyle w:val="QuestionBox"/>
      </w:pPr>
    </w:p>
    <w:p w14:paraId="544130E8" w14:textId="77777777" w:rsidR="00E13DFB" w:rsidRDefault="00E13DFB" w:rsidP="00842DCF">
      <w:pPr>
        <w:pStyle w:val="Heading2"/>
      </w:pPr>
      <w:bookmarkStart w:id="159" w:name="_Toc132962600"/>
      <w:r>
        <w:t>Termination of litigation privilege</w:t>
      </w:r>
      <w:bookmarkEnd w:id="159"/>
    </w:p>
    <w:p w14:paraId="63FE2772" w14:textId="77777777" w:rsidR="00E13DFB" w:rsidRDefault="00E13DFB" w:rsidP="00E13DFB">
      <w:pPr>
        <w:pStyle w:val="BodyText"/>
      </w:pPr>
      <w:r>
        <w:t>Section 56 establishes a privilege in relation to preparatory materials for proceedings known as “litigation privilege”. The purpose of l</w:t>
      </w:r>
      <w:r w:rsidRPr="0013576E">
        <w:t xml:space="preserve">itigation privilege is </w:t>
      </w:r>
      <w:r>
        <w:t xml:space="preserve">to </w:t>
      </w:r>
      <w:r w:rsidRPr="0013576E">
        <w:t>protect the adversarial process.</w:t>
      </w:r>
      <w:r w:rsidRPr="0013576E">
        <w:rPr>
          <w:rStyle w:val="FootnoteReference"/>
        </w:rPr>
        <w:footnoteReference w:id="994"/>
      </w:r>
      <w:r w:rsidRPr="0013576E">
        <w:t xml:space="preserve"> </w:t>
      </w:r>
      <w:r>
        <w:t>The Act does not address whether (and, if so, when) litigation privilege terminates.</w:t>
      </w:r>
    </w:p>
    <w:p w14:paraId="283C2139" w14:textId="77777777" w:rsidR="00E13DFB" w:rsidRDefault="00E13DFB" w:rsidP="00842DCF">
      <w:pPr>
        <w:pStyle w:val="Heading3"/>
      </w:pPr>
      <w:r>
        <w:t>What is the issue?</w:t>
      </w:r>
    </w:p>
    <w:p w14:paraId="25D35542" w14:textId="77777777" w:rsidR="00E13DFB" w:rsidRDefault="00E13DFB" w:rsidP="00E13DFB">
      <w:pPr>
        <w:pStyle w:val="BodyText"/>
      </w:pPr>
      <w:r>
        <w:t>The termination of litigation privilege is a long-standing issue that was considered in both previous Commission reviews of the Act.</w:t>
      </w:r>
      <w:r>
        <w:rPr>
          <w:rStyle w:val="FootnoteReference"/>
        </w:rPr>
        <w:footnoteReference w:id="995"/>
      </w:r>
      <w:r>
        <w:t xml:space="preserve"> Case law since the Second Review of the Act demonstrates that the law remains unsettled on this point, a </w:t>
      </w:r>
      <w:r w:rsidRPr="005C3CD8">
        <w:t>fact that continues to attract attention from commentators.</w:t>
      </w:r>
      <w:r w:rsidRPr="005C3CD8">
        <w:rPr>
          <w:rStyle w:val="FootnoteReference"/>
        </w:rPr>
        <w:footnoteReference w:id="996"/>
      </w:r>
    </w:p>
    <w:p w14:paraId="377A9EBE" w14:textId="77777777" w:rsidR="00E13DFB" w:rsidRDefault="00E13DFB" w:rsidP="00E13DFB">
      <w:pPr>
        <w:pStyle w:val="BodyText"/>
      </w:pPr>
      <w:r>
        <w:t>The same issue does not appear to arise in relation to legal advice privilege (section 54) or privilege for settlement negotiations, mediation or plea discussions (settlement privilege) (section 57). While the Act does not address whether these privileges terminate either, the established position in respect of legal advice privilege is that “once privileged, always privileged”.</w:t>
      </w:r>
      <w:r>
        <w:rPr>
          <w:rStyle w:val="FootnoteReference"/>
        </w:rPr>
        <w:footnoteReference w:id="997"/>
      </w:r>
      <w:r w:rsidRPr="003D5C33">
        <w:t xml:space="preserve"> </w:t>
      </w:r>
      <w:r>
        <w:t>That is, privileged documents remain privileged in all circumstances, unless that privilege is waived.</w:t>
      </w:r>
    </w:p>
    <w:p w14:paraId="7628A9B9" w14:textId="77777777" w:rsidR="00E13DFB" w:rsidRDefault="00E13DFB" w:rsidP="00E13DFB">
      <w:pPr>
        <w:pStyle w:val="BodyText"/>
      </w:pPr>
      <w:r>
        <w:lastRenderedPageBreak/>
        <w:t>In respect of settlement privilege, the High Court has previously suggested that the privilege does not terminate,</w:t>
      </w:r>
      <w:r>
        <w:rPr>
          <w:rStyle w:val="FootnoteReference"/>
        </w:rPr>
        <w:footnoteReference w:id="998"/>
      </w:r>
      <w:r>
        <w:t xml:space="preserve"> and the Court of Appeal recently confirmed this in relation to plea discussions.</w:t>
      </w:r>
      <w:r>
        <w:rPr>
          <w:rStyle w:val="FootnoteReference"/>
        </w:rPr>
        <w:footnoteReference w:id="999"/>
      </w:r>
      <w:r>
        <w:t xml:space="preserve"> The Court of Appeal explained that the rationale for the privilege is to encourage frank discussions between prosecution authorities and defendants with the aim of enhancing the prospect of agreement being reached.</w:t>
      </w:r>
      <w:r>
        <w:rPr>
          <w:rStyle w:val="FootnoteReference"/>
        </w:rPr>
        <w:footnoteReference w:id="1000"/>
      </w:r>
      <w:r>
        <w:t xml:space="preserve"> The Court acknowledged that the rationale for the privilege may be “substantially reduced” once a defendant pleads guilty and is sentenced, but saw merit in the submission that the general purpose for the privilege being extended to plea negotiations served a broader purpose relating to encouraging other defendants to engage with prosecutors in frank negotiations to achieve appropriate plea agreements.</w:t>
      </w:r>
      <w:r>
        <w:rPr>
          <w:rStyle w:val="FootnoteReference"/>
        </w:rPr>
        <w:footnoteReference w:id="1001"/>
      </w:r>
      <w:r>
        <w:t xml:space="preserve"> While the Court’s decision was focused on the application of section 57 in the criminal context, we think its reasons are equally applicable in the civil context. As the Commission explained in its 2013 Review:</w:t>
      </w:r>
      <w:r>
        <w:rPr>
          <w:rStyle w:val="FootnoteReference"/>
        </w:rPr>
        <w:footnoteReference w:id="1002"/>
      </w:r>
    </w:p>
    <w:p w14:paraId="11042216" w14:textId="77777777" w:rsidR="00E13DFB" w:rsidRPr="009A41B2" w:rsidRDefault="00E13DFB" w:rsidP="00E13DFB">
      <w:pPr>
        <w:pStyle w:val="Quote"/>
        <w:rPr>
          <w:highlight w:val="green"/>
        </w:rPr>
      </w:pPr>
      <w:r>
        <w:t xml:space="preserve">The settlement negotiation privilege … is intended to encourage settlement and avoid unnecessary trial. Things may be said and positions taken in a free and frank settlement exchange that a party may never want to be made public. Parties may not make certain offers or concessions if they thought there was a later chance of publicity. The argument for an </w:t>
      </w:r>
      <w:r w:rsidRPr="00265F76">
        <w:t>enduring privilege may therefore be greater in this area. …</w:t>
      </w:r>
    </w:p>
    <w:p w14:paraId="669C4D7A" w14:textId="77777777" w:rsidR="00E13DFB" w:rsidRDefault="00E13DFB" w:rsidP="00842DCF">
      <w:pPr>
        <w:pStyle w:val="Heading4"/>
      </w:pPr>
      <w:r>
        <w:t>Should litigation privilege terminate?</w:t>
      </w:r>
    </w:p>
    <w:p w14:paraId="155536F6" w14:textId="77777777" w:rsidR="00E13DFB" w:rsidRDefault="00E13DFB" w:rsidP="00E13DFB">
      <w:pPr>
        <w:pStyle w:val="BodyText"/>
      </w:pPr>
      <w:r>
        <w:t xml:space="preserve">There are different views on whether litigation privilege should terminate. One view is that litigation privilege should terminate once the litigation that created the privilege (and any related litigation) comes to an end. This was the approach favoured by the Supreme Court of Canada in </w:t>
      </w:r>
      <w:r>
        <w:rPr>
          <w:i/>
          <w:iCs/>
        </w:rPr>
        <w:t>Blank v Minister of Justice.</w:t>
      </w:r>
      <w:r w:rsidRPr="00105B27">
        <w:rPr>
          <w:rStyle w:val="FootnoteReference"/>
        </w:rPr>
        <w:footnoteReference w:id="1003"/>
      </w:r>
      <w:r>
        <w:rPr>
          <w:i/>
          <w:iCs/>
        </w:rPr>
        <w:t xml:space="preserve"> </w:t>
      </w:r>
      <w:r w:rsidRPr="0013576E">
        <w:t xml:space="preserve">The basis for this approach lies in the policy underlying the privilege. In the words of </w:t>
      </w:r>
      <w:r w:rsidRPr="0013576E">
        <w:rPr>
          <w:i/>
          <w:iCs/>
        </w:rPr>
        <w:t>Blank</w:t>
      </w:r>
      <w:r w:rsidRPr="00224905">
        <w:t>,</w:t>
      </w:r>
      <w:r w:rsidRPr="0013576E">
        <w:rPr>
          <w:i/>
          <w:iCs/>
        </w:rPr>
        <w:t xml:space="preserve"> </w:t>
      </w:r>
      <w:r w:rsidRPr="0013576E">
        <w:t>its purpose is to create a “zone of privacy” in relation to pending or apprehended litigation.</w:t>
      </w:r>
      <w:r w:rsidRPr="0013576E">
        <w:rPr>
          <w:rStyle w:val="FootnoteReference"/>
        </w:rPr>
        <w:footnoteReference w:id="1004"/>
      </w:r>
      <w:r w:rsidRPr="0013576E">
        <w:t xml:space="preserve"> Once that need has been exhausted</w:t>
      </w:r>
      <w:r>
        <w:t xml:space="preserve"> and</w:t>
      </w:r>
      <w:r w:rsidRPr="0013576E">
        <w:t xml:space="preserve"> litigation has concluded, it is argued that there is no need for the privilege to endure.</w:t>
      </w:r>
      <w:r w:rsidRPr="0013576E">
        <w:rPr>
          <w:rStyle w:val="FootnoteReference"/>
        </w:rPr>
        <w:footnoteReference w:id="1005"/>
      </w:r>
      <w:r>
        <w:t xml:space="preserve"> </w:t>
      </w:r>
      <w:r w:rsidRPr="0075238D">
        <w:t xml:space="preserve">The decision in </w:t>
      </w:r>
      <w:r w:rsidRPr="0075238D">
        <w:rPr>
          <w:i/>
          <w:iCs/>
        </w:rPr>
        <w:t xml:space="preserve">Blank </w:t>
      </w:r>
      <w:r w:rsidRPr="0075238D">
        <w:t>has been cited with approval in several New Zealand cases.</w:t>
      </w:r>
      <w:r w:rsidRPr="0075238D">
        <w:rPr>
          <w:rStyle w:val="FootnoteReference"/>
        </w:rPr>
        <w:footnoteReference w:id="1006"/>
      </w:r>
      <w:r w:rsidRPr="0075238D">
        <w:t xml:space="preserve"> </w:t>
      </w:r>
      <w:r w:rsidRPr="0075238D">
        <w:lastRenderedPageBreak/>
        <w:t>However, it “does not have a firm hold”,</w:t>
      </w:r>
      <w:r w:rsidRPr="0075238D">
        <w:rPr>
          <w:rStyle w:val="FootnoteReference"/>
        </w:rPr>
        <w:footnoteReference w:id="1007"/>
      </w:r>
      <w:r w:rsidRPr="0075238D">
        <w:t xml:space="preserve"> with neither the Court of Appeal nor Supreme Court having considered the matter.</w:t>
      </w:r>
      <w:r w:rsidRPr="0075238D">
        <w:rPr>
          <w:rStyle w:val="FootnoteReference"/>
        </w:rPr>
        <w:footnoteReference w:id="1008"/>
      </w:r>
    </w:p>
    <w:p w14:paraId="012A3597" w14:textId="77777777" w:rsidR="00E13DFB" w:rsidRDefault="00E13DFB" w:rsidP="00E13DFB">
      <w:pPr>
        <w:pStyle w:val="BodyText"/>
      </w:pPr>
      <w:r>
        <w:t>Another view is that litigation privilege should not terminate. This appears to be the preferred approach in England and Wales.</w:t>
      </w:r>
      <w:r>
        <w:rPr>
          <w:rStyle w:val="FootnoteReference"/>
        </w:rPr>
        <w:footnoteReference w:id="1009"/>
      </w:r>
      <w:r>
        <w:t xml:space="preserve"> This approach treats litigation privilege the same as legal advice privilege and settlement privilege, thereby promoting a more coherent scheme. It might, for example, be considered odd that privilege endures in relation to any concessions made during without prejudice discussions to settle a proceeding but not in relation to any concessions recorded in confidential material that was prepared by one party for that same proceeding. This approach would also avoid the practical difficulties that would inevitably arise in trying to determine when litigation, including any “related litigation”, is at an end.</w:t>
      </w:r>
      <w:r>
        <w:rPr>
          <w:rStyle w:val="FootnoteReference"/>
        </w:rPr>
        <w:footnoteReference w:id="1010"/>
      </w:r>
    </w:p>
    <w:p w14:paraId="4B569A80" w14:textId="77777777" w:rsidR="00E13DFB" w:rsidRDefault="00E13DFB" w:rsidP="00842DCF">
      <w:pPr>
        <w:pStyle w:val="Heading4"/>
      </w:pPr>
      <w:r>
        <w:t>Previous Commission consideration</w:t>
      </w:r>
    </w:p>
    <w:p w14:paraId="547206A1" w14:textId="77777777" w:rsidR="00E13DFB" w:rsidRDefault="00E13DFB" w:rsidP="00E13DFB">
      <w:pPr>
        <w:pStyle w:val="BodyText"/>
      </w:pPr>
      <w:r>
        <w:t>In its 2013 Review, the Commission did not express a view on whether litigation privilege should terminate but instead recommended that any problems be considered at the next periodic review. It noted, however, that it was not aware of this issue causing problems in practice and observed that it may be difficult to neatly encapsulate the idea of “termination” in legislation given this would likely be driven by the facts in any given case.</w:t>
      </w:r>
      <w:r>
        <w:rPr>
          <w:rStyle w:val="FootnoteReference"/>
        </w:rPr>
        <w:footnoteReference w:id="1011"/>
      </w:r>
    </w:p>
    <w:p w14:paraId="35752388" w14:textId="77777777" w:rsidR="00E13DFB" w:rsidRDefault="00E13DFB" w:rsidP="00E13DFB">
      <w:pPr>
        <w:pStyle w:val="BodyText"/>
      </w:pPr>
      <w:r>
        <w:t>In the Second Review, the Commission noted that several cases had considered whether litigation privilege should terminate without reaching a definitive conclusion.</w:t>
      </w:r>
      <w:r>
        <w:rPr>
          <w:rStyle w:val="FootnoteReference"/>
        </w:rPr>
        <w:footnoteReference w:id="1012"/>
      </w:r>
      <w:r>
        <w:t xml:space="preserve"> Few submitters addressed the issue and the views of those who did were mixed on whether the Act should be amended and, if so, whether litigation privilege should terminate.</w:t>
      </w:r>
      <w:r>
        <w:rPr>
          <w:rStyle w:val="FootnoteReference"/>
        </w:rPr>
        <w:footnoteReference w:id="1013"/>
      </w:r>
      <w:r>
        <w:t xml:space="preserve"> </w:t>
      </w:r>
    </w:p>
    <w:p w14:paraId="69E0F876" w14:textId="77777777" w:rsidR="00E13DFB" w:rsidRDefault="00E13DFB" w:rsidP="00E13DFB">
      <w:pPr>
        <w:pStyle w:val="BodyText"/>
      </w:pPr>
      <w:r>
        <w:t xml:space="preserve">The Commission expressed a view that litigation privilege </w:t>
      </w:r>
      <w:r w:rsidRPr="00DF5B89">
        <w:rPr>
          <w:i/>
          <w:iCs/>
        </w:rPr>
        <w:t>should</w:t>
      </w:r>
      <w:r>
        <w:t xml:space="preserve"> terminate once the litigation with which it is connected ends, but that there be an exception for ongoing related litigation.</w:t>
      </w:r>
      <w:r>
        <w:rPr>
          <w:rStyle w:val="FootnoteReference"/>
        </w:rPr>
        <w:footnoteReference w:id="1014"/>
      </w:r>
      <w:r>
        <w:t xml:space="preserve"> The Commission did not, however, recommend amending the Act on the basis that determining when related litigation is pending or anticipated is likely to be a fact-specific exercise and a matter best left to the courts to determine on a case-by-case basis.</w:t>
      </w:r>
    </w:p>
    <w:p w14:paraId="76A8C1D2" w14:textId="77777777" w:rsidR="00E13DFB" w:rsidRDefault="00E13DFB" w:rsidP="00842DCF">
      <w:pPr>
        <w:pStyle w:val="Heading4"/>
      </w:pPr>
      <w:r>
        <w:lastRenderedPageBreak/>
        <w:t xml:space="preserve">Developments since the Second Review </w:t>
      </w:r>
    </w:p>
    <w:p w14:paraId="43209844" w14:textId="77777777" w:rsidR="00E13DFB" w:rsidRDefault="00E13DFB" w:rsidP="00E13DFB">
      <w:pPr>
        <w:pStyle w:val="BodyText"/>
      </w:pPr>
      <w:r>
        <w:t xml:space="preserve">In </w:t>
      </w:r>
      <w:r>
        <w:rPr>
          <w:i/>
          <w:iCs/>
        </w:rPr>
        <w:t>Minister of Education v James Hardie New Zealand</w:t>
      </w:r>
      <w:r w:rsidRPr="000A3DAD">
        <w:t>,</w:t>
      </w:r>
      <w:r>
        <w:t xml:space="preserve"> the High Court did not have to decide whether litigation privilege had terminated but made some observations.</w:t>
      </w:r>
      <w:r>
        <w:rPr>
          <w:rStyle w:val="FootnoteReference"/>
        </w:rPr>
        <w:footnoteReference w:id="1015"/>
      </w:r>
      <w:r>
        <w:t xml:space="preserve"> The Court expressed “some sympathy” for the view that the conclusion reached in </w:t>
      </w:r>
      <w:r>
        <w:rPr>
          <w:i/>
          <w:iCs/>
        </w:rPr>
        <w:t xml:space="preserve">Blank </w:t>
      </w:r>
      <w:r>
        <w:t>is not available under the Act,</w:t>
      </w:r>
      <w:r>
        <w:rPr>
          <w:rStyle w:val="FootnoteReference"/>
        </w:rPr>
        <w:footnoteReference w:id="1016"/>
      </w:r>
      <w:r>
        <w:t xml:space="preserve"> observing:</w:t>
      </w:r>
      <w:r>
        <w:rPr>
          <w:rStyle w:val="FootnoteReference"/>
        </w:rPr>
        <w:footnoteReference w:id="1017"/>
      </w:r>
    </w:p>
    <w:p w14:paraId="547E2FA9" w14:textId="77777777" w:rsidR="00E13DFB" w:rsidRPr="00A81A36" w:rsidRDefault="00E13DFB" w:rsidP="00E13DFB">
      <w:pPr>
        <w:pStyle w:val="Quote"/>
      </w:pPr>
      <w:r>
        <w:t xml:space="preserve">In my view, the proper interpretation and application of s 53 to this issue is likely to be key. That section does not appear to contemplate litigation privilege ceasing at the conclusion of the proceedings in relation to which the relevant documents had been prepared. Rather, s 53(1) expressly provides that a person who has a privilege conferred by </w:t>
      </w:r>
      <w:r w:rsidRPr="0085260E">
        <w:rPr>
          <w:i/>
          <w:iCs/>
        </w:rPr>
        <w:t>any</w:t>
      </w:r>
      <w:r>
        <w:t xml:space="preserve"> of ss 54 to 59 “</w:t>
      </w:r>
      <w:r w:rsidRPr="0085260E">
        <w:rPr>
          <w:i/>
          <w:iCs/>
        </w:rPr>
        <w:t>has</w:t>
      </w:r>
      <w:r>
        <w:t xml:space="preserve"> the right to refuse” to disclose the document or communication “</w:t>
      </w:r>
      <w:r w:rsidRPr="0085260E">
        <w:rPr>
          <w:i/>
          <w:iCs/>
        </w:rPr>
        <w:t>in a proceeding</w:t>
      </w:r>
      <w:r>
        <w:t xml:space="preserve"> …” (emphasis added). Accordingly, s 53(1) does not distinguish between any of the different forms of privilege for the purposes of the duration of that privilege. Nor is the type of proceeding in which a privilege-holder has the “right” to refuse to disclose a privileged document limited, at least in the case of litigation privilege, to the related proceedings contemplated in </w:t>
      </w:r>
      <w:r w:rsidRPr="00377AD7">
        <w:rPr>
          <w:i/>
          <w:iCs/>
        </w:rPr>
        <w:t>Blank</w:t>
      </w:r>
      <w:r>
        <w:t>.</w:t>
      </w:r>
    </w:p>
    <w:p w14:paraId="07F740C3" w14:textId="77777777" w:rsidR="00E13DFB" w:rsidRDefault="00E13DFB" w:rsidP="00E13DFB">
      <w:pPr>
        <w:pStyle w:val="BodyText"/>
      </w:pPr>
      <w:r>
        <w:t xml:space="preserve">The Court also expressed concern as to how the </w:t>
      </w:r>
      <w:r>
        <w:rPr>
          <w:i/>
          <w:iCs/>
        </w:rPr>
        <w:t xml:space="preserve">Blank </w:t>
      </w:r>
      <w:r>
        <w:t>approach might operate in practice, querying whether subsequent related proceedings would “re-attach” privilege to the documents concerned and what this would mean if the documents had lost their confidentiality in the intervening period.</w:t>
      </w:r>
      <w:r>
        <w:rPr>
          <w:rStyle w:val="FootnoteReference"/>
        </w:rPr>
        <w:footnoteReference w:id="1018"/>
      </w:r>
    </w:p>
    <w:p w14:paraId="337C2E91" w14:textId="77777777" w:rsidR="00E13DFB" w:rsidRDefault="00E13DFB" w:rsidP="00E13DFB">
      <w:pPr>
        <w:pStyle w:val="BodyText"/>
      </w:pPr>
      <w:r>
        <w:t xml:space="preserve">The matter also attracted comment from the High Court in </w:t>
      </w:r>
      <w:r>
        <w:rPr>
          <w:i/>
          <w:iCs/>
        </w:rPr>
        <w:t>Metlifecare Retirement Villages Ltd v James Hardie New Zealand Ltd</w:t>
      </w:r>
      <w:r w:rsidRPr="005C68FE">
        <w:t>.</w:t>
      </w:r>
      <w:r w:rsidRPr="005C68FE">
        <w:rPr>
          <w:rStyle w:val="FootnoteReference"/>
        </w:rPr>
        <w:footnoteReference w:id="1019"/>
      </w:r>
      <w:r>
        <w:rPr>
          <w:i/>
          <w:iCs/>
        </w:rPr>
        <w:t xml:space="preserve"> </w:t>
      </w:r>
      <w:r>
        <w:t>The Court noted that counsel “properly accepted that the principle once privileged, always privileged, applied even if the privilege was in relation to a different legal dispute”.</w:t>
      </w:r>
      <w:r>
        <w:rPr>
          <w:rStyle w:val="FootnoteReference"/>
        </w:rPr>
        <w:footnoteReference w:id="1020"/>
      </w:r>
    </w:p>
    <w:p w14:paraId="3E132D38" w14:textId="77777777" w:rsidR="00E13DFB" w:rsidRDefault="00E13DFB" w:rsidP="00842DCF">
      <w:pPr>
        <w:pStyle w:val="Heading3"/>
      </w:pPr>
      <w:r>
        <w:t>Is legislative reform necessary or desirable?</w:t>
      </w:r>
    </w:p>
    <w:p w14:paraId="00BA8E32" w14:textId="77777777" w:rsidR="00E13DFB" w:rsidRDefault="00E13DFB" w:rsidP="00E13DFB">
      <w:pPr>
        <w:pStyle w:val="BodyText"/>
      </w:pPr>
      <w:r>
        <w:t>We seek submissions on whether the Act should be amended to clarify whether (and, if so, when) litigation privilege terminates. In previous reviews, the Commission concluded that it was appropriate to leave this matter to be determined by the courts. It may be that this remains the most appropriate approach. On the other hand, the absence of certainty may be causing problems in practice. In any event, the fact the law remains unsettled 16 years after the Act came into force may suggest reform is desirable to promote clarity and certainty.</w:t>
      </w:r>
    </w:p>
    <w:p w14:paraId="0FEDC745" w14:textId="77777777" w:rsidR="00E13DFB" w:rsidRPr="00766CD4" w:rsidRDefault="00E13DFB" w:rsidP="00E13DFB">
      <w:pPr>
        <w:pStyle w:val="BodyText"/>
      </w:pPr>
      <w:r>
        <w:t xml:space="preserve">If reform is considered necessary or desirable, a policy decision needs to be made on what approach is to be preferred. There does not appear to be consensus on this issue. The position favoured by the Commission in its Second Review, that litigation privilege should terminate, has not been favoured in subsequent case law. </w:t>
      </w:r>
      <w:r w:rsidRPr="00766CD4">
        <w:rPr>
          <w:rFonts w:cstheme="minorHAnsi"/>
          <w:szCs w:val="20"/>
        </w:rPr>
        <w:t xml:space="preserve">The authors of </w:t>
      </w:r>
      <w:r w:rsidRPr="00766CD4">
        <w:rPr>
          <w:rFonts w:cstheme="minorHAnsi"/>
          <w:i/>
          <w:szCs w:val="20"/>
        </w:rPr>
        <w:t>Mahoney on Evidence</w:t>
      </w:r>
      <w:r w:rsidRPr="00766CD4">
        <w:rPr>
          <w:rFonts w:cstheme="minorHAnsi"/>
          <w:szCs w:val="20"/>
        </w:rPr>
        <w:t xml:space="preserve"> have similarly suggested that “the better approach is for the rule of “once privileged always privileged” to be of universal application under the Act</w:t>
      </w:r>
      <w:r>
        <w:rPr>
          <w:rFonts w:cstheme="minorHAnsi"/>
          <w:szCs w:val="20"/>
        </w:rPr>
        <w:t>”.</w:t>
      </w:r>
      <w:r>
        <w:rPr>
          <w:rStyle w:val="FootnoteReference"/>
          <w:rFonts w:cstheme="minorHAnsi"/>
          <w:szCs w:val="20"/>
        </w:rPr>
        <w:footnoteReference w:id="1021"/>
      </w:r>
      <w:r w:rsidRPr="00766CD4">
        <w:rPr>
          <w:rFonts w:cstheme="minorHAnsi"/>
          <w:szCs w:val="20"/>
        </w:rPr>
        <w:t xml:space="preserve"> Allison </w:t>
      </w:r>
      <w:r w:rsidRPr="00766CD4">
        <w:rPr>
          <w:rFonts w:cstheme="minorHAnsi"/>
          <w:szCs w:val="20"/>
        </w:rPr>
        <w:lastRenderedPageBreak/>
        <w:t>Ferguson and Guy Tompkins also note that “arguably, if parliament had intended for any particular type of privilege to only subsist for a defined period of time, it would have been expressly provided for in the relevant position”.</w:t>
      </w:r>
      <w:r>
        <w:rPr>
          <w:rStyle w:val="FootnoteReference"/>
          <w:rFonts w:cstheme="minorHAnsi"/>
          <w:szCs w:val="20"/>
        </w:rPr>
        <w:footnoteReference w:id="1022"/>
      </w:r>
      <w:r w:rsidRPr="00766CD4">
        <w:rPr>
          <w:rFonts w:cstheme="minorHAnsi"/>
          <w:szCs w:val="20"/>
        </w:rPr>
        <w:t xml:space="preserve"> </w:t>
      </w:r>
      <w:r>
        <w:rPr>
          <w:rFonts w:cstheme="minorHAnsi"/>
          <w:szCs w:val="20"/>
        </w:rPr>
        <w:t>On the other hand, a</w:t>
      </w:r>
      <w:r w:rsidRPr="00766CD4">
        <w:rPr>
          <w:rFonts w:cstheme="minorHAnsi"/>
          <w:szCs w:val="20"/>
        </w:rPr>
        <w:t xml:space="preserve"> different interpretation is favoured by Sean McAnally, who argues that sections 53 and 56 “are more consistent with the </w:t>
      </w:r>
      <w:r w:rsidRPr="00766CD4">
        <w:rPr>
          <w:rFonts w:cstheme="minorHAnsi"/>
          <w:i/>
          <w:iCs/>
          <w:szCs w:val="20"/>
        </w:rPr>
        <w:t xml:space="preserve">Blank </w:t>
      </w:r>
      <w:r w:rsidRPr="00766CD4">
        <w:rPr>
          <w:rFonts w:cstheme="minorHAnsi"/>
          <w:szCs w:val="20"/>
        </w:rPr>
        <w:t>approach than not”.</w:t>
      </w:r>
      <w:r>
        <w:rPr>
          <w:rStyle w:val="FootnoteReference"/>
          <w:rFonts w:cstheme="minorHAnsi"/>
          <w:szCs w:val="20"/>
        </w:rPr>
        <w:footnoteReference w:id="1023"/>
      </w:r>
    </w:p>
    <w:p w14:paraId="300250E6" w14:textId="3086D6F0" w:rsidR="00E13DFB" w:rsidRDefault="00842DCF" w:rsidP="00E13DFB">
      <w:pPr>
        <w:pStyle w:val="BodyText"/>
      </w:pPr>
      <w:r>
        <w:rPr>
          <w:noProof/>
        </w:rPr>
        <mc:AlternateContent>
          <mc:Choice Requires="wpg">
            <w:drawing>
              <wp:anchor distT="0" distB="0" distL="114300" distR="114300" simplePos="0" relativeHeight="251658360" behindDoc="1" locked="0" layoutInCell="1" allowOverlap="1" wp14:anchorId="18AE7D66" wp14:editId="29F81956">
                <wp:simplePos x="0" y="0"/>
                <wp:positionH relativeFrom="column">
                  <wp:posOffset>-2540</wp:posOffset>
                </wp:positionH>
                <wp:positionV relativeFrom="paragraph">
                  <wp:posOffset>1021080</wp:posOffset>
                </wp:positionV>
                <wp:extent cx="5760085" cy="2060575"/>
                <wp:effectExtent l="0" t="0" r="0" b="0"/>
                <wp:wrapNone/>
                <wp:docPr id="764518075" name="Group 764518075" descr="Question"/>
                <wp:cNvGraphicFramePr/>
                <a:graphic xmlns:a="http://schemas.openxmlformats.org/drawingml/2006/main">
                  <a:graphicData uri="http://schemas.microsoft.com/office/word/2010/wordprocessingGroup">
                    <wpg:wgp>
                      <wpg:cNvGrpSpPr/>
                      <wpg:grpSpPr>
                        <a:xfrm>
                          <a:off x="0" y="0"/>
                          <a:ext cx="5760085" cy="2060575"/>
                          <a:chOff x="0" y="62865"/>
                          <a:chExt cx="5760085" cy="2061908"/>
                        </a:xfrm>
                      </wpg:grpSpPr>
                      <wps:wsp>
                        <wps:cNvPr id="76451807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8EEEA7" w14:textId="77777777" w:rsidR="00842DCF" w:rsidRDefault="00842DCF" w:rsidP="00842DCF">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77" name="Group 53"/>
                        <wpg:cNvGrpSpPr>
                          <a:grpSpLocks/>
                        </wpg:cNvGrpSpPr>
                        <wpg:grpSpPr bwMode="auto">
                          <a:xfrm>
                            <a:off x="0" y="315613"/>
                            <a:ext cx="5760085" cy="1809160"/>
                            <a:chOff x="1837" y="1785"/>
                            <a:chExt cx="9302" cy="19542"/>
                          </a:xfrm>
                        </wpg:grpSpPr>
                        <wps:wsp>
                          <wps:cNvPr id="764518078" name="Freeform 54"/>
                          <wps:cNvSpPr>
                            <a:spLocks/>
                          </wps:cNvSpPr>
                          <wps:spPr bwMode="auto">
                            <a:xfrm>
                              <a:off x="1837" y="1785"/>
                              <a:ext cx="9302" cy="1954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79" name="Group 764518079"/>
                        <wpg:cNvGrpSpPr/>
                        <wpg:grpSpPr>
                          <a:xfrm>
                            <a:off x="0" y="494036"/>
                            <a:ext cx="1443794" cy="252000"/>
                            <a:chOff x="-15880" y="0"/>
                            <a:chExt cx="1444379" cy="252068"/>
                          </a:xfrm>
                        </wpg:grpSpPr>
                        <wps:wsp>
                          <wps:cNvPr id="25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C6F9C6" w14:textId="77777777" w:rsidR="00842DCF" w:rsidRPr="00E90B8A" w:rsidRDefault="00842DCF" w:rsidP="00842DCF">
                                <w:pPr>
                                  <w:pStyle w:val="BoxTitle"/>
                                  <w:spacing w:before="0" w:beforeAutospacing="0"/>
                                  <w:rPr>
                                    <w:sz w:val="18"/>
                                    <w:szCs w:val="18"/>
                                  </w:rPr>
                                </w:pPr>
                                <w:r w:rsidRPr="00E90B8A">
                                  <w:rPr>
                                    <w:sz w:val="18"/>
                                    <w:szCs w:val="18"/>
                                  </w:rPr>
                                  <w:t>Q</w:t>
                                </w:r>
                                <w:r>
                                  <w:rPr>
                                    <w:sz w:val="18"/>
                                    <w:szCs w:val="18"/>
                                  </w:rPr>
                                  <w:t>56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8AE7D66" id="Group 764518075" o:spid="_x0000_s1428" alt="Question" style="position:absolute;left:0;text-align:left;margin-left:-.2pt;margin-top:80.4pt;width:453.55pt;height:162.25pt;z-index:-251658120;mso-height-relative:margin" coordorigin=",628" coordsize="57600,2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">
                <v:shape id="Freeform 52" o:spid="_x0000_s142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78EEEA7" w14:textId="77777777" w:rsidR="00842DCF" w:rsidRDefault="00842DCF" w:rsidP="00842DCF">
                        <w:pPr>
                          <w:pStyle w:val="BoxTitle"/>
                          <w:spacing w:before="0" w:beforeAutospacing="0"/>
                        </w:pPr>
                        <w:r w:rsidRPr="007F6876">
                          <w:t>QUESTION</w:t>
                        </w:r>
                      </w:p>
                    </w:txbxContent>
                  </v:textbox>
                </v:shape>
                <v:group id="Group 53" o:spid="_x0000_s1430" style="position:absolute;top:3156;width:57600;height:18091" coordorigin="1837,1785" coordsize="9302,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">
                  <v:shape id="Freeform 54" o:spid="_x0000_s1431" style="position:absolute;left:1837;top:1785;width:9302;height:1954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" path="m,l9354,r,7809l,7809,,e" fillcolor="#edf2ea" stroked="f">
                    <v:path arrowok="t" o:connecttype="custom" o:connectlocs="0,2502;9302,2502;9302,22044;0,22044;0,2502" o:connectangles="0,0,0,0,0"/>
                  </v:shape>
                </v:group>
                <v:group id="Group 764518079" o:spid="_x0000_s143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">
                  <v:shape id="Freeform 58" o:spid="_x0000_s143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" path="m,l1815,e" filled="f" strokecolor="#72ab6a" strokeweight=".5pt">
                    <v:path arrowok="t" o:connecttype="custom" o:connectlocs="0,0;1073495,0" o:connectangles="0,0"/>
                  </v:shape>
                  <v:shape id="Freeform 66" o:spid="_x0000_s143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CC6F9C6" w14:textId="77777777" w:rsidR="00842DCF" w:rsidRPr="00E90B8A" w:rsidRDefault="00842DCF" w:rsidP="00842DCF">
                          <w:pPr>
                            <w:pStyle w:val="BoxTitle"/>
                            <w:spacing w:before="0" w:beforeAutospacing="0"/>
                            <w:rPr>
                              <w:sz w:val="18"/>
                              <w:szCs w:val="18"/>
                            </w:rPr>
                          </w:pPr>
                          <w:r w:rsidRPr="00E90B8A">
                            <w:rPr>
                              <w:sz w:val="18"/>
                              <w:szCs w:val="18"/>
                            </w:rPr>
                            <w:t>Q</w:t>
                          </w:r>
                          <w:r>
                            <w:rPr>
                              <w:sz w:val="18"/>
                              <w:szCs w:val="18"/>
                            </w:rPr>
                            <w:t>56</w:t>
                          </w:r>
                        </w:p>
                      </w:txbxContent>
                    </v:textbox>
                  </v:shape>
                </v:group>
              </v:group>
            </w:pict>
          </mc:Fallback>
        </mc:AlternateContent>
      </w:r>
      <w:r w:rsidR="00E13DFB">
        <w:t xml:space="preserve">Finally, we note that, if the preferred view is that litigation privilege should not terminate, it may be desirable to amend the Act by including a new provision that </w:t>
      </w:r>
      <w:r w:rsidR="00E13DFB" w:rsidRPr="00766CD4">
        <w:rPr>
          <w:i/>
          <w:iCs/>
        </w:rPr>
        <w:t>also</w:t>
      </w:r>
      <w:r w:rsidR="00E13DFB">
        <w:t xml:space="preserve"> confirms the position with respect to legal advice privilege and settlement privilege. While the position in respect of these privileges is more settled, it would be inconsistent to amend the Act to address the termination status of one but not the other legal privileges.</w:t>
      </w:r>
    </w:p>
    <w:p w14:paraId="3B4E8D64" w14:textId="20A33722" w:rsidR="00842DCF" w:rsidRDefault="00842DCF" w:rsidP="00842DCF">
      <w:pPr>
        <w:pStyle w:val="QuestionBox"/>
      </w:pPr>
    </w:p>
    <w:p w14:paraId="57D39521" w14:textId="77777777" w:rsidR="00842DCF" w:rsidRDefault="00842DCF" w:rsidP="00842DCF">
      <w:pPr>
        <w:pStyle w:val="QuestionBox"/>
      </w:pPr>
    </w:p>
    <w:p w14:paraId="63E65AB0" w14:textId="4F930FD7" w:rsidR="00E13DFB" w:rsidRDefault="00E13DFB" w:rsidP="00842DCF">
      <w:pPr>
        <w:pStyle w:val="QuestionBox"/>
      </w:pPr>
      <w:r>
        <w:t>Is the uncertainty as to whether and/or when litigation privilege terminates causing any problems in practice? If so, should the Act be amended to clarify:</w:t>
      </w:r>
    </w:p>
    <w:p w14:paraId="1731ECF1" w14:textId="77777777" w:rsidR="00E13DFB" w:rsidRDefault="00E13DFB" w:rsidP="00866891">
      <w:pPr>
        <w:pStyle w:val="Questionabc"/>
        <w:numPr>
          <w:ilvl w:val="0"/>
          <w:numId w:val="77"/>
        </w:numPr>
        <w:ind w:left="1418" w:hanging="425"/>
      </w:pPr>
      <w:r>
        <w:t>that litigation privilege terminates at the conclusion of the relevant proceeding and any connected litigation; or</w:t>
      </w:r>
    </w:p>
    <w:p w14:paraId="715B90FF" w14:textId="77777777" w:rsidR="00E13DFB" w:rsidRDefault="00E13DFB" w:rsidP="00842DCF">
      <w:pPr>
        <w:pStyle w:val="Questionabc"/>
      </w:pPr>
      <w:r>
        <w:t>that litigation privilege, along with legal advice privilege and settlement privilege, does not terminate except as provided for in the Act?</w:t>
      </w:r>
    </w:p>
    <w:p w14:paraId="3CAC3D56" w14:textId="77777777" w:rsidR="00842DCF" w:rsidRPr="00842DCF" w:rsidRDefault="00842DCF" w:rsidP="00842DCF">
      <w:pPr>
        <w:pStyle w:val="QuestionBox"/>
        <w:rPr>
          <w:lang w:eastAsia="en-US"/>
        </w:rPr>
      </w:pPr>
    </w:p>
    <w:p w14:paraId="60D6705C" w14:textId="77777777" w:rsidR="00E13DFB" w:rsidRDefault="00E13DFB" w:rsidP="00842DCF">
      <w:pPr>
        <w:pStyle w:val="Heading2"/>
      </w:pPr>
      <w:bookmarkStart w:id="160" w:name="_Toc132962601"/>
      <w:r>
        <w:t>Litigation privilege and confidentiality</w:t>
      </w:r>
      <w:bookmarkEnd w:id="160"/>
    </w:p>
    <w:p w14:paraId="1DA15EA7" w14:textId="77777777" w:rsidR="00E13DFB" w:rsidRDefault="00E13DFB" w:rsidP="00E13DFB">
      <w:pPr>
        <w:pStyle w:val="BodyText"/>
      </w:pPr>
      <w:r>
        <w:t>Unlike sections 54 and 57, section 56 does not include any reference to confidentiality. This appears to be a drafting error and there is clear Supreme Court authority that confirms that, for litigation privilege to attach to a communication or information, it must have been intended to be confidential.</w:t>
      </w:r>
      <w:r>
        <w:rPr>
          <w:rStyle w:val="FootnoteReference"/>
        </w:rPr>
        <w:footnoteReference w:id="1024"/>
      </w:r>
    </w:p>
    <w:p w14:paraId="52B8EF5A" w14:textId="77777777" w:rsidR="00E13DFB" w:rsidRDefault="00E13DFB" w:rsidP="00E13DFB">
      <w:pPr>
        <w:pStyle w:val="BodyText"/>
      </w:pPr>
      <w:r>
        <w:t>While the law is settled on this point, we seek submissions on whether the absence of a reference to confidentiality in section 56 is creating confusion or otherwise causing problems in practice. If so, it may be desirable to correct the drafting issue by amending section 56(1) so that it provides as follows (additions underlined):</w:t>
      </w:r>
    </w:p>
    <w:p w14:paraId="1BC342DD" w14:textId="77777777" w:rsidR="00E13DFB" w:rsidRDefault="00E13DFB" w:rsidP="00E13DFB">
      <w:pPr>
        <w:pStyle w:val="Quote"/>
      </w:pPr>
      <w:r>
        <w:t>(1)</w:t>
      </w:r>
      <w:r>
        <w:tab/>
        <w:t>Subsection (2) applies to a communication or information only if the communication or information is</w:t>
      </w:r>
      <w:r w:rsidRPr="00401915">
        <w:rPr>
          <w:u w:val="single"/>
        </w:rPr>
        <w:t>:</w:t>
      </w:r>
    </w:p>
    <w:p w14:paraId="2CE8D2BB" w14:textId="77777777" w:rsidR="00E13DFB" w:rsidRPr="00D54390" w:rsidRDefault="00E13DFB" w:rsidP="00E13DFB">
      <w:pPr>
        <w:pStyle w:val="Quote"/>
        <w:rPr>
          <w:u w:val="single"/>
        </w:rPr>
      </w:pPr>
      <w:r w:rsidRPr="00D54390">
        <w:rPr>
          <w:u w:val="single"/>
        </w:rPr>
        <w:t>(a)</w:t>
      </w:r>
      <w:r w:rsidRPr="00D54390">
        <w:rPr>
          <w:u w:val="single"/>
        </w:rPr>
        <w:tab/>
        <w:t>intended to be confidential; and</w:t>
      </w:r>
    </w:p>
    <w:p w14:paraId="7AE91D7B" w14:textId="77777777" w:rsidR="00E13DFB" w:rsidRPr="00057395" w:rsidRDefault="00E13DFB" w:rsidP="00E13DFB">
      <w:pPr>
        <w:pStyle w:val="Quote"/>
      </w:pPr>
      <w:r w:rsidRPr="003E1FE3">
        <w:rPr>
          <w:u w:val="single"/>
        </w:rPr>
        <w:t>(</w:t>
      </w:r>
      <w:r>
        <w:rPr>
          <w:u w:val="single"/>
        </w:rPr>
        <w:t>b</w:t>
      </w:r>
      <w:r w:rsidRPr="003E1FE3">
        <w:rPr>
          <w:u w:val="single"/>
        </w:rPr>
        <w:t>)</w:t>
      </w:r>
      <w:r>
        <w:t xml:space="preserve"> made, received, compiled, or prepared for the dominant purpose of preparing for a proceeding or an apprehended proceeding (the proceeding). </w:t>
      </w:r>
    </w:p>
    <w:p w14:paraId="693888E1" w14:textId="77777777" w:rsidR="00842DCF" w:rsidRDefault="00842DCF" w:rsidP="00842DCF">
      <w:pPr>
        <w:pStyle w:val="QuestionBox"/>
      </w:pPr>
    </w:p>
    <w:p w14:paraId="38EAF715" w14:textId="3D575EAF" w:rsidR="00842DCF" w:rsidRDefault="00842DCF" w:rsidP="00842DCF">
      <w:pPr>
        <w:pStyle w:val="QuestionBox"/>
      </w:pPr>
      <w:r>
        <w:rPr>
          <w:noProof/>
        </w:rPr>
        <w:lastRenderedPageBreak/>
        <mc:AlternateContent>
          <mc:Choice Requires="wpg">
            <w:drawing>
              <wp:anchor distT="0" distB="0" distL="114300" distR="114300" simplePos="0" relativeHeight="251658361" behindDoc="1" locked="0" layoutInCell="1" allowOverlap="1" wp14:anchorId="5BD841BB" wp14:editId="653FFCA8">
                <wp:simplePos x="0" y="0"/>
                <wp:positionH relativeFrom="column">
                  <wp:posOffset>-1962</wp:posOffset>
                </wp:positionH>
                <wp:positionV relativeFrom="paragraph">
                  <wp:posOffset>-22794</wp:posOffset>
                </wp:positionV>
                <wp:extent cx="5760085" cy="1514893"/>
                <wp:effectExtent l="0" t="0" r="0" b="9525"/>
                <wp:wrapNone/>
                <wp:docPr id="258" name="Group 258" descr="Question"/>
                <wp:cNvGraphicFramePr/>
                <a:graphic xmlns:a="http://schemas.openxmlformats.org/drawingml/2006/main">
                  <a:graphicData uri="http://schemas.microsoft.com/office/word/2010/wordprocessingGroup">
                    <wpg:wgp>
                      <wpg:cNvGrpSpPr/>
                      <wpg:grpSpPr>
                        <a:xfrm>
                          <a:off x="0" y="0"/>
                          <a:ext cx="5760085" cy="1514893"/>
                          <a:chOff x="0" y="62865"/>
                          <a:chExt cx="5760085" cy="1515698"/>
                        </a:xfrm>
                      </wpg:grpSpPr>
                      <wps:wsp>
                        <wps:cNvPr id="25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40954A" w14:textId="77777777" w:rsidR="00842DCF" w:rsidRDefault="00842DCF" w:rsidP="00842DCF">
                              <w:pPr>
                                <w:pStyle w:val="BoxTitle"/>
                                <w:spacing w:before="0" w:beforeAutospacing="0"/>
                              </w:pPr>
                              <w:r w:rsidRPr="007F6876">
                                <w:t>QUESTION</w:t>
                              </w:r>
                            </w:p>
                          </w:txbxContent>
                        </wps:txbx>
                        <wps:bodyPr rot="0" vert="horz" wrap="square" lIns="91440" tIns="0" rIns="0" bIns="45720" anchor="ctr" anchorCtr="0" upright="1">
                          <a:noAutofit/>
                        </wps:bodyPr>
                      </wps:wsp>
                      <wpg:grpSp>
                        <wpg:cNvPr id="260" name="Group 53"/>
                        <wpg:cNvGrpSpPr>
                          <a:grpSpLocks/>
                        </wpg:cNvGrpSpPr>
                        <wpg:grpSpPr bwMode="auto">
                          <a:xfrm>
                            <a:off x="0" y="315706"/>
                            <a:ext cx="5760085" cy="1262857"/>
                            <a:chOff x="1837" y="1786"/>
                            <a:chExt cx="9302" cy="13641"/>
                          </a:xfrm>
                        </wpg:grpSpPr>
                        <wps:wsp>
                          <wps:cNvPr id="265" name="Freeform 54"/>
                          <wps:cNvSpPr>
                            <a:spLocks/>
                          </wps:cNvSpPr>
                          <wps:spPr bwMode="auto">
                            <a:xfrm>
                              <a:off x="1837" y="1786"/>
                              <a:ext cx="9302" cy="1364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6"/>
                        <wpg:cNvGrpSpPr/>
                        <wpg:grpSpPr>
                          <a:xfrm>
                            <a:off x="0" y="494036"/>
                            <a:ext cx="1443794" cy="252000"/>
                            <a:chOff x="-15880" y="0"/>
                            <a:chExt cx="1444379" cy="252068"/>
                          </a:xfrm>
                        </wpg:grpSpPr>
                        <wps:wsp>
                          <wps:cNvPr id="26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8D0AC2" w14:textId="77777777" w:rsidR="00842DCF" w:rsidRPr="00E90B8A" w:rsidRDefault="00842DCF" w:rsidP="00842DCF">
                                <w:pPr>
                                  <w:pStyle w:val="BoxTitle"/>
                                  <w:spacing w:before="0" w:beforeAutospacing="0"/>
                                  <w:rPr>
                                    <w:sz w:val="18"/>
                                    <w:szCs w:val="18"/>
                                  </w:rPr>
                                </w:pPr>
                                <w:r w:rsidRPr="00E90B8A">
                                  <w:rPr>
                                    <w:sz w:val="18"/>
                                    <w:szCs w:val="18"/>
                                  </w:rPr>
                                  <w:t>Q</w:t>
                                </w:r>
                                <w:r>
                                  <w:rPr>
                                    <w:sz w:val="18"/>
                                    <w:szCs w:val="18"/>
                                  </w:rPr>
                                  <w:t>57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BD841BB" id="Group 258" o:spid="_x0000_s1435" alt="Question" style="position:absolute;left:0;text-align:left;margin-left:-.15pt;margin-top:-1.8pt;width:453.55pt;height:119.3pt;z-index:-251658119;mso-height-relative:margin" coordorigin=",628" coordsize="57600,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">
                <v:shape id="Freeform 52" o:spid="_x0000_s143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840954A" w14:textId="77777777" w:rsidR="00842DCF" w:rsidRDefault="00842DCF" w:rsidP="00842DCF">
                        <w:pPr>
                          <w:pStyle w:val="BoxTitle"/>
                          <w:spacing w:before="0" w:beforeAutospacing="0"/>
                        </w:pPr>
                        <w:r w:rsidRPr="007F6876">
                          <w:t>QUESTION</w:t>
                        </w:r>
                      </w:p>
                    </w:txbxContent>
                  </v:textbox>
                </v:shape>
                <v:group id="Group 53" o:spid="_x0000_s1437" style="position:absolute;top:3157;width:57600;height:12628" coordorigin="1837,1786" coordsize="9302,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54" o:spid="_x0000_s1438" style="position:absolute;left:1837;top:1786;width:9302;height:1364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" path="m,l9354,r,7809l,7809,,e" fillcolor="#edf2ea" stroked="f">
                    <v:path arrowok="t" o:connecttype="custom" o:connectlocs="0,1747;9302,1747;9302,15388;0,15388;0,1747" o:connectangles="0,0,0,0,0"/>
                  </v:shape>
                </v:group>
                <v:group id="Group 266" o:spid="_x0000_s143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58" o:spid="_x0000_s144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" path="m,l1815,e" filled="f" strokecolor="#72ab6a" strokeweight=".5pt">
                    <v:path arrowok="t" o:connecttype="custom" o:connectlocs="0,0;1073495,0" o:connectangles="0,0"/>
                  </v:shape>
                  <v:shape id="Freeform 66" o:spid="_x0000_s144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28D0AC2" w14:textId="77777777" w:rsidR="00842DCF" w:rsidRPr="00E90B8A" w:rsidRDefault="00842DCF" w:rsidP="00842DCF">
                          <w:pPr>
                            <w:pStyle w:val="BoxTitle"/>
                            <w:spacing w:before="0" w:beforeAutospacing="0"/>
                            <w:rPr>
                              <w:sz w:val="18"/>
                              <w:szCs w:val="18"/>
                            </w:rPr>
                          </w:pPr>
                          <w:r w:rsidRPr="00E90B8A">
                            <w:rPr>
                              <w:sz w:val="18"/>
                              <w:szCs w:val="18"/>
                            </w:rPr>
                            <w:t>Q</w:t>
                          </w:r>
                          <w:r>
                            <w:rPr>
                              <w:sz w:val="18"/>
                              <w:szCs w:val="18"/>
                            </w:rPr>
                            <w:t>57</w:t>
                          </w:r>
                        </w:p>
                      </w:txbxContent>
                    </v:textbox>
                  </v:shape>
                </v:group>
              </v:group>
            </w:pict>
          </mc:Fallback>
        </mc:AlternateContent>
      </w:r>
    </w:p>
    <w:p w14:paraId="3F57D985" w14:textId="77777777" w:rsidR="00842DCF" w:rsidRDefault="00842DCF" w:rsidP="00842DCF">
      <w:pPr>
        <w:pStyle w:val="QuestionBox"/>
      </w:pPr>
    </w:p>
    <w:p w14:paraId="5C1CF7CF" w14:textId="2915AB42" w:rsidR="00E13DFB" w:rsidRDefault="00E13DFB" w:rsidP="00842DCF">
      <w:pPr>
        <w:pStyle w:val="QuestionBox"/>
      </w:pPr>
      <w:r>
        <w:t xml:space="preserve">Is the lack of reference to a requirement for confidentiality in section 56 creating confusion or otherwise causing problems in practice? If so, should section 56(1) be amended to clarify that litigation privilege only applies to a communication or information that is intended to be confidential? </w:t>
      </w:r>
    </w:p>
    <w:p w14:paraId="3BB7A2A6" w14:textId="77777777" w:rsidR="00842DCF" w:rsidRDefault="00842DCF" w:rsidP="00842DCF">
      <w:pPr>
        <w:pStyle w:val="QuestionBox"/>
      </w:pPr>
    </w:p>
    <w:p w14:paraId="5E5BB16A" w14:textId="77777777" w:rsidR="00E13DFB" w:rsidRDefault="00E13DFB" w:rsidP="00842DCF">
      <w:pPr>
        <w:pStyle w:val="Heading2"/>
      </w:pPr>
      <w:bookmarkStart w:id="161" w:name="_Toc132962602"/>
      <w:r>
        <w:t>Settlement privilege and the interests of justice exception</w:t>
      </w:r>
      <w:bookmarkEnd w:id="161"/>
    </w:p>
    <w:p w14:paraId="7EB21AF4" w14:textId="77777777" w:rsidR="00E13DFB" w:rsidRDefault="00E13DFB" w:rsidP="00E13DFB">
      <w:pPr>
        <w:pStyle w:val="BodyText"/>
      </w:pPr>
      <w:r>
        <w:t>Section 57 codified the common law “without prejudice” rule. It protects from disclosure communications between parties in civil proceedings that are intended to be confidential and are made in connection with an attempt to settle or mediate the dispute (settlement privilege).</w:t>
      </w:r>
      <w:r>
        <w:rPr>
          <w:rStyle w:val="FootnoteReference"/>
        </w:rPr>
        <w:footnoteReference w:id="1025"/>
      </w:r>
    </w:p>
    <w:p w14:paraId="11C0EE9E" w14:textId="77777777" w:rsidR="00E13DFB" w:rsidRDefault="00E13DFB" w:rsidP="00E13DFB">
      <w:pPr>
        <w:pStyle w:val="BodyText"/>
      </w:pPr>
      <w:r>
        <w:t>The rationale for settlement privilege is founded both on public policy (that parties should be encouraged to settle disputes out-of-court, secure in the knowledge that whatever is said for that purpose will remain confidential and will not be used against them in later proceedings), and on the principle that the law should respect the parties’ agreement to communicate on a without prejudice basis.</w:t>
      </w:r>
      <w:r>
        <w:rPr>
          <w:rStyle w:val="FootnoteReference"/>
        </w:rPr>
        <w:footnoteReference w:id="1026"/>
      </w:r>
    </w:p>
    <w:p w14:paraId="318ECD22" w14:textId="77777777" w:rsidR="00E13DFB" w:rsidRDefault="00E13DFB" w:rsidP="00E13DFB">
      <w:pPr>
        <w:pStyle w:val="BodyText"/>
      </w:pPr>
      <w:r>
        <w:t>At common law, there were many exceptions to the without prejudice rule,</w:t>
      </w:r>
      <w:r>
        <w:rPr>
          <w:rStyle w:val="FootnoteReference"/>
        </w:rPr>
        <w:footnoteReference w:id="1027"/>
      </w:r>
      <w:r>
        <w:t xml:space="preserve"> but not all these exceptions were codified in the Act.</w:t>
      </w:r>
      <w:r>
        <w:rPr>
          <w:rStyle w:val="FootnoteReference"/>
        </w:rPr>
        <w:footnoteReference w:id="1028"/>
      </w:r>
      <w:r>
        <w:t xml:space="preserve"> This resulted in conflicting case law as to whether the common law exceptions not codified continued to apply after the Act was passed.</w:t>
      </w:r>
      <w:r>
        <w:rPr>
          <w:rStyle w:val="FootnoteReference"/>
        </w:rPr>
        <w:footnoteReference w:id="1029"/>
      </w:r>
    </w:p>
    <w:p w14:paraId="4E6071DC" w14:textId="77777777" w:rsidR="00E13DFB" w:rsidRDefault="00E13DFB" w:rsidP="00E13DFB">
      <w:pPr>
        <w:pStyle w:val="BodyText"/>
      </w:pPr>
      <w:r>
        <w:t>In response to this concern, the Commission in its 2013 Review recommended amending section 57 to accommodate the remaining common law exceptions.</w:t>
      </w:r>
      <w:r>
        <w:rPr>
          <w:rStyle w:val="FootnoteReference"/>
        </w:rPr>
        <w:footnoteReference w:id="1030"/>
      </w:r>
      <w:r>
        <w:t xml:space="preserve"> It identified two options for doing so. It could either “attempt to spell out each of the exceptions” in the Act or it could make provision along the lines that a court may order disclosure if it considers that, “in the interests of justice, the need for the communication to be disclosed in the proceeding outweighs the need for the privilege”.</w:t>
      </w:r>
      <w:r>
        <w:rPr>
          <w:rStyle w:val="FootnoteReference"/>
        </w:rPr>
        <w:footnoteReference w:id="1031"/>
      </w:r>
      <w:r>
        <w:t xml:space="preserve"> The Commission recommended the latter option, although it recognised that this might invite litigation in areas outside </w:t>
      </w:r>
      <w:r>
        <w:lastRenderedPageBreak/>
        <w:t>the pre-existing recognised exceptions to the privilege.</w:t>
      </w:r>
      <w:r>
        <w:rPr>
          <w:rStyle w:val="FootnoteReference"/>
        </w:rPr>
        <w:footnoteReference w:id="1032"/>
      </w:r>
      <w:r>
        <w:t xml:space="preserve"> Its view was that there was a greater risk in seeking to spell out the exceptions and that it would be better that the Act “acknowledge the courts’ role in setting the boundaries of the privilege”.</w:t>
      </w:r>
      <w:r>
        <w:rPr>
          <w:rStyle w:val="FootnoteReference"/>
        </w:rPr>
        <w:footnoteReference w:id="1033"/>
      </w:r>
    </w:p>
    <w:p w14:paraId="64FCDCF6" w14:textId="77777777" w:rsidR="00E13DFB" w:rsidRDefault="00E13DFB" w:rsidP="00E13DFB">
      <w:pPr>
        <w:pStyle w:val="BodyText"/>
      </w:pPr>
      <w:r>
        <w:t>In accordance with the Commission’s recommendation, the Evidence Amendment Act 2016 inserted section 57(3)(d) into the Act, which provides the privilege does not apply to:</w:t>
      </w:r>
    </w:p>
    <w:p w14:paraId="53B5B39D" w14:textId="77777777" w:rsidR="00E13DFB" w:rsidRDefault="00E13DFB" w:rsidP="00E13DFB">
      <w:pPr>
        <w:pStyle w:val="Quote"/>
      </w:pPr>
      <w:r w:rsidRPr="004145AA">
        <w:t>the use in a proceeding of a communication or document made or prepared in connection with any settlement negotiations or mediation if the court considers that, in the interests of justice, the need for the communication or document to be disclosed in the proceeding outweighs the need for the privilege, taking into account the particular nature and benefit of the settlement negotiations or mediation.</w:t>
      </w:r>
    </w:p>
    <w:p w14:paraId="7CB87D9A" w14:textId="77777777" w:rsidR="00E13DFB" w:rsidRDefault="00E13DFB" w:rsidP="00842DCF">
      <w:pPr>
        <w:pStyle w:val="Heading3"/>
      </w:pPr>
      <w:r>
        <w:t>How is section 57(3)(d) operating in practice?</w:t>
      </w:r>
    </w:p>
    <w:p w14:paraId="4CB7688B" w14:textId="77777777" w:rsidR="00E13DFB" w:rsidRDefault="00E13DFB" w:rsidP="00E13DFB">
      <w:pPr>
        <w:pStyle w:val="BodyText"/>
      </w:pPr>
      <w:r>
        <w:t>Several High Court decisions have now considered the scope of section 57(3)(d).</w:t>
      </w:r>
      <w:r>
        <w:rPr>
          <w:rStyle w:val="FootnoteReference"/>
        </w:rPr>
        <w:footnoteReference w:id="1034"/>
      </w:r>
      <w:r>
        <w:t xml:space="preserve"> The cases largely confirm that the common law exceptions inform the court’s exercise of discretion under the new statutory “interests of justice” exception.</w:t>
      </w:r>
      <w:r>
        <w:rPr>
          <w:rStyle w:val="FootnoteReference"/>
        </w:rPr>
        <w:footnoteReference w:id="1035"/>
      </w:r>
      <w:r>
        <w:t xml:space="preserve"> Of particular focus in the case law has been the ongoing relevance of the common law exception for “unambiguous impropriety”. This may be due to it being regarded as an exception of general application that allows a court to prevent abuse of settlement privilege.</w:t>
      </w:r>
      <w:r>
        <w:rPr>
          <w:rStyle w:val="FootnoteReference"/>
        </w:rPr>
        <w:footnoteReference w:id="1036"/>
      </w:r>
    </w:p>
    <w:p w14:paraId="3332700B" w14:textId="77777777" w:rsidR="00E13DFB" w:rsidRDefault="00E13DFB" w:rsidP="00E13DFB">
      <w:pPr>
        <w:pStyle w:val="BodyText"/>
      </w:pPr>
      <w:r>
        <w:t>However, commentators have pointed to some cases that appear to suggest the scope of section 57(3)(d) may be wider than the common law exceptions.</w:t>
      </w:r>
      <w:r>
        <w:rPr>
          <w:rStyle w:val="FootnoteReference"/>
        </w:rPr>
        <w:footnoteReference w:id="1037"/>
      </w:r>
      <w:r>
        <w:t xml:space="preserve"> In </w:t>
      </w:r>
      <w:r>
        <w:rPr>
          <w:i/>
          <w:iCs/>
        </w:rPr>
        <w:t>Smith v Shaw</w:t>
      </w:r>
      <w:r w:rsidRPr="00F4484B">
        <w:t xml:space="preserve">, </w:t>
      </w:r>
      <w:r>
        <w:t>the Court had rejected an application to order disclosure of privileged material under the interests of justice exception, finding that the case fell far short of the high threshold of “unambiguous impropriety”.</w:t>
      </w:r>
      <w:r>
        <w:rPr>
          <w:rStyle w:val="FootnoteReference"/>
        </w:rPr>
        <w:footnoteReference w:id="1038"/>
      </w:r>
      <w:r>
        <w:t xml:space="preserve"> The Court observed that “given the very clear policy </w:t>
      </w:r>
      <w:r>
        <w:lastRenderedPageBreak/>
        <w:t>reasons for and benefits of settlement privilege, it is right that any exceptions to it are narrow”.</w:t>
      </w:r>
      <w:r>
        <w:rPr>
          <w:rStyle w:val="FootnoteReference"/>
        </w:rPr>
        <w:footnoteReference w:id="1039"/>
      </w:r>
    </w:p>
    <w:p w14:paraId="31011DC7" w14:textId="77777777" w:rsidR="00E13DFB" w:rsidRDefault="00E13DFB" w:rsidP="00E13DFB">
      <w:pPr>
        <w:pStyle w:val="BodyText"/>
      </w:pPr>
      <w:r>
        <w:t>Several months later, another application in the same proceedings was made to set aside settlement privilege under the interests of justice exception.</w:t>
      </w:r>
      <w:r>
        <w:rPr>
          <w:rStyle w:val="FootnoteReference"/>
        </w:rPr>
        <w:footnoteReference w:id="1040"/>
      </w:r>
      <w:r>
        <w:t xml:space="preserve"> That application was decided by a different High Court Judge who described the exception in 57(3)(d) as follows:</w:t>
      </w:r>
      <w:r>
        <w:rPr>
          <w:rStyle w:val="FootnoteReference"/>
        </w:rPr>
        <w:footnoteReference w:id="1041"/>
      </w:r>
    </w:p>
    <w:p w14:paraId="12E03596" w14:textId="77777777" w:rsidR="00E13DFB" w:rsidRDefault="00E13DFB" w:rsidP="00E13DFB">
      <w:pPr>
        <w:pStyle w:val="Quote"/>
      </w:pPr>
      <w:r>
        <w:t>This relatively new subsection broadened the common law exceptions to settlement privilege. The test is whether it is in the interests of justice to set aside the privilege. This involves an assessment of whether the specific facts before the Court justify an exception to the more general policy reasons for preserving the privilege.</w:t>
      </w:r>
    </w:p>
    <w:p w14:paraId="3E746A3F" w14:textId="77777777" w:rsidR="00E13DFB" w:rsidRDefault="00E13DFB" w:rsidP="00E13DFB">
      <w:pPr>
        <w:pStyle w:val="BodyText"/>
      </w:pPr>
      <w:r>
        <w:t>In that interlocutory application it was not argued that the privileged material fell within the common law exception for “unambiguous impropriety”, but rather the Court would otherwise be misled or deceived if the material was excluded, which would not be in the interests of justice.</w:t>
      </w:r>
      <w:r>
        <w:rPr>
          <w:rStyle w:val="FootnoteReference"/>
        </w:rPr>
        <w:footnoteReference w:id="1042"/>
      </w:r>
      <w:r>
        <w:t xml:space="preserve"> The Court was not satisfied that permitting the evidence to be produced would be in the interests of justice and noted that the threshold for what justifies excluding protection in the “interests of justice” is necessarily high.</w:t>
      </w:r>
      <w:r>
        <w:rPr>
          <w:rStyle w:val="FootnoteReference"/>
        </w:rPr>
        <w:footnoteReference w:id="1043"/>
      </w:r>
      <w:r>
        <w:t xml:space="preserve"> It has, however, been suggested that this case leaves open the possibility that a broader interests of justice exception is available.</w:t>
      </w:r>
      <w:r>
        <w:rPr>
          <w:rStyle w:val="FootnoteReference"/>
        </w:rPr>
        <w:footnoteReference w:id="1044"/>
      </w:r>
    </w:p>
    <w:p w14:paraId="131CD9EB" w14:textId="77777777" w:rsidR="00E13DFB" w:rsidRDefault="00E13DFB" w:rsidP="00E13DFB">
      <w:pPr>
        <w:pStyle w:val="BodyText"/>
      </w:pPr>
      <w:r>
        <w:t xml:space="preserve">The High Court again considered section 57(3)(d) in </w:t>
      </w:r>
      <w:r>
        <w:rPr>
          <w:i/>
          <w:iCs/>
        </w:rPr>
        <w:t>Gibbs v Windmeyer.</w:t>
      </w:r>
      <w:r w:rsidRPr="00336DAD">
        <w:rPr>
          <w:rStyle w:val="FootnoteReference"/>
        </w:rPr>
        <w:footnoteReference w:id="1045"/>
      </w:r>
      <w:r w:rsidRPr="00336DAD">
        <w:t xml:space="preserve"> </w:t>
      </w:r>
      <w:r>
        <w:t>In that case, it was argued that the common law exception to settlement privilege for “unambiguous impropriety” remained as a separate ground, but the Court preferred the view that all common law exceptions were subsumed by the statutory interests of justice exception.</w:t>
      </w:r>
      <w:r>
        <w:rPr>
          <w:rStyle w:val="FootnoteReference"/>
        </w:rPr>
        <w:footnoteReference w:id="1046"/>
      </w:r>
      <w:r>
        <w:t xml:space="preserve"> The Court adopted the approach in </w:t>
      </w:r>
      <w:r>
        <w:rPr>
          <w:i/>
          <w:iCs/>
        </w:rPr>
        <w:t xml:space="preserve">Smith v Shaw </w:t>
      </w:r>
      <w:r>
        <w:t>to “unambiguous impropriety” and concluded that the threshold had not been met.</w:t>
      </w:r>
      <w:r>
        <w:rPr>
          <w:rStyle w:val="FootnoteReference"/>
        </w:rPr>
        <w:footnoteReference w:id="1047"/>
      </w:r>
      <w:r>
        <w:t xml:space="preserve"> It went on to consider whether there were “any other “interests of justice” considerations”.</w:t>
      </w:r>
      <w:r>
        <w:rPr>
          <w:rStyle w:val="FootnoteReference"/>
        </w:rPr>
        <w:footnoteReference w:id="1048"/>
      </w:r>
      <w:r>
        <w:t xml:space="preserve"> While the Court concluded there were no grounds for setting aside settlement privilege under section 57(3)(d), it appeared to accept that other reasons, not previously giving rise to an exception under the common law could potentially be addressed under section 57(3)(d).</w:t>
      </w:r>
    </w:p>
    <w:p w14:paraId="54E0B67B" w14:textId="77777777" w:rsidR="00E13DFB" w:rsidRDefault="00E13DFB" w:rsidP="00E13DFB">
      <w:pPr>
        <w:pStyle w:val="BodyText"/>
      </w:pPr>
      <w:r>
        <w:t xml:space="preserve">Finally, in </w:t>
      </w:r>
      <w:r w:rsidRPr="00F21D9C">
        <w:rPr>
          <w:i/>
          <w:iCs/>
        </w:rPr>
        <w:t>Smith v Claims Resolution Service Ltd</w:t>
      </w:r>
      <w:r w:rsidRPr="00E112A6">
        <w:t>,</w:t>
      </w:r>
      <w:r>
        <w:rPr>
          <w:i/>
          <w:iCs/>
        </w:rPr>
        <w:t xml:space="preserve"> </w:t>
      </w:r>
      <w:r>
        <w:t>settlement privilege did not protect parts of the plaintiff’s email exchanges that attempted to settle the proceedings on the basis that the need for disclosure outweighed the need for the privilege to apply.</w:t>
      </w:r>
      <w:r>
        <w:rPr>
          <w:rStyle w:val="FootnoteReference"/>
        </w:rPr>
        <w:footnoteReference w:id="1049"/>
      </w:r>
      <w:r>
        <w:t xml:space="preserve"> The need for disclosure arose because the defendant had applied for a freezing order to prevent </w:t>
      </w:r>
      <w:r>
        <w:lastRenderedPageBreak/>
        <w:t>the sale of the plaintiff’s property and the email extracts concerned the plaintiff’s financial situation and future plans for the property. The Court considered that, if the plaintiff was putting those factual matters forward as a basis for negotiating the outcome she preferred, it was in the interests of justice that both parties be able to preserve their positions by reference to what was said.</w:t>
      </w:r>
      <w:r>
        <w:rPr>
          <w:rStyle w:val="FootnoteReference"/>
        </w:rPr>
        <w:footnoteReference w:id="1050"/>
      </w:r>
      <w:r>
        <w:t xml:space="preserve"> While analysis of section 57(3)(d) in this case was limited, the decision does suggest a “wider view” of the ambit of the interests of justice exception than the above cases.</w:t>
      </w:r>
      <w:r>
        <w:rPr>
          <w:rStyle w:val="FootnoteReference"/>
        </w:rPr>
        <w:footnoteReference w:id="1051"/>
      </w:r>
    </w:p>
    <w:p w14:paraId="4BC569AB" w14:textId="77777777" w:rsidR="00E13DFB" w:rsidRDefault="00E13DFB" w:rsidP="00842DCF">
      <w:pPr>
        <w:pStyle w:val="Heading3"/>
      </w:pPr>
      <w:r>
        <w:t>Is legislative reform necessary or desirable?</w:t>
      </w:r>
    </w:p>
    <w:p w14:paraId="6F73AEEB" w14:textId="77777777" w:rsidR="00E13DFB" w:rsidRDefault="00E13DFB" w:rsidP="00E13DFB">
      <w:pPr>
        <w:pStyle w:val="BodyText"/>
      </w:pPr>
      <w:r>
        <w:t>The cases discussed above demonstrate that section 57(3)(d) is being used in practice and that the boundaries of settlement privilege are being tested as a result.</w:t>
      </w:r>
      <w:r>
        <w:rPr>
          <w:rStyle w:val="FootnoteReference"/>
        </w:rPr>
        <w:footnoteReference w:id="1052"/>
      </w:r>
      <w:r>
        <w:t xml:space="preserve"> Some divergence in the case law at this stage is, perhaps, to be expected, particularly given neither the Court of Appeal nor the Supreme Court have yet considered the scope of the provision. We expect that clarity will develop over time and on a case-by-case basis.</w:t>
      </w:r>
    </w:p>
    <w:p w14:paraId="440A597E" w14:textId="77777777" w:rsidR="00E13DFB" w:rsidRDefault="00E13DFB" w:rsidP="00E13DFB">
      <w:pPr>
        <w:pStyle w:val="BodyText"/>
      </w:pPr>
      <w:r>
        <w:t>We note, however, that concerns have been expressed about any interpretation of the interests of justice exception that would see it applying to a broader range of situations than at common law. It has been argued that any significant expansion to the common law exceptions to settlement privilege would inappropriately erode the protections of the privilege.</w:t>
      </w:r>
      <w:r>
        <w:rPr>
          <w:rStyle w:val="FootnoteReference"/>
        </w:rPr>
        <w:footnoteReference w:id="1053"/>
      </w:r>
      <w:r>
        <w:t xml:space="preserve"> We also note the recent rejection in England and Wales of any broad “interests of justice” exception on the basis that this would be antithetical to the otherwise narrow and principled existing common law exceptions.</w:t>
      </w:r>
      <w:r>
        <w:rPr>
          <w:rStyle w:val="FootnoteReference"/>
        </w:rPr>
        <w:footnoteReference w:id="1054"/>
      </w:r>
    </w:p>
    <w:p w14:paraId="5C1814CF" w14:textId="77777777" w:rsidR="00E13DFB" w:rsidRDefault="00E13DFB" w:rsidP="00E13DFB">
      <w:pPr>
        <w:pStyle w:val="BodyText"/>
      </w:pPr>
      <w:r>
        <w:t xml:space="preserve">In light of this, we seek submissions on how section 57(3)(d) is operating in practice and whether legislative reform is desirable. We are particularly interested in understanding whether the present uncertainty is creating problems. </w:t>
      </w:r>
    </w:p>
    <w:p w14:paraId="1841D5C3" w14:textId="3C21FDE9" w:rsidR="00B35CB8" w:rsidRDefault="00B35CB8" w:rsidP="00B35CB8">
      <w:pPr>
        <w:pStyle w:val="QuestionBox"/>
      </w:pPr>
      <w:r>
        <w:rPr>
          <w:noProof/>
        </w:rPr>
        <mc:AlternateContent>
          <mc:Choice Requires="wpg">
            <w:drawing>
              <wp:anchor distT="0" distB="0" distL="114300" distR="114300" simplePos="0" relativeHeight="251658362" behindDoc="1" locked="0" layoutInCell="1" allowOverlap="1" wp14:anchorId="7F16A157" wp14:editId="0638DAAA">
                <wp:simplePos x="0" y="0"/>
                <wp:positionH relativeFrom="column">
                  <wp:posOffset>-1962</wp:posOffset>
                </wp:positionH>
                <wp:positionV relativeFrom="paragraph">
                  <wp:posOffset>5990</wp:posOffset>
                </wp:positionV>
                <wp:extent cx="5760085" cy="1094812"/>
                <wp:effectExtent l="0" t="0" r="0" b="0"/>
                <wp:wrapNone/>
                <wp:docPr id="269" name="Group 269" descr="Question"/>
                <wp:cNvGraphicFramePr/>
                <a:graphic xmlns:a="http://schemas.openxmlformats.org/drawingml/2006/main">
                  <a:graphicData uri="http://schemas.microsoft.com/office/word/2010/wordprocessingGroup">
                    <wpg:wgp>
                      <wpg:cNvGrpSpPr/>
                      <wpg:grpSpPr>
                        <a:xfrm>
                          <a:off x="0" y="0"/>
                          <a:ext cx="5760085" cy="1094812"/>
                          <a:chOff x="0" y="62865"/>
                          <a:chExt cx="5760085" cy="1095394"/>
                        </a:xfrm>
                      </wpg:grpSpPr>
                      <wps:wsp>
                        <wps:cNvPr id="27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98B805" w14:textId="77777777" w:rsidR="00B35CB8" w:rsidRDefault="00B35CB8" w:rsidP="00B35CB8">
                              <w:pPr>
                                <w:pStyle w:val="BoxTitle"/>
                                <w:spacing w:before="0" w:beforeAutospacing="0"/>
                              </w:pPr>
                              <w:r w:rsidRPr="007F6876">
                                <w:t>QUESTION</w:t>
                              </w:r>
                            </w:p>
                          </w:txbxContent>
                        </wps:txbx>
                        <wps:bodyPr rot="0" vert="horz" wrap="square" lIns="91440" tIns="0" rIns="0" bIns="45720" anchor="ctr" anchorCtr="0" upright="1">
                          <a:noAutofit/>
                        </wps:bodyPr>
                      </wps:wsp>
                      <wpg:grpSp>
                        <wpg:cNvPr id="271" name="Group 53"/>
                        <wpg:cNvGrpSpPr>
                          <a:grpSpLocks/>
                        </wpg:cNvGrpSpPr>
                        <wpg:grpSpPr bwMode="auto">
                          <a:xfrm>
                            <a:off x="0" y="315706"/>
                            <a:ext cx="5760085" cy="842553"/>
                            <a:chOff x="1837" y="1786"/>
                            <a:chExt cx="9302" cy="9101"/>
                          </a:xfrm>
                        </wpg:grpSpPr>
                        <wps:wsp>
                          <wps:cNvPr id="272" name="Freeform 54"/>
                          <wps:cNvSpPr>
                            <a:spLocks/>
                          </wps:cNvSpPr>
                          <wps:spPr bwMode="auto">
                            <a:xfrm>
                              <a:off x="1837" y="1786"/>
                              <a:ext cx="9302" cy="910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3"/>
                        <wpg:cNvGrpSpPr/>
                        <wpg:grpSpPr>
                          <a:xfrm>
                            <a:off x="0" y="494036"/>
                            <a:ext cx="1443794" cy="252000"/>
                            <a:chOff x="-15880" y="0"/>
                            <a:chExt cx="1444379" cy="252068"/>
                          </a:xfrm>
                        </wpg:grpSpPr>
                        <wps:wsp>
                          <wps:cNvPr id="27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FFDB06" w14:textId="77777777" w:rsidR="00B35CB8" w:rsidRPr="00E90B8A" w:rsidRDefault="00B35CB8" w:rsidP="00B35CB8">
                                <w:pPr>
                                  <w:pStyle w:val="BoxTitle"/>
                                  <w:spacing w:before="0" w:beforeAutospacing="0"/>
                                  <w:rPr>
                                    <w:sz w:val="18"/>
                                    <w:szCs w:val="18"/>
                                  </w:rPr>
                                </w:pPr>
                                <w:r w:rsidRPr="00E90B8A">
                                  <w:rPr>
                                    <w:sz w:val="18"/>
                                    <w:szCs w:val="18"/>
                                  </w:rPr>
                                  <w:t>Q</w:t>
                                </w:r>
                                <w:r>
                                  <w:rPr>
                                    <w:sz w:val="18"/>
                                    <w:szCs w:val="18"/>
                                  </w:rPr>
                                  <w:t>58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F16A157" id="Group 269" o:spid="_x0000_s1442" alt="Question" style="position:absolute;left:0;text-align:left;margin-left:-.15pt;margin-top:.45pt;width:453.55pt;height:86.2pt;z-index:-251658118;mso-height-relative:margin" coordorigin=",628" coordsize="57600,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">
                <v:shape id="Freeform 52" o:spid="_x0000_s144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198B805" w14:textId="77777777" w:rsidR="00B35CB8" w:rsidRDefault="00B35CB8" w:rsidP="00B35CB8">
                        <w:pPr>
                          <w:pStyle w:val="BoxTitle"/>
                          <w:spacing w:before="0" w:beforeAutospacing="0"/>
                        </w:pPr>
                        <w:r w:rsidRPr="007F6876">
                          <w:t>QUESTION</w:t>
                        </w:r>
                      </w:p>
                    </w:txbxContent>
                  </v:textbox>
                </v:shape>
                <v:group id="Group 53" o:spid="_x0000_s1444" style="position:absolute;top:3157;width:57600;height:8425" coordorigin="1837,1786" coordsize="9302,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54" o:spid="_x0000_s1445" style="position:absolute;left:1837;top:1786;width:9302;height:910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" path="m,l9354,r,7809l,7809,,e" fillcolor="#edf2ea" stroked="f">
                    <v:path arrowok="t" o:connecttype="custom" o:connectlocs="0,1165;9302,1165;9302,10266;0,10266;0,1165" o:connectangles="0,0,0,0,0"/>
                  </v:shape>
                </v:group>
                <v:group id="Group 273" o:spid="_x0000_s144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58" o:spid="_x0000_s144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" path="m,l1815,e" filled="f" strokecolor="#72ab6a" strokeweight=".5pt">
                    <v:path arrowok="t" o:connecttype="custom" o:connectlocs="0,0;1073495,0" o:connectangles="0,0"/>
                  </v:shape>
                  <v:shape id="Freeform 66" o:spid="_x0000_s144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DFFDB06" w14:textId="77777777" w:rsidR="00B35CB8" w:rsidRPr="00E90B8A" w:rsidRDefault="00B35CB8" w:rsidP="00B35CB8">
                          <w:pPr>
                            <w:pStyle w:val="BoxTitle"/>
                            <w:spacing w:before="0" w:beforeAutospacing="0"/>
                            <w:rPr>
                              <w:sz w:val="18"/>
                              <w:szCs w:val="18"/>
                            </w:rPr>
                          </w:pPr>
                          <w:r w:rsidRPr="00E90B8A">
                            <w:rPr>
                              <w:sz w:val="18"/>
                              <w:szCs w:val="18"/>
                            </w:rPr>
                            <w:t>Q</w:t>
                          </w:r>
                          <w:r>
                            <w:rPr>
                              <w:sz w:val="18"/>
                              <w:szCs w:val="18"/>
                            </w:rPr>
                            <w:t>58</w:t>
                          </w:r>
                        </w:p>
                      </w:txbxContent>
                    </v:textbox>
                  </v:shape>
                </v:group>
              </v:group>
            </w:pict>
          </mc:Fallback>
        </mc:AlternateContent>
      </w:r>
    </w:p>
    <w:p w14:paraId="4380ABC5" w14:textId="77777777" w:rsidR="00B35CB8" w:rsidRDefault="00B35CB8" w:rsidP="00B35CB8">
      <w:pPr>
        <w:pStyle w:val="QuestionBox"/>
      </w:pPr>
    </w:p>
    <w:p w14:paraId="22E32178" w14:textId="30B24EAA" w:rsidR="00E13DFB" w:rsidRDefault="00E13DFB" w:rsidP="00B35CB8">
      <w:pPr>
        <w:pStyle w:val="QuestionBox"/>
      </w:pPr>
      <w:r>
        <w:t>Is section 53(3)(d) causing problems in practice? If so, should the Act be amended to clarify the scope of the exception?</w:t>
      </w:r>
    </w:p>
    <w:p w14:paraId="5730A9D5" w14:textId="77777777" w:rsidR="00B35CB8" w:rsidRPr="00CC03C5" w:rsidRDefault="00B35CB8" w:rsidP="00B35CB8">
      <w:pPr>
        <w:pStyle w:val="QuestionBox"/>
      </w:pPr>
    </w:p>
    <w:p w14:paraId="7E87AB04" w14:textId="77777777" w:rsidR="00E13DFB" w:rsidRDefault="00E13DFB" w:rsidP="00842DCF">
      <w:pPr>
        <w:pStyle w:val="Heading2"/>
      </w:pPr>
      <w:bookmarkStart w:id="162" w:name="_Toc132962603"/>
      <w:r>
        <w:t>Successive interests in privileged material</w:t>
      </w:r>
      <w:bookmarkEnd w:id="162"/>
    </w:p>
    <w:p w14:paraId="35B8C206" w14:textId="77777777" w:rsidR="00E13DFB" w:rsidRDefault="00E13DFB" w:rsidP="00E13DFB">
      <w:pPr>
        <w:pStyle w:val="BodyText"/>
      </w:pPr>
      <w:r>
        <w:t>Subsections 66(2)–(4) of the Act govern successive interests in material that attracts privilege under sections 54–57 of the Act. They provide:</w:t>
      </w:r>
    </w:p>
    <w:p w14:paraId="0BF8268A" w14:textId="77777777" w:rsidR="00E13DFB" w:rsidRPr="009B43A8" w:rsidRDefault="00E13DFB" w:rsidP="00E13DFB">
      <w:pPr>
        <w:pStyle w:val="Quote"/>
        <w:rPr>
          <w:b/>
          <w:bCs/>
        </w:rPr>
      </w:pPr>
      <w:r w:rsidRPr="009B43A8">
        <w:rPr>
          <w:b/>
          <w:bCs/>
        </w:rPr>
        <w:t>66. Joint and successive interests in privileged material</w:t>
      </w:r>
    </w:p>
    <w:p w14:paraId="49EB451D" w14:textId="77777777" w:rsidR="00E13DFB" w:rsidRDefault="00E13DFB" w:rsidP="00E13DFB">
      <w:pPr>
        <w:pStyle w:val="Quote"/>
      </w:pPr>
      <w:r>
        <w:lastRenderedPageBreak/>
        <w:t xml:space="preserve">… </w:t>
      </w:r>
    </w:p>
    <w:p w14:paraId="61C7403A" w14:textId="77777777" w:rsidR="00E13DFB" w:rsidRDefault="00E13DFB" w:rsidP="00E13DFB">
      <w:pPr>
        <w:pStyle w:val="Quote"/>
        <w:ind w:left="1560" w:hanging="426"/>
      </w:pPr>
      <w:r>
        <w:t>(2)</w:t>
      </w:r>
      <w:r>
        <w:tab/>
        <w:t>On or after the death of a person who has a privilege conferred by any of sections 54 to 57 in respect of a communication, information, opinion, or document, the personal representative of the deceased person or other successor in title to property of the deceased person—</w:t>
      </w:r>
    </w:p>
    <w:p w14:paraId="33F7D0FB" w14:textId="77777777" w:rsidR="00E13DFB" w:rsidRDefault="00E13DFB" w:rsidP="00E13DFB">
      <w:pPr>
        <w:pStyle w:val="Quote"/>
        <w:ind w:left="1985" w:hanging="425"/>
      </w:pPr>
      <w:r>
        <w:t>(a)</w:t>
      </w:r>
      <w:r>
        <w:tab/>
        <w:t>is entitled to assert the privilege against third parties; and</w:t>
      </w:r>
    </w:p>
    <w:p w14:paraId="4518F3D7" w14:textId="77777777" w:rsidR="00E13DFB" w:rsidRDefault="00E13DFB" w:rsidP="00E13DFB">
      <w:pPr>
        <w:pStyle w:val="Quote"/>
        <w:ind w:left="1985" w:hanging="425"/>
      </w:pPr>
      <w:r>
        <w:t>(b)</w:t>
      </w:r>
      <w:r>
        <w:tab/>
        <w:t>is not restricted by any of sections 54 to 57 from having access or seeking access to the privileged matter.</w:t>
      </w:r>
    </w:p>
    <w:p w14:paraId="694F63F5" w14:textId="77777777" w:rsidR="00E13DFB" w:rsidRDefault="00E13DFB" w:rsidP="00E13DFB">
      <w:pPr>
        <w:pStyle w:val="Quote"/>
        <w:ind w:left="1560" w:hanging="426"/>
      </w:pPr>
      <w:r>
        <w:t>(3)</w:t>
      </w:r>
      <w:r>
        <w:tab/>
        <w:t>However, subsection (2) applies only to the extent that a Judge is satisfied that the personal representative or other successor in title to property has a justifiable interest in maintaining the privilege in respect of the communication, information, opinion, or document.</w:t>
      </w:r>
    </w:p>
    <w:p w14:paraId="25BA9A94" w14:textId="77777777" w:rsidR="00E13DFB" w:rsidRDefault="00E13DFB" w:rsidP="00E13DFB">
      <w:pPr>
        <w:pStyle w:val="Quote"/>
        <w:ind w:left="1560" w:hanging="426"/>
      </w:pPr>
      <w:r>
        <w:t>(4)</w:t>
      </w:r>
      <w:r>
        <w:tab/>
        <w:t>A personal representative of a deceased person who has a privilege conferred by any of sections 54 to 57 in respect of a communication, information, opinion, or document and any other successor in title to property of a person who has such a privilege, may, on the application of a person who has a legitimate interest in maintaining the privilege (including another holder of the privilege), be ordered by a Judge not to disclose the privileged matter in a proceeding.</w:t>
      </w:r>
    </w:p>
    <w:p w14:paraId="02C8DAD0" w14:textId="77777777" w:rsidR="00E13DFB" w:rsidRDefault="00E13DFB" w:rsidP="00842DCF">
      <w:pPr>
        <w:pStyle w:val="Heading3"/>
      </w:pPr>
      <w:r>
        <w:t>What is the issue?</w:t>
      </w:r>
    </w:p>
    <w:p w14:paraId="6E7F1621" w14:textId="77777777" w:rsidR="00E13DFB" w:rsidRDefault="00E13DFB" w:rsidP="00E13DFB">
      <w:pPr>
        <w:pStyle w:val="BodyText"/>
      </w:pPr>
      <w:r>
        <w:t>A potential drafting issue has been identified with section 66(2). This arises from changes made to that section by the Evidence Amendment Act 2016, in response to a recommendation made by the Commission in the 2013 Review.</w:t>
      </w:r>
    </w:p>
    <w:p w14:paraId="1C80F584" w14:textId="77777777" w:rsidR="00E13DFB" w:rsidRDefault="00E13DFB" w:rsidP="00E13DFB">
      <w:pPr>
        <w:pStyle w:val="BodyText"/>
      </w:pPr>
      <w:r>
        <w:t>Sections 66(2)–(4) are based on the Commission’s proposed Evidence Code provisions. Those provisions identified two distinct categories of successive privilege holders:</w:t>
      </w:r>
      <w:r>
        <w:rPr>
          <w:rStyle w:val="FootnoteReference"/>
        </w:rPr>
        <w:footnoteReference w:id="1055"/>
      </w:r>
    </w:p>
    <w:p w14:paraId="1A57875F" w14:textId="77777777" w:rsidR="00E13DFB" w:rsidRDefault="00E13DFB" w:rsidP="00866891">
      <w:pPr>
        <w:pStyle w:val="BodyTextnonum"/>
        <w:numPr>
          <w:ilvl w:val="3"/>
          <w:numId w:val="28"/>
        </w:numPr>
      </w:pPr>
      <w:r>
        <w:t>a personal representative of a deceased person who has a privilege conferred under what became sections 55 to 57; and</w:t>
      </w:r>
    </w:p>
    <w:p w14:paraId="2AF106C1" w14:textId="77777777" w:rsidR="00E13DFB" w:rsidRDefault="00E13DFB" w:rsidP="00866891">
      <w:pPr>
        <w:pStyle w:val="BodyTextnonum"/>
        <w:numPr>
          <w:ilvl w:val="3"/>
          <w:numId w:val="28"/>
        </w:numPr>
      </w:pPr>
      <w:r>
        <w:t>a successor in title to property of a person who has such a privilege.</w:t>
      </w:r>
    </w:p>
    <w:p w14:paraId="7B9CD946" w14:textId="77777777" w:rsidR="00E13DFB" w:rsidRDefault="00E13DFB" w:rsidP="00E13DFB">
      <w:pPr>
        <w:pStyle w:val="BodyText"/>
        <w:tabs>
          <w:tab w:val="num" w:pos="709"/>
        </w:tabs>
      </w:pPr>
      <w:r>
        <w:t>In relation to successors in title, it is clear from the Commission’s commentary that this category was intended to include situations where the privilege holder is living but is no longer the owner of the relevant property, for example, where the Official Assignee is successor in title to a bankrupt’s property.</w:t>
      </w:r>
      <w:r>
        <w:rPr>
          <w:rStyle w:val="FootnoteReference"/>
        </w:rPr>
        <w:footnoteReference w:id="1056"/>
      </w:r>
      <w:r>
        <w:t xml:space="preserve"> This was consistent with the existing common law position.</w:t>
      </w:r>
      <w:r>
        <w:rPr>
          <w:rStyle w:val="FootnoteReference"/>
        </w:rPr>
        <w:footnoteReference w:id="1057"/>
      </w:r>
    </w:p>
    <w:p w14:paraId="4B48575A" w14:textId="77777777" w:rsidR="00E13DFB" w:rsidRDefault="00E13DFB" w:rsidP="00E13DFB">
      <w:pPr>
        <w:pStyle w:val="BodyText"/>
        <w:tabs>
          <w:tab w:val="num" w:pos="709"/>
        </w:tabs>
      </w:pPr>
      <w:r>
        <w:t xml:space="preserve">The Act largely adopted the Commission’s proposed Code provisions, but section 66(2) as enacted referred to “the personal representative of the person or other successor in title to property of a person”, while section 66(4) referred to “a personal representative </w:t>
      </w:r>
      <w:r w:rsidRPr="00822F56">
        <w:rPr>
          <w:i/>
          <w:iCs/>
        </w:rPr>
        <w:t>of a deceased person</w:t>
      </w:r>
      <w:r>
        <w:t xml:space="preserve"> … and any other successor in title to property of a person” (emphasis added).</w:t>
      </w:r>
    </w:p>
    <w:p w14:paraId="314BFA87" w14:textId="77777777" w:rsidR="00E13DFB" w:rsidRDefault="00E13DFB" w:rsidP="00E13DFB">
      <w:pPr>
        <w:pStyle w:val="BodyText"/>
        <w:tabs>
          <w:tab w:val="num" w:pos="709"/>
        </w:tabs>
      </w:pPr>
      <w:r>
        <w:t xml:space="preserve">The Commission noted the anomaly in the 2013 Review and concluded that the omission in section 66(2) of the words “of a deceased person” in relation to personal </w:t>
      </w:r>
      <w:r>
        <w:lastRenderedPageBreak/>
        <w:t>representatives was a drafting error.</w:t>
      </w:r>
      <w:r>
        <w:rPr>
          <w:rStyle w:val="FootnoteReference"/>
        </w:rPr>
        <w:footnoteReference w:id="1058"/>
      </w:r>
      <w:r>
        <w:t xml:space="preserve"> It recommended that “deceased” be added after “personal representative of the” in section 66(2).</w:t>
      </w:r>
      <w:r>
        <w:rPr>
          <w:rStyle w:val="FootnoteReference"/>
        </w:rPr>
        <w:footnoteReference w:id="1059"/>
      </w:r>
    </w:p>
    <w:p w14:paraId="4AD6D6EC" w14:textId="77777777" w:rsidR="00E13DFB" w:rsidRDefault="00E13DFB" w:rsidP="00E13DFB">
      <w:pPr>
        <w:pStyle w:val="BodyText"/>
        <w:tabs>
          <w:tab w:val="num" w:pos="709"/>
        </w:tabs>
      </w:pPr>
      <w:r>
        <w:t xml:space="preserve">The Evidence Amendment Act made this change but it also inserted the term “deceased” in the phrase “other successor in title to property of a </w:t>
      </w:r>
      <w:r w:rsidRPr="00144AE6">
        <w:rPr>
          <w:i/>
          <w:iCs/>
        </w:rPr>
        <w:t xml:space="preserve">deceased </w:t>
      </w:r>
      <w:r>
        <w:t xml:space="preserve">person”. The authors of </w:t>
      </w:r>
      <w:r w:rsidRPr="00144AE6">
        <w:rPr>
          <w:i/>
          <w:iCs/>
        </w:rPr>
        <w:t xml:space="preserve">Cross on Evidence </w:t>
      </w:r>
      <w:r>
        <w:t>note that the effect of this change is that a successor in title can no longer claim privilege while the prior owner of the property survives and that:</w:t>
      </w:r>
      <w:r>
        <w:rPr>
          <w:rStyle w:val="FootnoteReference"/>
        </w:rPr>
        <w:footnoteReference w:id="1060"/>
      </w:r>
    </w:p>
    <w:p w14:paraId="2EFFF952" w14:textId="77777777" w:rsidR="00E13DFB" w:rsidRDefault="00E13DFB" w:rsidP="00E13DFB">
      <w:pPr>
        <w:pStyle w:val="Quote"/>
      </w:pPr>
      <w:r w:rsidRPr="00FE06B5">
        <w:t>This effects a very significant change to the rights of access to documents recording legal advice that were previously available to liquidators and the Official Assignee, and others who acquired property about which legal advice has been given. There is no indication that this significant change was intended. There appears to be no rational basis on which this form of purely title-based succession to privilege should take effect only on the death of the prior privilege holder</w:t>
      </w:r>
      <w:r>
        <w:t>.</w:t>
      </w:r>
    </w:p>
    <w:p w14:paraId="2D0C939C" w14:textId="77777777" w:rsidR="00E13DFB" w:rsidRDefault="00E13DFB" w:rsidP="00E13DFB">
      <w:pPr>
        <w:pStyle w:val="BodyText"/>
        <w:tabs>
          <w:tab w:val="num" w:pos="709"/>
        </w:tabs>
      </w:pPr>
      <w:r>
        <w:t>It does not appear that such a change was intended. The explanatory note to the Evidence Amendment Bill explained that the changes to section 66 were to ensure “that the privilege can be asserted only by the personal representative of the deceased person, as recommended by the Law Commission”.</w:t>
      </w:r>
      <w:r>
        <w:rPr>
          <w:rStyle w:val="FootnoteReference"/>
        </w:rPr>
        <w:footnoteReference w:id="1061"/>
      </w:r>
      <w:r>
        <w:t xml:space="preserve"> It does not mention the separate category of successors in title, and neither does the Ministry of Justice’s initial briefing on the Bill, which similarly explained that the Bill “ensures clarity and avoids future problems that could arise from the section being read to cover personal representatives generally”.</w:t>
      </w:r>
      <w:r>
        <w:rPr>
          <w:rStyle w:val="FootnoteReference"/>
        </w:rPr>
        <w:footnoteReference w:id="1062"/>
      </w:r>
      <w:r>
        <w:t xml:space="preserve"> There is nothing in the legislative history to suggest that the amendment intended to change the law on successors in title in such a way.</w:t>
      </w:r>
    </w:p>
    <w:p w14:paraId="568792D3" w14:textId="77777777" w:rsidR="00E13DFB" w:rsidRDefault="00E13DFB" w:rsidP="00E13DFB">
      <w:pPr>
        <w:pStyle w:val="BodyText"/>
        <w:tabs>
          <w:tab w:val="num" w:pos="709"/>
        </w:tabs>
      </w:pPr>
      <w:r>
        <w:t xml:space="preserve">The authors of </w:t>
      </w:r>
      <w:r>
        <w:rPr>
          <w:i/>
          <w:iCs/>
        </w:rPr>
        <w:t xml:space="preserve">Cross on Evidence </w:t>
      </w:r>
      <w:r>
        <w:t>note that, in practice, the Courts continue to deal with the issue of succession to privilege in the context of company liquidation and receivership “as if s 66 had not been amended”.</w:t>
      </w:r>
      <w:r>
        <w:rPr>
          <w:rStyle w:val="FootnoteReference"/>
        </w:rPr>
        <w:footnoteReference w:id="1063"/>
      </w:r>
    </w:p>
    <w:p w14:paraId="2A18899C" w14:textId="77777777" w:rsidR="00E13DFB" w:rsidRDefault="00E13DFB" w:rsidP="00B35CB8">
      <w:pPr>
        <w:pStyle w:val="Heading3"/>
      </w:pPr>
      <w:r>
        <w:t>Is legislative reform necessary or desirable?</w:t>
      </w:r>
    </w:p>
    <w:p w14:paraId="0A64012A" w14:textId="77777777" w:rsidR="00E13DFB" w:rsidRDefault="00E13DFB" w:rsidP="00E13DFB">
      <w:pPr>
        <w:pStyle w:val="BodyText"/>
        <w:tabs>
          <w:tab w:val="num" w:pos="709"/>
        </w:tabs>
      </w:pPr>
      <w:r>
        <w:t>Our preliminary view is that the insertion of “deceased” in respect of successors in title in section 66(2) was a drafting error. The amendments were intended to give effect to the Commission’s recommendation in the 2013 Review. That recommendation and the Commission’s discussion of the issue were focused solely on personal representatives. The Commission did not comment on successors in title, which is a separate category of successive privilege holders. Further, the Commission’s Evidence Code made it clear that the intention was always that this category, unlike personal representatives, would not be limited to situations where the original privilege holder has died. As noted above, this was consistent with the common law position.</w:t>
      </w:r>
    </w:p>
    <w:p w14:paraId="398D536B" w14:textId="77777777" w:rsidR="00E13DFB" w:rsidRDefault="00E13DFB" w:rsidP="00E13DFB">
      <w:pPr>
        <w:pStyle w:val="BodyText"/>
        <w:tabs>
          <w:tab w:val="num" w:pos="709"/>
        </w:tabs>
      </w:pPr>
      <w:r>
        <w:lastRenderedPageBreak/>
        <w:t>We therefore seek submissions on whether section 66(2) should be amended to remove the word “deceased” from the phrase “successor in title to property of the deceased person”.</w:t>
      </w:r>
    </w:p>
    <w:p w14:paraId="70670081" w14:textId="67198C6A" w:rsidR="00B35CB8" w:rsidRDefault="00B35CB8" w:rsidP="00B35CB8">
      <w:pPr>
        <w:pStyle w:val="QuestionBox"/>
      </w:pPr>
      <w:r>
        <w:rPr>
          <w:noProof/>
        </w:rPr>
        <mc:AlternateContent>
          <mc:Choice Requires="wpg">
            <w:drawing>
              <wp:anchor distT="0" distB="0" distL="114300" distR="114300" simplePos="0" relativeHeight="251658363" behindDoc="1" locked="0" layoutInCell="1" allowOverlap="1" wp14:anchorId="5A2CB3EB" wp14:editId="11D6C486">
                <wp:simplePos x="0" y="0"/>
                <wp:positionH relativeFrom="column">
                  <wp:posOffset>-1962</wp:posOffset>
                </wp:positionH>
                <wp:positionV relativeFrom="paragraph">
                  <wp:posOffset>-1753</wp:posOffset>
                </wp:positionV>
                <wp:extent cx="5760085" cy="1173737"/>
                <wp:effectExtent l="0" t="0" r="0" b="7620"/>
                <wp:wrapNone/>
                <wp:docPr id="276" name="Group 276" descr="Question"/>
                <wp:cNvGraphicFramePr/>
                <a:graphic xmlns:a="http://schemas.openxmlformats.org/drawingml/2006/main">
                  <a:graphicData uri="http://schemas.microsoft.com/office/word/2010/wordprocessingGroup">
                    <wpg:wgp>
                      <wpg:cNvGrpSpPr/>
                      <wpg:grpSpPr>
                        <a:xfrm>
                          <a:off x="0" y="0"/>
                          <a:ext cx="5760085" cy="1173737"/>
                          <a:chOff x="0" y="62865"/>
                          <a:chExt cx="5760085" cy="1174919"/>
                        </a:xfrm>
                      </wpg:grpSpPr>
                      <wps:wsp>
                        <wps:cNvPr id="27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04CC38" w14:textId="77777777" w:rsidR="00B35CB8" w:rsidRDefault="00B35CB8" w:rsidP="00B35CB8">
                              <w:pPr>
                                <w:pStyle w:val="BoxTitle"/>
                                <w:spacing w:before="0" w:beforeAutospacing="0"/>
                              </w:pPr>
                              <w:r w:rsidRPr="007F6876">
                                <w:t>QUESTION</w:t>
                              </w:r>
                            </w:p>
                          </w:txbxContent>
                        </wps:txbx>
                        <wps:bodyPr rot="0" vert="horz" wrap="square" lIns="91440" tIns="0" rIns="0" bIns="45720" anchor="ctr" anchorCtr="0" upright="1">
                          <a:noAutofit/>
                        </wps:bodyPr>
                      </wps:wsp>
                      <wpg:grpSp>
                        <wpg:cNvPr id="278" name="Group 53"/>
                        <wpg:cNvGrpSpPr>
                          <a:grpSpLocks/>
                        </wpg:cNvGrpSpPr>
                        <wpg:grpSpPr bwMode="auto">
                          <a:xfrm>
                            <a:off x="0" y="315706"/>
                            <a:ext cx="5760085" cy="922078"/>
                            <a:chOff x="1837" y="1786"/>
                            <a:chExt cx="9302" cy="9960"/>
                          </a:xfrm>
                        </wpg:grpSpPr>
                        <wps:wsp>
                          <wps:cNvPr id="279" name="Freeform 54"/>
                          <wps:cNvSpPr>
                            <a:spLocks/>
                          </wps:cNvSpPr>
                          <wps:spPr bwMode="auto">
                            <a:xfrm>
                              <a:off x="1837" y="1786"/>
                              <a:ext cx="9302" cy="996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80"/>
                        <wpg:cNvGrpSpPr/>
                        <wpg:grpSpPr>
                          <a:xfrm>
                            <a:off x="0" y="494036"/>
                            <a:ext cx="1443794" cy="252000"/>
                            <a:chOff x="-15880" y="0"/>
                            <a:chExt cx="1444379" cy="252068"/>
                          </a:xfrm>
                        </wpg:grpSpPr>
                        <wps:wsp>
                          <wps:cNvPr id="28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9600C7" w14:textId="77777777" w:rsidR="00B35CB8" w:rsidRPr="00E90B8A" w:rsidRDefault="00B35CB8" w:rsidP="00B35CB8">
                                <w:pPr>
                                  <w:pStyle w:val="BoxTitle"/>
                                  <w:spacing w:before="0" w:beforeAutospacing="0"/>
                                  <w:rPr>
                                    <w:sz w:val="18"/>
                                    <w:szCs w:val="18"/>
                                  </w:rPr>
                                </w:pPr>
                                <w:r w:rsidRPr="00E90B8A">
                                  <w:rPr>
                                    <w:sz w:val="18"/>
                                    <w:szCs w:val="18"/>
                                  </w:rPr>
                                  <w:t>Q</w:t>
                                </w:r>
                                <w:r>
                                  <w:rPr>
                                    <w:sz w:val="18"/>
                                    <w:szCs w:val="18"/>
                                  </w:rPr>
                                  <w:t>59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A2CB3EB" id="Group 276" o:spid="_x0000_s1449" alt="Question" style="position:absolute;left:0;text-align:left;margin-left:-.15pt;margin-top:-.15pt;width:453.55pt;height:92.4pt;z-index:-251658117;mso-height-relative:margin" coordorigin=",628" coordsize="57600,1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">
                <v:shape id="Freeform 52" o:spid="_x0000_s145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604CC38" w14:textId="77777777" w:rsidR="00B35CB8" w:rsidRDefault="00B35CB8" w:rsidP="00B35CB8">
                        <w:pPr>
                          <w:pStyle w:val="BoxTitle"/>
                          <w:spacing w:before="0" w:beforeAutospacing="0"/>
                        </w:pPr>
                        <w:r w:rsidRPr="007F6876">
                          <w:t>QUESTION</w:t>
                        </w:r>
                      </w:p>
                    </w:txbxContent>
                  </v:textbox>
                </v:shape>
                <v:group id="Group 53" o:spid="_x0000_s1451" style="position:absolute;top:3157;width:57600;height:9220" coordorigin="1837,1786" coordsize="9302,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54" o:spid="_x0000_s1452" style="position:absolute;left:1837;top:1786;width:9302;height:996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" path="m,l9354,r,7809l,7809,,e" fillcolor="#edf2ea" stroked="f">
                    <v:path arrowok="t" o:connecttype="custom" o:connectlocs="0,1275;9302,1275;9302,11235;0,11235;0,1275" o:connectangles="0,0,0,0,0"/>
                  </v:shape>
                </v:group>
                <v:group id="Group 280" o:spid="_x0000_s145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58" o:spid="_x0000_s145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" path="m,l1815,e" filled="f" strokecolor="#72ab6a" strokeweight=".5pt">
                    <v:path arrowok="t" o:connecttype="custom" o:connectlocs="0,0;1073495,0" o:connectangles="0,0"/>
                  </v:shape>
                  <v:shape id="Freeform 66" o:spid="_x0000_s145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29600C7" w14:textId="77777777" w:rsidR="00B35CB8" w:rsidRPr="00E90B8A" w:rsidRDefault="00B35CB8" w:rsidP="00B35CB8">
                          <w:pPr>
                            <w:pStyle w:val="BoxTitle"/>
                            <w:spacing w:before="0" w:beforeAutospacing="0"/>
                            <w:rPr>
                              <w:sz w:val="18"/>
                              <w:szCs w:val="18"/>
                            </w:rPr>
                          </w:pPr>
                          <w:r w:rsidRPr="00E90B8A">
                            <w:rPr>
                              <w:sz w:val="18"/>
                              <w:szCs w:val="18"/>
                            </w:rPr>
                            <w:t>Q</w:t>
                          </w:r>
                          <w:r>
                            <w:rPr>
                              <w:sz w:val="18"/>
                              <w:szCs w:val="18"/>
                            </w:rPr>
                            <w:t>59</w:t>
                          </w:r>
                        </w:p>
                      </w:txbxContent>
                    </v:textbox>
                  </v:shape>
                </v:group>
              </v:group>
            </w:pict>
          </mc:Fallback>
        </mc:AlternateContent>
      </w:r>
    </w:p>
    <w:p w14:paraId="0A6B8B9E" w14:textId="77777777" w:rsidR="00B35CB8" w:rsidRDefault="00B35CB8" w:rsidP="00B35CB8">
      <w:pPr>
        <w:pStyle w:val="QuestionBox"/>
      </w:pPr>
    </w:p>
    <w:p w14:paraId="7DC5FB52" w14:textId="3A8B3B37" w:rsidR="00E13DFB" w:rsidRPr="006F597A" w:rsidRDefault="00E13DFB" w:rsidP="00B35CB8">
      <w:pPr>
        <w:pStyle w:val="QuestionBox"/>
      </w:pPr>
      <w:r>
        <w:t xml:space="preserve">Should section 66(2) be amended to remove the word “deceased” from the phrase “successor in title to property of the deceased person”? </w:t>
      </w:r>
    </w:p>
    <w:p w14:paraId="2F47759F" w14:textId="77777777" w:rsidR="00E13DFB" w:rsidRDefault="00E13DFB" w:rsidP="00E13DFB">
      <w:pPr>
        <w:tabs>
          <w:tab w:val="left" w:pos="709"/>
        </w:tabs>
        <w:jc w:val="both"/>
        <w:rPr>
          <w:rFonts w:eastAsia="Times New Roman" w:cs="Times New Roman"/>
          <w:color w:val="000000" w:themeColor="text1"/>
          <w:szCs w:val="20"/>
          <w:lang w:eastAsia="en-AU"/>
        </w:rPr>
      </w:pPr>
    </w:p>
    <w:p w14:paraId="63781FEA" w14:textId="77777777" w:rsidR="00E13DFB" w:rsidRDefault="00E13DFB" w:rsidP="00E13DFB">
      <w:pPr>
        <w:tabs>
          <w:tab w:val="left" w:pos="709"/>
        </w:tabs>
        <w:jc w:val="both"/>
        <w:rPr>
          <w:rFonts w:eastAsia="Times New Roman" w:cs="Times New Roman"/>
          <w:color w:val="000000" w:themeColor="text1"/>
          <w:szCs w:val="20"/>
          <w:lang w:eastAsia="en-AU"/>
        </w:rPr>
      </w:pPr>
    </w:p>
    <w:p w14:paraId="126D34F8" w14:textId="77777777" w:rsidR="00E13DFB" w:rsidRDefault="00E13DFB" w:rsidP="00E13DFB">
      <w:pPr>
        <w:tabs>
          <w:tab w:val="left" w:pos="709"/>
        </w:tabs>
        <w:jc w:val="both"/>
        <w:rPr>
          <w:rFonts w:eastAsia="Times New Roman" w:cs="Times New Roman"/>
          <w:color w:val="000000" w:themeColor="text1"/>
          <w:szCs w:val="20"/>
          <w:lang w:eastAsia="en-AU"/>
        </w:rPr>
      </w:pPr>
    </w:p>
    <w:p w14:paraId="0295C339" w14:textId="77777777" w:rsidR="00E13DFB" w:rsidRDefault="00E13DFB" w:rsidP="00E13DFB">
      <w:pPr>
        <w:tabs>
          <w:tab w:val="left" w:pos="709"/>
        </w:tabs>
        <w:jc w:val="both"/>
        <w:rPr>
          <w:rFonts w:eastAsia="Times New Roman" w:cs="Times New Roman"/>
          <w:vanish/>
          <w:color w:val="000000" w:themeColor="text1"/>
          <w:szCs w:val="20"/>
          <w:lang w:eastAsia="en-AU"/>
        </w:rPr>
      </w:pPr>
      <w:r w:rsidRPr="00D37FCE">
        <w:rPr>
          <w:noProof/>
          <w:lang w:eastAsia="en-NZ"/>
        </w:rPr>
        <mc:AlternateContent>
          <mc:Choice Requires="wpg">
            <w:drawing>
              <wp:anchor distT="0" distB="0" distL="114300" distR="114300" simplePos="0" relativeHeight="251658339" behindDoc="1" locked="0" layoutInCell="1" allowOverlap="1" wp14:anchorId="09699E62" wp14:editId="33EDCEEC">
                <wp:simplePos x="0" y="0"/>
                <wp:positionH relativeFrom="page">
                  <wp:posOffset>1080135</wp:posOffset>
                </wp:positionH>
                <wp:positionV relativeFrom="paragraph">
                  <wp:posOffset>18415</wp:posOffset>
                </wp:positionV>
                <wp:extent cx="2411730" cy="1270"/>
                <wp:effectExtent l="0" t="19050" r="26670" b="1778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1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EF796" id="Group 13" o:spid="_x0000_s1026" style="position:absolute;margin-left:85.05pt;margin-top:1.45pt;width:189.9pt;height:.1pt;z-index:-25165814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" path="m,l2097,e" filled="f" strokecolor="#72ab6a" strokeweight="3pt">
                  <v:path arrowok="t" o:connecttype="custom" o:connectlocs="0,0;2097,0" o:connectangles="0,0"/>
                </v:shape>
                <w10:wrap anchorx="page"/>
              </v:group>
            </w:pict>
          </mc:Fallback>
        </mc:AlternateContent>
      </w:r>
    </w:p>
    <w:p w14:paraId="466F0CDE" w14:textId="77777777" w:rsidR="00E13DFB" w:rsidRDefault="00E13DFB" w:rsidP="00E13DFB">
      <w:pPr>
        <w:tabs>
          <w:tab w:val="left" w:pos="709"/>
        </w:tabs>
        <w:jc w:val="both"/>
        <w:rPr>
          <w:rFonts w:eastAsia="Times New Roman" w:cs="Times New Roman"/>
          <w:vanish/>
          <w:color w:val="000000" w:themeColor="text1"/>
          <w:szCs w:val="20"/>
          <w:lang w:eastAsia="en-AU"/>
        </w:rPr>
      </w:pPr>
    </w:p>
    <w:p w14:paraId="2D4D6C1B" w14:textId="77777777" w:rsidR="00E13DFB" w:rsidRDefault="00E13DFB" w:rsidP="00E13DFB">
      <w:pPr>
        <w:tabs>
          <w:tab w:val="left" w:pos="709"/>
        </w:tabs>
        <w:jc w:val="both"/>
        <w:rPr>
          <w:rFonts w:eastAsia="Times New Roman" w:cs="Times New Roman"/>
          <w:vanish/>
          <w:color w:val="000000" w:themeColor="text1"/>
          <w:szCs w:val="20"/>
          <w:lang w:eastAsia="en-AU"/>
        </w:rPr>
      </w:pPr>
    </w:p>
    <w:p w14:paraId="0E390EEB" w14:textId="77777777" w:rsidR="00E13DFB" w:rsidRPr="00667CD9" w:rsidRDefault="00E13DFB" w:rsidP="00E13DFB">
      <w:pPr>
        <w:tabs>
          <w:tab w:val="left" w:pos="709"/>
        </w:tabs>
        <w:jc w:val="both"/>
        <w:rPr>
          <w:rFonts w:eastAsia="Times New Roman" w:cs="Times New Roman"/>
          <w:vanish/>
          <w:color w:val="000000" w:themeColor="text1"/>
          <w:szCs w:val="20"/>
          <w:lang w:eastAsia="en-AU"/>
        </w:rPr>
      </w:pPr>
    </w:p>
    <w:p w14:paraId="3DFE0F4F" w14:textId="77777777" w:rsidR="00E13DFB" w:rsidRDefault="00E13DFB" w:rsidP="00E13DFB">
      <w:pPr>
        <w:pStyle w:val="HEADING2topchapter-notinTOC"/>
        <w:pageBreakBefore w:val="0"/>
        <w:rPr>
          <w:noProof/>
        </w:rPr>
        <w:sectPr w:rsidR="00E13DFB" w:rsidSect="00FD6721">
          <w:headerReference w:type="default" r:id="rId48"/>
          <w:footnotePr>
            <w:numRestart w:val="eachSect"/>
          </w:footnotePr>
          <w:type w:val="nextColumn"/>
          <w:pgSz w:w="11907" w:h="16840" w:code="9"/>
          <w:pgMar w:top="1134" w:right="1134" w:bottom="1134" w:left="1701" w:header="499" w:footer="46" w:gutter="0"/>
          <w:cols w:space="720"/>
        </w:sectPr>
      </w:pPr>
    </w:p>
    <w:p w14:paraId="569E1D8B" w14:textId="77777777" w:rsidR="00E13DFB" w:rsidRPr="00D37FCE" w:rsidRDefault="00E13DFB" w:rsidP="00E13DFB">
      <w:pPr>
        <w:pStyle w:val="HEADING2topchapter-notinTOC"/>
        <w:rPr>
          <w:sz w:val="21"/>
          <w:szCs w:val="21"/>
        </w:rPr>
      </w:pPr>
      <w:r w:rsidRPr="00D37FCE">
        <w:lastRenderedPageBreak/>
        <w:t>CHAPTER</w:t>
      </w:r>
      <w:r w:rsidRPr="00D37FCE">
        <w:rPr>
          <w:sz w:val="21"/>
          <w:szCs w:val="21"/>
        </w:rPr>
        <w:t xml:space="preserve"> </w:t>
      </w:r>
      <w:r>
        <w:rPr>
          <w:sz w:val="21"/>
          <w:szCs w:val="21"/>
        </w:rPr>
        <w:t>14</w:t>
      </w:r>
    </w:p>
    <w:p w14:paraId="0AE04127"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30" behindDoc="1" locked="0" layoutInCell="1" allowOverlap="1" wp14:anchorId="45280BDA" wp14:editId="2C5B750D">
                <wp:simplePos x="0" y="0"/>
                <wp:positionH relativeFrom="page">
                  <wp:posOffset>1076653</wp:posOffset>
                </wp:positionH>
                <wp:positionV relativeFrom="paragraph">
                  <wp:posOffset>53975</wp:posOffset>
                </wp:positionV>
                <wp:extent cx="1332230" cy="1270"/>
                <wp:effectExtent l="0" t="19050" r="1270" b="17780"/>
                <wp:wrapNone/>
                <wp:docPr id="764518272" name="Group 764518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27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8F7C8" id="Group 764518272" o:spid="_x0000_s1026" style="position:absolute;margin-left:84.8pt;margin-top:4.25pt;width:104.9pt;height:.1pt;z-index:-25165815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Nr/Q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58303EF9" w14:textId="77777777" w:rsidR="00E13DFB" w:rsidRPr="005D33A4" w:rsidRDefault="00E13DFB" w:rsidP="00B35CB8">
      <w:pPr>
        <w:pStyle w:val="Heading1"/>
        <w:rPr>
          <w:rFonts w:eastAsia="Metropolis Black"/>
        </w:rPr>
      </w:pPr>
      <w:bookmarkStart w:id="163" w:name="_Toc132962604"/>
      <w:r>
        <w:rPr>
          <w:color w:val="FFFFFF" w:themeColor="background1"/>
          <w:sz w:val="2"/>
          <w:szCs w:val="2"/>
        </w:rPr>
        <w:t>14</w:t>
      </w:r>
      <w:r w:rsidRPr="00D37FCE">
        <w:rPr>
          <w:color w:val="FFFFFF" w:themeColor="background1"/>
          <w:sz w:val="2"/>
          <w:szCs w:val="2"/>
        </w:rPr>
        <w:t xml:space="preserve"> </w:t>
      </w:r>
      <w:r>
        <w:rPr>
          <w:rFonts w:eastAsia="Metropolis Black"/>
        </w:rPr>
        <w:t>Trial process</w:t>
      </w:r>
      <w:bookmarkEnd w:id="163"/>
    </w:p>
    <w:p w14:paraId="4DECAD13"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31" behindDoc="1" locked="0" layoutInCell="1" allowOverlap="1" wp14:anchorId="4BA638CE" wp14:editId="42DE22CF">
                <wp:simplePos x="0" y="0"/>
                <wp:positionH relativeFrom="page">
                  <wp:posOffset>1087427</wp:posOffset>
                </wp:positionH>
                <wp:positionV relativeFrom="paragraph">
                  <wp:posOffset>71755</wp:posOffset>
                </wp:positionV>
                <wp:extent cx="1332230" cy="1270"/>
                <wp:effectExtent l="0" t="19050" r="1270" b="17780"/>
                <wp:wrapNone/>
                <wp:docPr id="764518274" name="Group 764518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27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28E66" id="Group 764518274" o:spid="_x0000_s1026" style="position:absolute;margin-left:85.6pt;margin-top:5.65pt;width:104.9pt;height:.1pt;z-index:-25165814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Kz/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AI/QrP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0BB88AD9" w14:textId="77777777" w:rsidR="00E13DFB" w:rsidRDefault="00E13DFB" w:rsidP="00E13DFB">
      <w:pPr>
        <w:pStyle w:val="BodyTextalphalist"/>
        <w:ind w:left="0" w:firstLine="0"/>
      </w:pPr>
    </w:p>
    <w:p w14:paraId="41B34B3F" w14:textId="77777777" w:rsidR="00E13DFB" w:rsidRDefault="00E13DFB" w:rsidP="00E13DFB">
      <w:pPr>
        <w:rPr>
          <w:lang w:eastAsia="zh-TW"/>
        </w:rPr>
      </w:pPr>
    </w:p>
    <w:p w14:paraId="165A945E" w14:textId="77777777" w:rsidR="00E13DFB" w:rsidRDefault="00E13DFB" w:rsidP="00E13DFB">
      <w:r w:rsidRPr="00D37FCE">
        <w:rPr>
          <w:rFonts w:eastAsia="Metropolis"/>
          <w:noProof/>
        </w:rPr>
        <mc:AlternateContent>
          <mc:Choice Requires="wpg">
            <w:drawing>
              <wp:anchor distT="0" distB="0" distL="114300" distR="114300" simplePos="0" relativeHeight="251658337" behindDoc="1" locked="0" layoutInCell="1" allowOverlap="1" wp14:anchorId="5EEA2F39" wp14:editId="5922773F">
                <wp:simplePos x="0" y="0"/>
                <wp:positionH relativeFrom="column">
                  <wp:posOffset>991</wp:posOffset>
                </wp:positionH>
                <wp:positionV relativeFrom="paragraph">
                  <wp:posOffset>21590</wp:posOffset>
                </wp:positionV>
                <wp:extent cx="5792470" cy="2102485"/>
                <wp:effectExtent l="0" t="0" r="0" b="0"/>
                <wp:wrapNone/>
                <wp:docPr id="461" name="Group 461"/>
                <wp:cNvGraphicFramePr/>
                <a:graphic xmlns:a="http://schemas.openxmlformats.org/drawingml/2006/main">
                  <a:graphicData uri="http://schemas.microsoft.com/office/word/2010/wordprocessingGroup">
                    <wpg:wgp>
                      <wpg:cNvGrpSpPr/>
                      <wpg:grpSpPr>
                        <a:xfrm>
                          <a:off x="0" y="0"/>
                          <a:ext cx="5792470" cy="2102485"/>
                          <a:chOff x="0" y="-4768"/>
                          <a:chExt cx="5793105" cy="2105485"/>
                        </a:xfrm>
                      </wpg:grpSpPr>
                      <wpg:grpSp>
                        <wpg:cNvPr id="462" name="Group 53"/>
                        <wpg:cNvGrpSpPr>
                          <a:grpSpLocks/>
                        </wpg:cNvGrpSpPr>
                        <wpg:grpSpPr bwMode="auto">
                          <a:xfrm>
                            <a:off x="0" y="314275"/>
                            <a:ext cx="5793105" cy="1786442"/>
                            <a:chOff x="1837" y="1792"/>
                            <a:chExt cx="9354" cy="19288"/>
                          </a:xfrm>
                        </wpg:grpSpPr>
                        <wps:wsp>
                          <wps:cNvPr id="463" name="Freeform 54"/>
                          <wps:cNvSpPr>
                            <a:spLocks/>
                          </wps:cNvSpPr>
                          <wps:spPr bwMode="auto">
                            <a:xfrm>
                              <a:off x="1837" y="1792"/>
                              <a:ext cx="9354" cy="1928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4"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21A380" w14:textId="77777777" w:rsidR="00E13DFB" w:rsidRDefault="00E13DFB" w:rsidP="00E13DFB">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5EEA2F39" id="Group 461" o:spid="_x0000_s1456" style="position:absolute;margin-left:.1pt;margin-top:1.7pt;width:456.1pt;height:165.55pt;z-index:-251658143;mso-height-relative:margin" coordorigin=",-47" coordsize="57931,2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">
                <v:group id="Group 53" o:spid="_x0000_s1457" style="position:absolute;top:3142;width:57931;height:17865" coordorigin="1837,1792" coordsize="9354,1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54" o:spid="_x0000_s1458" style="position:absolute;left:1837;top:1792;width:9354;height:1928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" path="m,l9354,r,7809l,7809,,e" fillcolor="#edf2ea" stroked="f">
                    <v:path arrowok="t" o:connecttype="custom" o:connectlocs="0,2470;9354,2470;9354,21758;0,21758;0,2470" o:connectangles="0,0,0,0,0"/>
                  </v:shape>
                </v:group>
                <v:shape id="Freeform 52" o:spid="_x0000_s1459"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6521A380" w14:textId="77777777" w:rsidR="00E13DFB" w:rsidRDefault="00E13DFB" w:rsidP="00E13DFB">
                        <w:pPr>
                          <w:pStyle w:val="BoxTitle"/>
                          <w:spacing w:before="60" w:beforeAutospacing="0"/>
                        </w:pPr>
                        <w:r>
                          <w:t>INTRODUCTION</w:t>
                        </w:r>
                      </w:p>
                    </w:txbxContent>
                  </v:textbox>
                </v:shape>
              </v:group>
            </w:pict>
          </mc:Fallback>
        </mc:AlternateContent>
      </w:r>
    </w:p>
    <w:p w14:paraId="2BFAA3E1" w14:textId="77777777" w:rsidR="00E13DFB" w:rsidRDefault="00E13DFB" w:rsidP="00E13DFB">
      <w:pPr>
        <w:pStyle w:val="QuestionBox"/>
        <w:tabs>
          <w:tab w:val="clear" w:pos="709"/>
        </w:tabs>
        <w:ind w:left="0"/>
        <w:rPr>
          <w:rFonts w:eastAsia="Metropolis"/>
          <w:noProof/>
        </w:rPr>
      </w:pPr>
    </w:p>
    <w:p w14:paraId="496DBE63" w14:textId="77777777" w:rsidR="00E13DFB" w:rsidRDefault="00E13DFB" w:rsidP="00E13DFB">
      <w:pPr>
        <w:tabs>
          <w:tab w:val="left" w:pos="709"/>
        </w:tabs>
        <w:jc w:val="both"/>
        <w:rPr>
          <w:rFonts w:eastAsia="Times New Roman" w:cs="Times New Roman"/>
          <w:vanish/>
          <w:color w:val="000000" w:themeColor="text1"/>
          <w:szCs w:val="20"/>
          <w:lang w:eastAsia="en-AU"/>
        </w:rPr>
      </w:pPr>
    </w:p>
    <w:p w14:paraId="122DB907" w14:textId="77777777" w:rsidR="00E13DFB" w:rsidRDefault="00E13DFB" w:rsidP="00E13DFB">
      <w:pPr>
        <w:tabs>
          <w:tab w:val="left" w:pos="709"/>
        </w:tabs>
        <w:jc w:val="both"/>
        <w:rPr>
          <w:rFonts w:eastAsia="Times New Roman" w:cs="Times New Roman"/>
          <w:vanish/>
          <w:color w:val="000000" w:themeColor="text1"/>
          <w:szCs w:val="20"/>
          <w:lang w:eastAsia="en-AU"/>
        </w:rPr>
      </w:pPr>
    </w:p>
    <w:p w14:paraId="7F200BF1" w14:textId="77777777" w:rsidR="00E13DFB" w:rsidRDefault="00E13DFB" w:rsidP="00E13DFB">
      <w:pPr>
        <w:pStyle w:val="QuestionBox"/>
        <w:ind w:left="284"/>
      </w:pPr>
      <w:r>
        <w:t>In this chapter, we consider three provisions in the Act that deal with aspects of the trial process and seek feedback on issues relating to:</w:t>
      </w:r>
    </w:p>
    <w:p w14:paraId="0B772AEB" w14:textId="77777777" w:rsidR="00E13DFB" w:rsidRDefault="00E13DFB" w:rsidP="00866891">
      <w:pPr>
        <w:pStyle w:val="ListBullet"/>
        <w:numPr>
          <w:ilvl w:val="0"/>
          <w:numId w:val="20"/>
        </w:numPr>
        <w:ind w:left="709" w:hanging="425"/>
      </w:pPr>
      <w:r>
        <w:t>restriction on disclosure of complainant’s occupation in sexual cases (section 88);</w:t>
      </w:r>
    </w:p>
    <w:p w14:paraId="75B63157" w14:textId="77777777" w:rsidR="00E13DFB" w:rsidRDefault="00E13DFB" w:rsidP="00866891">
      <w:pPr>
        <w:pStyle w:val="ListBullet"/>
        <w:numPr>
          <w:ilvl w:val="0"/>
          <w:numId w:val="20"/>
        </w:numPr>
        <w:ind w:left="709" w:hanging="425"/>
      </w:pPr>
      <w:r>
        <w:t>cross-examination duties (section 92); and</w:t>
      </w:r>
    </w:p>
    <w:p w14:paraId="698FCABE" w14:textId="77777777" w:rsidR="00E13DFB" w:rsidRDefault="00E13DFB" w:rsidP="00866891">
      <w:pPr>
        <w:pStyle w:val="ListBullet"/>
        <w:numPr>
          <w:ilvl w:val="0"/>
          <w:numId w:val="20"/>
        </w:numPr>
        <w:ind w:left="709" w:hanging="425"/>
      </w:pPr>
      <w:r>
        <w:t>cross-examination on behalf of a defendant or party who is precluded from personally cross-examining a witness (section 95(5)).</w:t>
      </w:r>
    </w:p>
    <w:p w14:paraId="4C61C9D8" w14:textId="77777777" w:rsidR="00E13DFB" w:rsidRDefault="00E13DFB" w:rsidP="00E13DFB">
      <w:pPr>
        <w:pStyle w:val="ListBullet"/>
        <w:numPr>
          <w:ilvl w:val="0"/>
          <w:numId w:val="0"/>
        </w:numPr>
        <w:ind w:left="709"/>
      </w:pPr>
    </w:p>
    <w:p w14:paraId="5E892FBF" w14:textId="77777777" w:rsidR="00E13DFB" w:rsidRDefault="00E13DFB" w:rsidP="00B35CB8">
      <w:pPr>
        <w:pStyle w:val="Heading2"/>
      </w:pPr>
      <w:bookmarkStart w:id="164" w:name="_Toc132962605"/>
      <w:r>
        <w:t>Restriction on disclosure of complainant’s occupation in sexual cases</w:t>
      </w:r>
      <w:bookmarkEnd w:id="164"/>
    </w:p>
    <w:p w14:paraId="4FF988C7" w14:textId="77777777" w:rsidR="00E13DFB" w:rsidRPr="001422EF" w:rsidRDefault="00E13DFB" w:rsidP="00866891">
      <w:pPr>
        <w:pStyle w:val="ListParagraph"/>
        <w:numPr>
          <w:ilvl w:val="0"/>
          <w:numId w:val="45"/>
        </w:numPr>
        <w:spacing w:before="80" w:after="80" w:line="360" w:lineRule="auto"/>
        <w:contextualSpacing w:val="0"/>
        <w:jc w:val="both"/>
        <w:rPr>
          <w:rFonts w:eastAsia="Times New Roman" w:cs="Times New Roman"/>
          <w:vanish/>
          <w:color w:val="000000" w:themeColor="text1"/>
          <w:sz w:val="20"/>
          <w:szCs w:val="24"/>
          <w:lang w:eastAsia="en-AU"/>
        </w:rPr>
      </w:pPr>
    </w:p>
    <w:p w14:paraId="330124B1" w14:textId="77777777" w:rsidR="00E13DFB" w:rsidRDefault="00E13DFB" w:rsidP="00866891">
      <w:pPr>
        <w:pStyle w:val="BodyText"/>
        <w:numPr>
          <w:ilvl w:val="1"/>
          <w:numId w:val="45"/>
        </w:numPr>
        <w:tabs>
          <w:tab w:val="clear" w:pos="709"/>
        </w:tabs>
        <w:spacing w:after="80"/>
      </w:pPr>
      <w:r>
        <w:t>Section 88 of the Evidence Act 2006 prevents questioning about or comment on the complainant’s occupation in a sexual case except with the permission of the judge.</w:t>
      </w:r>
      <w:r>
        <w:rPr>
          <w:rStyle w:val="FootnoteReference"/>
        </w:rPr>
        <w:footnoteReference w:id="1064"/>
      </w:r>
      <w:r>
        <w:t xml:space="preserve"> The judge must only grant permission if the evidence “is </w:t>
      </w:r>
      <w:r w:rsidRPr="00195754">
        <w:t>of sufficient direct relevance to the facts in issue that to exclude it would be contrary to the interests of justice</w:t>
      </w:r>
      <w:r>
        <w:t>”.</w:t>
      </w:r>
      <w:r>
        <w:rPr>
          <w:rStyle w:val="FootnoteReference"/>
        </w:rPr>
        <w:footnoteReference w:id="1065"/>
      </w:r>
      <w:r>
        <w:t xml:space="preserve"> Section 88 re-enacted an existing rule of evidence,</w:t>
      </w:r>
      <w:r>
        <w:rPr>
          <w:rStyle w:val="FootnoteReference"/>
        </w:rPr>
        <w:footnoteReference w:id="1066"/>
      </w:r>
      <w:r>
        <w:t xml:space="preserve"> which was first enacted in 1985 in response to complainants’ requests for further protection of their identity and privacy in sexual cases.</w:t>
      </w:r>
      <w:r>
        <w:rPr>
          <w:rStyle w:val="FootnoteReference"/>
        </w:rPr>
        <w:footnoteReference w:id="1067"/>
      </w:r>
    </w:p>
    <w:p w14:paraId="4DE97171" w14:textId="77777777" w:rsidR="00E13DFB" w:rsidRPr="00FE436C" w:rsidRDefault="00E13DFB" w:rsidP="00B35CB8">
      <w:pPr>
        <w:pStyle w:val="Heading3"/>
      </w:pPr>
      <w:r>
        <w:t>What are the issues?</w:t>
      </w:r>
    </w:p>
    <w:p w14:paraId="0FB1DF69" w14:textId="77777777" w:rsidR="00E13DFB" w:rsidRDefault="00E13DFB" w:rsidP="00866891">
      <w:pPr>
        <w:pStyle w:val="BodyText"/>
        <w:numPr>
          <w:ilvl w:val="1"/>
          <w:numId w:val="45"/>
        </w:numPr>
        <w:spacing w:after="80"/>
      </w:pPr>
      <w:r>
        <w:t>Research published by Adjunct Professor Elisabeth McDonald in 2020 identified two issues in relation to section 88:</w:t>
      </w:r>
    </w:p>
    <w:p w14:paraId="35D46D14" w14:textId="77777777" w:rsidR="00E13DFB" w:rsidRDefault="00E13DFB" w:rsidP="00866891">
      <w:pPr>
        <w:pStyle w:val="BodyTextnonum"/>
        <w:numPr>
          <w:ilvl w:val="2"/>
          <w:numId w:val="45"/>
        </w:numPr>
        <w:tabs>
          <w:tab w:val="clear" w:pos="709"/>
        </w:tabs>
        <w:spacing w:after="80"/>
      </w:pPr>
      <w:bookmarkStart w:id="165" w:name="_Hlk127526339"/>
      <w:r>
        <w:lastRenderedPageBreak/>
        <w:t xml:space="preserve">Compliance with </w:t>
      </w:r>
      <w:bookmarkEnd w:id="165"/>
      <w:r>
        <w:t>the section was low.</w:t>
      </w:r>
      <w:r>
        <w:rPr>
          <w:rStyle w:val="FootnoteReference"/>
        </w:rPr>
        <w:footnoteReference w:id="1068"/>
      </w:r>
      <w:r>
        <w:t xml:space="preserve"> Complainants were routinely asked or gave evidence about their occupation or whether they were employed or studying without the judge considering section 88. </w:t>
      </w:r>
    </w:p>
    <w:p w14:paraId="31695901" w14:textId="77777777" w:rsidR="00E13DFB" w:rsidRDefault="00E13DFB" w:rsidP="00866891">
      <w:pPr>
        <w:pStyle w:val="BodyTextnonum"/>
        <w:numPr>
          <w:ilvl w:val="2"/>
          <w:numId w:val="45"/>
        </w:numPr>
        <w:tabs>
          <w:tab w:val="clear" w:pos="709"/>
        </w:tabs>
        <w:spacing w:after="80"/>
      </w:pPr>
      <w:r>
        <w:t>The scope of the section may be too narrow in that it only refers to “occupation”.</w:t>
      </w:r>
      <w:r>
        <w:rPr>
          <w:rStyle w:val="FootnoteReference"/>
        </w:rPr>
        <w:footnoteReference w:id="1069"/>
      </w:r>
      <w:r>
        <w:t xml:space="preserve"> It does not apply, for example, </w:t>
      </w:r>
      <w:r w:rsidRPr="00053A77">
        <w:t>to evidence about the complainant’s status as a student, mother or beneficiary</w:t>
      </w:r>
      <w:r>
        <w:t>,</w:t>
      </w:r>
      <w:r w:rsidRPr="00053A77">
        <w:t xml:space="preserve"> or evidence about </w:t>
      </w:r>
      <w:r>
        <w:t>t</w:t>
      </w:r>
      <w:r w:rsidRPr="00053A77">
        <w:t>he</w:t>
      </w:r>
      <w:r>
        <w:t>i</w:t>
      </w:r>
      <w:r w:rsidRPr="00053A77">
        <w:t xml:space="preserve">r education </w:t>
      </w:r>
      <w:r>
        <w:t xml:space="preserve">or </w:t>
      </w:r>
      <w:r w:rsidRPr="00053A77">
        <w:t>qualifications.</w:t>
      </w:r>
      <w:r>
        <w:rPr>
          <w:rStyle w:val="FootnoteReference"/>
        </w:rPr>
        <w:footnoteReference w:id="1070"/>
      </w:r>
      <w:r>
        <w:t xml:space="preserve"> It also does not differentiate between the complainant’s occupation at the time of the offending and at the time of the trial.</w:t>
      </w:r>
      <w:r>
        <w:rPr>
          <w:rStyle w:val="FootnoteReference"/>
        </w:rPr>
        <w:footnoteReference w:id="1071"/>
      </w:r>
      <w:r>
        <w:t xml:space="preserve"> This may result in the complainant being asked about both when only one is relevant.</w:t>
      </w:r>
    </w:p>
    <w:p w14:paraId="318852CE" w14:textId="77777777" w:rsidR="00E13DFB" w:rsidRDefault="00E13DFB" w:rsidP="00866891">
      <w:pPr>
        <w:pStyle w:val="BodyText"/>
        <w:numPr>
          <w:ilvl w:val="1"/>
          <w:numId w:val="45"/>
        </w:numPr>
        <w:spacing w:after="80"/>
      </w:pPr>
      <w:r>
        <w:t>McDonald made a submission to the select committee considering the Sexual Violence Legislation Bill in 2020 suggesting changes to section 88 to broaden its scope.</w:t>
      </w:r>
      <w:r>
        <w:rPr>
          <w:rStyle w:val="FootnoteReference"/>
        </w:rPr>
        <w:footnoteReference w:id="1072"/>
      </w:r>
      <w:r>
        <w:t xml:space="preserve"> No changes were made to the Bill. The Departmental Report noted the proposed amendments to section 88 may be better analysed following more thorough consideration of the research and case law.</w:t>
      </w:r>
      <w:r>
        <w:rPr>
          <w:rStyle w:val="FootnoteReference"/>
        </w:rPr>
        <w:footnoteReference w:id="1073"/>
      </w:r>
    </w:p>
    <w:p w14:paraId="55DD81B3" w14:textId="77777777" w:rsidR="00E13DFB" w:rsidRDefault="00E13DFB" w:rsidP="00B35CB8">
      <w:pPr>
        <w:pStyle w:val="Heading3"/>
      </w:pPr>
      <w:r>
        <w:t>Is legislative reform necessary or desirable?</w:t>
      </w:r>
    </w:p>
    <w:p w14:paraId="2DC59A34" w14:textId="77777777" w:rsidR="00E13DFB" w:rsidRDefault="00E13DFB" w:rsidP="00B35CB8">
      <w:pPr>
        <w:pStyle w:val="Heading4"/>
      </w:pPr>
      <w:r>
        <w:t>Low compliance with section 88</w:t>
      </w:r>
    </w:p>
    <w:p w14:paraId="10B97F21" w14:textId="77777777" w:rsidR="00E13DFB" w:rsidRDefault="00E13DFB" w:rsidP="00866891">
      <w:pPr>
        <w:pStyle w:val="BodyText"/>
        <w:numPr>
          <w:ilvl w:val="1"/>
          <w:numId w:val="45"/>
        </w:numPr>
        <w:tabs>
          <w:tab w:val="clear" w:pos="709"/>
        </w:tabs>
        <w:spacing w:after="80"/>
      </w:pPr>
      <w:r>
        <w:t>It is clear from the research conducted by McDonald that complainants are routinely asked and/or give evidence about their occupation without the judge considering admissibility under section 88. This is concerning, particularly given a provision to this effect has been in force since 1986.</w:t>
      </w:r>
      <w:r>
        <w:rPr>
          <w:rStyle w:val="FootnoteReference"/>
        </w:rPr>
        <w:footnoteReference w:id="1074"/>
      </w:r>
    </w:p>
    <w:p w14:paraId="374EDE58" w14:textId="77777777" w:rsidR="00E13DFB" w:rsidRDefault="00E13DFB" w:rsidP="00866891">
      <w:pPr>
        <w:pStyle w:val="BodyText"/>
        <w:numPr>
          <w:ilvl w:val="1"/>
          <w:numId w:val="45"/>
        </w:numPr>
        <w:tabs>
          <w:tab w:val="clear" w:pos="709"/>
        </w:tabs>
        <w:spacing w:after="80"/>
      </w:pPr>
      <w:r>
        <w:t>A question about a complainant’s occupation is often asked as an introductory question by the prosecution as a way of “settling” the complainant at the start of proceedings.</w:t>
      </w:r>
      <w:r>
        <w:rPr>
          <w:rStyle w:val="FootnoteReference"/>
        </w:rPr>
        <w:footnoteReference w:id="1075"/>
      </w:r>
      <w:r>
        <w:t xml:space="preserve"> Preliminary feedback we have received has noted that judges may find it difficult to intervene. They may be reluctant to interrupt a complainant, particularly at an early stage of their evidence, or to appear to be critical of a lawyer in front of a jury. If the question is general in nature (rather than asking for specifics such as where the complainant works), it may not be considered to raise serious privacy concerns. </w:t>
      </w:r>
    </w:p>
    <w:p w14:paraId="67B4A923" w14:textId="77777777" w:rsidR="00E13DFB" w:rsidRPr="00DE76C4" w:rsidRDefault="00E13DFB" w:rsidP="00866891">
      <w:pPr>
        <w:pStyle w:val="BodyText"/>
        <w:numPr>
          <w:ilvl w:val="1"/>
          <w:numId w:val="45"/>
        </w:numPr>
        <w:spacing w:after="80"/>
      </w:pPr>
      <w:r>
        <w:lastRenderedPageBreak/>
        <w:t xml:space="preserve">Given the requirement for judicial approval is already clear on the face of section 88 and some of the low compliance stems from procedural tendencies at trial, our preliminary view is that statutory amendment is unlikely to improve compliance with the provision. However, we seek feedback on other measures that may help to increase awareness and proper consideration of the requirements of the section. This could include, for example, guidance or education for judges and/or prosecutors. </w:t>
      </w:r>
    </w:p>
    <w:p w14:paraId="18C99562" w14:textId="77777777" w:rsidR="00E13DFB" w:rsidRDefault="00E13DFB" w:rsidP="00CC6A83">
      <w:pPr>
        <w:pStyle w:val="Heading4"/>
      </w:pPr>
      <w:r>
        <w:t>Scope of section 88</w:t>
      </w:r>
    </w:p>
    <w:p w14:paraId="08749923" w14:textId="77777777" w:rsidR="00E13DFB" w:rsidRDefault="00E13DFB" w:rsidP="00866891">
      <w:pPr>
        <w:pStyle w:val="BodyText"/>
        <w:numPr>
          <w:ilvl w:val="1"/>
          <w:numId w:val="45"/>
        </w:numPr>
        <w:spacing w:after="80"/>
      </w:pPr>
      <w:r>
        <w:t>Section 88 is based on section 23AA of the Evidence Act 1908. That provision was introduced in 1985 with the aim of preventing further indignity to, or traumatisation or intimidation of, victims of sexual violence.</w:t>
      </w:r>
      <w:r>
        <w:rPr>
          <w:rStyle w:val="FootnoteReference"/>
        </w:rPr>
        <w:footnoteReference w:id="1076"/>
      </w:r>
      <w:r>
        <w:t xml:space="preserve"> </w:t>
      </w:r>
    </w:p>
    <w:p w14:paraId="7C238098" w14:textId="77777777" w:rsidR="00E13DFB" w:rsidRDefault="00E13DFB" w:rsidP="00866891">
      <w:pPr>
        <w:pStyle w:val="BodyText"/>
        <w:numPr>
          <w:ilvl w:val="1"/>
          <w:numId w:val="45"/>
        </w:numPr>
        <w:spacing w:after="80"/>
      </w:pPr>
      <w:r>
        <w:t>Information about the complainant’s occupation, or lack thereof, can be irrelevant and may cause unnecessary embarrassment, shame or fear of harassment.</w:t>
      </w:r>
      <w:r>
        <w:rPr>
          <w:rStyle w:val="FootnoteReference"/>
        </w:rPr>
        <w:footnoteReference w:id="1077"/>
      </w:r>
      <w:r>
        <w:t xml:space="preserve"> The same may be true of other types of personal information about the complainant. For instance, McDonald’s research referred to cases in which the </w:t>
      </w:r>
      <w:r w:rsidRPr="008E04B7">
        <w:t>complainant appeared to be in some distress after having to disclose they were not working or were an 18-year-old “stay at home mum” on a benefit.</w:t>
      </w:r>
      <w:r>
        <w:rPr>
          <w:rStyle w:val="FootnoteReference"/>
        </w:rPr>
        <w:footnoteReference w:id="1078"/>
      </w:r>
      <w:r>
        <w:t xml:space="preserve"> However, the one case we identified that directly addresses this issue found that “occupation” in section 88 does not include beneficiary status. This suggests section 88 is likely to be interpreted in a relatively narrow way. </w:t>
      </w:r>
    </w:p>
    <w:p w14:paraId="79093FDA" w14:textId="77777777" w:rsidR="00E13DFB" w:rsidRDefault="00E13DFB" w:rsidP="00866891">
      <w:pPr>
        <w:pStyle w:val="BodyText"/>
        <w:numPr>
          <w:ilvl w:val="1"/>
          <w:numId w:val="45"/>
        </w:numPr>
        <w:spacing w:after="80"/>
      </w:pPr>
      <w:r>
        <w:t>Requiring the judge’s permission to offer evidence about a wider range of the complainant’s personal information may be seen as consistent with the policy basis for the section. If so, there may be a case for amending section 88.</w:t>
      </w:r>
    </w:p>
    <w:p w14:paraId="72E3791D" w14:textId="77777777" w:rsidR="00E13DFB" w:rsidRDefault="00E13DFB" w:rsidP="00866891">
      <w:pPr>
        <w:pStyle w:val="BodyText"/>
        <w:numPr>
          <w:ilvl w:val="1"/>
          <w:numId w:val="45"/>
        </w:numPr>
        <w:spacing w:after="80"/>
      </w:pPr>
      <w:r>
        <w:t>We invite submissions on whether section 88 should be amended to broaden its scope and, if so, what types of information should be included. For example, McDonald’s report recommended it should specifically cover:</w:t>
      </w:r>
      <w:r w:rsidRPr="00251F8D">
        <w:rPr>
          <w:rStyle w:val="FootnoteReference"/>
        </w:rPr>
        <w:footnoteReference w:id="1079"/>
      </w:r>
    </w:p>
    <w:p w14:paraId="1BAA5588" w14:textId="77777777" w:rsidR="00E13DFB" w:rsidRPr="00251F8D" w:rsidRDefault="00E13DFB" w:rsidP="00866891">
      <w:pPr>
        <w:pStyle w:val="BodyTextnonum"/>
        <w:numPr>
          <w:ilvl w:val="2"/>
          <w:numId w:val="45"/>
        </w:numPr>
        <w:tabs>
          <w:tab w:val="clear" w:pos="709"/>
        </w:tabs>
        <w:spacing w:after="80"/>
      </w:pPr>
      <w:r w:rsidRPr="00251F8D">
        <w:t>the occupation the complainant had at the time of the alleged offence and/or at the time of the trial;</w:t>
      </w:r>
    </w:p>
    <w:p w14:paraId="70A00FF4" w14:textId="77777777" w:rsidR="00E13DFB" w:rsidRPr="00251F8D" w:rsidRDefault="00E13DFB" w:rsidP="00866891">
      <w:pPr>
        <w:pStyle w:val="BodyTextnonum"/>
        <w:numPr>
          <w:ilvl w:val="2"/>
          <w:numId w:val="45"/>
        </w:numPr>
        <w:tabs>
          <w:tab w:val="clear" w:pos="709"/>
        </w:tabs>
        <w:spacing w:after="80"/>
      </w:pPr>
      <w:r w:rsidRPr="00251F8D">
        <w:t>whether the complainant has (or had) no occupation or is (or was) unemployed or is (or was) a student and in what course of study;</w:t>
      </w:r>
    </w:p>
    <w:p w14:paraId="479103C5" w14:textId="77777777" w:rsidR="00E13DFB" w:rsidRPr="00251F8D" w:rsidRDefault="00E13DFB" w:rsidP="00866891">
      <w:pPr>
        <w:pStyle w:val="BodyTextnonum"/>
        <w:numPr>
          <w:ilvl w:val="2"/>
          <w:numId w:val="45"/>
        </w:numPr>
        <w:tabs>
          <w:tab w:val="clear" w:pos="709"/>
        </w:tabs>
        <w:spacing w:after="80"/>
      </w:pPr>
      <w:r w:rsidRPr="00251F8D">
        <w:t>whether the complainant is (or was) fully occupied caring for children or family members;</w:t>
      </w:r>
    </w:p>
    <w:p w14:paraId="214A676C" w14:textId="77777777" w:rsidR="00E13DFB" w:rsidRDefault="00E13DFB" w:rsidP="00866891">
      <w:pPr>
        <w:pStyle w:val="BodyTextnonum"/>
        <w:numPr>
          <w:ilvl w:val="2"/>
          <w:numId w:val="45"/>
        </w:numPr>
        <w:tabs>
          <w:tab w:val="clear" w:pos="709"/>
        </w:tabs>
        <w:spacing w:after="80"/>
      </w:pPr>
      <w:r w:rsidRPr="00251F8D">
        <w:t>the complainant’s school or tertiary qualifications</w:t>
      </w:r>
      <w:r>
        <w:t>.</w:t>
      </w:r>
    </w:p>
    <w:p w14:paraId="238A9CF1" w14:textId="77777777" w:rsidR="00CC6A83" w:rsidRDefault="00CC6A83" w:rsidP="00CC6A83">
      <w:pPr>
        <w:pStyle w:val="QuestionBox"/>
      </w:pPr>
    </w:p>
    <w:p w14:paraId="5F2600CE" w14:textId="77777777" w:rsidR="00CC6A83" w:rsidRDefault="00CC6A83" w:rsidP="00CC6A83">
      <w:pPr>
        <w:pStyle w:val="QuestionBox"/>
      </w:pPr>
    </w:p>
    <w:p w14:paraId="3AAA30F6" w14:textId="77777777" w:rsidR="00CC6A83" w:rsidRDefault="00CC6A83" w:rsidP="00CC6A83">
      <w:pPr>
        <w:pStyle w:val="QuestionBox"/>
      </w:pPr>
    </w:p>
    <w:p w14:paraId="5EBD77B2" w14:textId="4E9E8B75" w:rsidR="00CC6A83" w:rsidRDefault="00CC6A83" w:rsidP="00CC6A83">
      <w:pPr>
        <w:pStyle w:val="QuestionBox"/>
      </w:pPr>
      <w:r>
        <w:rPr>
          <w:noProof/>
        </w:rPr>
        <w:lastRenderedPageBreak/>
        <mc:AlternateContent>
          <mc:Choice Requires="wpg">
            <w:drawing>
              <wp:anchor distT="0" distB="0" distL="114300" distR="114300" simplePos="0" relativeHeight="251658364" behindDoc="1" locked="0" layoutInCell="1" allowOverlap="1" wp14:anchorId="3358E0E5" wp14:editId="2E565D4E">
                <wp:simplePos x="0" y="0"/>
                <wp:positionH relativeFrom="column">
                  <wp:posOffset>-1962</wp:posOffset>
                </wp:positionH>
                <wp:positionV relativeFrom="paragraph">
                  <wp:posOffset>-22794</wp:posOffset>
                </wp:positionV>
                <wp:extent cx="5760085" cy="1883373"/>
                <wp:effectExtent l="0" t="0" r="0" b="3175"/>
                <wp:wrapNone/>
                <wp:docPr id="284" name="Group 284" descr="Question"/>
                <wp:cNvGraphicFramePr/>
                <a:graphic xmlns:a="http://schemas.openxmlformats.org/drawingml/2006/main">
                  <a:graphicData uri="http://schemas.microsoft.com/office/word/2010/wordprocessingGroup">
                    <wpg:wgp>
                      <wpg:cNvGrpSpPr/>
                      <wpg:grpSpPr>
                        <a:xfrm>
                          <a:off x="0" y="0"/>
                          <a:ext cx="5760085" cy="1883373"/>
                          <a:chOff x="0" y="62865"/>
                          <a:chExt cx="5760085" cy="1885270"/>
                        </a:xfrm>
                      </wpg:grpSpPr>
                      <wps:wsp>
                        <wps:cNvPr id="28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0F2A5C" w14:textId="322685AA" w:rsidR="00CC6A83" w:rsidRDefault="00CC6A83" w:rsidP="00CC6A83">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286" name="Group 53"/>
                        <wpg:cNvGrpSpPr>
                          <a:grpSpLocks/>
                        </wpg:cNvGrpSpPr>
                        <wpg:grpSpPr bwMode="auto">
                          <a:xfrm>
                            <a:off x="0" y="315706"/>
                            <a:ext cx="5760085" cy="1632429"/>
                            <a:chOff x="1837" y="1786"/>
                            <a:chExt cx="9302" cy="17633"/>
                          </a:xfrm>
                        </wpg:grpSpPr>
                        <wps:wsp>
                          <wps:cNvPr id="287" name="Freeform 54"/>
                          <wps:cNvSpPr>
                            <a:spLocks/>
                          </wps:cNvSpPr>
                          <wps:spPr bwMode="auto">
                            <a:xfrm>
                              <a:off x="1837" y="1786"/>
                              <a:ext cx="9302" cy="1763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88"/>
                        <wpg:cNvGrpSpPr/>
                        <wpg:grpSpPr>
                          <a:xfrm>
                            <a:off x="0" y="494036"/>
                            <a:ext cx="1443794" cy="252000"/>
                            <a:chOff x="-15880" y="0"/>
                            <a:chExt cx="1444379" cy="252068"/>
                          </a:xfrm>
                        </wpg:grpSpPr>
                        <wps:wsp>
                          <wps:cNvPr id="28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DA78C9"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358E0E5" id="Group 284" o:spid="_x0000_s1460" alt="Question" style="position:absolute;left:0;text-align:left;margin-left:-.15pt;margin-top:-1.8pt;width:453.55pt;height:148.3pt;z-index:-251658116;mso-height-relative:margin" coordorigin=",628" coordsize="57600,1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">
                <v:shape id="Freeform 52" o:spid="_x0000_s146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30F2A5C" w14:textId="322685AA" w:rsidR="00CC6A83" w:rsidRDefault="00CC6A83" w:rsidP="00CC6A83">
                        <w:pPr>
                          <w:pStyle w:val="BoxTitle"/>
                          <w:spacing w:before="0" w:beforeAutospacing="0"/>
                        </w:pPr>
                        <w:r w:rsidRPr="007F6876">
                          <w:t>QUESTION</w:t>
                        </w:r>
                        <w:r>
                          <w:t>S</w:t>
                        </w:r>
                      </w:p>
                    </w:txbxContent>
                  </v:textbox>
                </v:shape>
                <v:group id="Group 53" o:spid="_x0000_s1462" style="position:absolute;top:3157;width:57600;height:16324" coordorigin="1837,1786" coordsize="9302,1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54" o:spid="_x0000_s1463" style="position:absolute;left:1837;top:1786;width:9302;height:1763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" path="m,l9354,r,7809l,7809,,e" fillcolor="#edf2ea" stroked="f">
                    <v:path arrowok="t" o:connecttype="custom" o:connectlocs="0,2258;9302,2258;9302,19891;0,19891;0,2258" o:connectangles="0,0,0,0,0"/>
                  </v:shape>
                </v:group>
                <v:group id="Group 288" o:spid="_x0000_s146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58" o:spid="_x0000_s146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" path="m,l1815,e" filled="f" strokecolor="#72ab6a" strokeweight=".5pt">
                    <v:path arrowok="t" o:connecttype="custom" o:connectlocs="0,0;1073495,0" o:connectangles="0,0"/>
                  </v:shape>
                  <v:shape id="Freeform 66" o:spid="_x0000_s146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5DA78C9"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60</w:t>
                          </w:r>
                        </w:p>
                      </w:txbxContent>
                    </v:textbox>
                  </v:shape>
                </v:group>
              </v:group>
            </w:pict>
          </mc:Fallback>
        </mc:AlternateContent>
      </w:r>
    </w:p>
    <w:p w14:paraId="2691D117" w14:textId="77777777" w:rsidR="00CC6A83" w:rsidRDefault="00CC6A83" w:rsidP="00CC6A83">
      <w:pPr>
        <w:pStyle w:val="QuestionBox"/>
      </w:pPr>
    </w:p>
    <w:p w14:paraId="3E6E5F52" w14:textId="255E1D2B" w:rsidR="00E13DFB" w:rsidRDefault="00E13DFB" w:rsidP="00CC6A83">
      <w:pPr>
        <w:pStyle w:val="QuestionBox"/>
      </w:pPr>
      <w:r>
        <w:t>Is there an issue with low compliance with section 88? If so, how should this be addressed?</w:t>
      </w:r>
    </w:p>
    <w:p w14:paraId="66EE3624" w14:textId="046BF152" w:rsidR="00CC6A83" w:rsidRDefault="00CC6A83" w:rsidP="00CC6A83">
      <w:pPr>
        <w:pStyle w:val="QuestionBox"/>
      </w:pPr>
      <w:r>
        <w:rPr>
          <w:noProof/>
        </w:rPr>
        <mc:AlternateContent>
          <mc:Choice Requires="wpg">
            <w:drawing>
              <wp:anchor distT="0" distB="0" distL="114300" distR="114300" simplePos="0" relativeHeight="251658365" behindDoc="1" locked="0" layoutInCell="1" allowOverlap="1" wp14:anchorId="1A1F2631" wp14:editId="7B3E0A14">
                <wp:simplePos x="0" y="0"/>
                <wp:positionH relativeFrom="margin">
                  <wp:posOffset>0</wp:posOffset>
                </wp:positionH>
                <wp:positionV relativeFrom="paragraph">
                  <wp:posOffset>182558</wp:posOffset>
                </wp:positionV>
                <wp:extent cx="1443355" cy="251460"/>
                <wp:effectExtent l="0" t="0" r="42545" b="0"/>
                <wp:wrapNone/>
                <wp:docPr id="305" name="Group 30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30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2F510E" w14:textId="77777777" w:rsidR="00CC6A83" w:rsidRPr="00E700FF" w:rsidRDefault="00CC6A83" w:rsidP="00CC6A83">
                              <w:pPr>
                                <w:pStyle w:val="BoxTitle"/>
                                <w:spacing w:before="0" w:beforeAutospacing="0"/>
                              </w:pPr>
                              <w:r w:rsidRPr="001C1B37">
                                <w:t>Q</w:t>
                              </w:r>
                              <w:r>
                                <w:t>61</w:t>
                              </w:r>
                            </w:p>
                          </w:txbxContent>
                        </wps:txbx>
                        <wps:bodyPr rot="0" vert="horz" wrap="square" lIns="54000" tIns="82800" rIns="91440" bIns="45720" anchor="ctr" anchorCtr="0" upright="1">
                          <a:noAutofit/>
                        </wps:bodyPr>
                      </wps:wsp>
                    </wpg:wgp>
                  </a:graphicData>
                </a:graphic>
              </wp:anchor>
            </w:drawing>
          </mc:Choice>
          <mc:Fallback>
            <w:pict>
              <v:group w14:anchorId="1A1F2631" id="Group 305" o:spid="_x0000_s1467" style="position:absolute;left:0;text-align:left;margin-left:0;margin-top:14.35pt;width:113.65pt;height:19.8pt;z-index:-251658115;mso-position-horizontal-relative:margin"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">
                <v:shape id="Freeform 58" o:spid="_x0000_s146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" path="m,l1815,e" filled="f" strokecolor="#72ab6a" strokeweight=".5pt">
                  <v:path arrowok="t" o:connecttype="custom" o:connectlocs="0,0;1073495,0" o:connectangles="0,0"/>
                </v:shape>
                <v:shape id="Freeform 66" o:spid="_x0000_s146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82F510E" w14:textId="77777777" w:rsidR="00CC6A83" w:rsidRPr="00E700FF" w:rsidRDefault="00CC6A83" w:rsidP="00CC6A83">
                        <w:pPr>
                          <w:pStyle w:val="BoxTitle"/>
                          <w:spacing w:before="0" w:beforeAutospacing="0"/>
                        </w:pPr>
                        <w:r w:rsidRPr="001C1B37">
                          <w:t>Q</w:t>
                        </w:r>
                        <w:r>
                          <w:t>61</w:t>
                        </w:r>
                      </w:p>
                    </w:txbxContent>
                  </v:textbox>
                </v:shape>
                <w10:wrap anchorx="margin"/>
              </v:group>
            </w:pict>
          </mc:Fallback>
        </mc:AlternateContent>
      </w:r>
    </w:p>
    <w:p w14:paraId="2B4B9266" w14:textId="551AE910" w:rsidR="00E13DFB" w:rsidRDefault="00E13DFB" w:rsidP="00CC6A83">
      <w:pPr>
        <w:pStyle w:val="QuestionBox"/>
      </w:pPr>
      <w:r>
        <w:t>Should section 88 be amended to protect a wider range of information? If so, what should it include?</w:t>
      </w:r>
    </w:p>
    <w:p w14:paraId="5D58AAE1" w14:textId="77777777" w:rsidR="00CC6A83" w:rsidRPr="00927CB2" w:rsidRDefault="00CC6A83" w:rsidP="00CC6A83">
      <w:pPr>
        <w:pStyle w:val="QuestionBox"/>
      </w:pPr>
    </w:p>
    <w:p w14:paraId="0D3C2315" w14:textId="77777777" w:rsidR="00E13DFB" w:rsidRDefault="00E13DFB" w:rsidP="00CC6A83">
      <w:pPr>
        <w:pStyle w:val="Heading2"/>
      </w:pPr>
      <w:bookmarkStart w:id="166" w:name="_Toc132962606"/>
      <w:r>
        <w:t>Cross-examination duties</w:t>
      </w:r>
      <w:bookmarkEnd w:id="166"/>
    </w:p>
    <w:p w14:paraId="571A8FCE" w14:textId="77777777" w:rsidR="00E13DFB" w:rsidRDefault="00E13DFB" w:rsidP="00866891">
      <w:pPr>
        <w:pStyle w:val="BodyText"/>
        <w:numPr>
          <w:ilvl w:val="1"/>
          <w:numId w:val="45"/>
        </w:numPr>
        <w:spacing w:after="80"/>
      </w:pPr>
      <w:r w:rsidRPr="006C5E70">
        <w:t xml:space="preserve">Section 92 </w:t>
      </w:r>
      <w:r>
        <w:t>establishes a duty to cross-examine witnesses. Section 92(1) states:</w:t>
      </w:r>
    </w:p>
    <w:p w14:paraId="310BAE00" w14:textId="77777777" w:rsidR="00E13DFB" w:rsidRDefault="00E13DFB" w:rsidP="00E13DFB">
      <w:pPr>
        <w:pStyle w:val="Quote"/>
      </w:pPr>
      <w:r w:rsidRPr="00754A61">
        <w:t>In any proceeding, a party must cross-examine a witness on significant matters that are relevant and in issue and that contradict the evidence of the witness, if the witness could reasonably be expected to be in a position to give admissible evidence on those matters</w:t>
      </w:r>
      <w:r>
        <w:t>.</w:t>
      </w:r>
    </w:p>
    <w:p w14:paraId="281EF983" w14:textId="77777777" w:rsidR="00E13DFB" w:rsidRDefault="00E13DFB" w:rsidP="00CC6A83">
      <w:pPr>
        <w:pStyle w:val="Heading3"/>
      </w:pPr>
      <w:r>
        <w:t>What is the issue?</w:t>
      </w:r>
    </w:p>
    <w:p w14:paraId="4756E351" w14:textId="77777777" w:rsidR="00E13DFB" w:rsidRDefault="00E13DFB" w:rsidP="00E13DFB">
      <w:pPr>
        <w:pStyle w:val="BodyText"/>
      </w:pPr>
      <w:r>
        <w:t xml:space="preserve">Our review of case law and commentary identified some uncertainty as to the purpose of section 92 </w:t>
      </w:r>
      <w:r w:rsidRPr="003215E1">
        <w:t>and</w:t>
      </w:r>
      <w:r>
        <w:t xml:space="preserve"> what it requires of cross-examining counsel. There is concern that this may be resulting in mechanical and overcautious cross-examination in civil proceedings and improper or repetitive cross-examination in some criminal proceedings. </w:t>
      </w:r>
    </w:p>
    <w:p w14:paraId="6B5B7443" w14:textId="77777777" w:rsidR="00E13DFB" w:rsidRDefault="00E13DFB" w:rsidP="00CC6A83">
      <w:pPr>
        <w:pStyle w:val="Heading4"/>
      </w:pPr>
      <w:r>
        <w:t>Is the purpose and scope of section 92 uncertain?</w:t>
      </w:r>
    </w:p>
    <w:p w14:paraId="2E882660" w14:textId="77777777" w:rsidR="00E13DFB" w:rsidRDefault="00E13DFB" w:rsidP="00E13DFB">
      <w:pPr>
        <w:pStyle w:val="BodyText"/>
      </w:pPr>
      <w:r>
        <w:t xml:space="preserve">Section 92 </w:t>
      </w:r>
      <w:r w:rsidRPr="006C5E70">
        <w:t>codifie</w:t>
      </w:r>
      <w:r>
        <w:t>d</w:t>
      </w:r>
      <w:r w:rsidRPr="006C5E70">
        <w:t xml:space="preserve"> the long-standing common law rule</w:t>
      </w:r>
      <w:r w:rsidRPr="001D71F6">
        <w:t xml:space="preserve"> </w:t>
      </w:r>
      <w:r w:rsidRPr="006C5E70">
        <w:t xml:space="preserve">first put forward </w:t>
      </w:r>
      <w:r>
        <w:t>by</w:t>
      </w:r>
      <w:r w:rsidRPr="006C5E70">
        <w:t xml:space="preserve"> the House of Lords in </w:t>
      </w:r>
      <w:r w:rsidRPr="000D42B8">
        <w:rPr>
          <w:i/>
          <w:iCs/>
        </w:rPr>
        <w:t>Browne v Dunn</w:t>
      </w:r>
      <w:r>
        <w:t>.</w:t>
      </w:r>
      <w:r w:rsidRPr="006C5E70">
        <w:rPr>
          <w:rStyle w:val="FootnoteReference"/>
        </w:rPr>
        <w:footnoteReference w:id="1080"/>
      </w:r>
      <w:r>
        <w:t xml:space="preserve"> The rule is concerned with fairness </w:t>
      </w:r>
      <w:r w:rsidRPr="00565ECA">
        <w:t>to the witness</w:t>
      </w:r>
      <w:r>
        <w:t xml:space="preserve"> so that they have an opportunity to reply to any criticism of their evidence based on competing evidence that is to be called later.</w:t>
      </w:r>
      <w:r>
        <w:rPr>
          <w:rStyle w:val="FootnoteReference"/>
        </w:rPr>
        <w:footnoteReference w:id="1081"/>
      </w:r>
      <w:r>
        <w:t xml:space="preserve"> It is there to protect the interests of the party that called the witness, </w:t>
      </w:r>
      <w:r>
        <w:rPr>
          <w:i/>
          <w:iCs/>
        </w:rPr>
        <w:t xml:space="preserve">not </w:t>
      </w:r>
      <w:r>
        <w:t>the interests of the party who is cross-examining the witness.</w:t>
      </w:r>
      <w:r>
        <w:rPr>
          <w:rStyle w:val="FootnoteReference"/>
        </w:rPr>
        <w:footnoteReference w:id="1082"/>
      </w:r>
      <w:r>
        <w:t xml:space="preserve"> Additionally, t</w:t>
      </w:r>
      <w:r w:rsidRPr="00443EB2">
        <w:t xml:space="preserve">he rationale of accuracy in fact-finding </w:t>
      </w:r>
      <w:r>
        <w:t xml:space="preserve">is </w:t>
      </w:r>
      <w:r w:rsidRPr="00443EB2">
        <w:t xml:space="preserve">also </w:t>
      </w:r>
      <w:r>
        <w:t xml:space="preserve">said to </w:t>
      </w:r>
      <w:r w:rsidRPr="00443EB2">
        <w:t>underpin section 92.</w:t>
      </w:r>
      <w:r w:rsidRPr="00443EB2">
        <w:rPr>
          <w:rStyle w:val="FootnoteReference"/>
        </w:rPr>
        <w:footnoteReference w:id="1083"/>
      </w:r>
      <w:r>
        <w:t xml:space="preserve"> The fact-finder should not be denied the opportunity to assess from all perspectives conflicting recollections of events.</w:t>
      </w:r>
      <w:r>
        <w:rPr>
          <w:rStyle w:val="FootnoteReference"/>
        </w:rPr>
        <w:footnoteReference w:id="1084"/>
      </w:r>
    </w:p>
    <w:p w14:paraId="38350A6A" w14:textId="77777777" w:rsidR="00E13DFB" w:rsidRDefault="00E13DFB" w:rsidP="00E13DFB">
      <w:pPr>
        <w:pStyle w:val="BodyText"/>
      </w:pPr>
      <w:r w:rsidRPr="003215E1">
        <w:t>The</w:t>
      </w:r>
      <w:r>
        <w:t xml:space="preserve"> duty to cross-examine is not absolute. The courts have confirmed that section 92 “need not be slavishly followed where the witness is perfectly well aware that his or her </w:t>
      </w:r>
      <w:r>
        <w:lastRenderedPageBreak/>
        <w:t>evidence is not accepted on a particular point”.</w:t>
      </w:r>
      <w:r>
        <w:rPr>
          <w:rStyle w:val="FootnoteReference"/>
        </w:rPr>
        <w:footnoteReference w:id="1085"/>
      </w:r>
      <w:r>
        <w:t xml:space="preserve"> The courts instead take a flexible and purposive approach when asked to determine whether a breach of section 92 has occurred. There are many examples of cases where one party’s failure to cross-examine a witness on a material issue is deemed </w:t>
      </w:r>
      <w:r w:rsidRPr="00563093">
        <w:rPr>
          <w:i/>
          <w:iCs/>
        </w:rPr>
        <w:t>not</w:t>
      </w:r>
      <w:r>
        <w:t xml:space="preserve"> to breach the section 92 duty. This is on the basis that the witness was aware their evidence was not accepted on a particular point and, therefore, had the opportunity to respond to the criticism (whether or not that opportunity was taken).</w:t>
      </w:r>
      <w:r>
        <w:rPr>
          <w:rStyle w:val="FootnoteReference"/>
        </w:rPr>
        <w:footnoteReference w:id="1086"/>
      </w:r>
      <w:r>
        <w:t xml:space="preserve"> </w:t>
      </w:r>
    </w:p>
    <w:p w14:paraId="65DD60AB" w14:textId="77777777" w:rsidR="00E13DFB" w:rsidRDefault="00E13DFB" w:rsidP="00E13DFB">
      <w:pPr>
        <w:pStyle w:val="BodyText"/>
      </w:pPr>
      <w:r>
        <w:t xml:space="preserve">The </w:t>
      </w:r>
      <w:r w:rsidRPr="003215E1">
        <w:t>problem</w:t>
      </w:r>
      <w:r>
        <w:t xml:space="preserve">, however, is that neither the purpose of section 92 nor the courts’ general approach are apparent on the face of the section. As the authors of </w:t>
      </w:r>
      <w:r w:rsidRPr="0008062A">
        <w:rPr>
          <w:i/>
          <w:iCs/>
        </w:rPr>
        <w:t>Mahoney on Evidence</w:t>
      </w:r>
      <w:r>
        <w:t xml:space="preserve"> observe, a literal interpretation of </w:t>
      </w:r>
      <w:r w:rsidRPr="00D8566F">
        <w:t>s</w:t>
      </w:r>
      <w:r>
        <w:t>ection</w:t>
      </w:r>
      <w:r w:rsidRPr="00D8566F">
        <w:t xml:space="preserve"> 92 would require cross-examination of witnesses</w:t>
      </w:r>
      <w:r>
        <w:t xml:space="preserve"> </w:t>
      </w:r>
      <w:r w:rsidRPr="00D8566F">
        <w:t xml:space="preserve">on every item of evidence in a party’s case that meets </w:t>
      </w:r>
      <w:r>
        <w:t>the requirements in</w:t>
      </w:r>
      <w:r w:rsidRPr="00D8566F">
        <w:t xml:space="preserve"> s</w:t>
      </w:r>
      <w:r>
        <w:t>ection</w:t>
      </w:r>
      <w:r w:rsidRPr="00D8566F">
        <w:t xml:space="preserve"> 92</w:t>
      </w:r>
      <w:r>
        <w:t>(1).</w:t>
      </w:r>
      <w:r>
        <w:rPr>
          <w:rStyle w:val="FootnoteReference"/>
        </w:rPr>
        <w:footnoteReference w:id="1087"/>
      </w:r>
      <w:r>
        <w:t xml:space="preserve"> They suggest that such a mechanical approach </w:t>
      </w:r>
      <w:r w:rsidRPr="00D8566F">
        <w:t>could blunt the impact of cross-examination and undermine a party’s control of adversarial questioning at trial.</w:t>
      </w:r>
      <w:r>
        <w:rPr>
          <w:rStyle w:val="FootnoteReference"/>
        </w:rPr>
        <w:footnoteReference w:id="1088"/>
      </w:r>
      <w:r>
        <w:t xml:space="preserve"> The authors of both </w:t>
      </w:r>
      <w:r w:rsidRPr="0008062A">
        <w:rPr>
          <w:i/>
          <w:iCs/>
        </w:rPr>
        <w:t>Adams on Criminal Law</w:t>
      </w:r>
      <w:r>
        <w:t xml:space="preserve"> and </w:t>
      </w:r>
      <w:r w:rsidRPr="00EB0AEA">
        <w:rPr>
          <w:i/>
          <w:iCs/>
        </w:rPr>
        <w:t>Mahoney on Evidence</w:t>
      </w:r>
      <w:r>
        <w:t xml:space="preserve"> also suggest that a literal interpretation of section 92 could </w:t>
      </w:r>
      <w:r w:rsidRPr="00E42583">
        <w:t>conflict with</w:t>
      </w:r>
      <w:r>
        <w:t xml:space="preserve"> the focus in</w:t>
      </w:r>
      <w:r w:rsidRPr="00E42583">
        <w:t xml:space="preserve"> s</w:t>
      </w:r>
      <w:r>
        <w:t>ection</w:t>
      </w:r>
      <w:r w:rsidRPr="00E42583">
        <w:t xml:space="preserve"> 6(e) </w:t>
      </w:r>
      <w:r>
        <w:t xml:space="preserve">of the Act on </w:t>
      </w:r>
      <w:r w:rsidRPr="00E42583">
        <w:t>avoiding unjustifiable expense and delay.</w:t>
      </w:r>
      <w:r>
        <w:rPr>
          <w:rStyle w:val="FootnoteReference"/>
        </w:rPr>
        <w:footnoteReference w:id="1089"/>
      </w:r>
    </w:p>
    <w:p w14:paraId="78D269FE" w14:textId="77777777" w:rsidR="00E13DFB" w:rsidRDefault="00E13DFB" w:rsidP="00E13DFB">
      <w:pPr>
        <w:pStyle w:val="BodyText"/>
      </w:pPr>
      <w:r w:rsidRPr="003215E1">
        <w:t>The</w:t>
      </w:r>
      <w:r>
        <w:t xml:space="preserve"> wording of section 92 may be generating some uncertainty as to what is required to discharge the cross-examination duty, leading lawyers to “err in the direction of excess”.</w:t>
      </w:r>
      <w:r>
        <w:rPr>
          <w:rStyle w:val="FootnoteReference"/>
        </w:rPr>
        <w:footnoteReference w:id="1090"/>
      </w:r>
      <w:r>
        <w:t xml:space="preserve"> As James Farmer KC has observed:</w:t>
      </w:r>
      <w:r>
        <w:rPr>
          <w:rStyle w:val="FootnoteReference"/>
        </w:rPr>
        <w:footnoteReference w:id="1091"/>
      </w:r>
    </w:p>
    <w:p w14:paraId="3B39285D" w14:textId="77777777" w:rsidR="00E13DFB" w:rsidRPr="009D0EA3" w:rsidRDefault="00E13DFB" w:rsidP="00E13DFB">
      <w:pPr>
        <w:pStyle w:val="Quote"/>
      </w:pPr>
      <w:r w:rsidRPr="009D0EA3">
        <w:t>It is a common misconception that all evidence of a witness with which there is some disagreement must be challenged by way of cross-examination. If that were so, trials would be needlessly protracted.</w:t>
      </w:r>
    </w:p>
    <w:p w14:paraId="1ACE51A0" w14:textId="77777777" w:rsidR="00E13DFB" w:rsidRDefault="00E13DFB" w:rsidP="00E13DFB">
      <w:pPr>
        <w:pStyle w:val="BodyText"/>
      </w:pPr>
      <w:r>
        <w:t xml:space="preserve">This matter was considered by Te Aka Matua o te Ture | Law Commission when it recommended codifying the rule in </w:t>
      </w:r>
      <w:r>
        <w:rPr>
          <w:i/>
          <w:iCs/>
        </w:rPr>
        <w:t xml:space="preserve">Browne v Dunn </w:t>
      </w:r>
      <w:r>
        <w:t>in the Evidence Code. The Commission acknowledged concern that codification could unnecessarily lengthen cross-examinations as counsel seek to comply with the duty.</w:t>
      </w:r>
      <w:r>
        <w:rPr>
          <w:rStyle w:val="FootnoteReference"/>
        </w:rPr>
        <w:footnoteReference w:id="1092"/>
      </w:r>
      <w:r>
        <w:t xml:space="preserve"> The Commission sought to allay these concerns by recommending that the statutory duty be expressly limited to </w:t>
      </w:r>
      <w:r>
        <w:lastRenderedPageBreak/>
        <w:t>situations where “the witness or the party who called the witness may be unaware that they are a part of the cross-examining party’s case”,</w:t>
      </w:r>
      <w:r>
        <w:rPr>
          <w:rStyle w:val="FootnoteReference"/>
        </w:rPr>
        <w:footnoteReference w:id="1093"/>
      </w:r>
      <w:r>
        <w:t xml:space="preserve"> explaining that:</w:t>
      </w:r>
      <w:r>
        <w:rPr>
          <w:rStyle w:val="FootnoteReference"/>
        </w:rPr>
        <w:footnoteReference w:id="1094"/>
      </w:r>
    </w:p>
    <w:p w14:paraId="781E38CB" w14:textId="77777777" w:rsidR="00E13DFB" w:rsidRDefault="00E13DFB" w:rsidP="00E13DFB">
      <w:pPr>
        <w:pStyle w:val="Quote"/>
      </w:pPr>
      <w:r>
        <w:t xml:space="preserve">The Law Commission expects that s 92 will result in </w:t>
      </w:r>
      <w:r w:rsidRPr="000E46CD">
        <w:rPr>
          <w:i/>
          <w:iCs/>
        </w:rPr>
        <w:t>fewer</w:t>
      </w:r>
      <w:r>
        <w:t xml:space="preserve"> instances of the sort of unnecessary, overcautious cross-examinations that occur at present to ensure compliance with a common law rule that is of uncertain scope and varying application.</w:t>
      </w:r>
    </w:p>
    <w:p w14:paraId="3A75C380" w14:textId="77777777" w:rsidR="00E13DFB" w:rsidRDefault="00E13DFB" w:rsidP="00E13DFB">
      <w:pPr>
        <w:pStyle w:val="BodyText"/>
      </w:pPr>
      <w:r>
        <w:t xml:space="preserve">The Commission’s </w:t>
      </w:r>
      <w:r w:rsidRPr="003215E1">
        <w:t>proposed</w:t>
      </w:r>
      <w:r>
        <w:t xml:space="preserve"> wording, however, did not appear in the Evidence Bill introduced into Parliament in 2005.</w:t>
      </w:r>
      <w:r>
        <w:rPr>
          <w:rStyle w:val="FootnoteReference"/>
        </w:rPr>
        <w:footnoteReference w:id="1095"/>
      </w:r>
      <w:r>
        <w:t xml:space="preserve"> </w:t>
      </w:r>
    </w:p>
    <w:p w14:paraId="52D9D3CD" w14:textId="77777777" w:rsidR="00E13DFB" w:rsidRDefault="00E13DFB" w:rsidP="00CC6A83">
      <w:pPr>
        <w:pStyle w:val="Heading4"/>
      </w:pPr>
      <w:r>
        <w:t>Impact of section 92 in civil proceedings</w:t>
      </w:r>
    </w:p>
    <w:p w14:paraId="099F3232" w14:textId="77777777" w:rsidR="00E13DFB" w:rsidRDefault="00E13DFB" w:rsidP="00E13DFB">
      <w:pPr>
        <w:pStyle w:val="BodyText"/>
      </w:pPr>
      <w:r>
        <w:t>If the objectives of section 92 are fairness and accuracy in fact-finding, arguably it has little utility in civil proceedings. The parties’ positions in civil proceedings are usually clear well in advance of trial because of procedural requirements such as exchange of pleadings and briefs of evidence.</w:t>
      </w:r>
      <w:r>
        <w:rPr>
          <w:rStyle w:val="FootnoteReference"/>
        </w:rPr>
        <w:footnoteReference w:id="1096"/>
      </w:r>
    </w:p>
    <w:p w14:paraId="3B557005" w14:textId="77777777" w:rsidR="00E13DFB" w:rsidRDefault="00E13DFB" w:rsidP="00E13DFB">
      <w:pPr>
        <w:pStyle w:val="BodyText"/>
      </w:pPr>
      <w:r>
        <w:t xml:space="preserve">The issue, however, is that uncertainty as to what </w:t>
      </w:r>
      <w:r w:rsidRPr="003215E1">
        <w:t>section</w:t>
      </w:r>
      <w:r>
        <w:t xml:space="preserve"> 92 requires may be resulting in the very behaviour the Commission sought to avoid with its Evidence Code – that is, </w:t>
      </w:r>
      <w:r w:rsidRPr="00906E17">
        <w:t>unnecessary and overcautious questioning in cross-examination to avoid any breach of section 92.</w:t>
      </w:r>
      <w:r w:rsidRPr="00906E17">
        <w:rPr>
          <w:rStyle w:val="FootnoteReference"/>
        </w:rPr>
        <w:footnoteReference w:id="1097"/>
      </w:r>
      <w:r>
        <w:t xml:space="preserve"> As Andrew Barker KC explained in a submission to the Rules Committee on its Improving Access to Civil Justice project:</w:t>
      </w:r>
      <w:r>
        <w:rPr>
          <w:rStyle w:val="FootnoteReference"/>
        </w:rPr>
        <w:footnoteReference w:id="1098"/>
      </w:r>
    </w:p>
    <w:p w14:paraId="57B75112" w14:textId="77777777" w:rsidR="00E13DFB" w:rsidRDefault="00E13DFB" w:rsidP="00E13DFB">
      <w:pPr>
        <w:pStyle w:val="Quote"/>
      </w:pPr>
      <w:r>
        <w:t xml:space="preserve">I find this often to be a largely pro forma and meaningless obligation, given the filing of substantive briefs of evidence and reply evidence (whether in writing or as led by counsel). Some counsel take a very broad approach to this obligation. Others are very careful and particular and devote a significant amount of time in putting each aspect of their case to every witness. The same variability in approach to the obligation applies to the judiciary. </w:t>
      </w:r>
    </w:p>
    <w:p w14:paraId="2EAE16E7" w14:textId="77777777" w:rsidR="00E13DFB" w:rsidRDefault="00E13DFB" w:rsidP="00CC6A83">
      <w:pPr>
        <w:pStyle w:val="Heading4"/>
      </w:pPr>
      <w:r>
        <w:t>Impact of section 92 on witnesses</w:t>
      </w:r>
    </w:p>
    <w:p w14:paraId="67B15CF4" w14:textId="77777777" w:rsidR="00E13DFB" w:rsidRDefault="00E13DFB" w:rsidP="00E13DFB">
      <w:pPr>
        <w:pStyle w:val="BodyText"/>
      </w:pPr>
      <w:r>
        <w:t xml:space="preserve">Another concern is that section 92 is resulting in improper or unnecessarily repetitive </w:t>
      </w:r>
      <w:r w:rsidRPr="003215E1">
        <w:t>questioning</w:t>
      </w:r>
      <w:r>
        <w:t xml:space="preserve"> of witnesses in some cases. </w:t>
      </w:r>
    </w:p>
    <w:p w14:paraId="1A47EFF5" w14:textId="77777777" w:rsidR="00E13DFB" w:rsidRDefault="00E13DFB" w:rsidP="00E13DFB">
      <w:pPr>
        <w:pStyle w:val="BodyText"/>
      </w:pPr>
      <w:r w:rsidRPr="00DB49C7">
        <w:t>McDonald</w:t>
      </w:r>
      <w:r>
        <w:t xml:space="preserve">’s </w:t>
      </w:r>
      <w:r w:rsidRPr="00DB49C7">
        <w:t>examination of New Zealand trial processes in adult acquaintance rape cases</w:t>
      </w:r>
      <w:r>
        <w:t xml:space="preserve"> identified a “very apparent” tension between the need to fairly “put the case” in cross-</w:t>
      </w:r>
      <w:r>
        <w:lastRenderedPageBreak/>
        <w:t>examination and the judicial control of improper or needlessly repetitive questioning</w:t>
      </w:r>
      <w:r w:rsidRPr="00DB49C7">
        <w:t>.</w:t>
      </w:r>
      <w:r w:rsidRPr="00DB49C7">
        <w:rPr>
          <w:rStyle w:val="FootnoteReference"/>
        </w:rPr>
        <w:footnoteReference w:id="1099"/>
      </w:r>
      <w:r>
        <w:t xml:space="preserve"> McDonald found that some complainants were subjected to long periods of questioning in reliance on the duty to put the defendant’s case,</w:t>
      </w:r>
      <w:r>
        <w:rPr>
          <w:rStyle w:val="FootnoteReference"/>
        </w:rPr>
        <w:footnoteReference w:id="1100"/>
      </w:r>
      <w:r>
        <w:t xml:space="preserve"> sometimes even when the defendant’s version of events had already been put to the complainant during their examination-in-chief.</w:t>
      </w:r>
      <w:r>
        <w:rPr>
          <w:rStyle w:val="FootnoteReference"/>
        </w:rPr>
        <w:footnoteReference w:id="1101"/>
      </w:r>
      <w:r>
        <w:t xml:space="preserve"> McDonald concluded that better use could be made of the rules of evidence and procedure that already exist:</w:t>
      </w:r>
      <w:r>
        <w:rPr>
          <w:rStyle w:val="FootnoteReference"/>
        </w:rPr>
        <w:footnoteReference w:id="1102"/>
      </w:r>
    </w:p>
    <w:p w14:paraId="54CD5262" w14:textId="77777777" w:rsidR="00E13DFB" w:rsidRDefault="00E13DFB" w:rsidP="00E13DFB">
      <w:pPr>
        <w:pStyle w:val="Quote"/>
      </w:pPr>
      <w:r>
        <w:t>We consider that in the particular context of adult rape cases when the issue is consent, what is in contention will be usually be very clear pre-trial, and there could be tighter controls placed on the challenges to the complainant’s version of events (such as reducing the need to put all of the details of the defendant’s competing claims).</w:t>
      </w:r>
    </w:p>
    <w:p w14:paraId="63DE6546" w14:textId="77777777" w:rsidR="00E13DFB" w:rsidRDefault="00E13DFB" w:rsidP="00E13DFB">
      <w:pPr>
        <w:pStyle w:val="BodyText"/>
      </w:pPr>
      <w:r>
        <w:t xml:space="preserve">Further research </w:t>
      </w:r>
      <w:r w:rsidRPr="003215E1">
        <w:t>published</w:t>
      </w:r>
      <w:r>
        <w:t xml:space="preserve"> by McDonald in 2022 found that repetitive questioning on the basis of the section 92 duty occurred in both jury and judge-alone rape trials.</w:t>
      </w:r>
      <w:r>
        <w:rPr>
          <w:rStyle w:val="FootnoteReference"/>
        </w:rPr>
        <w:footnoteReference w:id="1103"/>
      </w:r>
    </w:p>
    <w:p w14:paraId="65E008F1" w14:textId="77777777" w:rsidR="00E13DFB" w:rsidRDefault="00E13DFB" w:rsidP="00E13DFB">
      <w:pPr>
        <w:pStyle w:val="BodyText"/>
      </w:pPr>
      <w:r>
        <w:t>In relation to the observed lack of judicial intervention in cross-examination, McDonald suggested that:</w:t>
      </w:r>
      <w:r>
        <w:rPr>
          <w:rStyle w:val="FootnoteReference"/>
        </w:rPr>
        <w:footnoteReference w:id="1104"/>
      </w:r>
    </w:p>
    <w:p w14:paraId="5EC3EF93" w14:textId="77777777" w:rsidR="00E13DFB" w:rsidRDefault="00E13DFB" w:rsidP="00E13DFB">
      <w:pPr>
        <w:pStyle w:val="Quote"/>
      </w:pPr>
      <w:r>
        <w:t>… this may be because it is difficult for a judge, in adversarial proceedings, to intervene about matters of content when the defendant has a duty to put their case to the complainant (see section 92 of the Evidence Act 2006). However, the extent of the questioning required in order to meet this duty is contestable – and in both studies there were cases in which the judge queried the need for the questions and the response given that relied on section 92.</w:t>
      </w:r>
    </w:p>
    <w:p w14:paraId="1DCAB511" w14:textId="77777777" w:rsidR="00E13DFB" w:rsidRDefault="00E13DFB" w:rsidP="00E13DFB">
      <w:pPr>
        <w:pStyle w:val="BodyText"/>
      </w:pPr>
      <w:r>
        <w:t xml:space="preserve">Also </w:t>
      </w:r>
      <w:r w:rsidRPr="003215E1">
        <w:t>relevant</w:t>
      </w:r>
      <w:r>
        <w:t xml:space="preserve"> is Dr Isabel Randell’s research on cross-examination of child and adolescent sexual violence complainants, published in 2021.</w:t>
      </w:r>
      <w:r>
        <w:rPr>
          <w:rStyle w:val="FootnoteReference"/>
        </w:rPr>
        <w:footnoteReference w:id="1105"/>
      </w:r>
      <w:r>
        <w:t xml:space="preserve"> Randell identified similar concerns with questioning that was intended to meet the section 92 duty:</w:t>
      </w:r>
      <w:r>
        <w:rPr>
          <w:rStyle w:val="FootnoteReference"/>
        </w:rPr>
        <w:footnoteReference w:id="1106"/>
      </w:r>
    </w:p>
    <w:p w14:paraId="04911EC7" w14:textId="77777777" w:rsidR="00E13DFB" w:rsidRDefault="00E13DFB" w:rsidP="00E13DFB">
      <w:pPr>
        <w:pStyle w:val="Quote"/>
      </w:pPr>
      <w:r>
        <w:t>In the trials analysed, the defence case was, for the most part, that the complainant’s allegations were false. However, allegations of lying may increase distress, impede concentration, interfere with participation in questioning, and risk a young complainant becoming erroneously compliant and suggestible. Although counsel may have a duty to address lying with the complainant, if indeed that is the defence case, the extent to which accusations of lying are made by defence counsel has been suggested to be unnecessary.</w:t>
      </w:r>
    </w:p>
    <w:p w14:paraId="4E56645A" w14:textId="77777777" w:rsidR="00E13DFB" w:rsidRDefault="00E13DFB" w:rsidP="00E13DFB">
      <w:pPr>
        <w:pStyle w:val="BodyText"/>
      </w:pPr>
      <w:r>
        <w:lastRenderedPageBreak/>
        <w:t xml:space="preserve">Randell questioned whether “sustained or </w:t>
      </w:r>
      <w:r w:rsidRPr="003215E1">
        <w:t>aggressive</w:t>
      </w:r>
      <w:r>
        <w:t xml:space="preserve"> attacks on the witness’ honesty” is necessary to meet the section 92 duty.</w:t>
      </w:r>
      <w:r>
        <w:rPr>
          <w:rStyle w:val="FootnoteReference"/>
        </w:rPr>
        <w:footnoteReference w:id="1107"/>
      </w:r>
      <w:r>
        <w:t xml:space="preserve"> Randell also suggested a fear of appeal on the ground that the judge unfairly restricted the defence counsel’s ability to put questions to the witness may be acting as a barrier to judicial intervention.</w:t>
      </w:r>
      <w:r>
        <w:rPr>
          <w:rStyle w:val="FootnoteReference"/>
        </w:rPr>
        <w:footnoteReference w:id="1108"/>
      </w:r>
    </w:p>
    <w:p w14:paraId="6354A30A" w14:textId="77777777" w:rsidR="00E13DFB" w:rsidRDefault="00E13DFB" w:rsidP="00E13DFB">
      <w:pPr>
        <w:pStyle w:val="BodyText"/>
      </w:pPr>
      <w:r w:rsidRPr="005A7C52">
        <w:t>The Benchmark initiative has published a best</w:t>
      </w:r>
      <w:r>
        <w:t>-</w:t>
      </w:r>
      <w:r w:rsidRPr="005A7C52">
        <w:t xml:space="preserve">practice </w:t>
      </w:r>
      <w:r w:rsidRPr="003215E1">
        <w:t>guideline</w:t>
      </w:r>
      <w:r w:rsidRPr="005A7C52">
        <w:t xml:space="preserve"> that addresses the section</w:t>
      </w:r>
      <w:r>
        <w:rPr>
          <w:rFonts w:ascii="Calibri" w:hAnsi="Calibri" w:cs="Calibri"/>
        </w:rPr>
        <w:t> </w:t>
      </w:r>
      <w:r w:rsidRPr="005A7C52">
        <w:t>92 duty in the context of vulnerable witnesses.</w:t>
      </w:r>
      <w:r w:rsidRPr="005A7C52">
        <w:rPr>
          <w:rStyle w:val="FootnoteReference"/>
        </w:rPr>
        <w:footnoteReference w:id="1109"/>
      </w:r>
      <w:r w:rsidRPr="005A7C52">
        <w:t xml:space="preserve"> </w:t>
      </w:r>
      <w:r>
        <w:t xml:space="preserve">That guidance notes the law does not require lawyers to put questions to vulnerable witnesses in certain circumstances and pre-trial directions can be sought on the extent to which counsel must put the case in order to reduce unnecessary and overly distressing questioning. </w:t>
      </w:r>
      <w:r w:rsidRPr="005A7C52">
        <w:t xml:space="preserve">The findings of the McDonald and Randell studies, however, suggest that varying understandings and practices </w:t>
      </w:r>
      <w:r>
        <w:t>in relation to section</w:t>
      </w:r>
      <w:r>
        <w:rPr>
          <w:rFonts w:ascii="Calibri" w:hAnsi="Calibri" w:cs="Calibri"/>
        </w:rPr>
        <w:t> </w:t>
      </w:r>
      <w:r>
        <w:t xml:space="preserve">92 </w:t>
      </w:r>
      <w:r w:rsidRPr="005A7C52">
        <w:t>remain.</w:t>
      </w:r>
      <w:r w:rsidRPr="00685C7A">
        <w:t xml:space="preserve"> </w:t>
      </w:r>
      <w:r>
        <w:t>While this research concerned adult and child complainants in cases involving sexual violence, that does not necessarily mean that the issue is confined to these cases.</w:t>
      </w:r>
    </w:p>
    <w:p w14:paraId="40FFA860" w14:textId="77777777" w:rsidR="00E13DFB" w:rsidRDefault="00E13DFB" w:rsidP="00CC6A83">
      <w:pPr>
        <w:pStyle w:val="Heading3"/>
      </w:pPr>
      <w:r>
        <w:t>Is legislative reform necessary or desirable?</w:t>
      </w:r>
    </w:p>
    <w:p w14:paraId="2AEB3A60" w14:textId="77777777" w:rsidR="00E13DFB" w:rsidRDefault="00E13DFB" w:rsidP="00E13DFB">
      <w:pPr>
        <w:pStyle w:val="BodyText"/>
      </w:pPr>
      <w:r>
        <w:t>The issues identified above suggest that section 92 has the potential to cause problems in practice in both civil and criminal proceedings. It may be resulting in unnecessarily lengthy cross-examination, which fails to promote the Act’s objective of avoiding unjustifiable expense and delay.</w:t>
      </w:r>
      <w:r>
        <w:rPr>
          <w:rStyle w:val="FootnoteReference"/>
        </w:rPr>
        <w:footnoteReference w:id="1110"/>
      </w:r>
      <w:r>
        <w:t xml:space="preserve"> The wording of section 92 may also be failing to provide trial judges with sufficient guidance on when they can intervene in repetitive questioning when it is said to be part of trial counsel’s duty to put the case. If so, this also fails to promote the Act’s objective of promoting fairness to witnesses.</w:t>
      </w:r>
      <w:r>
        <w:rPr>
          <w:rStyle w:val="FootnoteReference"/>
        </w:rPr>
        <w:footnoteReference w:id="1111"/>
      </w:r>
    </w:p>
    <w:p w14:paraId="1D2B4400" w14:textId="77777777" w:rsidR="00E13DFB" w:rsidRDefault="00E13DFB" w:rsidP="00E13DFB">
      <w:pPr>
        <w:pStyle w:val="BodyText"/>
      </w:pPr>
      <w:r>
        <w:t xml:space="preserve">We are, therefore, interested in views on whether section 92 should be amended to clarify the scope of the cross-examination duty. </w:t>
      </w:r>
    </w:p>
    <w:p w14:paraId="1FDC86A6" w14:textId="77777777" w:rsidR="00E13DFB" w:rsidRDefault="00E13DFB" w:rsidP="00CC6A83">
      <w:pPr>
        <w:pStyle w:val="Heading3"/>
      </w:pPr>
      <w:r>
        <w:t>Preferred option for reform</w:t>
      </w:r>
    </w:p>
    <w:p w14:paraId="6A264F31" w14:textId="77777777" w:rsidR="00E13DFB" w:rsidRDefault="00E13DFB" w:rsidP="00E13DFB">
      <w:pPr>
        <w:pStyle w:val="BodyText"/>
      </w:pPr>
      <w:r>
        <w:t xml:space="preserve">Should reform be considered necessary or desirable, our preferred option is to amend section 92 to clarify that the duty to cross-examine is only engaged when a party or witness has not otherwise been put on notice of the cross-examining party’s case. This would be consistent with the policy objectives of the duty (discussed above) and would reflect the language originally proposed by the Commission in the Evidence Code. </w:t>
      </w:r>
    </w:p>
    <w:p w14:paraId="5AB8F02D" w14:textId="77777777" w:rsidR="00E13DFB" w:rsidRDefault="00E13DFB" w:rsidP="00E13DFB">
      <w:pPr>
        <w:pStyle w:val="BodyText"/>
        <w:tabs>
          <w:tab w:val="num" w:pos="1425"/>
        </w:tabs>
      </w:pPr>
      <w:r>
        <w:t xml:space="preserve">This change would more clearly signal to cross-examining counsel what is required of them under this duty. It would clarify that they are under no </w:t>
      </w:r>
      <w:r w:rsidRPr="000E46CD">
        <w:t>duty</w:t>
      </w:r>
      <w:r w:rsidRPr="003215E1">
        <w:rPr>
          <w:i/>
          <w:iCs/>
        </w:rPr>
        <w:t xml:space="preserve"> </w:t>
      </w:r>
      <w:r>
        <w:t xml:space="preserve">to cross-examine witnesses when their party’s case is clear and there is no evidence to be led subsequently </w:t>
      </w:r>
      <w:r>
        <w:lastRenderedPageBreak/>
        <w:t xml:space="preserve">of which the witness may be unaware. This would give </w:t>
      </w:r>
      <w:r w:rsidRPr="00A662FE">
        <w:t xml:space="preserve">counsel greater freedom to treat cross-examination as a matter of trial </w:t>
      </w:r>
      <w:r>
        <w:t>strategy.</w:t>
      </w:r>
      <w:r w:rsidRPr="006A4146">
        <w:t xml:space="preserve"> </w:t>
      </w:r>
      <w:r>
        <w:t>In criminal proceedings, the trial judge would have clearer guidance as to when they should intervene in cross-examination under section 85 to disallow unacceptable questioning.</w:t>
      </w:r>
    </w:p>
    <w:p w14:paraId="03E2E556" w14:textId="77777777" w:rsidR="00E13DFB" w:rsidRDefault="00E13DFB" w:rsidP="00E13DFB">
      <w:pPr>
        <w:pStyle w:val="BodyText"/>
        <w:tabs>
          <w:tab w:val="num" w:pos="1425"/>
        </w:tabs>
      </w:pPr>
      <w:r>
        <w:t xml:space="preserve">In civil proceedings, clarifying section 92 in this way could reduce the extent of mechanical and overcautious cross-examination (as was intended by the Commission in proposing the Evidence Code). </w:t>
      </w:r>
    </w:p>
    <w:p w14:paraId="50C4DD9C" w14:textId="197D1242" w:rsidR="00CC6A83" w:rsidRDefault="00CC6A83" w:rsidP="00CC6A83">
      <w:pPr>
        <w:pStyle w:val="QuestionBox"/>
      </w:pPr>
      <w:r>
        <w:rPr>
          <w:noProof/>
        </w:rPr>
        <mc:AlternateContent>
          <mc:Choice Requires="wpg">
            <w:drawing>
              <wp:anchor distT="0" distB="0" distL="114300" distR="114300" simplePos="0" relativeHeight="251658366" behindDoc="1" locked="0" layoutInCell="1" allowOverlap="1" wp14:anchorId="6E322126" wp14:editId="7E60640D">
                <wp:simplePos x="0" y="0"/>
                <wp:positionH relativeFrom="column">
                  <wp:posOffset>-1962</wp:posOffset>
                </wp:positionH>
                <wp:positionV relativeFrom="paragraph">
                  <wp:posOffset>4947</wp:posOffset>
                </wp:positionV>
                <wp:extent cx="5760085" cy="1514912"/>
                <wp:effectExtent l="0" t="0" r="0" b="9525"/>
                <wp:wrapNone/>
                <wp:docPr id="291" name="Group 291" descr="Question"/>
                <wp:cNvGraphicFramePr/>
                <a:graphic xmlns:a="http://schemas.openxmlformats.org/drawingml/2006/main">
                  <a:graphicData uri="http://schemas.microsoft.com/office/word/2010/wordprocessingGroup">
                    <wpg:wgp>
                      <wpg:cNvGrpSpPr/>
                      <wpg:grpSpPr>
                        <a:xfrm>
                          <a:off x="0" y="0"/>
                          <a:ext cx="5760085" cy="1514912"/>
                          <a:chOff x="0" y="62865"/>
                          <a:chExt cx="5760085" cy="1516439"/>
                        </a:xfrm>
                      </wpg:grpSpPr>
                      <wps:wsp>
                        <wps:cNvPr id="29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CF7AEC" w14:textId="77777777" w:rsidR="00CC6A83" w:rsidRDefault="00CC6A83" w:rsidP="00CC6A83">
                              <w:pPr>
                                <w:pStyle w:val="BoxTitle"/>
                                <w:spacing w:before="0" w:beforeAutospacing="0"/>
                              </w:pPr>
                              <w:r w:rsidRPr="007F6876">
                                <w:t>QUESTION</w:t>
                              </w:r>
                            </w:p>
                          </w:txbxContent>
                        </wps:txbx>
                        <wps:bodyPr rot="0" vert="horz" wrap="square" lIns="91440" tIns="0" rIns="0" bIns="45720" anchor="ctr" anchorCtr="0" upright="1">
                          <a:noAutofit/>
                        </wps:bodyPr>
                      </wps:wsp>
                      <wpg:grpSp>
                        <wpg:cNvPr id="293" name="Group 53"/>
                        <wpg:cNvGrpSpPr>
                          <a:grpSpLocks/>
                        </wpg:cNvGrpSpPr>
                        <wpg:grpSpPr bwMode="auto">
                          <a:xfrm>
                            <a:off x="0" y="315613"/>
                            <a:ext cx="5760085" cy="1263691"/>
                            <a:chOff x="1837" y="1785"/>
                            <a:chExt cx="9302" cy="13650"/>
                          </a:xfrm>
                        </wpg:grpSpPr>
                        <wps:wsp>
                          <wps:cNvPr id="294" name="Freeform 54"/>
                          <wps:cNvSpPr>
                            <a:spLocks/>
                          </wps:cNvSpPr>
                          <wps:spPr bwMode="auto">
                            <a:xfrm>
                              <a:off x="1837" y="1785"/>
                              <a:ext cx="9302" cy="1365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95"/>
                        <wpg:cNvGrpSpPr/>
                        <wpg:grpSpPr>
                          <a:xfrm>
                            <a:off x="0" y="494036"/>
                            <a:ext cx="1443794" cy="252000"/>
                            <a:chOff x="-15880" y="0"/>
                            <a:chExt cx="1444379" cy="252068"/>
                          </a:xfrm>
                        </wpg:grpSpPr>
                        <wps:wsp>
                          <wps:cNvPr id="29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2EE797"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E322126" id="Group 291" o:spid="_x0000_s1470" alt="Question" style="position:absolute;left:0;text-align:left;margin-left:-.15pt;margin-top:.4pt;width:453.55pt;height:119.3pt;z-index:-251658114;mso-height-relative:margin" coordorigin=",628" coordsize="57600,1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">
                <v:shape id="Freeform 52" o:spid="_x0000_s147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DCF7AEC" w14:textId="77777777" w:rsidR="00CC6A83" w:rsidRDefault="00CC6A83" w:rsidP="00CC6A83">
                        <w:pPr>
                          <w:pStyle w:val="BoxTitle"/>
                          <w:spacing w:before="0" w:beforeAutospacing="0"/>
                        </w:pPr>
                        <w:r w:rsidRPr="007F6876">
                          <w:t>QUESTION</w:t>
                        </w:r>
                      </w:p>
                    </w:txbxContent>
                  </v:textbox>
                </v:shape>
                <v:group id="Group 53" o:spid="_x0000_s1472" style="position:absolute;top:3156;width:57600;height:12637" coordorigin="1837,1785" coordsize="9302,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54" o:spid="_x0000_s1473" style="position:absolute;left:1837;top:1785;width:9302;height:1365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" path="m,l9354,r,7809l,7809,,e" fillcolor="#edf2ea" stroked="f">
                    <v:path arrowok="t" o:connecttype="custom" o:connectlocs="0,1748;9302,1748;9302,15398;0,15398;0,1748" o:connectangles="0,0,0,0,0"/>
                  </v:shape>
                </v:group>
                <v:group id="Group 295" o:spid="_x0000_s147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58" o:spid="_x0000_s147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" path="m,l1815,e" filled="f" strokecolor="#72ab6a" strokeweight=".5pt">
                    <v:path arrowok="t" o:connecttype="custom" o:connectlocs="0,0;1073495,0" o:connectangles="0,0"/>
                  </v:shape>
                  <v:shape id="Freeform 66" o:spid="_x0000_s147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B2EE797"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62</w:t>
                          </w:r>
                        </w:p>
                      </w:txbxContent>
                    </v:textbox>
                  </v:shape>
                </v:group>
              </v:group>
            </w:pict>
          </mc:Fallback>
        </mc:AlternateContent>
      </w:r>
    </w:p>
    <w:p w14:paraId="7B35DA8E" w14:textId="77777777" w:rsidR="00CC6A83" w:rsidRDefault="00CC6A83" w:rsidP="00CC6A83">
      <w:pPr>
        <w:pStyle w:val="QuestionBox"/>
      </w:pPr>
    </w:p>
    <w:p w14:paraId="3284D8CD" w14:textId="2B767A12" w:rsidR="00E13DFB" w:rsidRDefault="00E13DFB" w:rsidP="00CC6A83">
      <w:pPr>
        <w:pStyle w:val="QuestionBox"/>
      </w:pPr>
      <w:r>
        <w:t xml:space="preserve">Should section 92 be amended to clarify the extent of a party’s cross-examination duties? If so, should section 92 be amended to state that the obligation to cross-examine only arises if the witness or the party who called the witness may be unaware of the basis on which their evidence is challenged? </w:t>
      </w:r>
    </w:p>
    <w:p w14:paraId="6482670A" w14:textId="77777777" w:rsidR="00CC6A83" w:rsidRPr="000E50CD" w:rsidRDefault="00CC6A83" w:rsidP="00CC6A83">
      <w:pPr>
        <w:pStyle w:val="QuestionBox"/>
      </w:pPr>
    </w:p>
    <w:p w14:paraId="2D7E1208" w14:textId="77777777" w:rsidR="00E13DFB" w:rsidRDefault="00E13DFB" w:rsidP="00CC6A83">
      <w:pPr>
        <w:pStyle w:val="Heading2"/>
      </w:pPr>
      <w:bookmarkStart w:id="167" w:name="_Toc126330152"/>
      <w:bookmarkStart w:id="168" w:name="_Toc132962607"/>
      <w:r>
        <w:t>Cross-examination on behalf of another</w:t>
      </w:r>
      <w:bookmarkEnd w:id="167"/>
      <w:bookmarkEnd w:id="168"/>
    </w:p>
    <w:p w14:paraId="5886836A" w14:textId="77777777" w:rsidR="00E13DFB" w:rsidRDefault="00E13DFB" w:rsidP="00E13DFB">
      <w:pPr>
        <w:pStyle w:val="BodyText"/>
      </w:pPr>
      <w:r>
        <w:t>Defendants in criminal proceedings and parties in civil proceedings are usually represented by counsel. If a person is self-represented, there are some limitations on their ability to personally cross-examine witnesses. Section 95 of the Act provides that, in cases involving sexual offending, family violence or harassment, the defendant is not entitled to personally cross-examine the complainant and certain witnesses.</w:t>
      </w:r>
      <w:r>
        <w:rPr>
          <w:rStyle w:val="FootnoteReference"/>
        </w:rPr>
        <w:footnoteReference w:id="1112"/>
      </w:r>
      <w:r>
        <w:t xml:space="preserve"> The judge may also order that a party must not personally cross-examine a witness in any civil or criminal proceeding.</w:t>
      </w:r>
      <w:r>
        <w:rPr>
          <w:rStyle w:val="FootnoteReference"/>
        </w:rPr>
        <w:footnoteReference w:id="1113"/>
      </w:r>
      <w:r>
        <w:t xml:space="preserve"> When a party is precluded from personally cross-examining a witness, they may have their questions put to the witness by a person appointed by the judge.</w:t>
      </w:r>
      <w:r>
        <w:rPr>
          <w:rStyle w:val="FootnoteReference"/>
        </w:rPr>
        <w:footnoteReference w:id="1114"/>
      </w:r>
    </w:p>
    <w:p w14:paraId="3B6C506D" w14:textId="77777777" w:rsidR="00E13DFB" w:rsidRDefault="00E13DFB" w:rsidP="00CC6A83">
      <w:pPr>
        <w:pStyle w:val="Heading3"/>
      </w:pPr>
      <w:r>
        <w:t>What is the issue?</w:t>
      </w:r>
    </w:p>
    <w:p w14:paraId="4556340C" w14:textId="77777777" w:rsidR="00E13DFB" w:rsidRDefault="00E13DFB" w:rsidP="00E13DFB">
      <w:pPr>
        <w:pStyle w:val="BodyText"/>
      </w:pPr>
      <w:r>
        <w:t>A question has arisen in the case law as to the role of the person appointed to put questions to the witness.</w:t>
      </w:r>
    </w:p>
    <w:p w14:paraId="17179105" w14:textId="77777777" w:rsidR="00E13DFB" w:rsidRDefault="00E13DFB" w:rsidP="00E13DFB">
      <w:pPr>
        <w:pStyle w:val="BodyText"/>
      </w:pPr>
      <w:r>
        <w:t>In 2020, the Principal Family Court Judge issued guidance to te Kōti Whānau | Family Court judges noting that there were differing views on the role of counsel appointed to put a party’s questions to a witness.</w:t>
      </w:r>
      <w:r>
        <w:rPr>
          <w:rStyle w:val="FootnoteReference"/>
        </w:rPr>
        <w:footnoteReference w:id="1115"/>
      </w:r>
      <w:r>
        <w:t xml:space="preserve"> </w:t>
      </w:r>
      <w:r w:rsidRPr="00C95536">
        <w:t xml:space="preserve">The guidance </w:t>
      </w:r>
      <w:r>
        <w:t>indicated</w:t>
      </w:r>
      <w:r w:rsidRPr="00C95536">
        <w:t xml:space="preserve"> that counsel appointed under section 95 </w:t>
      </w:r>
      <w:r>
        <w:t>should</w:t>
      </w:r>
      <w:r w:rsidRPr="00C95536">
        <w:t xml:space="preserve"> conduct the cross-examination </w:t>
      </w:r>
      <w:r w:rsidRPr="003215E1">
        <w:rPr>
          <w:i/>
          <w:iCs/>
        </w:rPr>
        <w:t>on behalf of</w:t>
      </w:r>
      <w:r w:rsidRPr="00C95536">
        <w:t xml:space="preserve"> the defendant or other party. This involved more than simply voicing the party’s questions </w:t>
      </w:r>
      <w:r>
        <w:t>–</w:t>
      </w:r>
      <w:r w:rsidRPr="00C95536">
        <w:t xml:space="preserve"> it also required counsel to comply with the section</w:t>
      </w:r>
      <w:r w:rsidRPr="003215E1">
        <w:rPr>
          <w:rFonts w:ascii="Calibri" w:hAnsi="Calibri" w:cs="Calibri"/>
        </w:rPr>
        <w:t> </w:t>
      </w:r>
      <w:r w:rsidRPr="00C95536">
        <w:t>92 duty to put the case.</w:t>
      </w:r>
      <w:r>
        <w:t xml:space="preserve"> </w:t>
      </w:r>
    </w:p>
    <w:p w14:paraId="7E232C6D" w14:textId="77777777" w:rsidR="00E13DFB" w:rsidRDefault="00E13DFB" w:rsidP="00E13DFB">
      <w:pPr>
        <w:pStyle w:val="BodyText"/>
      </w:pPr>
      <w:r>
        <w:t xml:space="preserve">The courts have subsequently taken differing views on whether a person appointed under section 95 is simply a “mouthpiece” for the defendant or other party, or whether they have broader duties. A broad interpretation in line with the Principal Family Court </w:t>
      </w:r>
      <w:r>
        <w:lastRenderedPageBreak/>
        <w:t xml:space="preserve">Judge’s guidance was adopted in the Family Court case </w:t>
      </w:r>
      <w:r w:rsidRPr="003215E1">
        <w:rPr>
          <w:i/>
          <w:iCs/>
        </w:rPr>
        <w:t>Finley v Wiggins</w:t>
      </w:r>
      <w:r>
        <w:t>.</w:t>
      </w:r>
      <w:r>
        <w:rPr>
          <w:rStyle w:val="FootnoteReference"/>
        </w:rPr>
        <w:footnoteReference w:id="1116"/>
      </w:r>
      <w:r>
        <w:t xml:space="preserve"> Te Kōti Pīra | Court of Appeal also appeared to adopt this approach, without directly addressing the issue, in </w:t>
      </w:r>
      <w:r w:rsidRPr="003215E1">
        <w:rPr>
          <w:i/>
          <w:iCs/>
        </w:rPr>
        <w:t>Millar v R</w:t>
      </w:r>
      <w:r>
        <w:t>.</w:t>
      </w:r>
      <w:r>
        <w:rPr>
          <w:rStyle w:val="FootnoteReference"/>
        </w:rPr>
        <w:footnoteReference w:id="1117"/>
      </w:r>
      <w:r>
        <w:t xml:space="preserve"> One of the</w:t>
      </w:r>
      <w:r w:rsidRPr="00BE7322">
        <w:t xml:space="preserve"> ground</w:t>
      </w:r>
      <w:r>
        <w:t>s</w:t>
      </w:r>
      <w:r w:rsidRPr="00BE7322">
        <w:t xml:space="preserve"> of appeal was that counsel </w:t>
      </w:r>
      <w:r>
        <w:t xml:space="preserve">appointed under section 95 </w:t>
      </w:r>
      <w:r w:rsidRPr="00BE7322">
        <w:t xml:space="preserve">had made errors in their cross-examination and overlooked lines of enquiry. The Court of Appeal </w:t>
      </w:r>
      <w:r>
        <w:t>agreed, noting</w:t>
      </w:r>
      <w:r w:rsidRPr="00BE7322">
        <w:t xml:space="preserve"> </w:t>
      </w:r>
      <w:r>
        <w:t xml:space="preserve">counsel </w:t>
      </w:r>
      <w:r w:rsidRPr="00BE7322">
        <w:t>was appointed to cross-examine the complainant and “was required to perform that task and any others he undertook competently</w:t>
      </w:r>
      <w:r>
        <w:t>”.</w:t>
      </w:r>
      <w:r>
        <w:rPr>
          <w:rStyle w:val="FootnoteReference"/>
        </w:rPr>
        <w:footnoteReference w:id="1118"/>
      </w:r>
    </w:p>
    <w:p w14:paraId="266C59F8" w14:textId="77777777" w:rsidR="00E13DFB" w:rsidRPr="00C53728" w:rsidRDefault="00E13DFB" w:rsidP="00E13DFB">
      <w:pPr>
        <w:pStyle w:val="BodyText"/>
      </w:pPr>
      <w:r>
        <w:t xml:space="preserve">On the other hand, in </w:t>
      </w:r>
      <w:r w:rsidRPr="001D3816">
        <w:rPr>
          <w:i/>
          <w:iCs/>
        </w:rPr>
        <w:t>Irving v Irving</w:t>
      </w:r>
      <w:r>
        <w:t>, te Kōti Matua | High Court</w:t>
      </w:r>
      <w:r w:rsidDel="003B02F3">
        <w:t xml:space="preserve"> </w:t>
      </w:r>
      <w:r>
        <w:t xml:space="preserve">found that </w:t>
      </w:r>
      <w:r w:rsidRPr="001D3816">
        <w:rPr>
          <w:lang w:val="en-GB"/>
        </w:rPr>
        <w:t>the role of a person appointed under section 95 is limited to putting the questions of the unrepresented party.</w:t>
      </w:r>
      <w:r>
        <w:rPr>
          <w:rStyle w:val="FootnoteReference"/>
          <w:lang w:val="en-GB"/>
        </w:rPr>
        <w:footnoteReference w:id="1119"/>
      </w:r>
      <w:r w:rsidRPr="001D3816">
        <w:rPr>
          <w:lang w:val="en-GB"/>
        </w:rPr>
        <w:t xml:space="preserve"> They are not required to conduct their own cross-examination or comply with section 92 </w:t>
      </w:r>
      <w:r>
        <w:rPr>
          <w:lang w:val="en-GB"/>
        </w:rPr>
        <w:t>–</w:t>
      </w:r>
      <w:r w:rsidRPr="001D3816">
        <w:rPr>
          <w:lang w:val="en-GB"/>
        </w:rPr>
        <w:t xml:space="preserve"> it</w:t>
      </w:r>
      <w:r>
        <w:rPr>
          <w:lang w:val="en-GB"/>
        </w:rPr>
        <w:t xml:space="preserve"> </w:t>
      </w:r>
      <w:r w:rsidRPr="001D3816">
        <w:rPr>
          <w:lang w:val="en-GB"/>
        </w:rPr>
        <w:t xml:space="preserve"> is the unrepresented party who is subject to section 92 cross-examination duties.</w:t>
      </w:r>
      <w:r>
        <w:rPr>
          <w:rStyle w:val="FootnoteReference"/>
          <w:rFonts w:eastAsiaTheme="minorHAnsi"/>
          <w:lang w:val="en-GB"/>
        </w:rPr>
        <w:footnoteReference w:id="1120"/>
      </w:r>
      <w:r w:rsidRPr="001D3816">
        <w:rPr>
          <w:lang w:val="en-GB"/>
        </w:rPr>
        <w:t xml:space="preserve"> This conclusion was based on the plain wording of section 95,</w:t>
      </w:r>
      <w:r>
        <w:rPr>
          <w:rStyle w:val="FootnoteReference"/>
          <w:lang w:val="en-GB"/>
        </w:rPr>
        <w:footnoteReference w:id="1121"/>
      </w:r>
      <w:r w:rsidRPr="001D3816">
        <w:rPr>
          <w:lang w:val="en-GB"/>
        </w:rPr>
        <w:t xml:space="preserve"> the fact that lay persons may be appointed to the role</w:t>
      </w:r>
      <w:r>
        <w:rPr>
          <w:rStyle w:val="FootnoteReference"/>
          <w:lang w:val="en-GB"/>
        </w:rPr>
        <w:footnoteReference w:id="1122"/>
      </w:r>
      <w:r w:rsidRPr="001D3816">
        <w:rPr>
          <w:lang w:val="en-GB"/>
        </w:rPr>
        <w:t xml:space="preserve"> and the purpose of the provision (which is to protect vulnerable witnesses from being questioned by their alleged abuser directly rather than to ensure parties have legal representation</w:t>
      </w:r>
      <w:r>
        <w:rPr>
          <w:lang w:val="en-GB"/>
        </w:rPr>
        <w:t>).</w:t>
      </w:r>
      <w:r>
        <w:rPr>
          <w:rStyle w:val="FootnoteReference"/>
          <w:lang w:val="en-GB"/>
        </w:rPr>
        <w:footnoteReference w:id="1123"/>
      </w:r>
      <w:r w:rsidRPr="001D3816">
        <w:rPr>
          <w:lang w:val="en-GB"/>
        </w:rPr>
        <w:t xml:space="preserve"> This approach was subsequently applied by the High Court in </w:t>
      </w:r>
      <w:r w:rsidRPr="001D3816">
        <w:rPr>
          <w:i/>
          <w:iCs/>
          <w:lang w:val="en-GB"/>
        </w:rPr>
        <w:t>R v Family Court</w:t>
      </w:r>
      <w:r w:rsidRPr="009829AF">
        <w:rPr>
          <w:rStyle w:val="FootnoteReference"/>
          <w:lang w:val="en-GB"/>
        </w:rPr>
        <w:footnoteReference w:id="1124"/>
      </w:r>
      <w:r w:rsidRPr="001D3816">
        <w:rPr>
          <w:i/>
          <w:iCs/>
          <w:lang w:val="en-GB"/>
        </w:rPr>
        <w:t xml:space="preserve"> </w:t>
      </w:r>
      <w:r w:rsidRPr="001D3816">
        <w:rPr>
          <w:lang w:val="en-GB"/>
        </w:rPr>
        <w:t>and impliedly endorsed by the Court of Appeal.</w:t>
      </w:r>
      <w:r>
        <w:rPr>
          <w:rStyle w:val="FootnoteReference"/>
          <w:lang w:val="en-GB"/>
        </w:rPr>
        <w:footnoteReference w:id="1125"/>
      </w:r>
      <w:r w:rsidRPr="001D3816">
        <w:rPr>
          <w:lang w:val="en-GB"/>
        </w:rPr>
        <w:t xml:space="preserve"> However, as noted above, the Court of Appeal decision in </w:t>
      </w:r>
      <w:r w:rsidRPr="001D3816">
        <w:rPr>
          <w:i/>
          <w:iCs/>
          <w:lang w:val="en-GB"/>
        </w:rPr>
        <w:t>Millar</w:t>
      </w:r>
      <w:r>
        <w:rPr>
          <w:lang w:val="en-GB"/>
        </w:rPr>
        <w:t>,</w:t>
      </w:r>
      <w:r w:rsidRPr="001D3816">
        <w:rPr>
          <w:lang w:val="en-GB"/>
        </w:rPr>
        <w:t xml:space="preserve"> which was released shortly after </w:t>
      </w:r>
      <w:r w:rsidRPr="001D3816">
        <w:rPr>
          <w:i/>
          <w:iCs/>
          <w:lang w:val="en-GB"/>
        </w:rPr>
        <w:t>Irving</w:t>
      </w:r>
      <w:r>
        <w:rPr>
          <w:lang w:val="en-GB"/>
        </w:rPr>
        <w:t>,</w:t>
      </w:r>
      <w:r w:rsidRPr="001D3816">
        <w:rPr>
          <w:lang w:val="en-GB"/>
        </w:rPr>
        <w:t xml:space="preserve"> took a different approach.</w:t>
      </w:r>
    </w:p>
    <w:p w14:paraId="25C4490D" w14:textId="77777777" w:rsidR="00E13DFB" w:rsidRDefault="00E13DFB" w:rsidP="00E13DFB">
      <w:pPr>
        <w:pStyle w:val="BodyText"/>
      </w:pPr>
      <w:r>
        <w:t xml:space="preserve">It may be that </w:t>
      </w:r>
      <w:r>
        <w:rPr>
          <w:i/>
          <w:iCs/>
        </w:rPr>
        <w:t xml:space="preserve">Millar </w:t>
      </w:r>
      <w:r>
        <w:t xml:space="preserve">can be distinguished from </w:t>
      </w:r>
      <w:r>
        <w:rPr>
          <w:i/>
          <w:iCs/>
        </w:rPr>
        <w:t>Irving</w:t>
      </w:r>
      <w:r>
        <w:t xml:space="preserve"> on the basis that, in </w:t>
      </w:r>
      <w:r>
        <w:rPr>
          <w:i/>
          <w:iCs/>
        </w:rPr>
        <w:t>Millar</w:t>
      </w:r>
      <w:r>
        <w:t xml:space="preserve">, the person was appointed “pursuant to s 95 … </w:t>
      </w:r>
      <w:r w:rsidRPr="00A84E74">
        <w:rPr>
          <w:i/>
          <w:iCs/>
        </w:rPr>
        <w:t>and</w:t>
      </w:r>
      <w:r>
        <w:t xml:space="preserve"> [to] assist the Court” (emphasis added).</w:t>
      </w:r>
      <w:r>
        <w:rPr>
          <w:rStyle w:val="FootnoteReference"/>
        </w:rPr>
        <w:footnoteReference w:id="1126"/>
      </w:r>
      <w:r>
        <w:t xml:space="preserve"> That interpretation has not, however, been confirmed in subsequent case law to date.</w:t>
      </w:r>
    </w:p>
    <w:p w14:paraId="763335E9" w14:textId="77777777" w:rsidR="00E13DFB" w:rsidRPr="00B26B9F" w:rsidRDefault="00E13DFB" w:rsidP="00CC6A83">
      <w:pPr>
        <w:pStyle w:val="Heading3"/>
        <w:rPr>
          <w:lang w:val="en-GB"/>
        </w:rPr>
      </w:pPr>
      <w:r>
        <w:rPr>
          <w:lang w:val="en-GB"/>
        </w:rPr>
        <w:t>Is legislative reform necessary or desirable?</w:t>
      </w:r>
    </w:p>
    <w:p w14:paraId="25A822B5" w14:textId="77777777" w:rsidR="00E13DFB" w:rsidRDefault="00E13DFB" w:rsidP="00E13DFB">
      <w:pPr>
        <w:pStyle w:val="BodyText"/>
      </w:pPr>
      <w:r>
        <w:t>It appears that there is uncertainty about the correct interpretation of section</w:t>
      </w:r>
      <w:r w:rsidRPr="00B26B9F">
        <w:rPr>
          <w:rFonts w:ascii="Calibri" w:hAnsi="Calibri" w:cs="Calibri"/>
        </w:rPr>
        <w:t> </w:t>
      </w:r>
      <w:r>
        <w:t>95, which has potentially significant implications for people appointed under section 95(5) and the unrepresented parties they are assisting. We seek feedback on whether reform is desirable to clarify the position or whether this issue should be left to be resolved through case law.</w:t>
      </w:r>
    </w:p>
    <w:p w14:paraId="3E48455B" w14:textId="77777777" w:rsidR="00E13DFB" w:rsidRDefault="00E13DFB" w:rsidP="00E13DFB">
      <w:pPr>
        <w:pStyle w:val="BodyText"/>
      </w:pPr>
      <w:r>
        <w:t xml:space="preserve">Our preliminary view is that the approach in </w:t>
      </w:r>
      <w:r w:rsidRPr="00366C51">
        <w:rPr>
          <w:i/>
          <w:iCs/>
        </w:rPr>
        <w:t>Irving</w:t>
      </w:r>
      <w:r>
        <w:t xml:space="preserve"> is correct. Section 95(5) provides that the unrepresented party may have </w:t>
      </w:r>
      <w:r w:rsidRPr="00366C51">
        <w:rPr>
          <w:i/>
          <w:iCs/>
        </w:rPr>
        <w:t>their questions</w:t>
      </w:r>
      <w:r>
        <w:t xml:space="preserve"> put to the witness by the appointed person. Section 95(6) sets out a process for judicial oversight of the questions put, which would seem unnecessary if counsel appointed under section 95(5) were subject to </w:t>
      </w:r>
      <w:r>
        <w:lastRenderedPageBreak/>
        <w:t>broader cross-examination duties.</w:t>
      </w:r>
      <w:r>
        <w:rPr>
          <w:rStyle w:val="FootnoteReference"/>
        </w:rPr>
        <w:footnoteReference w:id="1127"/>
      </w:r>
      <w:r>
        <w:t xml:space="preserve"> The fact that a lay person can be appointed under section 95(5) provides further support for the view that the role is limited to stating questions prepared by the unrepresented party.</w:t>
      </w:r>
    </w:p>
    <w:p w14:paraId="75999876" w14:textId="77777777" w:rsidR="00E13DFB" w:rsidRDefault="00E13DFB" w:rsidP="00E13DFB">
      <w:pPr>
        <w:pStyle w:val="BodyText"/>
      </w:pPr>
      <w:r>
        <w:t xml:space="preserve">The legislative history of section 95, which is set out in </w:t>
      </w:r>
      <w:r w:rsidRPr="00366C51">
        <w:rPr>
          <w:i/>
          <w:iCs/>
        </w:rPr>
        <w:t>Irving</w:t>
      </w:r>
      <w:r>
        <w:t>, also supports a narrow interpretation.</w:t>
      </w:r>
      <w:r>
        <w:rPr>
          <w:rStyle w:val="FootnoteReference"/>
        </w:rPr>
        <w:footnoteReference w:id="1128"/>
      </w:r>
      <w:r>
        <w:t xml:space="preserve"> The predecessor to section 95, section 23F of the Evidence Act 1908, allowed </w:t>
      </w:r>
      <w:r w:rsidRPr="009532CA">
        <w:t xml:space="preserve">a defendant </w:t>
      </w:r>
      <w:r>
        <w:t>to</w:t>
      </w:r>
      <w:r w:rsidRPr="009532CA">
        <w:t xml:space="preserve"> put questions to the complainant “by stating the questions to a person, approved by the </w:t>
      </w:r>
      <w:r>
        <w:t>j</w:t>
      </w:r>
      <w:r w:rsidRPr="009532CA">
        <w:t>udge, who shall repeat the questions to the complainant</w:t>
      </w:r>
      <w:r>
        <w:t>”. Section 95 was intended to apply to a broader class of witnesses than section 23F, but in other respects, it was intended to retain the existing approach of allowing the unrepresented party to put their questions to a witness through another person.</w:t>
      </w:r>
      <w:r>
        <w:rPr>
          <w:rStyle w:val="FootnoteReference"/>
        </w:rPr>
        <w:footnoteReference w:id="1129"/>
      </w:r>
      <w:r>
        <w:t xml:space="preserve"> The section was intended to protect witnesses, not to assist unrepresented parties to properly put their case.</w:t>
      </w:r>
      <w:r>
        <w:rPr>
          <w:rStyle w:val="FootnoteReference"/>
        </w:rPr>
        <w:footnoteReference w:id="1130"/>
      </w:r>
    </w:p>
    <w:p w14:paraId="207ACFFE" w14:textId="77777777" w:rsidR="00E13DFB" w:rsidRDefault="00E13DFB" w:rsidP="00E13DFB">
      <w:pPr>
        <w:pStyle w:val="BodyText"/>
      </w:pPr>
      <w:r>
        <w:t xml:space="preserve">If </w:t>
      </w:r>
      <w:r w:rsidRPr="00366C51">
        <w:t>clarification</w:t>
      </w:r>
      <w:r>
        <w:t xml:space="preserve"> is considered desirable, this could be achieved by inserting a new subsection into section 95 providing that: </w:t>
      </w:r>
    </w:p>
    <w:p w14:paraId="228A171F" w14:textId="77777777" w:rsidR="00E13DFB" w:rsidRDefault="00E13DFB" w:rsidP="00866891">
      <w:pPr>
        <w:pStyle w:val="BodyTextnonum"/>
        <w:numPr>
          <w:ilvl w:val="2"/>
          <w:numId w:val="41"/>
        </w:numPr>
        <w:tabs>
          <w:tab w:val="clear" w:pos="709"/>
        </w:tabs>
        <w:spacing w:after="80"/>
      </w:pPr>
      <w:bookmarkStart w:id="169" w:name="_Hlk127527997"/>
      <w:r>
        <w:t xml:space="preserve">the role of a person appointed under section 95(5)(b) is limited to putting the unrepresented party’s questions to the witness; and </w:t>
      </w:r>
    </w:p>
    <w:p w14:paraId="26A5BD8E" w14:textId="77777777" w:rsidR="00E13DFB" w:rsidRDefault="00E13DFB" w:rsidP="00866891">
      <w:pPr>
        <w:pStyle w:val="BodyTextnonum"/>
        <w:numPr>
          <w:ilvl w:val="2"/>
          <w:numId w:val="45"/>
        </w:numPr>
        <w:tabs>
          <w:tab w:val="clear" w:pos="709"/>
        </w:tabs>
        <w:spacing w:after="80"/>
      </w:pPr>
      <w:r>
        <w:t>a</w:t>
      </w:r>
      <w:r w:rsidRPr="00DD3C65">
        <w:t xml:space="preserve"> lawyer appointed under section 95(</w:t>
      </w:r>
      <w:r>
        <w:t>5</w:t>
      </w:r>
      <w:r w:rsidRPr="00DD3C65">
        <w:t>)(b) to put the defendant’s or party’s questions to the witness is not acting as counsel for the defendant or party</w:t>
      </w:r>
      <w:r>
        <w:t>.</w:t>
      </w:r>
    </w:p>
    <w:bookmarkEnd w:id="169"/>
    <w:p w14:paraId="11A99E5B" w14:textId="3AD35B6E" w:rsidR="00CC6A83" w:rsidRDefault="00CC6A83" w:rsidP="00CC6A83">
      <w:pPr>
        <w:pStyle w:val="QuestionBox"/>
      </w:pPr>
      <w:r>
        <w:rPr>
          <w:noProof/>
        </w:rPr>
        <mc:AlternateContent>
          <mc:Choice Requires="wpg">
            <w:drawing>
              <wp:anchor distT="0" distB="0" distL="114300" distR="114300" simplePos="0" relativeHeight="251658367" behindDoc="1" locked="0" layoutInCell="1" allowOverlap="1" wp14:anchorId="59675583" wp14:editId="5D716651">
                <wp:simplePos x="0" y="0"/>
                <wp:positionH relativeFrom="column">
                  <wp:posOffset>-1962</wp:posOffset>
                </wp:positionH>
                <wp:positionV relativeFrom="paragraph">
                  <wp:posOffset>-2824</wp:posOffset>
                </wp:positionV>
                <wp:extent cx="5760085" cy="1938032"/>
                <wp:effectExtent l="0" t="0" r="0" b="5080"/>
                <wp:wrapNone/>
                <wp:docPr id="298" name="Group 298" descr="Question"/>
                <wp:cNvGraphicFramePr/>
                <a:graphic xmlns:a="http://schemas.openxmlformats.org/drawingml/2006/main">
                  <a:graphicData uri="http://schemas.microsoft.com/office/word/2010/wordprocessingGroup">
                    <wpg:wgp>
                      <wpg:cNvGrpSpPr/>
                      <wpg:grpSpPr>
                        <a:xfrm>
                          <a:off x="0" y="0"/>
                          <a:ext cx="5760085" cy="1938032"/>
                          <a:chOff x="0" y="62865"/>
                          <a:chExt cx="5760085" cy="1939984"/>
                        </a:xfrm>
                      </wpg:grpSpPr>
                      <wps:wsp>
                        <wps:cNvPr id="29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C09038" w14:textId="77777777" w:rsidR="00CC6A83" w:rsidRDefault="00CC6A83" w:rsidP="00CC6A83">
                              <w:pPr>
                                <w:pStyle w:val="BoxTitle"/>
                                <w:spacing w:before="0" w:beforeAutospacing="0"/>
                              </w:pPr>
                              <w:r w:rsidRPr="007F6876">
                                <w:t>QUESTION</w:t>
                              </w:r>
                            </w:p>
                          </w:txbxContent>
                        </wps:txbx>
                        <wps:bodyPr rot="0" vert="horz" wrap="square" lIns="91440" tIns="0" rIns="0" bIns="45720" anchor="ctr" anchorCtr="0" upright="1">
                          <a:noAutofit/>
                        </wps:bodyPr>
                      </wps:wsp>
                      <wpg:grpSp>
                        <wpg:cNvPr id="300" name="Group 53"/>
                        <wpg:cNvGrpSpPr>
                          <a:grpSpLocks/>
                        </wpg:cNvGrpSpPr>
                        <wpg:grpSpPr bwMode="auto">
                          <a:xfrm>
                            <a:off x="0" y="315706"/>
                            <a:ext cx="5760085" cy="1687143"/>
                            <a:chOff x="1837" y="1786"/>
                            <a:chExt cx="9302" cy="18224"/>
                          </a:xfrm>
                        </wpg:grpSpPr>
                        <wps:wsp>
                          <wps:cNvPr id="301" name="Freeform 54"/>
                          <wps:cNvSpPr>
                            <a:spLocks/>
                          </wps:cNvSpPr>
                          <wps:spPr bwMode="auto">
                            <a:xfrm>
                              <a:off x="1837" y="1786"/>
                              <a:ext cx="9302" cy="182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02"/>
                        <wpg:cNvGrpSpPr/>
                        <wpg:grpSpPr>
                          <a:xfrm>
                            <a:off x="0" y="494036"/>
                            <a:ext cx="1443794" cy="252000"/>
                            <a:chOff x="-15880" y="0"/>
                            <a:chExt cx="1444379" cy="252068"/>
                          </a:xfrm>
                        </wpg:grpSpPr>
                        <wps:wsp>
                          <wps:cNvPr id="30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D4E806"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9675583" id="Group 298" o:spid="_x0000_s1477" alt="Question" style="position:absolute;left:0;text-align:left;margin-left:-.15pt;margin-top:-.2pt;width:453.55pt;height:152.6pt;z-index:-251658113;mso-height-relative:margin" coordorigin=",628" coordsize="57600,1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">
                <v:shape id="Freeform 52" o:spid="_x0000_s147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7C09038" w14:textId="77777777" w:rsidR="00CC6A83" w:rsidRDefault="00CC6A83" w:rsidP="00CC6A83">
                        <w:pPr>
                          <w:pStyle w:val="BoxTitle"/>
                          <w:spacing w:before="0" w:beforeAutospacing="0"/>
                        </w:pPr>
                        <w:r w:rsidRPr="007F6876">
                          <w:t>QUESTION</w:t>
                        </w:r>
                      </w:p>
                    </w:txbxContent>
                  </v:textbox>
                </v:shape>
                <v:group id="Group 53" o:spid="_x0000_s1479" style="position:absolute;top:3157;width:57600;height:16871" coordorigin="1837,1786" coordsize="9302,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54" o:spid="_x0000_s1480" style="position:absolute;left:1837;top:1786;width:9302;height:182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" path="m,l9354,r,7809l,7809,,e" fillcolor="#edf2ea" stroked="f">
                    <v:path arrowok="t" o:connecttype="custom" o:connectlocs="0,2334;9302,2334;9302,20558;0,20558;0,2334" o:connectangles="0,0,0,0,0"/>
                  </v:shape>
                </v:group>
                <v:group id="Group 302" o:spid="_x0000_s148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58" o:spid="_x0000_s148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" path="m,l1815,e" filled="f" strokecolor="#72ab6a" strokeweight=".5pt">
                    <v:path arrowok="t" o:connecttype="custom" o:connectlocs="0,0;1073495,0" o:connectangles="0,0"/>
                  </v:shape>
                  <v:shape id="Freeform 66" o:spid="_x0000_s148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BD4E806"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63</w:t>
                          </w:r>
                        </w:p>
                      </w:txbxContent>
                    </v:textbox>
                  </v:shape>
                </v:group>
              </v:group>
            </w:pict>
          </mc:Fallback>
        </mc:AlternateContent>
      </w:r>
    </w:p>
    <w:p w14:paraId="582F6F96" w14:textId="77777777" w:rsidR="00CC6A83" w:rsidRDefault="00CC6A83" w:rsidP="00CC6A83">
      <w:pPr>
        <w:pStyle w:val="QuestionBox"/>
      </w:pPr>
    </w:p>
    <w:p w14:paraId="3F65BA64" w14:textId="332CC933" w:rsidR="00E13DFB" w:rsidRDefault="00E13DFB" w:rsidP="00CC6A83">
      <w:pPr>
        <w:pStyle w:val="QuestionBox"/>
      </w:pPr>
      <w:r>
        <w:t>Should section 95 be amended to clarify that:</w:t>
      </w:r>
    </w:p>
    <w:p w14:paraId="3CAC64F2" w14:textId="77777777" w:rsidR="00E13DFB" w:rsidRDefault="00E13DFB" w:rsidP="00866891">
      <w:pPr>
        <w:pStyle w:val="Questionabc"/>
        <w:numPr>
          <w:ilvl w:val="0"/>
          <w:numId w:val="78"/>
        </w:numPr>
        <w:ind w:left="1418" w:hanging="425"/>
      </w:pPr>
      <w:r>
        <w:t>the role of a person appointed under section 95(5)(b) is limited to putting the unrepresented party’s questions to the witness; and/or</w:t>
      </w:r>
    </w:p>
    <w:p w14:paraId="3CA970DB" w14:textId="77777777" w:rsidR="00E13DFB" w:rsidRDefault="00E13DFB" w:rsidP="00CC6A83">
      <w:pPr>
        <w:pStyle w:val="Questionabc"/>
      </w:pPr>
      <w:r>
        <w:t>a lawyer appointed under section 95(5)(b) to put the defendant’s or party’s questions to the witness is not acting as counsel for the defendant or party?</w:t>
      </w:r>
    </w:p>
    <w:p w14:paraId="4B5B4C56" w14:textId="77777777" w:rsidR="00E13DFB" w:rsidRDefault="00E13DFB" w:rsidP="00E13DFB">
      <w:pPr>
        <w:pStyle w:val="BodyText"/>
        <w:numPr>
          <w:ilvl w:val="0"/>
          <w:numId w:val="0"/>
        </w:numPr>
        <w:ind w:left="709"/>
      </w:pPr>
    </w:p>
    <w:p w14:paraId="088C63BA" w14:textId="77777777" w:rsidR="00E13DFB" w:rsidRDefault="00E13DFB" w:rsidP="00E13DFB">
      <w:pPr>
        <w:pStyle w:val="BodyText"/>
        <w:numPr>
          <w:ilvl w:val="0"/>
          <w:numId w:val="0"/>
        </w:numPr>
        <w:ind w:left="709"/>
      </w:pPr>
    </w:p>
    <w:p w14:paraId="0CDA79F1" w14:textId="77777777" w:rsidR="00E13DFB" w:rsidRDefault="00E13DFB" w:rsidP="00E13DFB">
      <w:pPr>
        <w:pStyle w:val="BodyText"/>
        <w:numPr>
          <w:ilvl w:val="0"/>
          <w:numId w:val="0"/>
        </w:numPr>
        <w:ind w:left="709"/>
      </w:pPr>
    </w:p>
    <w:p w14:paraId="3484BBD6" w14:textId="77777777" w:rsidR="00E13DFB" w:rsidRDefault="00E13DFB" w:rsidP="00E13DFB">
      <w:pPr>
        <w:pStyle w:val="BodyText"/>
        <w:numPr>
          <w:ilvl w:val="0"/>
          <w:numId w:val="0"/>
        </w:numPr>
        <w:ind w:left="709"/>
      </w:pPr>
      <w:r w:rsidRPr="00D37FCE">
        <w:rPr>
          <w:rFonts w:eastAsiaTheme="minorHAnsi"/>
          <w:noProof/>
          <w:lang w:eastAsia="en-NZ"/>
        </w:rPr>
        <mc:AlternateContent>
          <mc:Choice Requires="wpg">
            <w:drawing>
              <wp:anchor distT="0" distB="0" distL="114300" distR="114300" simplePos="0" relativeHeight="251658346" behindDoc="1" locked="0" layoutInCell="1" allowOverlap="1" wp14:anchorId="1A45880D" wp14:editId="78811E3B">
                <wp:simplePos x="0" y="0"/>
                <wp:positionH relativeFrom="page">
                  <wp:posOffset>1080135</wp:posOffset>
                </wp:positionH>
                <wp:positionV relativeFrom="paragraph">
                  <wp:posOffset>19050</wp:posOffset>
                </wp:positionV>
                <wp:extent cx="2411730" cy="1270"/>
                <wp:effectExtent l="0" t="19050" r="26670" b="17780"/>
                <wp:wrapNone/>
                <wp:docPr id="764518331" name="Group 764518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33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B3E4A" id="Group 764518331" o:spid="_x0000_s1026" style="position:absolute;margin-left:85.05pt;margin-top:1.5pt;width:189.9pt;height:.1pt;z-index:-251658134;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6326DDCD" w14:textId="77777777" w:rsidR="00E13DFB" w:rsidRDefault="00E13DFB" w:rsidP="00E13DFB">
      <w:pPr>
        <w:tabs>
          <w:tab w:val="left" w:pos="709"/>
        </w:tabs>
        <w:jc w:val="both"/>
        <w:rPr>
          <w:rFonts w:eastAsia="Times New Roman" w:cs="Times New Roman"/>
          <w:vanish/>
          <w:color w:val="000000" w:themeColor="text1"/>
          <w:szCs w:val="20"/>
          <w:lang w:eastAsia="en-AU"/>
        </w:rPr>
      </w:pPr>
    </w:p>
    <w:p w14:paraId="6517F23D" w14:textId="77777777" w:rsidR="00E13DFB" w:rsidRPr="00E83007" w:rsidRDefault="00E13DFB" w:rsidP="00E13DFB">
      <w:pPr>
        <w:tabs>
          <w:tab w:val="left" w:pos="709"/>
        </w:tabs>
        <w:jc w:val="both"/>
        <w:rPr>
          <w:rFonts w:eastAsia="Times New Roman" w:cs="Times New Roman"/>
          <w:vanish/>
          <w:color w:val="000000" w:themeColor="text1"/>
          <w:szCs w:val="20"/>
          <w:lang w:eastAsia="en-AU"/>
        </w:rPr>
      </w:pPr>
    </w:p>
    <w:p w14:paraId="62B4F629" w14:textId="77777777" w:rsidR="00E13DFB" w:rsidRDefault="00E13DFB" w:rsidP="00E13DFB">
      <w:pPr>
        <w:pStyle w:val="HEADING2topchapter-notinTOC"/>
        <w:pageBreakBefore w:val="0"/>
        <w:rPr>
          <w:noProof/>
        </w:rPr>
        <w:sectPr w:rsidR="00E13DFB" w:rsidSect="00FD6721">
          <w:headerReference w:type="default" r:id="rId49"/>
          <w:footnotePr>
            <w:numRestart w:val="eachSect"/>
          </w:footnotePr>
          <w:type w:val="nextColumn"/>
          <w:pgSz w:w="11907" w:h="16840" w:code="9"/>
          <w:pgMar w:top="1134" w:right="1134" w:bottom="1134" w:left="1701" w:header="499" w:footer="46" w:gutter="0"/>
          <w:cols w:space="720"/>
        </w:sectPr>
      </w:pPr>
    </w:p>
    <w:p w14:paraId="5354613A" w14:textId="77777777" w:rsidR="00E13DFB" w:rsidRPr="00D37FCE" w:rsidRDefault="00E13DFB" w:rsidP="00E13DFB">
      <w:pPr>
        <w:pStyle w:val="HEADING2topchapter-notinTOC"/>
        <w:rPr>
          <w:sz w:val="21"/>
          <w:szCs w:val="21"/>
        </w:rPr>
      </w:pPr>
      <w:r w:rsidRPr="00D37FCE">
        <w:lastRenderedPageBreak/>
        <w:t>CHAPTER</w:t>
      </w:r>
      <w:r w:rsidRPr="00D37FCE">
        <w:rPr>
          <w:sz w:val="21"/>
          <w:szCs w:val="21"/>
        </w:rPr>
        <w:t xml:space="preserve"> </w:t>
      </w:r>
      <w:r>
        <w:rPr>
          <w:sz w:val="21"/>
          <w:szCs w:val="21"/>
        </w:rPr>
        <w:t>15</w:t>
      </w:r>
    </w:p>
    <w:p w14:paraId="6722E235"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32" behindDoc="1" locked="0" layoutInCell="1" allowOverlap="1" wp14:anchorId="0C71B087" wp14:editId="008DDE86">
                <wp:simplePos x="0" y="0"/>
                <wp:positionH relativeFrom="page">
                  <wp:posOffset>1076653</wp:posOffset>
                </wp:positionH>
                <wp:positionV relativeFrom="paragraph">
                  <wp:posOffset>53975</wp:posOffset>
                </wp:positionV>
                <wp:extent cx="1332230" cy="1270"/>
                <wp:effectExtent l="0" t="19050" r="1270" b="17780"/>
                <wp:wrapNone/>
                <wp:docPr id="764518278" name="Group 764518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28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6D1C2" id="Group 764518278" o:spid="_x0000_s1026" style="position:absolute;margin-left:84.8pt;margin-top:4.25pt;width:104.9pt;height:.1pt;z-index:-25165814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404CF9EC" w14:textId="77777777" w:rsidR="00E13DFB" w:rsidRPr="005D33A4" w:rsidRDefault="00E13DFB" w:rsidP="00CC6A83">
      <w:pPr>
        <w:pStyle w:val="Heading1"/>
        <w:rPr>
          <w:rFonts w:eastAsia="Metropolis Black"/>
        </w:rPr>
      </w:pPr>
      <w:bookmarkStart w:id="170" w:name="_Toc132962608"/>
      <w:r>
        <w:rPr>
          <w:color w:val="FFFFFF" w:themeColor="background1"/>
          <w:sz w:val="2"/>
          <w:szCs w:val="2"/>
        </w:rPr>
        <w:t>15</w:t>
      </w:r>
      <w:r w:rsidRPr="00D37FCE">
        <w:rPr>
          <w:color w:val="FFFFFF" w:themeColor="background1"/>
          <w:sz w:val="2"/>
          <w:szCs w:val="2"/>
        </w:rPr>
        <w:t xml:space="preserve"> </w:t>
      </w:r>
      <w:r>
        <w:rPr>
          <w:rFonts w:eastAsia="Metropolis Black"/>
        </w:rPr>
        <w:t>Other issues</w:t>
      </w:r>
      <w:bookmarkEnd w:id="170"/>
    </w:p>
    <w:p w14:paraId="641CB770" w14:textId="77777777" w:rsidR="00E13DFB" w:rsidRPr="00D37FCE" w:rsidRDefault="00E13DFB" w:rsidP="00E13DFB">
      <w:pPr>
        <w:spacing w:line="200" w:lineRule="exact"/>
        <w:rPr>
          <w:szCs w:val="20"/>
        </w:rPr>
      </w:pPr>
      <w:r w:rsidRPr="00D37FCE">
        <w:rPr>
          <w:noProof/>
          <w:lang w:eastAsia="en-NZ"/>
        </w:rPr>
        <mc:AlternateContent>
          <mc:Choice Requires="wpg">
            <w:drawing>
              <wp:anchor distT="0" distB="0" distL="114300" distR="114300" simplePos="0" relativeHeight="251658333" behindDoc="1" locked="0" layoutInCell="1" allowOverlap="1" wp14:anchorId="5D9E65FD" wp14:editId="20BB744E">
                <wp:simplePos x="0" y="0"/>
                <wp:positionH relativeFrom="page">
                  <wp:posOffset>1087427</wp:posOffset>
                </wp:positionH>
                <wp:positionV relativeFrom="paragraph">
                  <wp:posOffset>71755</wp:posOffset>
                </wp:positionV>
                <wp:extent cx="1332230" cy="1270"/>
                <wp:effectExtent l="0" t="19050" r="1270" b="17780"/>
                <wp:wrapNone/>
                <wp:docPr id="764518280" name="Group 764518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28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16372" id="Group 764518280" o:spid="_x0000_s1026" style="position:absolute;margin-left:85.6pt;margin-top:5.65pt;width:104.9pt;height:.1pt;z-index:-25165814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3CB62253" w14:textId="77777777" w:rsidR="00E13DFB" w:rsidRDefault="00E13DFB" w:rsidP="00E13DFB">
      <w:pPr>
        <w:pStyle w:val="BodyTextalphalist"/>
        <w:ind w:left="0" w:firstLine="0"/>
      </w:pPr>
    </w:p>
    <w:p w14:paraId="324F8D70" w14:textId="77777777" w:rsidR="00E13DFB" w:rsidRDefault="00E13DFB" w:rsidP="00E13DFB">
      <w:pPr>
        <w:rPr>
          <w:lang w:eastAsia="zh-TW"/>
        </w:rPr>
      </w:pPr>
    </w:p>
    <w:p w14:paraId="30F1DFE0" w14:textId="77777777" w:rsidR="00E13DFB" w:rsidRDefault="00E13DFB" w:rsidP="00E13DFB">
      <w:r w:rsidRPr="00D37FCE">
        <w:rPr>
          <w:rFonts w:eastAsia="Metropolis"/>
          <w:noProof/>
        </w:rPr>
        <mc:AlternateContent>
          <mc:Choice Requires="wpg">
            <w:drawing>
              <wp:anchor distT="0" distB="0" distL="114300" distR="114300" simplePos="0" relativeHeight="251658338" behindDoc="1" locked="0" layoutInCell="1" allowOverlap="1" wp14:anchorId="526987A9" wp14:editId="43DB0E07">
                <wp:simplePos x="0" y="0"/>
                <wp:positionH relativeFrom="column">
                  <wp:posOffset>11686</wp:posOffset>
                </wp:positionH>
                <wp:positionV relativeFrom="paragraph">
                  <wp:posOffset>28149</wp:posOffset>
                </wp:positionV>
                <wp:extent cx="5792470" cy="2074391"/>
                <wp:effectExtent l="0" t="0" r="0" b="2540"/>
                <wp:wrapNone/>
                <wp:docPr id="465" name="Group 465"/>
                <wp:cNvGraphicFramePr/>
                <a:graphic xmlns:a="http://schemas.openxmlformats.org/drawingml/2006/main">
                  <a:graphicData uri="http://schemas.microsoft.com/office/word/2010/wordprocessingGroup">
                    <wpg:wgp>
                      <wpg:cNvGrpSpPr/>
                      <wpg:grpSpPr>
                        <a:xfrm>
                          <a:off x="0" y="0"/>
                          <a:ext cx="5792470" cy="2074391"/>
                          <a:chOff x="0" y="-4768"/>
                          <a:chExt cx="5793105" cy="2076772"/>
                        </a:xfrm>
                      </wpg:grpSpPr>
                      <wpg:grpSp>
                        <wpg:cNvPr id="468" name="Group 53"/>
                        <wpg:cNvGrpSpPr>
                          <a:grpSpLocks/>
                        </wpg:cNvGrpSpPr>
                        <wpg:grpSpPr bwMode="auto">
                          <a:xfrm>
                            <a:off x="0" y="314089"/>
                            <a:ext cx="5793105" cy="1757915"/>
                            <a:chOff x="1837" y="1790"/>
                            <a:chExt cx="9354" cy="18980"/>
                          </a:xfrm>
                        </wpg:grpSpPr>
                        <wps:wsp>
                          <wps:cNvPr id="469" name="Freeform 54"/>
                          <wps:cNvSpPr>
                            <a:spLocks/>
                          </wps:cNvSpPr>
                          <wps:spPr bwMode="auto">
                            <a:xfrm>
                              <a:off x="1837" y="1790"/>
                              <a:ext cx="9354" cy="1898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0"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2CEE4" w14:textId="77777777" w:rsidR="00E13DFB" w:rsidRDefault="00E13DFB" w:rsidP="00E13DFB">
                              <w:pPr>
                                <w:pStyle w:val="BoxTitle"/>
                                <w:spacing w:before="60" w:beforeAutospacing="0"/>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526987A9" id="Group 465" o:spid="_x0000_s1484" style="position:absolute;margin-left:.9pt;margin-top:2.2pt;width:456.1pt;height:163.35pt;z-index:-251658142;mso-height-relative:margin" coordorigin=",-47" coordsize="57931,2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">
                <v:group id="Group 53" o:spid="_x0000_s1485" style="position:absolute;top:3140;width:57931;height:17580" coordorigin="1837,1790" coordsize="9354,1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54" o:spid="_x0000_s1486" style="position:absolute;left:1837;top:1790;width:9354;height:1898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" path="m,l9354,r,7809l,7809,,e" fillcolor="#edf2ea" stroked="f">
                    <v:path arrowok="t" o:connecttype="custom" o:connectlocs="0,2431;9354,2431;9354,21411;0,21411;0,2431" o:connectangles="0,0,0,0,0"/>
                  </v:shape>
                </v:group>
                <v:shape id="Freeform 52" o:spid="_x0000_s1487"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1202CEE4" w14:textId="77777777" w:rsidR="00E13DFB" w:rsidRDefault="00E13DFB" w:rsidP="00E13DFB">
                        <w:pPr>
                          <w:pStyle w:val="BoxTitle"/>
                          <w:spacing w:before="60" w:beforeAutospacing="0"/>
                        </w:pPr>
                        <w:r>
                          <w:t>INTRODUCTION</w:t>
                        </w:r>
                      </w:p>
                    </w:txbxContent>
                  </v:textbox>
                </v:shape>
              </v:group>
            </w:pict>
          </mc:Fallback>
        </mc:AlternateContent>
      </w:r>
    </w:p>
    <w:p w14:paraId="4A265437" w14:textId="77777777" w:rsidR="00E13DFB" w:rsidRDefault="00E13DFB" w:rsidP="00E13DFB">
      <w:pPr>
        <w:pStyle w:val="QuestionBox"/>
        <w:tabs>
          <w:tab w:val="clear" w:pos="709"/>
        </w:tabs>
        <w:ind w:left="0"/>
        <w:rPr>
          <w:rFonts w:eastAsia="Metropolis"/>
          <w:noProof/>
        </w:rPr>
      </w:pPr>
    </w:p>
    <w:p w14:paraId="3B799287" w14:textId="77777777" w:rsidR="00E13DFB" w:rsidRPr="00FF236A" w:rsidRDefault="00E13DFB" w:rsidP="00866891">
      <w:pPr>
        <w:pStyle w:val="ListParagraph"/>
        <w:numPr>
          <w:ilvl w:val="0"/>
          <w:numId w:val="23"/>
        </w:numPr>
        <w:tabs>
          <w:tab w:val="left" w:pos="709"/>
        </w:tabs>
        <w:contextualSpacing w:val="0"/>
        <w:jc w:val="both"/>
        <w:rPr>
          <w:rFonts w:eastAsia="Times New Roman" w:cs="Times New Roman"/>
          <w:vanish/>
          <w:color w:val="000000" w:themeColor="text1"/>
          <w:sz w:val="20"/>
          <w:szCs w:val="20"/>
          <w:lang w:eastAsia="en-AU"/>
        </w:rPr>
      </w:pPr>
    </w:p>
    <w:p w14:paraId="41F728FF" w14:textId="77777777" w:rsidR="00E13DFB" w:rsidRDefault="00E13DFB" w:rsidP="00E13DFB">
      <w:pPr>
        <w:pStyle w:val="QuestionBox"/>
        <w:ind w:left="0" w:firstLine="284"/>
      </w:pPr>
      <w:r w:rsidRPr="00905EAB">
        <w:t>In</w:t>
      </w:r>
      <w:r>
        <w:t xml:space="preserve"> this chapter, we consider and seek feedback on three stand-alone issues relating to:</w:t>
      </w:r>
    </w:p>
    <w:p w14:paraId="41ECA451" w14:textId="77777777" w:rsidR="00E13DFB" w:rsidRDefault="00E13DFB" w:rsidP="00866891">
      <w:pPr>
        <w:pStyle w:val="ListBullet"/>
        <w:numPr>
          <w:ilvl w:val="0"/>
          <w:numId w:val="20"/>
        </w:numPr>
        <w:ind w:left="709" w:hanging="425"/>
      </w:pPr>
      <w:r>
        <w:t>the role of the judge when determining whether to admit evidence by agreement under section 9;</w:t>
      </w:r>
    </w:p>
    <w:p w14:paraId="2E687D8F" w14:textId="77777777" w:rsidR="00E13DFB" w:rsidRDefault="00E13DFB" w:rsidP="00866891">
      <w:pPr>
        <w:pStyle w:val="ListBullet"/>
        <w:numPr>
          <w:ilvl w:val="0"/>
          <w:numId w:val="20"/>
        </w:numPr>
        <w:ind w:left="709" w:hanging="425"/>
      </w:pPr>
      <w:r>
        <w:t>the test for admitting novel scientific evidence; and</w:t>
      </w:r>
    </w:p>
    <w:p w14:paraId="79A5B162" w14:textId="77777777" w:rsidR="00E13DFB" w:rsidRDefault="00E13DFB" w:rsidP="00866891">
      <w:pPr>
        <w:pStyle w:val="ListBullet"/>
        <w:numPr>
          <w:ilvl w:val="0"/>
          <w:numId w:val="20"/>
        </w:numPr>
        <w:ind w:left="709" w:hanging="425"/>
      </w:pPr>
      <w:r>
        <w:t>the scope of sections 108 and 109 (the giving of evidence by undercover police officers).</w:t>
      </w:r>
    </w:p>
    <w:p w14:paraId="64930605" w14:textId="77777777" w:rsidR="00E13DFB" w:rsidRDefault="00E13DFB" w:rsidP="00E13DFB">
      <w:pPr>
        <w:pStyle w:val="ListBullet"/>
        <w:numPr>
          <w:ilvl w:val="0"/>
          <w:numId w:val="0"/>
        </w:numPr>
        <w:ind w:left="709"/>
      </w:pPr>
    </w:p>
    <w:p w14:paraId="775ACCBF" w14:textId="77777777" w:rsidR="00E13DFB" w:rsidRDefault="00E13DFB" w:rsidP="00CC6A83">
      <w:pPr>
        <w:pStyle w:val="Heading2"/>
      </w:pPr>
      <w:bookmarkStart w:id="171" w:name="_Toc126330154"/>
      <w:bookmarkStart w:id="172" w:name="_Toc132962609"/>
      <w:r>
        <w:t xml:space="preserve">Section 9 (admission by agreement) and the role of the </w:t>
      </w:r>
      <w:bookmarkEnd w:id="171"/>
      <w:bookmarkEnd w:id="172"/>
      <w:r>
        <w:t>judge</w:t>
      </w:r>
    </w:p>
    <w:p w14:paraId="716DC0E8" w14:textId="77777777" w:rsidR="00E13DFB" w:rsidRDefault="00E13DFB" w:rsidP="00866891">
      <w:pPr>
        <w:pStyle w:val="BodyText"/>
        <w:numPr>
          <w:ilvl w:val="1"/>
          <w:numId w:val="41"/>
        </w:numPr>
      </w:pPr>
      <w:r>
        <w:t xml:space="preserve">Section 9(1)(a) of the Evidence Act 2006 permits a judge, in civil and criminal proceedings, to admit evidence that is not otherwise admissible with the written or oral agreement of all parties. </w:t>
      </w:r>
    </w:p>
    <w:p w14:paraId="1A8E787F" w14:textId="77777777" w:rsidR="00E13DFB" w:rsidRDefault="00E13DFB" w:rsidP="00CC6A83">
      <w:pPr>
        <w:pStyle w:val="Heading3"/>
      </w:pPr>
      <w:r>
        <w:t>Is the application of section 9 unclear?</w:t>
      </w:r>
    </w:p>
    <w:p w14:paraId="66B16F7C" w14:textId="77777777" w:rsidR="00E13DFB" w:rsidRDefault="00E13DFB" w:rsidP="00866891">
      <w:pPr>
        <w:pStyle w:val="BodyText"/>
        <w:numPr>
          <w:ilvl w:val="1"/>
          <w:numId w:val="41"/>
        </w:numPr>
      </w:pPr>
      <w:r>
        <w:t xml:space="preserve">We received preliminary feedback suggesting section 9 is inconsistently applied and that greater guidance is needed. </w:t>
      </w:r>
    </w:p>
    <w:p w14:paraId="400ECF99" w14:textId="77777777" w:rsidR="00E13DFB" w:rsidRDefault="00E13DFB" w:rsidP="00866891">
      <w:pPr>
        <w:pStyle w:val="BodyText"/>
        <w:numPr>
          <w:ilvl w:val="1"/>
          <w:numId w:val="41"/>
        </w:numPr>
      </w:pPr>
      <w:r>
        <w:t>Section 9 is based on Te Aka Matua o te Ture | Law Commission’s proposed Evidence Code provision.</w:t>
      </w:r>
      <w:r>
        <w:rPr>
          <w:rStyle w:val="FootnoteReference"/>
        </w:rPr>
        <w:footnoteReference w:id="1131"/>
      </w:r>
      <w:r>
        <w:t xml:space="preserve"> The Commission explained the rationale for section 9 as follows:</w:t>
      </w:r>
      <w:r>
        <w:rPr>
          <w:rStyle w:val="FootnoteReference"/>
        </w:rPr>
        <w:footnoteReference w:id="1132"/>
      </w:r>
    </w:p>
    <w:p w14:paraId="133EFB79" w14:textId="77777777" w:rsidR="00E13DFB" w:rsidRDefault="00E13DFB" w:rsidP="00E13DFB">
      <w:pPr>
        <w:pStyle w:val="Quote"/>
      </w:pPr>
      <w:r>
        <w:tab/>
      </w:r>
      <w:r w:rsidRPr="00F86A01">
        <w:t xml:space="preserve">Section 9(1)(a) codifies the convenient practice in both civil and criminal proceedings which allows a judge, with the consent of all parties, to admit evidence that may otherwise not be admissible. For example, in the course of presenting their cases, parties sometimes introduce, without objection from the other side, evidence that is not strictly relevant to determining the proceeding. In the end, </w:t>
      </w:r>
      <w:r w:rsidRPr="00A52F8B">
        <w:t>it saves time to allow this sort of harmless evidence, rather than disrupt its flow by constant rulings on admissibility.</w:t>
      </w:r>
    </w:p>
    <w:p w14:paraId="72421118" w14:textId="77777777" w:rsidR="00E13DFB" w:rsidRDefault="00E13DFB" w:rsidP="00866891">
      <w:pPr>
        <w:pStyle w:val="BodyText"/>
        <w:numPr>
          <w:ilvl w:val="1"/>
          <w:numId w:val="41"/>
        </w:numPr>
      </w:pPr>
      <w:r>
        <w:lastRenderedPageBreak/>
        <w:t>The Commission also noted the section was “i</w:t>
      </w:r>
      <w:r w:rsidRPr="001A3BDE">
        <w:t>n line with the objective of avoiding unjustifiable expense and delay</w:t>
      </w:r>
      <w:r>
        <w:t>”.</w:t>
      </w:r>
      <w:r>
        <w:rPr>
          <w:rStyle w:val="FootnoteReference"/>
        </w:rPr>
        <w:footnoteReference w:id="1133"/>
      </w:r>
    </w:p>
    <w:p w14:paraId="6B96B223" w14:textId="77777777" w:rsidR="00E13DFB" w:rsidRDefault="00E13DFB" w:rsidP="00866891">
      <w:pPr>
        <w:pStyle w:val="BodyText"/>
        <w:numPr>
          <w:ilvl w:val="1"/>
          <w:numId w:val="41"/>
        </w:numPr>
        <w:tabs>
          <w:tab w:val="clear" w:pos="709"/>
        </w:tabs>
        <w:spacing w:after="80"/>
      </w:pPr>
      <w:r>
        <w:t>This suggests that section 9 was primarily intended to avoid unnecessarily lengthening proceedings by dispensing with the requirement for admissibility rulings on evidence that is relatively insignificant. However, the wording of section 9(1)(a) is significantly broader than the Commission’s discussion would suggest. It simply states that the judge may, “</w:t>
      </w:r>
      <w:r w:rsidRPr="00C64482">
        <w:t>with the written or oral agreement of all parties, admit evidence that is not otherwise admissible</w:t>
      </w:r>
      <w:r>
        <w:t xml:space="preserve">”. It does not explain how the judge should determine whether to exercise that power or impose any limits on it. </w:t>
      </w:r>
    </w:p>
    <w:p w14:paraId="0F3CE2A0" w14:textId="77777777" w:rsidR="00E13DFB" w:rsidRDefault="00E13DFB" w:rsidP="00866891">
      <w:pPr>
        <w:pStyle w:val="BodyText"/>
        <w:numPr>
          <w:ilvl w:val="1"/>
          <w:numId w:val="25"/>
        </w:numPr>
      </w:pPr>
      <w:r>
        <w:t xml:space="preserve">Case law suggests there are differing views on the extent to which section 9 permits admission by agreement of evidence that is otherwise inadmissible or subject to exclusion. </w:t>
      </w:r>
    </w:p>
    <w:p w14:paraId="2DCEDBFC" w14:textId="77777777" w:rsidR="00E13DFB" w:rsidRDefault="00E13DFB" w:rsidP="00866891">
      <w:pPr>
        <w:pStyle w:val="BodyTextnonum"/>
        <w:numPr>
          <w:ilvl w:val="2"/>
          <w:numId w:val="41"/>
        </w:numPr>
        <w:tabs>
          <w:tab w:val="clear" w:pos="709"/>
        </w:tabs>
        <w:spacing w:after="80"/>
      </w:pPr>
      <w:r w:rsidRPr="00307E53">
        <w:t>In</w:t>
      </w:r>
      <w:r>
        <w:t xml:space="preserve"> </w:t>
      </w:r>
      <w:r>
        <w:rPr>
          <w:i/>
          <w:iCs/>
        </w:rPr>
        <w:t>Wilson v R</w:t>
      </w:r>
      <w:r w:rsidRPr="00C0345A">
        <w:rPr>
          <w:rStyle w:val="FootnoteReference"/>
        </w:rPr>
        <w:footnoteReference w:id="1134"/>
      </w:r>
      <w:r w:rsidRPr="008A434F">
        <w:t xml:space="preserve"> </w:t>
      </w:r>
      <w:r>
        <w:t xml:space="preserve">and </w:t>
      </w:r>
      <w:r>
        <w:rPr>
          <w:i/>
          <w:iCs/>
        </w:rPr>
        <w:t>Douglas v R</w:t>
      </w:r>
      <w:r>
        <w:t>,</w:t>
      </w:r>
      <w:r>
        <w:rPr>
          <w:rStyle w:val="FootnoteReference"/>
        </w:rPr>
        <w:footnoteReference w:id="1135"/>
      </w:r>
      <w:r>
        <w:t xml:space="preserve"> te Kōti Pīra | Court of Appeal found that evidence admitted by agreement at trial should not have been admitted as it did not meet the requirements of the previous consistent statements rule and the propensity provisions respectively. The Court in </w:t>
      </w:r>
      <w:r>
        <w:rPr>
          <w:i/>
          <w:iCs/>
        </w:rPr>
        <w:t>Wilson</w:t>
      </w:r>
      <w:r>
        <w:t xml:space="preserve"> said the judge has a duty to ensure a conviction is not based on material evidence that is inadmissible.</w:t>
      </w:r>
      <w:r>
        <w:rPr>
          <w:rStyle w:val="FootnoteReference"/>
        </w:rPr>
        <w:footnoteReference w:id="1136"/>
      </w:r>
    </w:p>
    <w:p w14:paraId="73DA0D70" w14:textId="77777777" w:rsidR="00E13DFB" w:rsidRDefault="00E13DFB" w:rsidP="00866891">
      <w:pPr>
        <w:pStyle w:val="BodyTextnonum"/>
        <w:numPr>
          <w:ilvl w:val="2"/>
          <w:numId w:val="41"/>
        </w:numPr>
        <w:tabs>
          <w:tab w:val="clear" w:pos="709"/>
        </w:tabs>
        <w:spacing w:after="80"/>
      </w:pPr>
      <w:r>
        <w:t xml:space="preserve">In </w:t>
      </w:r>
      <w:r>
        <w:rPr>
          <w:i/>
          <w:iCs/>
        </w:rPr>
        <w:t>R v Wellington</w:t>
      </w:r>
      <w:r>
        <w:t xml:space="preserve">, te Kōti Matua | High Court referred to the decisions in </w:t>
      </w:r>
      <w:r>
        <w:rPr>
          <w:i/>
          <w:iCs/>
        </w:rPr>
        <w:t xml:space="preserve">Wilson </w:t>
      </w:r>
      <w:r>
        <w:t xml:space="preserve">and </w:t>
      </w:r>
      <w:r>
        <w:rPr>
          <w:i/>
          <w:iCs/>
        </w:rPr>
        <w:t>Douglas</w:t>
      </w:r>
      <w:r>
        <w:t xml:space="preserve"> and observed it was not clear whether they were consistent with the wording of section 9(1)(a).</w:t>
      </w:r>
      <w:r>
        <w:rPr>
          <w:rStyle w:val="FootnoteReference"/>
        </w:rPr>
        <w:footnoteReference w:id="1137"/>
      </w:r>
      <w:r>
        <w:t xml:space="preserve"> The Court concluded otherwise inadmissible evidence could be admitted by agreement provided its admission would not result in an unfair trial and exclusion was not required by section 8 (general exclusion).</w:t>
      </w:r>
      <w:r>
        <w:rPr>
          <w:rStyle w:val="FootnoteReference"/>
        </w:rPr>
        <w:footnoteReference w:id="1138"/>
      </w:r>
      <w:r>
        <w:rPr>
          <w:rStyle w:val="FootnoteReference"/>
        </w:rPr>
        <w:t xml:space="preserve"> </w:t>
      </w:r>
    </w:p>
    <w:p w14:paraId="0F42790D" w14:textId="77777777" w:rsidR="00E13DFB" w:rsidRDefault="00E13DFB" w:rsidP="00866891">
      <w:pPr>
        <w:pStyle w:val="BodyTextnonum"/>
        <w:numPr>
          <w:ilvl w:val="2"/>
          <w:numId w:val="41"/>
        </w:numPr>
        <w:tabs>
          <w:tab w:val="clear" w:pos="709"/>
        </w:tabs>
        <w:spacing w:after="80"/>
      </w:pPr>
      <w:r>
        <w:t xml:space="preserve">In </w:t>
      </w:r>
      <w:r w:rsidRPr="000D052B">
        <w:rPr>
          <w:i/>
          <w:iCs/>
        </w:rPr>
        <w:t>WM (CA714/18) v R</w:t>
      </w:r>
      <w:r>
        <w:t>, the Court of Appeal found that, while the judge has a responsibility to ensure a fair trial, “</w:t>
      </w:r>
      <w:r w:rsidRPr="00AD6A13">
        <w:t>it would be rare for a Judge to refuse to permit the defence to put otherwise inadmissible evidence before a jury, with the consent of the Crown, when the defence has decided that this would assist the defence</w:t>
      </w:r>
      <w:r>
        <w:t>”.</w:t>
      </w:r>
      <w:r>
        <w:rPr>
          <w:rStyle w:val="FootnoteReference"/>
        </w:rPr>
        <w:footnoteReference w:id="1139"/>
      </w:r>
      <w:r>
        <w:t xml:space="preserve"> In that case, evidence of prior convictions was admitted at trial by agreement despite the evidence having been ruled inadmissible propensity evidence</w:t>
      </w:r>
      <w:r w:rsidRPr="009D74AD">
        <w:t>.</w:t>
      </w:r>
      <w:r>
        <w:t xml:space="preserve"> The Court declined to find the trial judge was wrong to admit the evidence under section 9.</w:t>
      </w:r>
    </w:p>
    <w:p w14:paraId="042AA8D7" w14:textId="77777777" w:rsidR="00E13DFB" w:rsidRDefault="00E13DFB" w:rsidP="00866891">
      <w:pPr>
        <w:pStyle w:val="BodyText"/>
        <w:numPr>
          <w:ilvl w:val="1"/>
          <w:numId w:val="41"/>
        </w:numPr>
        <w:spacing w:after="80"/>
      </w:pPr>
      <w:r>
        <w:t>Based on these cases, it appears unclear what approach the courts should take when the parties agree to admit otherwise inadmissible evidence. In particular, it is unclear whether evidence should be admitted under section 9 if it:</w:t>
      </w:r>
    </w:p>
    <w:p w14:paraId="739BEDA9" w14:textId="77777777" w:rsidR="00E13DFB" w:rsidRDefault="00E13DFB" w:rsidP="00866891">
      <w:pPr>
        <w:pStyle w:val="BodyTextnonum"/>
        <w:numPr>
          <w:ilvl w:val="2"/>
          <w:numId w:val="41"/>
        </w:numPr>
        <w:spacing w:after="80"/>
      </w:pPr>
      <w:r>
        <w:lastRenderedPageBreak/>
        <w:t>is material evidence that is otherwise inadmissible because of the operation of a specific provision in the Act (for example, the rules relating to hearsay, opinion evidence or previous consistent statements); or</w:t>
      </w:r>
    </w:p>
    <w:p w14:paraId="3FF95705" w14:textId="77777777" w:rsidR="00E13DFB" w:rsidRDefault="00E13DFB" w:rsidP="00866891">
      <w:pPr>
        <w:pStyle w:val="BodyTextnonum"/>
        <w:numPr>
          <w:ilvl w:val="2"/>
          <w:numId w:val="41"/>
        </w:numPr>
        <w:spacing w:after="80"/>
      </w:pPr>
      <w:r>
        <w:t>would lead to an unfair trial or would otherwise be excluded under section 8 (general exclusion).</w:t>
      </w:r>
    </w:p>
    <w:p w14:paraId="5B8C2093" w14:textId="77777777" w:rsidR="00E13DFB" w:rsidRDefault="00E13DFB" w:rsidP="00866891">
      <w:pPr>
        <w:pStyle w:val="BodyText"/>
        <w:numPr>
          <w:ilvl w:val="1"/>
          <w:numId w:val="41"/>
        </w:numPr>
        <w:tabs>
          <w:tab w:val="clear" w:pos="709"/>
        </w:tabs>
        <w:spacing w:after="80"/>
      </w:pPr>
      <w:r w:rsidRPr="00491A94">
        <w:t xml:space="preserve">This could cause uncertainty for parties and result in continued argument over the propriety of admission under section 9. </w:t>
      </w:r>
      <w:r>
        <w:t>It may therefore be desirable to clarify the circumstances in which a judge may refuse to admit evidence by agreement under section</w:t>
      </w:r>
      <w:r>
        <w:rPr>
          <w:rFonts w:ascii="Calibri" w:hAnsi="Calibri" w:cs="Calibri"/>
        </w:rPr>
        <w:t> </w:t>
      </w:r>
      <w:r>
        <w:t>9.</w:t>
      </w:r>
    </w:p>
    <w:p w14:paraId="29CA855D" w14:textId="77777777" w:rsidR="00E13DFB" w:rsidRDefault="00E13DFB" w:rsidP="00CC6A83">
      <w:pPr>
        <w:pStyle w:val="Heading3"/>
      </w:pPr>
      <w:r>
        <w:t>Options for reform</w:t>
      </w:r>
    </w:p>
    <w:p w14:paraId="596B1215" w14:textId="77777777" w:rsidR="00E13DFB" w:rsidRDefault="00E13DFB" w:rsidP="00866891">
      <w:pPr>
        <w:pStyle w:val="BodyText"/>
        <w:numPr>
          <w:ilvl w:val="1"/>
          <w:numId w:val="41"/>
        </w:numPr>
        <w:spacing w:after="80"/>
      </w:pPr>
      <w:r>
        <w:t xml:space="preserve">If reform is considered desirable, we have identified two options for amending section 9 that could be implemented together or separately:  </w:t>
      </w:r>
    </w:p>
    <w:p w14:paraId="7BA18C89" w14:textId="77777777" w:rsidR="00E13DFB" w:rsidRDefault="00E13DFB" w:rsidP="00866891">
      <w:pPr>
        <w:pStyle w:val="BodyTextnonum"/>
        <w:numPr>
          <w:ilvl w:val="2"/>
          <w:numId w:val="41"/>
        </w:numPr>
        <w:tabs>
          <w:tab w:val="clear" w:pos="709"/>
        </w:tabs>
        <w:spacing w:after="80"/>
      </w:pPr>
      <w:r>
        <w:rPr>
          <w:b/>
          <w:bCs/>
        </w:rPr>
        <w:t xml:space="preserve">Option 1: </w:t>
      </w:r>
      <w:r>
        <w:t>Amend section 9 to provide that, in determining whether to admit evidence under section 9(1)(a), the judge must have regard to certain factors. These could include, for example:</w:t>
      </w:r>
    </w:p>
    <w:p w14:paraId="7F996CF6" w14:textId="77777777" w:rsidR="00E13DFB" w:rsidRDefault="00E13DFB" w:rsidP="00866891">
      <w:pPr>
        <w:pStyle w:val="BodyTextnonum"/>
        <w:numPr>
          <w:ilvl w:val="3"/>
          <w:numId w:val="41"/>
        </w:numPr>
        <w:tabs>
          <w:tab w:val="clear" w:pos="709"/>
        </w:tabs>
        <w:spacing w:after="80"/>
      </w:pPr>
      <w:r>
        <w:t>the need to ensure fairness to parties and witnesses; and</w:t>
      </w:r>
    </w:p>
    <w:p w14:paraId="3BF609AF" w14:textId="77777777" w:rsidR="00E13DFB" w:rsidRDefault="00E13DFB" w:rsidP="00866891">
      <w:pPr>
        <w:pStyle w:val="BodyTextnonum"/>
        <w:numPr>
          <w:ilvl w:val="3"/>
          <w:numId w:val="41"/>
        </w:numPr>
        <w:tabs>
          <w:tab w:val="clear" w:pos="709"/>
        </w:tabs>
        <w:spacing w:after="80"/>
      </w:pPr>
      <w:r>
        <w:t>the desirability of avoiding unjustifiable expense and delay.</w:t>
      </w:r>
    </w:p>
    <w:p w14:paraId="68DE6333" w14:textId="77777777" w:rsidR="00E13DFB" w:rsidRDefault="00E13DFB" w:rsidP="00866891">
      <w:pPr>
        <w:pStyle w:val="BodyTextnonum"/>
        <w:numPr>
          <w:ilvl w:val="2"/>
          <w:numId w:val="41"/>
        </w:numPr>
        <w:tabs>
          <w:tab w:val="clear" w:pos="709"/>
        </w:tabs>
        <w:spacing w:after="80"/>
      </w:pPr>
      <w:r>
        <w:rPr>
          <w:b/>
          <w:bCs/>
        </w:rPr>
        <w:t xml:space="preserve">Option 2: </w:t>
      </w:r>
      <w:r>
        <w:t xml:space="preserve">Amend section 9 to provide that evidence may not be admitted by agreement if exclusion is required by section 8(1)(a). </w:t>
      </w:r>
    </w:p>
    <w:p w14:paraId="3690998F" w14:textId="77777777" w:rsidR="00E13DFB" w:rsidRDefault="00E13DFB" w:rsidP="00866891">
      <w:pPr>
        <w:pStyle w:val="BodyText"/>
        <w:numPr>
          <w:ilvl w:val="1"/>
          <w:numId w:val="41"/>
        </w:numPr>
        <w:spacing w:after="80"/>
      </w:pPr>
      <w:r>
        <w:t xml:space="preserve">Option 1 would provide guidance to judges on the types of considerations that are relevant in exercising their discretion under section 9. It would not require exclusion in any particular situation so would continue to allow the court to have regard to all the circumstances of the case. </w:t>
      </w:r>
    </w:p>
    <w:p w14:paraId="645FCA5B" w14:textId="77777777" w:rsidR="00E13DFB" w:rsidRDefault="00E13DFB" w:rsidP="00866891">
      <w:pPr>
        <w:pStyle w:val="BodyText"/>
        <w:numPr>
          <w:ilvl w:val="1"/>
          <w:numId w:val="41"/>
        </w:numPr>
        <w:spacing w:after="80"/>
      </w:pPr>
      <w:r>
        <w:t>In terms of relevant factors, we suggest section 9 should be applied in a manner that avoids unnecessary expense and delay, consistent with the Act’s purpose provision.</w:t>
      </w:r>
      <w:r>
        <w:rPr>
          <w:rStyle w:val="FootnoteReference"/>
        </w:rPr>
        <w:footnoteReference w:id="1140"/>
      </w:r>
      <w:r>
        <w:t xml:space="preserve"> It is clear from the Commission’s Evidence Code that this was the intent of the section. Avoiding unnecessary admissibility rulings by admitting evidence by agreement may save time and cost. It is also possible, however, that admitting evidence under section</w:t>
      </w:r>
      <w:r>
        <w:rPr>
          <w:rFonts w:ascii="Calibri" w:hAnsi="Calibri" w:cs="Calibri"/>
        </w:rPr>
        <w:t> </w:t>
      </w:r>
      <w:r>
        <w:t xml:space="preserve">9 could unnecessarily lengthen the proceeding if the parties agree to admit significant amounts of evidence that is of marginal relevance or probative value. </w:t>
      </w:r>
    </w:p>
    <w:p w14:paraId="49E2E2DE" w14:textId="77777777" w:rsidR="00E13DFB" w:rsidRDefault="00E13DFB" w:rsidP="00866891">
      <w:pPr>
        <w:pStyle w:val="BodyText"/>
        <w:numPr>
          <w:ilvl w:val="1"/>
          <w:numId w:val="41"/>
        </w:numPr>
        <w:tabs>
          <w:tab w:val="clear" w:pos="709"/>
        </w:tabs>
        <w:spacing w:after="80"/>
      </w:pPr>
      <w:r>
        <w:t>Ensuring fairness to parties and witnesses could also be included as a relevant consideration. For example, the admission of hearsay evidence by agreement may be considered unfair if cross-examination of the witness is likely to be necessary for the defendant to offer an effective defence. The contrary argument is that “</w:t>
      </w:r>
      <w:r w:rsidRPr="009141A7">
        <w:t>a defendant is entitled to run their defence as they choose, even if their choice seems unwise</w:t>
      </w:r>
      <w:r>
        <w:t>”.</w:t>
      </w:r>
      <w:r>
        <w:rPr>
          <w:rStyle w:val="FootnoteReference"/>
        </w:rPr>
        <w:footnoteReference w:id="1141"/>
      </w:r>
      <w:r>
        <w:t xml:space="preserve"> On this view, it would be inappropriate for the court to refuse to admit evidence under section 9 on fairness grounds if the parties have agreed to its admission.</w:t>
      </w:r>
      <w:r>
        <w:rPr>
          <w:rStyle w:val="FootnoteReference"/>
        </w:rPr>
        <w:footnoteReference w:id="1142"/>
      </w:r>
      <w:r>
        <w:t xml:space="preserve"> </w:t>
      </w:r>
    </w:p>
    <w:p w14:paraId="20264860" w14:textId="77777777" w:rsidR="00E13DFB" w:rsidRDefault="00E13DFB" w:rsidP="00866891">
      <w:pPr>
        <w:pStyle w:val="BodyText"/>
        <w:numPr>
          <w:ilvl w:val="1"/>
          <w:numId w:val="41"/>
        </w:numPr>
        <w:tabs>
          <w:tab w:val="clear" w:pos="709"/>
        </w:tabs>
        <w:spacing w:after="80"/>
      </w:pPr>
      <w:r>
        <w:lastRenderedPageBreak/>
        <w:t>Option 2 would mean that section 9 could not be used to admit evidence where section</w:t>
      </w:r>
      <w:r>
        <w:rPr>
          <w:rFonts w:ascii="Calibri" w:hAnsi="Calibri" w:cs="Calibri"/>
        </w:rPr>
        <w:t> </w:t>
      </w:r>
      <w:r>
        <w:t>8(1)(a) applies – that is, where the probative value of the evidence is outweighed by the risk that it will have an unfairly prejudicial effect on the proceeding (taking</w:t>
      </w:r>
      <w:r w:rsidRPr="00BE323E">
        <w:t xml:space="preserve"> into account the right of the defendant to offer an effective defence</w:t>
      </w:r>
      <w:r>
        <w:t>).</w:t>
      </w:r>
      <w:r>
        <w:rPr>
          <w:rStyle w:val="FootnoteReference"/>
        </w:rPr>
        <w:footnoteReference w:id="1143"/>
      </w:r>
      <w:r>
        <w:t xml:space="preserve"> Section 8(1)(a) creates a general exclusionary rule that applies to all evidence.</w:t>
      </w:r>
      <w:r>
        <w:rPr>
          <w:rStyle w:val="FootnoteReference"/>
        </w:rPr>
        <w:footnoteReference w:id="1144"/>
      </w:r>
      <w:r>
        <w:t xml:space="preserve"> Allowing defendants to agree to the admission of unfairly prejudicial evidence may lead (as the cases discussed above demonstrate) to appeals on the basis of trial counsel error. It may also be considered contrary to the original intent of the section (which was aimed at efficiency) and the Act’s purpose of promoting fairness to parties.</w:t>
      </w:r>
      <w:r>
        <w:rPr>
          <w:rStyle w:val="FootnoteReference"/>
        </w:rPr>
        <w:footnoteReference w:id="1145"/>
      </w:r>
      <w:r>
        <w:t xml:space="preserve"> This option would, however, more significantly circumscribe the ability of the parties to run their case as they choose. </w:t>
      </w:r>
    </w:p>
    <w:p w14:paraId="77B349A9" w14:textId="77777777" w:rsidR="00E13DFB" w:rsidRDefault="00E13DFB" w:rsidP="00866891">
      <w:pPr>
        <w:pStyle w:val="BodyText"/>
        <w:numPr>
          <w:ilvl w:val="1"/>
          <w:numId w:val="41"/>
        </w:numPr>
        <w:tabs>
          <w:tab w:val="clear" w:pos="709"/>
        </w:tabs>
        <w:spacing w:after="80"/>
      </w:pPr>
      <w:r>
        <w:t>We do not suggest making section 9 subject to other specific provisions in the Act dealing with the admissibility or exclusion of evidence. The wording of section 9 suggests it is intended to permit admission by agreement of any evidence that would otherwise be inadmissible under another provision in the Act. This may promote expedience, for example, where the parties agree that hearsay evidence ought to be admitted as it is unnecessary for the witness to attend the trial and be cross-examined. It may also assist the defence. For example, a defendant may decide that the admission of a potentially unreliable statement is in fact helpful to the defence case.</w:t>
      </w:r>
      <w:r>
        <w:rPr>
          <w:rStyle w:val="FootnoteReference"/>
        </w:rPr>
        <w:footnoteReference w:id="1146"/>
      </w:r>
      <w:r>
        <w:t xml:space="preserve"> In this situation, it may be consistent with the principle of promoting fairness to parties and witnesses to admit the evidence</w:t>
      </w:r>
      <w:r w:rsidDel="00DF0757">
        <w:t xml:space="preserve">. </w:t>
      </w:r>
      <w:r>
        <w:t>Section 8(1)(a) would not necessarily require exclusion of such evidence, depending on how its probative value and prejudicial effect are assessed.</w:t>
      </w:r>
    </w:p>
    <w:p w14:paraId="341DE0D7" w14:textId="77777777" w:rsidR="00E13DFB" w:rsidRDefault="00E13DFB" w:rsidP="00866891">
      <w:pPr>
        <w:pStyle w:val="BodyText"/>
        <w:numPr>
          <w:ilvl w:val="1"/>
          <w:numId w:val="41"/>
        </w:numPr>
        <w:tabs>
          <w:tab w:val="clear" w:pos="709"/>
        </w:tabs>
        <w:spacing w:after="80"/>
      </w:pPr>
      <w:r>
        <w:t>We note neither of these options would expressly state that evidence may be admitted under section 9 despite the applicability of any other provision that would render it inadmissible. We consider that is already clear from the wording of section 9(1)(a), which refers to admitting “</w:t>
      </w:r>
      <w:r w:rsidRPr="00CB7FEB">
        <w:t>evidence that is not otherwise admissible</w:t>
      </w:r>
      <w:r>
        <w:t>”. By providing guidance on when evidence should not be admitted under section 9 and omitting reference in this context to specific admissibility rules, the options discussed above may help to reinforce that these rules do not constrain the application of section 9.</w:t>
      </w:r>
    </w:p>
    <w:p w14:paraId="0CF72541" w14:textId="77777777" w:rsidR="00CC6A83" w:rsidRDefault="00CC6A83">
      <w:pPr>
        <w:widowControl w:val="0"/>
        <w:spacing w:after="200" w:line="276" w:lineRule="auto"/>
        <w:rPr>
          <w:rFonts w:eastAsia="Metropolis Light" w:cs="Times New Roman"/>
          <w:color w:val="000000" w:themeColor="text1"/>
          <w:szCs w:val="24"/>
          <w:lang w:eastAsia="en-AU"/>
        </w:rPr>
      </w:pPr>
      <w:r>
        <w:br w:type="page"/>
      </w:r>
    </w:p>
    <w:p w14:paraId="6AB6CEC4" w14:textId="05D78BD4" w:rsidR="00CC6A83" w:rsidRDefault="00CC6A83" w:rsidP="00CC6A83">
      <w:pPr>
        <w:pStyle w:val="QuestionBox"/>
      </w:pPr>
      <w:r>
        <w:rPr>
          <w:noProof/>
        </w:rPr>
        <w:lastRenderedPageBreak/>
        <mc:AlternateContent>
          <mc:Choice Requires="wpg">
            <w:drawing>
              <wp:anchor distT="0" distB="0" distL="114300" distR="114300" simplePos="0" relativeHeight="251658368" behindDoc="1" locked="0" layoutInCell="1" allowOverlap="1" wp14:anchorId="391BFF0F" wp14:editId="06DAAAE1">
                <wp:simplePos x="0" y="0"/>
                <wp:positionH relativeFrom="column">
                  <wp:posOffset>0</wp:posOffset>
                </wp:positionH>
                <wp:positionV relativeFrom="paragraph">
                  <wp:posOffset>-14927</wp:posOffset>
                </wp:positionV>
                <wp:extent cx="5760085" cy="2399163"/>
                <wp:effectExtent l="0" t="0" r="0" b="1270"/>
                <wp:wrapNone/>
                <wp:docPr id="312" name="Group 312" descr="Question"/>
                <wp:cNvGraphicFramePr/>
                <a:graphic xmlns:a="http://schemas.openxmlformats.org/drawingml/2006/main">
                  <a:graphicData uri="http://schemas.microsoft.com/office/word/2010/wordprocessingGroup">
                    <wpg:wgp>
                      <wpg:cNvGrpSpPr/>
                      <wpg:grpSpPr>
                        <a:xfrm>
                          <a:off x="0" y="0"/>
                          <a:ext cx="5760085" cy="2399163"/>
                          <a:chOff x="0" y="62865"/>
                          <a:chExt cx="5760085" cy="2401579"/>
                        </a:xfrm>
                      </wpg:grpSpPr>
                      <wps:wsp>
                        <wps:cNvPr id="31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66AD7B" w14:textId="77777777" w:rsidR="00CC6A83" w:rsidRDefault="00CC6A83" w:rsidP="00CC6A83">
                              <w:pPr>
                                <w:pStyle w:val="BoxTitle"/>
                                <w:spacing w:before="0" w:beforeAutospacing="0"/>
                              </w:pPr>
                              <w:r w:rsidRPr="007F6876">
                                <w:t>QUESTION</w:t>
                              </w:r>
                            </w:p>
                          </w:txbxContent>
                        </wps:txbx>
                        <wps:bodyPr rot="0" vert="horz" wrap="square" lIns="91440" tIns="0" rIns="0" bIns="45720" anchor="ctr" anchorCtr="0" upright="1">
                          <a:noAutofit/>
                        </wps:bodyPr>
                      </wps:wsp>
                      <wpg:grpSp>
                        <wpg:cNvPr id="314" name="Group 53"/>
                        <wpg:cNvGrpSpPr>
                          <a:grpSpLocks/>
                        </wpg:cNvGrpSpPr>
                        <wpg:grpSpPr bwMode="auto">
                          <a:xfrm>
                            <a:off x="0" y="315706"/>
                            <a:ext cx="5760085" cy="2148738"/>
                            <a:chOff x="1837" y="1786"/>
                            <a:chExt cx="9302" cy="23210"/>
                          </a:xfrm>
                        </wpg:grpSpPr>
                        <wps:wsp>
                          <wps:cNvPr id="315" name="Freeform 54"/>
                          <wps:cNvSpPr>
                            <a:spLocks/>
                          </wps:cNvSpPr>
                          <wps:spPr bwMode="auto">
                            <a:xfrm>
                              <a:off x="1837" y="1786"/>
                              <a:ext cx="9302" cy="2321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316"/>
                        <wpg:cNvGrpSpPr/>
                        <wpg:grpSpPr>
                          <a:xfrm>
                            <a:off x="0" y="494036"/>
                            <a:ext cx="1443794" cy="252000"/>
                            <a:chOff x="-15880" y="0"/>
                            <a:chExt cx="1444379" cy="252068"/>
                          </a:xfrm>
                        </wpg:grpSpPr>
                        <wps:wsp>
                          <wps:cNvPr id="31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ADFB18"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91BFF0F" id="Group 312" o:spid="_x0000_s1488" alt="Question" style="position:absolute;left:0;text-align:left;margin-left:0;margin-top:-1.2pt;width:453.55pt;height:188.9pt;z-index:-251658112;mso-height-relative:margin" coordorigin=",628" coordsize="57600,2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">
                <v:shape id="Freeform 52" o:spid="_x0000_s148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366AD7B" w14:textId="77777777" w:rsidR="00CC6A83" w:rsidRDefault="00CC6A83" w:rsidP="00CC6A83">
                        <w:pPr>
                          <w:pStyle w:val="BoxTitle"/>
                          <w:spacing w:before="0" w:beforeAutospacing="0"/>
                        </w:pPr>
                        <w:r w:rsidRPr="007F6876">
                          <w:t>QUESTION</w:t>
                        </w:r>
                      </w:p>
                    </w:txbxContent>
                  </v:textbox>
                </v:shape>
                <v:group id="Group 53" o:spid="_x0000_s1490" style="position:absolute;top:3157;width:57600;height:21487" coordorigin="1837,1786" coordsize="9302,2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4" o:spid="_x0000_s1491" style="position:absolute;left:1837;top:1786;width:9302;height:2321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" path="m,l9354,r,7809l,7809,,e" fillcolor="#edf2ea" stroked="f">
                    <v:path arrowok="t" o:connecttype="custom" o:connectlocs="0,2972;9302,2972;9302,26182;0,26182;0,2972" o:connectangles="0,0,0,0,0"/>
                  </v:shape>
                </v:group>
                <v:group id="Group 316" o:spid="_x0000_s149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8" o:spid="_x0000_s149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" path="m,l1815,e" filled="f" strokecolor="#72ab6a" strokeweight=".5pt">
                    <v:path arrowok="t" o:connecttype="custom" o:connectlocs="0,0;1073495,0" o:connectangles="0,0"/>
                  </v:shape>
                  <v:shape id="Freeform 66" o:spid="_x0000_s149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1ADFB18"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64</w:t>
                          </w:r>
                        </w:p>
                      </w:txbxContent>
                    </v:textbox>
                  </v:shape>
                </v:group>
              </v:group>
            </w:pict>
          </mc:Fallback>
        </mc:AlternateContent>
      </w:r>
    </w:p>
    <w:p w14:paraId="32C324C7" w14:textId="77777777" w:rsidR="00CC6A83" w:rsidRDefault="00CC6A83" w:rsidP="00CC6A83">
      <w:pPr>
        <w:pStyle w:val="QuestionBox"/>
      </w:pPr>
    </w:p>
    <w:p w14:paraId="7947691A" w14:textId="02272500" w:rsidR="00E13DFB" w:rsidRDefault="00E13DFB" w:rsidP="00CC6A83">
      <w:pPr>
        <w:pStyle w:val="QuestionBox"/>
      </w:pPr>
      <w:r>
        <w:t>Should section 9 be amended to clarify when the court should admit evidence by agreement? If so, should section 9 be amended to:</w:t>
      </w:r>
    </w:p>
    <w:p w14:paraId="4397F1D9" w14:textId="77777777" w:rsidR="00E13DFB" w:rsidRDefault="00E13DFB" w:rsidP="00866891">
      <w:pPr>
        <w:pStyle w:val="Questionabc"/>
        <w:numPr>
          <w:ilvl w:val="0"/>
          <w:numId w:val="79"/>
        </w:numPr>
        <w:ind w:left="1418" w:hanging="425"/>
      </w:pPr>
      <w:r>
        <w:t>require the judge to have regard to certain factors when deciding whether to admit evidence under section 9(1)(a) (such as the desirability of ensuring fairness to parties and witnesses and/or avoiding unjustifiable expense and delay); and/or</w:t>
      </w:r>
    </w:p>
    <w:p w14:paraId="3725DEC9" w14:textId="77777777" w:rsidR="00E13DFB" w:rsidRDefault="00E13DFB" w:rsidP="00CC6A83">
      <w:pPr>
        <w:pStyle w:val="Questionabc"/>
      </w:pPr>
      <w:r>
        <w:t>provide that evidence may not be admitted by agreement if exclusion is required by section 8(1)(a)?</w:t>
      </w:r>
    </w:p>
    <w:p w14:paraId="1084FD0E" w14:textId="77777777" w:rsidR="00CC6A83" w:rsidRPr="00CC6A83" w:rsidRDefault="00CC6A83" w:rsidP="00CC6A83">
      <w:pPr>
        <w:pStyle w:val="QuestionBox"/>
        <w:rPr>
          <w:lang w:eastAsia="en-US"/>
        </w:rPr>
      </w:pPr>
    </w:p>
    <w:p w14:paraId="42E08D67" w14:textId="77777777" w:rsidR="00E13DFB" w:rsidRDefault="00E13DFB" w:rsidP="00CC6A83">
      <w:pPr>
        <w:pStyle w:val="Heading2"/>
      </w:pPr>
      <w:bookmarkStart w:id="173" w:name="_Toc126330159"/>
      <w:bookmarkStart w:id="174" w:name="_Toc132962610"/>
      <w:r>
        <w:t>Novel scientific evidence</w:t>
      </w:r>
      <w:bookmarkEnd w:id="173"/>
      <w:bookmarkEnd w:id="174"/>
    </w:p>
    <w:p w14:paraId="3B9D6DBA" w14:textId="77777777" w:rsidR="00E13DFB" w:rsidRDefault="00E13DFB" w:rsidP="00866891">
      <w:pPr>
        <w:pStyle w:val="BodyText"/>
        <w:numPr>
          <w:ilvl w:val="1"/>
          <w:numId w:val="45"/>
        </w:numPr>
        <w:spacing w:after="80"/>
      </w:pPr>
      <w:r>
        <w:t>Through preliminary feedback, a question was raised with us about the need for additional guidance in the Act on the admissibility in civil and criminal proceedings of scientific evidence based on methodologies that are novel or that are argued to lack scientific validity (novel scientific evidence).</w:t>
      </w:r>
    </w:p>
    <w:p w14:paraId="21875316" w14:textId="77777777" w:rsidR="00E13DFB" w:rsidRDefault="00E13DFB" w:rsidP="00866891">
      <w:pPr>
        <w:pStyle w:val="BodyText"/>
        <w:numPr>
          <w:ilvl w:val="1"/>
          <w:numId w:val="45"/>
        </w:numPr>
        <w:spacing w:after="80"/>
      </w:pPr>
      <w:r>
        <w:t xml:space="preserve">Expert opinion evidence is admissible under section 25 if it is likely to be of substantial help to the fact-finder. In applying the substantial helpfulness test to novel scientific evidence, the courts consider several non-statutory factors identified by the United States Supreme Court in </w:t>
      </w:r>
      <w:r w:rsidRPr="00BA4C7C">
        <w:rPr>
          <w:i/>
          <w:iCs/>
        </w:rPr>
        <w:t>Daubert v Merrell Dow Pharmaceuticals Inc</w:t>
      </w:r>
      <w:r>
        <w:rPr>
          <w:i/>
          <w:iCs/>
        </w:rPr>
        <w:t>.</w:t>
      </w:r>
      <w:r w:rsidRPr="00F347F6">
        <w:rPr>
          <w:rStyle w:val="FootnoteReference"/>
        </w:rPr>
        <w:footnoteReference w:id="1147"/>
      </w:r>
      <w:r>
        <w:t xml:space="preserve"> These factors include the extent to which the evidence has been tested, peer reviewed and generally accepted by the scientific community.</w:t>
      </w:r>
      <w:r>
        <w:rPr>
          <w:rStyle w:val="FootnoteReference"/>
        </w:rPr>
        <w:footnoteReference w:id="1148"/>
      </w:r>
      <w:r>
        <w:t xml:space="preserve"> </w:t>
      </w:r>
    </w:p>
    <w:p w14:paraId="5F8B36A7" w14:textId="77777777" w:rsidR="00E13DFB" w:rsidRDefault="00E13DFB" w:rsidP="00866891">
      <w:pPr>
        <w:pStyle w:val="BodyText"/>
        <w:numPr>
          <w:ilvl w:val="1"/>
          <w:numId w:val="45"/>
        </w:numPr>
        <w:spacing w:after="80"/>
      </w:pPr>
      <w:r>
        <w:t xml:space="preserve">In a 2018 article, Jack Oliver-Hood argued that, despite the </w:t>
      </w:r>
      <w:r w:rsidRPr="00BA4C7C">
        <w:rPr>
          <w:i/>
          <w:iCs/>
        </w:rPr>
        <w:t xml:space="preserve">Daubert </w:t>
      </w:r>
      <w:r>
        <w:t>factors having been endorsed by the Privy Council, the courts were still allowing unreliable scientific evidence to go before juries, which were ill-equipped to determine the scientific validity of evidence.</w:t>
      </w:r>
      <w:r>
        <w:rPr>
          <w:rStyle w:val="FootnoteReference"/>
        </w:rPr>
        <w:footnoteReference w:id="1149"/>
      </w:r>
    </w:p>
    <w:p w14:paraId="7ABC7F54" w14:textId="77777777" w:rsidR="00E13DFB" w:rsidRDefault="00E13DFB" w:rsidP="00866891">
      <w:pPr>
        <w:pStyle w:val="BodyText"/>
        <w:numPr>
          <w:ilvl w:val="1"/>
          <w:numId w:val="45"/>
        </w:numPr>
        <w:spacing w:after="80"/>
      </w:pPr>
      <w:r>
        <w:t xml:space="preserve">Subsequently, in </w:t>
      </w:r>
      <w:r>
        <w:rPr>
          <w:i/>
          <w:iCs/>
        </w:rPr>
        <w:t>Lundy v R</w:t>
      </w:r>
      <w:r>
        <w:t xml:space="preserve">, the Court of Appeal reaffirmed the relevance of the </w:t>
      </w:r>
      <w:r>
        <w:rPr>
          <w:i/>
          <w:iCs/>
        </w:rPr>
        <w:t xml:space="preserve">Daubert </w:t>
      </w:r>
      <w:r>
        <w:t>factors</w:t>
      </w:r>
      <w:r>
        <w:rPr>
          <w:rStyle w:val="FootnoteReference"/>
        </w:rPr>
        <w:footnoteReference w:id="1150"/>
      </w:r>
      <w:r>
        <w:t xml:space="preserve"> and considered expert evidence must meet a reliability threshold before it will be of assistance to the fact-finder.</w:t>
      </w:r>
      <w:r>
        <w:rPr>
          <w:rStyle w:val="FootnoteReference"/>
        </w:rPr>
        <w:footnoteReference w:id="1151"/>
      </w:r>
      <w:r>
        <w:t xml:space="preserve"> Further, the validity of a methodology must be established at the admissibility stage through a </w:t>
      </w:r>
      <w:r w:rsidRPr="00AC49C2">
        <w:t xml:space="preserve">track record of acceptance </w:t>
      </w:r>
      <w:r>
        <w:t>in</w:t>
      </w:r>
      <w:r w:rsidRPr="00AC49C2">
        <w:t xml:space="preserve"> a body of scientific opinion</w:t>
      </w:r>
      <w:r>
        <w:t>.</w:t>
      </w:r>
      <w:r>
        <w:rPr>
          <w:rStyle w:val="FootnoteReference"/>
        </w:rPr>
        <w:footnoteReference w:id="1152"/>
      </w:r>
      <w:r>
        <w:t xml:space="preserve"> Judges and juries cannot be expected to resolve complex scientific debates of this kind.</w:t>
      </w:r>
      <w:r>
        <w:rPr>
          <w:rStyle w:val="FootnoteReference"/>
        </w:rPr>
        <w:footnoteReference w:id="1153"/>
      </w:r>
    </w:p>
    <w:p w14:paraId="2C6DB17A" w14:textId="77777777" w:rsidR="00E13DFB" w:rsidRPr="00587B29" w:rsidRDefault="00E13DFB" w:rsidP="00866891">
      <w:pPr>
        <w:pStyle w:val="BodyText"/>
        <w:numPr>
          <w:ilvl w:val="1"/>
          <w:numId w:val="45"/>
        </w:numPr>
        <w:spacing w:after="80"/>
      </w:pPr>
      <w:r>
        <w:lastRenderedPageBreak/>
        <w:t xml:space="preserve">The implication of </w:t>
      </w:r>
      <w:r>
        <w:rPr>
          <w:i/>
          <w:iCs/>
        </w:rPr>
        <w:t xml:space="preserve">Lundy </w:t>
      </w:r>
      <w:r>
        <w:t xml:space="preserve">appears to be that any questions about the reliability of scientific evidence should be addressed when determining its admissibility, having regard to the </w:t>
      </w:r>
      <w:r>
        <w:rPr>
          <w:i/>
          <w:iCs/>
        </w:rPr>
        <w:t xml:space="preserve">Daubert </w:t>
      </w:r>
      <w:r>
        <w:t>factors. If the methodology used is not shown to be generally accepted within the scientific community, it is unlikely to be substantially helpful for the purposes of section</w:t>
      </w:r>
      <w:r>
        <w:rPr>
          <w:rFonts w:ascii="Calibri" w:hAnsi="Calibri" w:cs="Calibri"/>
        </w:rPr>
        <w:t> </w:t>
      </w:r>
      <w:r>
        <w:t xml:space="preserve">25. Oliver-Hood has discussed the approach in </w:t>
      </w:r>
      <w:r>
        <w:rPr>
          <w:i/>
          <w:iCs/>
        </w:rPr>
        <w:t xml:space="preserve">Lundy </w:t>
      </w:r>
      <w:r>
        <w:t>positively, stating:</w:t>
      </w:r>
      <w:r>
        <w:rPr>
          <w:rStyle w:val="FootnoteReference"/>
        </w:rPr>
        <w:footnoteReference w:id="1154"/>
      </w:r>
      <w:r>
        <w:t xml:space="preserve"> </w:t>
      </w:r>
    </w:p>
    <w:p w14:paraId="073E67D2" w14:textId="77777777" w:rsidR="00E13DFB" w:rsidRPr="000C1078" w:rsidRDefault="00E13DFB" w:rsidP="00E13DFB">
      <w:pPr>
        <w:pStyle w:val="Quote"/>
      </w:pPr>
      <w:r w:rsidRPr="005106E0">
        <w:rPr>
          <w:i/>
        </w:rPr>
        <w:t>Lundy</w:t>
      </w:r>
      <w:r w:rsidRPr="00FE5B4A">
        <w:t xml:space="preserve"> has expanded out what would have been considered inadmissible scientific evidence from the obvious “junk science”,</w:t>
      </w:r>
      <w:r>
        <w:t xml:space="preserve"> </w:t>
      </w:r>
      <w:r w:rsidRPr="00FE5B4A">
        <w:t>to</w:t>
      </w:r>
      <w:r>
        <w:t xml:space="preserve"> </w:t>
      </w:r>
      <w:r w:rsidRPr="00FE5B4A">
        <w:t>include</w:t>
      </w:r>
      <w:r>
        <w:t xml:space="preserve"> </w:t>
      </w:r>
      <w:r w:rsidRPr="00FE5B4A">
        <w:t>scientific</w:t>
      </w:r>
      <w:r>
        <w:t xml:space="preserve"> </w:t>
      </w:r>
      <w:r w:rsidRPr="00FE5B4A">
        <w:t>evidence</w:t>
      </w:r>
      <w:r>
        <w:t xml:space="preserve"> </w:t>
      </w:r>
      <w:r w:rsidRPr="00FE5B4A">
        <w:t>which</w:t>
      </w:r>
      <w:r>
        <w:t xml:space="preserve"> </w:t>
      </w:r>
      <w:r w:rsidRPr="00FE5B4A">
        <w:t>has</w:t>
      </w:r>
      <w:r>
        <w:t xml:space="preserve"> n</w:t>
      </w:r>
      <w:r w:rsidRPr="00FE5B4A">
        <w:t>ot</w:t>
      </w:r>
      <w:r>
        <w:t xml:space="preserve"> </w:t>
      </w:r>
      <w:r w:rsidRPr="00FE5B4A">
        <w:t>been</w:t>
      </w:r>
      <w:r>
        <w:t xml:space="preserve"> </w:t>
      </w:r>
      <w:r w:rsidRPr="00FE5B4A">
        <w:t xml:space="preserve">shown </w:t>
      </w:r>
      <w:r w:rsidRPr="005106E0">
        <w:rPr>
          <w:i/>
        </w:rPr>
        <w:t>pre-trial</w:t>
      </w:r>
      <w:r>
        <w:t xml:space="preserve"> </w:t>
      </w:r>
      <w:r w:rsidRPr="00FE5B4A">
        <w:t>to</w:t>
      </w:r>
      <w:r>
        <w:t xml:space="preserve"> </w:t>
      </w:r>
      <w:r w:rsidRPr="00FE5B4A">
        <w:t>have</w:t>
      </w:r>
      <w:r>
        <w:t xml:space="preserve"> </w:t>
      </w:r>
      <w:r w:rsidRPr="00FE5B4A">
        <w:t>demonstrable scientific</w:t>
      </w:r>
      <w:r>
        <w:t xml:space="preserve"> </w:t>
      </w:r>
      <w:r w:rsidRPr="00FE5B4A">
        <w:t>validity.</w:t>
      </w:r>
      <w:r>
        <w:t xml:space="preserve"> </w:t>
      </w:r>
      <w:r w:rsidRPr="00FE5B4A">
        <w:t>That</w:t>
      </w:r>
      <w:r>
        <w:t xml:space="preserve"> </w:t>
      </w:r>
      <w:r w:rsidRPr="00FE5B4A">
        <w:t>question is</w:t>
      </w:r>
      <w:r>
        <w:t xml:space="preserve"> </w:t>
      </w:r>
      <w:r w:rsidRPr="00FE5B4A">
        <w:t>now</w:t>
      </w:r>
      <w:r>
        <w:t xml:space="preserve"> </w:t>
      </w:r>
      <w:r w:rsidRPr="00FE5B4A">
        <w:t>one</w:t>
      </w:r>
      <w:r>
        <w:t xml:space="preserve"> </w:t>
      </w:r>
      <w:r w:rsidRPr="00FE5B4A">
        <w:t>of admissibility for the judge pre-trial, [and] not [for] the jury</w:t>
      </w:r>
      <w:r>
        <w:t>.</w:t>
      </w:r>
    </w:p>
    <w:p w14:paraId="0021963F" w14:textId="77777777" w:rsidR="00E13DFB" w:rsidRDefault="00E13DFB" w:rsidP="00CC6A83">
      <w:pPr>
        <w:pStyle w:val="Heading3"/>
      </w:pPr>
      <w:r>
        <w:t>Is legislative reform necessary or desirable?</w:t>
      </w:r>
    </w:p>
    <w:p w14:paraId="238D8FC8" w14:textId="77777777" w:rsidR="00E13DFB" w:rsidRDefault="00E13DFB" w:rsidP="00866891">
      <w:pPr>
        <w:pStyle w:val="BodyText"/>
        <w:numPr>
          <w:ilvl w:val="1"/>
          <w:numId w:val="45"/>
        </w:numPr>
        <w:spacing w:after="80"/>
      </w:pPr>
      <w:r>
        <w:t xml:space="preserve">While </w:t>
      </w:r>
      <w:r>
        <w:rPr>
          <w:i/>
          <w:iCs/>
        </w:rPr>
        <w:t xml:space="preserve">Lundy </w:t>
      </w:r>
      <w:r>
        <w:t>has been cited with apparent approval in subsequent cases,</w:t>
      </w:r>
      <w:r>
        <w:rPr>
          <w:rStyle w:val="FootnoteReference"/>
        </w:rPr>
        <w:footnoteReference w:id="1155"/>
      </w:r>
      <w:r>
        <w:t xml:space="preserve"> it is not yet clear what impact it will have – in particular, whether it will lead to more frequent pre-trial consideration of the admissibility of scientific evidence and/or a stricter approach to assessing reliability in the context of section 25.</w:t>
      </w:r>
      <w:r>
        <w:rPr>
          <w:rStyle w:val="FootnoteReference"/>
        </w:rPr>
        <w:footnoteReference w:id="1156"/>
      </w:r>
      <w:r>
        <w:t xml:space="preserve"> At this stage, we have not identified evidence of a problem with the application of </w:t>
      </w:r>
      <w:r>
        <w:rPr>
          <w:i/>
          <w:iCs/>
        </w:rPr>
        <w:t>Lundy</w:t>
      </w:r>
      <w:r>
        <w:t xml:space="preserve"> that may require amendments to the Act. It may be preferable to observe how case law develops</w:t>
      </w:r>
      <w:r>
        <w:rPr>
          <w:i/>
          <w:iCs/>
        </w:rPr>
        <w:t xml:space="preserve">. </w:t>
      </w:r>
    </w:p>
    <w:p w14:paraId="08D1BB89" w14:textId="77777777" w:rsidR="00E13DFB" w:rsidRDefault="00E13DFB" w:rsidP="00866891">
      <w:pPr>
        <w:pStyle w:val="BodyText"/>
        <w:numPr>
          <w:ilvl w:val="1"/>
          <w:numId w:val="45"/>
        </w:numPr>
        <w:spacing w:after="80"/>
      </w:pPr>
      <w:r>
        <w:t xml:space="preserve">Given this, our preliminary view is that reform would be premature at this stage. However, we invite feedback on whether problems have been observed in practice since </w:t>
      </w:r>
      <w:r>
        <w:rPr>
          <w:i/>
          <w:iCs/>
        </w:rPr>
        <w:t xml:space="preserve">Lundy </w:t>
      </w:r>
      <w:r>
        <w:t>that may indicate reform is needed.</w:t>
      </w:r>
    </w:p>
    <w:p w14:paraId="71142A64" w14:textId="77777777" w:rsidR="00E13DFB" w:rsidRDefault="00E13DFB" w:rsidP="00866891">
      <w:pPr>
        <w:pStyle w:val="BodyText"/>
        <w:numPr>
          <w:ilvl w:val="1"/>
          <w:numId w:val="45"/>
        </w:numPr>
        <w:spacing w:after="80"/>
      </w:pPr>
      <w:r>
        <w:t xml:space="preserve">There are potential issues with attempting to codify the approach in </w:t>
      </w:r>
      <w:r>
        <w:rPr>
          <w:i/>
          <w:iCs/>
        </w:rPr>
        <w:t xml:space="preserve">Lundy </w:t>
      </w:r>
      <w:r>
        <w:t xml:space="preserve">(including the </w:t>
      </w:r>
      <w:r>
        <w:rPr>
          <w:i/>
          <w:iCs/>
        </w:rPr>
        <w:t xml:space="preserve">Daubert </w:t>
      </w:r>
      <w:r>
        <w:t xml:space="preserve">factors). For example, in the absence of more extensive judicial consideration, it may be difficult to define what class of evidence the test should apply to. It is not clear the </w:t>
      </w:r>
      <w:r>
        <w:rPr>
          <w:i/>
          <w:iCs/>
        </w:rPr>
        <w:t xml:space="preserve">Daubert </w:t>
      </w:r>
      <w:r>
        <w:t>factors are equally applicable to all classes of scientific evidence.</w:t>
      </w:r>
      <w:r>
        <w:rPr>
          <w:rStyle w:val="FootnoteReference"/>
        </w:rPr>
        <w:footnoteReference w:id="1157"/>
      </w:r>
      <w:r>
        <w:t xml:space="preserve"> </w:t>
      </w:r>
    </w:p>
    <w:p w14:paraId="2DAB444D" w14:textId="77777777" w:rsidR="00E13DFB" w:rsidRPr="006C0671" w:rsidRDefault="00E13DFB" w:rsidP="00866891">
      <w:pPr>
        <w:pStyle w:val="BodyText"/>
        <w:numPr>
          <w:ilvl w:val="1"/>
          <w:numId w:val="45"/>
        </w:numPr>
        <w:spacing w:after="80"/>
      </w:pPr>
      <w:r>
        <w:t>It was suggested to us that section 25 could be amended to clarify that the admissibility of novel scientific evidence should be determined pre-trial (without necessarily changing the statutory test). We are interested in views on whether there is a problem in practice with admissibility not being determined pre-trial. We note that the Act does not generally specify when admissibility decisions must be made. Additionally, this approach would still necessitate defining when evidence must be dealt with in this way (as section 25 applies to all expert opinion evidence).</w:t>
      </w:r>
    </w:p>
    <w:p w14:paraId="5C9EA7FD" w14:textId="77777777" w:rsidR="00CC6A83" w:rsidRDefault="00CC6A83">
      <w:pPr>
        <w:widowControl w:val="0"/>
        <w:spacing w:after="200" w:line="276" w:lineRule="auto"/>
        <w:rPr>
          <w:rFonts w:eastAsia="Metropolis Light" w:cs="Times New Roman"/>
          <w:color w:val="000000" w:themeColor="text1"/>
          <w:szCs w:val="24"/>
          <w:lang w:eastAsia="en-AU"/>
        </w:rPr>
      </w:pPr>
      <w:r>
        <w:br w:type="page"/>
      </w:r>
    </w:p>
    <w:p w14:paraId="78011213" w14:textId="4F1DC740" w:rsidR="00CC6A83" w:rsidRDefault="00CC6A83" w:rsidP="00CC6A83">
      <w:pPr>
        <w:pStyle w:val="QuestionBox"/>
      </w:pPr>
      <w:r>
        <w:rPr>
          <w:noProof/>
        </w:rPr>
        <w:lastRenderedPageBreak/>
        <mc:AlternateContent>
          <mc:Choice Requires="wpg">
            <w:drawing>
              <wp:anchor distT="0" distB="0" distL="114300" distR="114300" simplePos="0" relativeHeight="251658369" behindDoc="1" locked="0" layoutInCell="1" allowOverlap="1" wp14:anchorId="4471B7AB" wp14:editId="5CA01243">
                <wp:simplePos x="0" y="0"/>
                <wp:positionH relativeFrom="column">
                  <wp:posOffset>-1962</wp:posOffset>
                </wp:positionH>
                <wp:positionV relativeFrom="paragraph">
                  <wp:posOffset>3241</wp:posOffset>
                </wp:positionV>
                <wp:extent cx="5760085" cy="1323841"/>
                <wp:effectExtent l="0" t="0" r="0" b="0"/>
                <wp:wrapNone/>
                <wp:docPr id="319" name="Group 319" descr="Question"/>
                <wp:cNvGraphicFramePr/>
                <a:graphic xmlns:a="http://schemas.openxmlformats.org/drawingml/2006/main">
                  <a:graphicData uri="http://schemas.microsoft.com/office/word/2010/wordprocessingGroup">
                    <wpg:wgp>
                      <wpg:cNvGrpSpPr/>
                      <wpg:grpSpPr>
                        <a:xfrm>
                          <a:off x="0" y="0"/>
                          <a:ext cx="5760085" cy="1323841"/>
                          <a:chOff x="0" y="62865"/>
                          <a:chExt cx="5760085" cy="1325174"/>
                        </a:xfrm>
                      </wpg:grpSpPr>
                      <wps:wsp>
                        <wps:cNvPr id="76451833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719008" w14:textId="77777777" w:rsidR="00CC6A83" w:rsidRDefault="00CC6A83" w:rsidP="00CC6A83">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337" name="Group 53"/>
                        <wpg:cNvGrpSpPr>
                          <a:grpSpLocks/>
                        </wpg:cNvGrpSpPr>
                        <wpg:grpSpPr bwMode="auto">
                          <a:xfrm>
                            <a:off x="0" y="315706"/>
                            <a:ext cx="5760085" cy="1072333"/>
                            <a:chOff x="1837" y="1786"/>
                            <a:chExt cx="9302" cy="11583"/>
                          </a:xfrm>
                        </wpg:grpSpPr>
                        <wps:wsp>
                          <wps:cNvPr id="764518338" name="Freeform 54"/>
                          <wps:cNvSpPr>
                            <a:spLocks/>
                          </wps:cNvSpPr>
                          <wps:spPr bwMode="auto">
                            <a:xfrm>
                              <a:off x="1837" y="1786"/>
                              <a:ext cx="9302" cy="1158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339" name="Group 764518339"/>
                        <wpg:cNvGrpSpPr/>
                        <wpg:grpSpPr>
                          <a:xfrm>
                            <a:off x="0" y="494036"/>
                            <a:ext cx="1443794" cy="252000"/>
                            <a:chOff x="-15880" y="0"/>
                            <a:chExt cx="1444379" cy="252068"/>
                          </a:xfrm>
                        </wpg:grpSpPr>
                        <wps:wsp>
                          <wps:cNvPr id="76451834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4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8223B7"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471B7AB" id="Group 319" o:spid="_x0000_s1495" alt="Question" style="position:absolute;left:0;text-align:left;margin-left:-.15pt;margin-top:.25pt;width:453.55pt;height:104.25pt;z-index:-251658111;mso-height-relative:margin" coordorigin=",628" coordsize="57600,1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">
                <v:shape id="Freeform 52" o:spid="_x0000_s149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E719008" w14:textId="77777777" w:rsidR="00CC6A83" w:rsidRDefault="00CC6A83" w:rsidP="00CC6A83">
                        <w:pPr>
                          <w:pStyle w:val="BoxTitle"/>
                          <w:spacing w:before="0" w:beforeAutospacing="0"/>
                        </w:pPr>
                        <w:r w:rsidRPr="007F6876">
                          <w:t>QUESTION</w:t>
                        </w:r>
                      </w:p>
                    </w:txbxContent>
                  </v:textbox>
                </v:shape>
                <v:group id="Group 53" o:spid="_x0000_s1497" style="position:absolute;top:3157;width:57600;height:10723" coordorigin="1837,1786" coordsize="9302,1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">
                  <v:shape id="Freeform 54" o:spid="_x0000_s1498" style="position:absolute;left:1837;top:1786;width:9302;height:1158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" path="m,l9354,r,7809l,7809,,e" fillcolor="#edf2ea" stroked="f">
                    <v:path arrowok="t" o:connecttype="custom" o:connectlocs="0,1483;9302,1483;9302,13066;0,13066;0,1483" o:connectangles="0,0,0,0,0"/>
                  </v:shape>
                </v:group>
                <v:group id="Group 764518339" o:spid="_x0000_s149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">
                  <v:shape id="Freeform 58" o:spid="_x0000_s150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" path="m,l1815,e" filled="f" strokecolor="#72ab6a" strokeweight=".5pt">
                    <v:path arrowok="t" o:connecttype="custom" o:connectlocs="0,0;1073495,0" o:connectangles="0,0"/>
                  </v:shape>
                  <v:shape id="Freeform 66" o:spid="_x0000_s150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88223B7"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65</w:t>
                          </w:r>
                        </w:p>
                      </w:txbxContent>
                    </v:textbox>
                  </v:shape>
                </v:group>
              </v:group>
            </w:pict>
          </mc:Fallback>
        </mc:AlternateContent>
      </w:r>
    </w:p>
    <w:p w14:paraId="3A551E20" w14:textId="77777777" w:rsidR="00CC6A83" w:rsidRDefault="00CC6A83" w:rsidP="00CC6A83">
      <w:pPr>
        <w:pStyle w:val="QuestionBox"/>
      </w:pPr>
    </w:p>
    <w:p w14:paraId="1E680F1F" w14:textId="5C1F5D8F" w:rsidR="00E13DFB" w:rsidRDefault="00E13DFB" w:rsidP="00CC6A83">
      <w:pPr>
        <w:pStyle w:val="QuestionBox"/>
      </w:pPr>
      <w:r>
        <w:t xml:space="preserve">Are there problems in practice determining the admissibility of novel scientific evidence since the decision in </w:t>
      </w:r>
      <w:r w:rsidRPr="00FE15FF">
        <w:rPr>
          <w:i/>
          <w:iCs/>
        </w:rPr>
        <w:t>Lundy v R</w:t>
      </w:r>
      <w:r>
        <w:t>? If so, what amendments to the Act, if any, are appropriate to address this?</w:t>
      </w:r>
    </w:p>
    <w:p w14:paraId="515A057E" w14:textId="77777777" w:rsidR="00CC6A83" w:rsidRDefault="00CC6A83" w:rsidP="00CC6A83">
      <w:pPr>
        <w:pStyle w:val="QuestionBox"/>
      </w:pPr>
    </w:p>
    <w:p w14:paraId="1918E73D" w14:textId="77777777" w:rsidR="00E13DFB" w:rsidRDefault="00E13DFB" w:rsidP="00CC6A83">
      <w:pPr>
        <w:pStyle w:val="Heading2"/>
      </w:pPr>
      <w:bookmarkStart w:id="175" w:name="_Toc126330158"/>
      <w:bookmarkStart w:id="176" w:name="_Toc132962611"/>
      <w:r>
        <w:t>Undercover police officer evidence</w:t>
      </w:r>
      <w:bookmarkEnd w:id="175"/>
      <w:bookmarkEnd w:id="176"/>
    </w:p>
    <w:p w14:paraId="6B6BD3DE" w14:textId="77777777" w:rsidR="00E13DFB" w:rsidRPr="00A577D5" w:rsidRDefault="00E13DFB" w:rsidP="00866891">
      <w:pPr>
        <w:pStyle w:val="BodyText"/>
        <w:numPr>
          <w:ilvl w:val="1"/>
          <w:numId w:val="45"/>
        </w:numPr>
        <w:spacing w:after="80"/>
      </w:pPr>
      <w:r w:rsidRPr="00A577D5">
        <w:t xml:space="preserve">Sections 108–109 of the Act permit undercover police officers to give evidence without disclosing their identity in </w:t>
      </w:r>
      <w:r>
        <w:t xml:space="preserve">criminal proceedings </w:t>
      </w:r>
      <w:r w:rsidRPr="00A577D5">
        <w:t xml:space="preserve">involving any offence punishable </w:t>
      </w:r>
      <w:r>
        <w:t>by</w:t>
      </w:r>
      <w:r w:rsidRPr="00A577D5">
        <w:t xml:space="preserve"> at least seven years</w:t>
      </w:r>
      <w:r>
        <w:t>’ imprisonment or certain other offences</w:t>
      </w:r>
      <w:r w:rsidRPr="00A577D5">
        <w:t>.</w:t>
      </w:r>
      <w:r w:rsidRPr="00A577D5">
        <w:rPr>
          <w:vertAlign w:val="superscript"/>
        </w:rPr>
        <w:footnoteReference w:id="1158"/>
      </w:r>
      <w:r w:rsidRPr="00A577D5">
        <w:t xml:space="preserve"> </w:t>
      </w:r>
    </w:p>
    <w:p w14:paraId="22ABDB25" w14:textId="77777777" w:rsidR="00E13DFB" w:rsidRPr="00A577D5" w:rsidRDefault="00E13DFB" w:rsidP="00866891">
      <w:pPr>
        <w:pStyle w:val="BodyText"/>
        <w:numPr>
          <w:ilvl w:val="1"/>
          <w:numId w:val="45"/>
        </w:numPr>
        <w:spacing w:after="80"/>
      </w:pPr>
      <w:r>
        <w:t>P</w:t>
      </w:r>
      <w:r w:rsidRPr="00A577D5">
        <w:t>rotection</w:t>
      </w:r>
      <w:r w:rsidRPr="00A577D5" w:rsidDel="000913EF">
        <w:t xml:space="preserve"> </w:t>
      </w:r>
      <w:r>
        <w:t>of the identity of</w:t>
      </w:r>
      <w:r w:rsidRPr="00A577D5">
        <w:t xml:space="preserve"> the undercover police officer is available once the Commissioner of Police files a certificate in the court in which the proceeding is to be heard. The certificate must confirm that the witness was a member of the Police and acted as an undercover officer during the period in question</w:t>
      </w:r>
      <w:r>
        <w:t xml:space="preserve"> and </w:t>
      </w:r>
      <w:r w:rsidRPr="00A577D5">
        <w:t>they have not been convicted of any offence nor found to have been in breach of the Police Code of Conduct</w:t>
      </w:r>
      <w:r>
        <w:t>. The certificate must also confirm</w:t>
      </w:r>
      <w:r w:rsidRPr="00A577D5">
        <w:t xml:space="preserve"> whether, to the knowledge of the Police Commissioner, the witness has been the subject of “adverse comment by the judge” in giving evidence in any other proceedings.</w:t>
      </w:r>
      <w:r w:rsidRPr="00A577D5">
        <w:rPr>
          <w:vertAlign w:val="superscript"/>
        </w:rPr>
        <w:footnoteReference w:id="1159"/>
      </w:r>
      <w:r w:rsidRPr="00A577D5">
        <w:t xml:space="preserve"> </w:t>
      </w:r>
    </w:p>
    <w:p w14:paraId="3602D8B5" w14:textId="77777777" w:rsidR="00E13DFB" w:rsidRPr="00A577D5" w:rsidRDefault="00E13DFB" w:rsidP="00866891">
      <w:pPr>
        <w:pStyle w:val="BodyText"/>
        <w:numPr>
          <w:ilvl w:val="1"/>
          <w:numId w:val="45"/>
        </w:numPr>
        <w:spacing w:after="80"/>
      </w:pPr>
      <w:r w:rsidRPr="00A577D5">
        <w:t>Once this certificate is filed, the Act prohibits evidence being given or questions being asked that could reveal the identity of the undercover police officer except by leave of the judge.</w:t>
      </w:r>
      <w:r w:rsidRPr="00A577D5">
        <w:rPr>
          <w:vertAlign w:val="superscript"/>
        </w:rPr>
        <w:footnoteReference w:id="1160"/>
      </w:r>
      <w:r w:rsidRPr="00A577D5">
        <w:t xml:space="preserve"> </w:t>
      </w:r>
    </w:p>
    <w:p w14:paraId="26406F6C" w14:textId="77777777" w:rsidR="00E13DFB" w:rsidRPr="00A577D5" w:rsidRDefault="00E13DFB" w:rsidP="00CC6A83">
      <w:pPr>
        <w:pStyle w:val="Heading3"/>
      </w:pPr>
      <w:r>
        <w:t xml:space="preserve">Are sections 108–109 causing problems in practice? </w:t>
      </w:r>
    </w:p>
    <w:p w14:paraId="10FF49A5" w14:textId="77777777" w:rsidR="00E13DFB" w:rsidRDefault="00E13DFB" w:rsidP="00866891">
      <w:pPr>
        <w:pStyle w:val="BodyText"/>
        <w:numPr>
          <w:ilvl w:val="1"/>
          <w:numId w:val="45"/>
        </w:numPr>
        <w:tabs>
          <w:tab w:val="left" w:pos="709"/>
        </w:tabs>
      </w:pPr>
      <w:r>
        <w:t>The Minister of Justice’s letter referring this review to the Commission suggested we may wish to consider whether the provisions governing anonymous evidence of undercover police officers require amendment.</w:t>
      </w:r>
      <w:r>
        <w:rPr>
          <w:rStyle w:val="FootnoteReference"/>
        </w:rPr>
        <w:footnoteReference w:id="1161"/>
      </w:r>
      <w:r>
        <w:t xml:space="preserve"> </w:t>
      </w:r>
    </w:p>
    <w:p w14:paraId="2CB8F664" w14:textId="77777777" w:rsidR="00E13DFB" w:rsidRDefault="00E13DFB" w:rsidP="00866891">
      <w:pPr>
        <w:pStyle w:val="BodyText"/>
        <w:numPr>
          <w:ilvl w:val="1"/>
          <w:numId w:val="45"/>
        </w:numPr>
        <w:tabs>
          <w:tab w:val="clear" w:pos="709"/>
        </w:tabs>
        <w:spacing w:after="80"/>
      </w:pPr>
      <w:r w:rsidRPr="00A577D5">
        <w:t xml:space="preserve">The Commission did not </w:t>
      </w:r>
      <w:r>
        <w:t>consider</w:t>
      </w:r>
      <w:r w:rsidRPr="00A577D5">
        <w:t xml:space="preserve"> </w:t>
      </w:r>
      <w:r>
        <w:t>the operation of sections 108–109 in its</w:t>
      </w:r>
      <w:r w:rsidRPr="00A577D5">
        <w:t xml:space="preserve"> </w:t>
      </w:r>
      <w:r>
        <w:t>I</w:t>
      </w:r>
      <w:r w:rsidRPr="00A577D5">
        <w:t xml:space="preserve">ssues </w:t>
      </w:r>
      <w:r>
        <w:t>P</w:t>
      </w:r>
      <w:r w:rsidRPr="00A577D5">
        <w:t>aper for the Second Review of the Act.</w:t>
      </w:r>
      <w:r>
        <w:rPr>
          <w:rStyle w:val="FootnoteReference"/>
        </w:rPr>
        <w:footnoteReference w:id="1162"/>
      </w:r>
      <w:r w:rsidRPr="00A577D5">
        <w:t xml:space="preserve"> </w:t>
      </w:r>
      <w:r>
        <w:t xml:space="preserve">During the consultation period, however, </w:t>
      </w:r>
      <w:r w:rsidRPr="00A577D5">
        <w:t xml:space="preserve">Police submitted that various aspects of </w:t>
      </w:r>
      <w:r>
        <w:t>those provisions</w:t>
      </w:r>
      <w:r w:rsidRPr="00A577D5">
        <w:t xml:space="preserve"> should be amended</w:t>
      </w:r>
      <w:r>
        <w:t>. In its final report, t</w:t>
      </w:r>
      <w:r w:rsidRPr="00A577D5">
        <w:t>he Commission concluded that</w:t>
      </w:r>
      <w:r>
        <w:t xml:space="preserve"> all of the suggested</w:t>
      </w:r>
      <w:r w:rsidRPr="00A577D5">
        <w:t xml:space="preserve"> amendment</w:t>
      </w:r>
      <w:r>
        <w:t>s</w:t>
      </w:r>
      <w:r w:rsidRPr="00A577D5">
        <w:t xml:space="preserve"> w</w:t>
      </w:r>
      <w:r>
        <w:t>ere</w:t>
      </w:r>
      <w:r w:rsidRPr="00A577D5">
        <w:t xml:space="preserve"> unnecessary.</w:t>
      </w:r>
      <w:r w:rsidRPr="00A577D5">
        <w:rPr>
          <w:vertAlign w:val="superscript"/>
        </w:rPr>
        <w:footnoteReference w:id="1163"/>
      </w:r>
      <w:r w:rsidRPr="00A577D5">
        <w:t xml:space="preserve"> </w:t>
      </w:r>
      <w:r>
        <w:t>These issues were raised by Police during the Second Review:</w:t>
      </w:r>
    </w:p>
    <w:p w14:paraId="4ED11DB0" w14:textId="77777777" w:rsidR="00E13DFB" w:rsidRDefault="00E13DFB" w:rsidP="00866891">
      <w:pPr>
        <w:pStyle w:val="BodyTextnonum"/>
        <w:numPr>
          <w:ilvl w:val="2"/>
          <w:numId w:val="45"/>
        </w:numPr>
        <w:tabs>
          <w:tab w:val="clear" w:pos="709"/>
        </w:tabs>
        <w:spacing w:after="80"/>
      </w:pPr>
      <w:r w:rsidRPr="00A577D5">
        <w:lastRenderedPageBreak/>
        <w:t>Whether section 108 should be amended to provide anonymity for undercover police officers in a wider range of offences. The Commission considered that section 108 should not be amended in this way. The threshold in section 108(1)(a) provides a way to balance the public interest in allowing the effective use of undercover policing with the defendant’s right to know the identity of their accuser. Parliament very clearly intended to limit the scope of application to the most serious offences.</w:t>
      </w:r>
      <w:r w:rsidRPr="00A577D5">
        <w:rPr>
          <w:vertAlign w:val="superscript"/>
        </w:rPr>
        <w:footnoteReference w:id="1164"/>
      </w:r>
    </w:p>
    <w:p w14:paraId="476CCE17" w14:textId="77777777" w:rsidR="00E13DFB" w:rsidRDefault="00E13DFB" w:rsidP="00866891">
      <w:pPr>
        <w:pStyle w:val="BodyTextnonum"/>
        <w:numPr>
          <w:ilvl w:val="2"/>
          <w:numId w:val="45"/>
        </w:numPr>
        <w:tabs>
          <w:tab w:val="clear" w:pos="709"/>
        </w:tabs>
        <w:spacing w:after="80"/>
      </w:pPr>
      <w:r w:rsidRPr="00A577D5">
        <w:t>Whether sections 108 and 109 should be extended to apply to civil proceedings. The Commission took the view that there was already (pre-Act) precedent permitting undercover police officers to give evidence anonymously in civil proceedings, and that the types of cases where this would be relevant would be rare.</w:t>
      </w:r>
      <w:r w:rsidRPr="00A577D5">
        <w:rPr>
          <w:vertAlign w:val="superscript"/>
        </w:rPr>
        <w:footnoteReference w:id="1165"/>
      </w:r>
    </w:p>
    <w:p w14:paraId="342B2A70" w14:textId="77777777" w:rsidR="00E13DFB" w:rsidRDefault="00E13DFB" w:rsidP="00866891">
      <w:pPr>
        <w:pStyle w:val="BodyTextnonum"/>
        <w:numPr>
          <w:ilvl w:val="2"/>
          <w:numId w:val="45"/>
        </w:numPr>
        <w:tabs>
          <w:tab w:val="clear" w:pos="709"/>
        </w:tabs>
        <w:spacing w:after="80"/>
      </w:pPr>
      <w:r w:rsidRPr="00A577D5">
        <w:t>Whether the requirement for the section 108(2) certificate to disclose any breach of the Police Code of Conduct should be limited to serious misconduct. The Commission considered that this would be unduly narrow</w:t>
      </w:r>
      <w:r>
        <w:t>.</w:t>
      </w:r>
      <w:r w:rsidRPr="00A577D5">
        <w:rPr>
          <w:vertAlign w:val="superscript"/>
        </w:rPr>
        <w:footnoteReference w:id="1166"/>
      </w:r>
      <w:r>
        <w:t xml:space="preserve"> It</w:t>
      </w:r>
      <w:r w:rsidRPr="00A577D5">
        <w:t xml:space="preserve"> would have the effect of excluding minor matters that might be relevant to an assessment of the officer’s integrity and restricting the ability of the defendant to challenge a section 108 order.</w:t>
      </w:r>
    </w:p>
    <w:p w14:paraId="7707DB9B" w14:textId="77777777" w:rsidR="00E13DFB" w:rsidRDefault="00E13DFB" w:rsidP="00866891">
      <w:pPr>
        <w:pStyle w:val="BodyTextnonum"/>
        <w:numPr>
          <w:ilvl w:val="2"/>
          <w:numId w:val="45"/>
        </w:numPr>
        <w:tabs>
          <w:tab w:val="clear" w:pos="709"/>
        </w:tabs>
        <w:spacing w:after="80"/>
      </w:pPr>
      <w:r w:rsidRPr="00A577D5">
        <w:t xml:space="preserve">Whether the definition of “undercover Police officer” (as defined in </w:t>
      </w:r>
      <w:r>
        <w:t>section</w:t>
      </w:r>
      <w:r w:rsidRPr="00A577D5">
        <w:t xml:space="preserve"> 108(5)) should be amended, particularly to take account of overseas law enforcement when undercover operations are undertaken in partnership with other jurisdictions. The Commission did not recommend amending the definition as there was no evidence to suggest that it was causing problems in practice.</w:t>
      </w:r>
      <w:r w:rsidRPr="00A577D5">
        <w:rPr>
          <w:vertAlign w:val="superscript"/>
        </w:rPr>
        <w:footnoteReference w:id="1167"/>
      </w:r>
    </w:p>
    <w:p w14:paraId="0380D01C" w14:textId="77777777" w:rsidR="00E13DFB" w:rsidRPr="001E7040" w:rsidRDefault="00E13DFB" w:rsidP="00866891">
      <w:pPr>
        <w:pStyle w:val="BodyText"/>
        <w:numPr>
          <w:ilvl w:val="1"/>
          <w:numId w:val="45"/>
        </w:numPr>
        <w:tabs>
          <w:tab w:val="clear" w:pos="709"/>
        </w:tabs>
        <w:spacing w:after="80"/>
      </w:pPr>
      <w:r>
        <w:t xml:space="preserve">Issue (a) above had been considered by the Commission in its 2013 Review of the Act. The Commission did not recommend reform, noting the absence of evidence </w:t>
      </w:r>
      <w:r w:rsidRPr="001E7040">
        <w:t xml:space="preserve">demonstrating that cases </w:t>
      </w:r>
      <w:r>
        <w:t>were</w:t>
      </w:r>
      <w:r w:rsidRPr="001E7040">
        <w:t xml:space="preserve"> regularly falling over or that the Crown </w:t>
      </w:r>
      <w:r>
        <w:t>was</w:t>
      </w:r>
      <w:r w:rsidRPr="001E7040">
        <w:t xml:space="preserve"> not proceeding with cases because of undercover officers declining to give evidence</w:t>
      </w:r>
      <w:r>
        <w:t>.</w:t>
      </w:r>
      <w:r>
        <w:rPr>
          <w:rStyle w:val="FootnoteReference"/>
        </w:rPr>
        <w:footnoteReference w:id="1168"/>
      </w:r>
    </w:p>
    <w:p w14:paraId="7FBC6CF4" w14:textId="77777777" w:rsidR="00E13DFB" w:rsidRDefault="00E13DFB" w:rsidP="00866891">
      <w:pPr>
        <w:pStyle w:val="BodyText"/>
        <w:numPr>
          <w:ilvl w:val="1"/>
          <w:numId w:val="45"/>
        </w:numPr>
        <w:tabs>
          <w:tab w:val="clear" w:pos="709"/>
        </w:tabs>
        <w:spacing w:after="80"/>
      </w:pPr>
      <w:r>
        <w:t>Since the Second Review, section 108 has been amended as part of reforms to the Arms Act 1983 to include anonymity protections for specific Arms Act offences punishable by less than seven years’ imprisonment.</w:t>
      </w:r>
      <w:r>
        <w:rPr>
          <w:rStyle w:val="FootnoteReference"/>
        </w:rPr>
        <w:footnoteReference w:id="1169"/>
      </w:r>
      <w:r>
        <w:t xml:space="preserve"> </w:t>
      </w:r>
    </w:p>
    <w:p w14:paraId="7AACC1FA" w14:textId="77777777" w:rsidR="00E13DFB" w:rsidRPr="00A577D5" w:rsidRDefault="00E13DFB" w:rsidP="00866891">
      <w:pPr>
        <w:pStyle w:val="BodyText"/>
        <w:numPr>
          <w:ilvl w:val="1"/>
          <w:numId w:val="45"/>
        </w:numPr>
        <w:tabs>
          <w:tab w:val="clear" w:pos="709"/>
        </w:tabs>
      </w:pPr>
      <w:r>
        <w:t xml:space="preserve">Our review of case law and commentary did not identify any issues with sections 108–109 that may justify reform. We acknowledge, however, </w:t>
      </w:r>
      <w:r w:rsidRPr="00D039D7">
        <w:t xml:space="preserve">that the nature of the protections for undercover officers may make any issues with </w:t>
      </w:r>
      <w:r>
        <w:t>the</w:t>
      </w:r>
      <w:r w:rsidRPr="00D039D7">
        <w:t xml:space="preserve"> procedures </w:t>
      </w:r>
      <w:r>
        <w:t xml:space="preserve">in the Act </w:t>
      </w:r>
      <w:r w:rsidRPr="00D039D7">
        <w:t xml:space="preserve">difficult to </w:t>
      </w:r>
      <w:r>
        <w:t>identify</w:t>
      </w:r>
      <w:r w:rsidRPr="00D039D7">
        <w:t xml:space="preserve"> </w:t>
      </w:r>
      <w:r>
        <w:t>through such a review. The fact that these provisions have been raised with us again suggests there may be ongoing concern with their operation. We therefore seek submissions on whether sections</w:t>
      </w:r>
      <w:r>
        <w:rPr>
          <w:rFonts w:ascii="Calibri" w:hAnsi="Calibri" w:cs="Calibri"/>
        </w:rPr>
        <w:t> </w:t>
      </w:r>
      <w:r>
        <w:t xml:space="preserve">108–109 are causing problems in practice and, if so, what amendments may be appropriate. We emphasise that we would require specific </w:t>
      </w:r>
      <w:r>
        <w:lastRenderedPageBreak/>
        <w:t>examples of problems caused by the current approach in the Act to conclude that reform is necessary or desirable.</w:t>
      </w:r>
    </w:p>
    <w:p w14:paraId="50DA71F9" w14:textId="2AF9919F" w:rsidR="00CC6A83" w:rsidRDefault="00CC6A83" w:rsidP="00CC6A83">
      <w:pPr>
        <w:pStyle w:val="QuestionBox"/>
      </w:pPr>
      <w:r>
        <w:rPr>
          <w:noProof/>
        </w:rPr>
        <mc:AlternateContent>
          <mc:Choice Requires="wpg">
            <w:drawing>
              <wp:anchor distT="0" distB="0" distL="114300" distR="114300" simplePos="0" relativeHeight="251658370" behindDoc="1" locked="0" layoutInCell="1" allowOverlap="1" wp14:anchorId="435440E7" wp14:editId="124AA3FB">
                <wp:simplePos x="0" y="0"/>
                <wp:positionH relativeFrom="column">
                  <wp:posOffset>0</wp:posOffset>
                </wp:positionH>
                <wp:positionV relativeFrom="paragraph">
                  <wp:posOffset>-635</wp:posOffset>
                </wp:positionV>
                <wp:extent cx="5760085" cy="1042963"/>
                <wp:effectExtent l="0" t="0" r="0" b="5080"/>
                <wp:wrapNone/>
                <wp:docPr id="764518342" name="Group 764518342" descr="Question"/>
                <wp:cNvGraphicFramePr/>
                <a:graphic xmlns:a="http://schemas.openxmlformats.org/drawingml/2006/main">
                  <a:graphicData uri="http://schemas.microsoft.com/office/word/2010/wordprocessingGroup">
                    <wpg:wgp>
                      <wpg:cNvGrpSpPr/>
                      <wpg:grpSpPr>
                        <a:xfrm>
                          <a:off x="0" y="0"/>
                          <a:ext cx="5760085" cy="1042963"/>
                          <a:chOff x="0" y="62865"/>
                          <a:chExt cx="5760085" cy="1044013"/>
                        </a:xfrm>
                      </wpg:grpSpPr>
                      <wps:wsp>
                        <wps:cNvPr id="76451834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1E4D99" w14:textId="77777777" w:rsidR="00CC6A83" w:rsidRDefault="00CC6A83" w:rsidP="00CC6A83">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344" name="Group 53"/>
                        <wpg:cNvGrpSpPr>
                          <a:grpSpLocks/>
                        </wpg:cNvGrpSpPr>
                        <wpg:grpSpPr bwMode="auto">
                          <a:xfrm>
                            <a:off x="0" y="315706"/>
                            <a:ext cx="5760085" cy="791172"/>
                            <a:chOff x="1837" y="1786"/>
                            <a:chExt cx="9302" cy="8546"/>
                          </a:xfrm>
                        </wpg:grpSpPr>
                        <wps:wsp>
                          <wps:cNvPr id="764518345" name="Freeform 54"/>
                          <wps:cNvSpPr>
                            <a:spLocks/>
                          </wps:cNvSpPr>
                          <wps:spPr bwMode="auto">
                            <a:xfrm>
                              <a:off x="1837" y="1786"/>
                              <a:ext cx="9302" cy="854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346" name="Group 764518346"/>
                        <wpg:cNvGrpSpPr/>
                        <wpg:grpSpPr>
                          <a:xfrm>
                            <a:off x="0" y="494036"/>
                            <a:ext cx="1443794" cy="252000"/>
                            <a:chOff x="-15880" y="0"/>
                            <a:chExt cx="1444379" cy="252068"/>
                          </a:xfrm>
                        </wpg:grpSpPr>
                        <wps:wsp>
                          <wps:cNvPr id="76451834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4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296F72"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35440E7" id="Group 764518342" o:spid="_x0000_s1502" alt="Question" style="position:absolute;left:0;text-align:left;margin-left:0;margin-top:-.05pt;width:453.55pt;height:82.1pt;z-index:-251658110;mso-height-relative:margin" coordorigin=",628" coordsize="57600,1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">
                <v:shape id="Freeform 52" o:spid="_x0000_s150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81E4D99" w14:textId="77777777" w:rsidR="00CC6A83" w:rsidRDefault="00CC6A83" w:rsidP="00CC6A83">
                        <w:pPr>
                          <w:pStyle w:val="BoxTitle"/>
                          <w:spacing w:before="0" w:beforeAutospacing="0"/>
                        </w:pPr>
                        <w:r w:rsidRPr="007F6876">
                          <w:t>QUESTION</w:t>
                        </w:r>
                      </w:p>
                    </w:txbxContent>
                  </v:textbox>
                </v:shape>
                <v:group id="Group 53" o:spid="_x0000_s1504" style="position:absolute;top:3157;width:57600;height:7911" coordorigin="1837,1786" coordsize="9302,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">
                  <v:shape id="Freeform 54" o:spid="_x0000_s1505" style="position:absolute;left:1837;top:1786;width:9302;height:854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" path="m,l9354,r,7809l,7809,,e" fillcolor="#edf2ea" stroked="f">
                    <v:path arrowok="t" o:connecttype="custom" o:connectlocs="0,1094;9302,1094;9302,9640;0,9640;0,1094" o:connectangles="0,0,0,0,0"/>
                  </v:shape>
                </v:group>
                <v:group id="Group 764518346" o:spid="_x0000_s150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">
                  <v:shape id="Freeform 58" o:spid="_x0000_s150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" path="m,l1815,e" filled="f" strokecolor="#72ab6a" strokeweight=".5pt">
                    <v:path arrowok="t" o:connecttype="custom" o:connectlocs="0,0;1073495,0" o:connectangles="0,0"/>
                  </v:shape>
                  <v:shape id="Freeform 66" o:spid="_x0000_s150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A296F72" w14:textId="77777777" w:rsidR="00CC6A83" w:rsidRPr="00E90B8A" w:rsidRDefault="00CC6A83" w:rsidP="00CC6A83">
                          <w:pPr>
                            <w:pStyle w:val="BoxTitle"/>
                            <w:spacing w:before="0" w:beforeAutospacing="0"/>
                            <w:rPr>
                              <w:sz w:val="18"/>
                              <w:szCs w:val="18"/>
                            </w:rPr>
                          </w:pPr>
                          <w:r w:rsidRPr="00E90B8A">
                            <w:rPr>
                              <w:sz w:val="18"/>
                              <w:szCs w:val="18"/>
                            </w:rPr>
                            <w:t>Q</w:t>
                          </w:r>
                          <w:r>
                            <w:rPr>
                              <w:sz w:val="18"/>
                              <w:szCs w:val="18"/>
                            </w:rPr>
                            <w:t>66</w:t>
                          </w:r>
                        </w:p>
                      </w:txbxContent>
                    </v:textbox>
                  </v:shape>
                </v:group>
              </v:group>
            </w:pict>
          </mc:Fallback>
        </mc:AlternateContent>
      </w:r>
    </w:p>
    <w:p w14:paraId="7F8B641F" w14:textId="77777777" w:rsidR="00CC6A83" w:rsidRDefault="00CC6A83" w:rsidP="00CC6A83">
      <w:pPr>
        <w:pStyle w:val="QuestionBox"/>
      </w:pPr>
    </w:p>
    <w:p w14:paraId="509A7F0B" w14:textId="67533E56" w:rsidR="00E13DFB" w:rsidRPr="00087394" w:rsidRDefault="00E13DFB" w:rsidP="00CC6A83">
      <w:pPr>
        <w:pStyle w:val="QuestionBox"/>
      </w:pPr>
      <w:r>
        <w:t>Are sections 108–109 causing problems in practice? If so, how should they be amended?</w:t>
      </w:r>
    </w:p>
    <w:p w14:paraId="5208A023" w14:textId="77777777" w:rsidR="00E13DFB" w:rsidRPr="003369AC" w:rsidRDefault="00E13DFB" w:rsidP="00E13DFB">
      <w:pPr>
        <w:pStyle w:val="BodyText"/>
        <w:numPr>
          <w:ilvl w:val="0"/>
          <w:numId w:val="0"/>
        </w:numPr>
        <w:ind w:left="709"/>
      </w:pPr>
    </w:p>
    <w:p w14:paraId="489780D5" w14:textId="77777777" w:rsidR="00E13DFB" w:rsidRDefault="00E13DFB" w:rsidP="00E13DFB">
      <w:pPr>
        <w:pStyle w:val="BodyText"/>
        <w:numPr>
          <w:ilvl w:val="0"/>
          <w:numId w:val="0"/>
        </w:numPr>
        <w:rPr>
          <w:noProof/>
        </w:rPr>
      </w:pPr>
    </w:p>
    <w:p w14:paraId="7736527A" w14:textId="77777777" w:rsidR="00E13DFB" w:rsidRDefault="00E13DFB" w:rsidP="00E13DFB">
      <w:pPr>
        <w:pStyle w:val="BodyText"/>
        <w:numPr>
          <w:ilvl w:val="0"/>
          <w:numId w:val="0"/>
        </w:numPr>
        <w:sectPr w:rsidR="00E13DFB" w:rsidSect="00C56AD8">
          <w:headerReference w:type="default" r:id="rId50"/>
          <w:footnotePr>
            <w:numRestart w:val="eachSect"/>
          </w:footnotePr>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8340" behindDoc="1" locked="0" layoutInCell="1" allowOverlap="1" wp14:anchorId="7B97EB67" wp14:editId="0E2EC243">
                <wp:simplePos x="0" y="0"/>
                <wp:positionH relativeFrom="page">
                  <wp:posOffset>1080135</wp:posOffset>
                </wp:positionH>
                <wp:positionV relativeFrom="paragraph">
                  <wp:posOffset>18415</wp:posOffset>
                </wp:positionV>
                <wp:extent cx="2411730" cy="1270"/>
                <wp:effectExtent l="0" t="19050" r="26670" b="1778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3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47B00" id="Group 20" o:spid="_x0000_s1026" style="position:absolute;margin-left:85.05pt;margin-top:1.45pt;width:189.9pt;height:.1pt;z-index:-25165814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" path="m,l2097,e" filled="f" strokecolor="#72ab6a" strokeweight="3pt">
                  <v:path arrowok="t" o:connecttype="custom" o:connectlocs="0,0;2097,0" o:connectangles="0,0"/>
                </v:shape>
                <w10:wrap anchorx="page"/>
              </v:group>
            </w:pict>
          </mc:Fallback>
        </mc:AlternateContent>
      </w:r>
    </w:p>
    <w:p w14:paraId="7A07101F" w14:textId="77777777" w:rsidR="00E13DFB" w:rsidRDefault="00E13DFB" w:rsidP="00E13DFB"/>
    <w:p w14:paraId="7C027490" w14:textId="77777777" w:rsidR="00E13DFB" w:rsidRDefault="00E13DFB" w:rsidP="00E13DFB"/>
    <w:p w14:paraId="053EA988" w14:textId="77777777" w:rsidR="00E13DFB" w:rsidRDefault="00E13DFB" w:rsidP="00E13DFB"/>
    <w:p w14:paraId="4FFA8B90" w14:textId="77777777" w:rsidR="00E13DFB" w:rsidRDefault="00E13DFB" w:rsidP="00E13DFB"/>
    <w:p w14:paraId="59C90640" w14:textId="77777777" w:rsidR="00E13DFB" w:rsidRDefault="00E13DFB" w:rsidP="00E13DFB"/>
    <w:p w14:paraId="1001B785" w14:textId="77777777" w:rsidR="00E13DFB" w:rsidRDefault="00E13DFB" w:rsidP="00E13DFB"/>
    <w:p w14:paraId="2CEA1CDE" w14:textId="77777777" w:rsidR="00E13DFB" w:rsidRDefault="00E13DFB" w:rsidP="00E13DFB"/>
    <w:p w14:paraId="2C62494A" w14:textId="77777777" w:rsidR="00E13DFB" w:rsidRDefault="00E13DFB" w:rsidP="00E13DFB"/>
    <w:p w14:paraId="51A27127" w14:textId="77777777" w:rsidR="00E13DFB" w:rsidRDefault="00E13DFB" w:rsidP="00E13DFB"/>
    <w:p w14:paraId="5FDBB3C4" w14:textId="77777777" w:rsidR="00E13DFB" w:rsidRDefault="00E13DFB" w:rsidP="00E13DFB"/>
    <w:p w14:paraId="0A8C54CD" w14:textId="77777777" w:rsidR="00E13DFB" w:rsidRDefault="00E13DFB" w:rsidP="00E13DFB"/>
    <w:p w14:paraId="1501587E" w14:textId="77777777" w:rsidR="00D84AC3" w:rsidRDefault="00D84AC3" w:rsidP="00E13DFB"/>
    <w:p w14:paraId="4B405013" w14:textId="77777777" w:rsidR="00D84AC3" w:rsidRDefault="00D84AC3" w:rsidP="00E13DFB"/>
    <w:p w14:paraId="05C939D6" w14:textId="77777777" w:rsidR="00D84AC3" w:rsidRDefault="00D84AC3" w:rsidP="00E13DFB"/>
    <w:p w14:paraId="407B8A16" w14:textId="77777777" w:rsidR="00D84AC3" w:rsidRDefault="00D84AC3" w:rsidP="00E13DFB"/>
    <w:p w14:paraId="1FBA5B74" w14:textId="77777777" w:rsidR="00D84AC3" w:rsidRDefault="00D84AC3" w:rsidP="00E13DFB"/>
    <w:p w14:paraId="449DF3D8" w14:textId="77777777" w:rsidR="00E13DFB" w:rsidRDefault="00E13DFB" w:rsidP="00E13DFB"/>
    <w:p w14:paraId="4A942C7D" w14:textId="77777777" w:rsidR="00DE22FA" w:rsidRDefault="00DE22FA" w:rsidP="00E13DFB"/>
    <w:p w14:paraId="6AC569D6" w14:textId="77777777" w:rsidR="00DE22FA" w:rsidRDefault="00DE22FA" w:rsidP="00E13DFB"/>
    <w:p w14:paraId="7AA08839" w14:textId="77777777" w:rsidR="00E13DFB" w:rsidRDefault="00E13DFB" w:rsidP="00E13DFB"/>
    <w:p w14:paraId="7B96DBFA" w14:textId="77777777" w:rsidR="00E13DFB" w:rsidRDefault="00E13DFB" w:rsidP="00E13DFB"/>
    <w:p w14:paraId="65820DF7" w14:textId="77777777" w:rsidR="00E13DFB" w:rsidRPr="00BE78B8" w:rsidRDefault="00E13DFB" w:rsidP="00E13DFB">
      <w:pPr>
        <w:rPr>
          <w:sz w:val="8"/>
          <w:szCs w:val="10"/>
        </w:rPr>
      </w:pPr>
    </w:p>
    <w:p w14:paraId="495E9838" w14:textId="77777777" w:rsidR="00E13DFB" w:rsidRDefault="00E13DFB" w:rsidP="00E13DFB"/>
    <w:p w14:paraId="3420D1D7" w14:textId="77777777" w:rsidR="00E13DFB" w:rsidRDefault="00E13DFB" w:rsidP="00E13DFB"/>
    <w:p w14:paraId="6A1EE850" w14:textId="77777777" w:rsidR="00E13DFB" w:rsidRDefault="00E13DFB" w:rsidP="00E13DFB">
      <w:r w:rsidRPr="00D37FCE">
        <w:rPr>
          <w:noProof/>
          <w:lang w:eastAsia="en-NZ"/>
        </w:rPr>
        <mc:AlternateContent>
          <mc:Choice Requires="wpg">
            <w:drawing>
              <wp:anchor distT="0" distB="0" distL="114300" distR="114300" simplePos="0" relativeHeight="251658319" behindDoc="1" locked="0" layoutInCell="1" allowOverlap="1" wp14:anchorId="32DF30EC" wp14:editId="3764AA7F">
                <wp:simplePos x="0" y="0"/>
                <wp:positionH relativeFrom="page">
                  <wp:posOffset>1076325</wp:posOffset>
                </wp:positionH>
                <wp:positionV relativeFrom="paragraph">
                  <wp:posOffset>89513</wp:posOffset>
                </wp:positionV>
                <wp:extent cx="2412000" cy="1270"/>
                <wp:effectExtent l="0" t="19050" r="26670" b="17780"/>
                <wp:wrapNone/>
                <wp:docPr id="764517974" name="Group 764517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76451797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9A6C9" id="Group 764517974" o:spid="_x0000_s1026" style="position:absolute;margin-left:84.75pt;margin-top:7.05pt;width:189.9pt;height:.1pt;z-index:-25165816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3EC342A5" w14:textId="77777777" w:rsidR="00E13DFB" w:rsidRDefault="00E13DFB" w:rsidP="00E13DFB"/>
    <w:p w14:paraId="63E077E6" w14:textId="77777777" w:rsidR="00E13DFB" w:rsidRDefault="00E13DFB" w:rsidP="00E13DFB">
      <w:r>
        <w:rPr>
          <w:noProof/>
        </w:rPr>
        <w:drawing>
          <wp:inline distT="0" distB="0" distL="0" distR="0" wp14:anchorId="2BED9F08" wp14:editId="55FAC807">
            <wp:extent cx="2489689" cy="998768"/>
            <wp:effectExtent l="0" t="0" r="6350" b="0"/>
            <wp:docPr id="764517973" name="Picture 764517973" descr="A picture containing font, graphics,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7973" name="Picture 764517973" descr="A picture containing font, graphics, text, graphic desig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3564A918" w14:textId="77777777" w:rsidR="00E13DFB" w:rsidRPr="004A2211" w:rsidRDefault="00E13DFB" w:rsidP="00E13DFB">
      <w:pPr>
        <w:spacing w:before="360"/>
        <w:ind w:left="113" w:right="3243"/>
        <w:rPr>
          <w:rFonts w:eastAsia="Times"/>
          <w:b/>
          <w:bCs/>
          <w:sz w:val="2"/>
          <w:szCs w:val="6"/>
        </w:rPr>
      </w:pPr>
    </w:p>
    <w:p w14:paraId="71B7BED4" w14:textId="77777777" w:rsidR="00E13DFB" w:rsidRPr="00D37FCE" w:rsidRDefault="00E13DFB" w:rsidP="00E13DFB">
      <w:pPr>
        <w:spacing w:before="360"/>
        <w:ind w:right="3243"/>
        <w:rPr>
          <w:rFonts w:eastAsia="Times"/>
          <w:b/>
          <w:bCs/>
          <w:sz w:val="18"/>
        </w:rPr>
      </w:pPr>
      <w:r w:rsidRPr="00D37FCE">
        <w:rPr>
          <w:rFonts w:eastAsia="Times"/>
          <w:b/>
          <w:bCs/>
          <w:sz w:val="18"/>
        </w:rPr>
        <w:t xml:space="preserve">Te Aka Matua o te Ture | Law Commission is located at: </w:t>
      </w:r>
    </w:p>
    <w:p w14:paraId="3120C54D" w14:textId="77777777" w:rsidR="00E13DFB" w:rsidRPr="00D37FCE" w:rsidRDefault="00E13DFB" w:rsidP="00E13DFB">
      <w:pPr>
        <w:ind w:right="3243"/>
        <w:rPr>
          <w:rFonts w:eastAsia="Times"/>
          <w:sz w:val="18"/>
        </w:rPr>
      </w:pPr>
      <w:r w:rsidRPr="00D37FCE">
        <w:rPr>
          <w:rFonts w:eastAsia="Times"/>
          <w:sz w:val="18"/>
        </w:rPr>
        <w:t>Level 9, Solnet House, 70 The Terrace, Wellington 6011</w:t>
      </w:r>
    </w:p>
    <w:p w14:paraId="513DDF3B" w14:textId="77777777" w:rsidR="00E13DFB" w:rsidRPr="00D37FCE" w:rsidRDefault="00E13DFB" w:rsidP="00E13DFB">
      <w:pPr>
        <w:ind w:right="2281"/>
        <w:rPr>
          <w:rFonts w:eastAsia="Times"/>
          <w:sz w:val="18"/>
        </w:rPr>
      </w:pPr>
      <w:r w:rsidRPr="00D37FCE">
        <w:rPr>
          <w:rFonts w:eastAsia="Times"/>
          <w:sz w:val="18"/>
        </w:rPr>
        <w:t>Postal address: PO Box 2590, Wellington 6140, Aotearoa New Zealand</w:t>
      </w:r>
    </w:p>
    <w:p w14:paraId="4DA9C67B" w14:textId="77777777" w:rsidR="00E13DFB" w:rsidRPr="00D37FCE" w:rsidRDefault="00E13DFB" w:rsidP="00E13DFB">
      <w:pPr>
        <w:ind w:right="3243"/>
        <w:rPr>
          <w:rFonts w:eastAsia="Times"/>
          <w:sz w:val="18"/>
        </w:rPr>
      </w:pPr>
      <w:bookmarkStart w:id="177" w:name="_Hlk52890582"/>
      <w:r w:rsidRPr="00D37FCE">
        <w:rPr>
          <w:rFonts w:eastAsia="Times"/>
          <w:sz w:val="18"/>
        </w:rPr>
        <w:t xml:space="preserve">Document Exchange Number: SP 23534 </w:t>
      </w:r>
    </w:p>
    <w:bookmarkEnd w:id="177"/>
    <w:p w14:paraId="053033AE" w14:textId="77777777" w:rsidR="00E13DFB" w:rsidRPr="00D37FCE" w:rsidRDefault="00E13DFB" w:rsidP="00E13DFB">
      <w:pPr>
        <w:ind w:right="3243"/>
        <w:rPr>
          <w:rFonts w:eastAsia="Times"/>
          <w:sz w:val="18"/>
        </w:rPr>
      </w:pPr>
      <w:r w:rsidRPr="00D37FCE">
        <w:rPr>
          <w:rFonts w:eastAsia="Times"/>
          <w:sz w:val="18"/>
        </w:rPr>
        <w:t>Telephone: 04 473 3453</w:t>
      </w:r>
    </w:p>
    <w:p w14:paraId="253B4945" w14:textId="77777777" w:rsidR="00E13DFB" w:rsidRPr="00D37FCE" w:rsidRDefault="00117DA1" w:rsidP="00E13DFB">
      <w:pPr>
        <w:ind w:right="3243"/>
        <w:rPr>
          <w:rFonts w:eastAsia="Times"/>
          <w:sz w:val="18"/>
        </w:rPr>
      </w:pPr>
      <w:hyperlink r:id="rId52">
        <w:r w:rsidR="00E13DFB" w:rsidRPr="00D37FCE">
          <w:rPr>
            <w:rFonts w:eastAsia="Times"/>
            <w:sz w:val="18"/>
          </w:rPr>
          <w:t>Email: com@lawcom.govt.nz</w:t>
        </w:r>
      </w:hyperlink>
    </w:p>
    <w:p w14:paraId="6E76923D" w14:textId="48CFD52A" w:rsidR="00E13DFB" w:rsidRPr="004A2211" w:rsidRDefault="0076550A" w:rsidP="00E13DFB">
      <w:pPr>
        <w:spacing w:before="240" w:line="334" w:lineRule="auto"/>
        <w:ind w:left="113" w:right="1996"/>
        <w:rPr>
          <w:rFonts w:eastAsia="Arial Unicode MS"/>
          <w:sz w:val="2"/>
          <w:szCs w:val="2"/>
        </w:rPr>
      </w:pPr>
      <w:r w:rsidRPr="00D37FCE">
        <w:rPr>
          <w:noProof/>
          <w:lang w:eastAsia="en-NZ"/>
        </w:rPr>
        <mc:AlternateContent>
          <mc:Choice Requires="wpg">
            <w:drawing>
              <wp:anchor distT="0" distB="0" distL="114300" distR="114300" simplePos="0" relativeHeight="251660422" behindDoc="1" locked="0" layoutInCell="1" allowOverlap="1" wp14:anchorId="68319215" wp14:editId="65930DB1">
                <wp:simplePos x="0" y="0"/>
                <wp:positionH relativeFrom="page">
                  <wp:posOffset>1080135</wp:posOffset>
                </wp:positionH>
                <wp:positionV relativeFrom="paragraph">
                  <wp:posOffset>251569</wp:posOffset>
                </wp:positionV>
                <wp:extent cx="2412000" cy="1270"/>
                <wp:effectExtent l="0" t="19050" r="26670" b="17780"/>
                <wp:wrapNone/>
                <wp:docPr id="739949153" name="Group 739949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124026766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430D7" id="Group 739949153" o:spid="_x0000_s1026" style="position:absolute;margin-left:85.05pt;margin-top:19.8pt;width:189.9pt;height:.1pt;z-index:-25165605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" path="m,l2097,e" filled="f" strokecolor="#72ab6a" strokeweight="3pt">
                  <v:path arrowok="t" o:connecttype="custom" o:connectlocs="0,0;2097,0" o:connectangles="0,0"/>
                </v:shape>
                <w10:wrap anchorx="page"/>
              </v:group>
            </w:pict>
          </mc:Fallback>
        </mc:AlternateContent>
      </w:r>
    </w:p>
    <w:sectPr w:rsidR="00E13DFB" w:rsidRPr="004A2211" w:rsidSect="00C56AD8">
      <w:headerReference w:type="even" r:id="rId53"/>
      <w:headerReference w:type="default" r:id="rId54"/>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A97A7" w14:textId="77777777" w:rsidR="00D510FE" w:rsidRDefault="00D510FE">
      <w:r>
        <w:separator/>
      </w:r>
    </w:p>
  </w:endnote>
  <w:endnote w:type="continuationSeparator" w:id="0">
    <w:p w14:paraId="0931F993" w14:textId="77777777" w:rsidR="00D510FE" w:rsidRDefault="00D510FE">
      <w:r>
        <w:continuationSeparator/>
      </w:r>
    </w:p>
  </w:endnote>
  <w:endnote w:type="continuationNotice" w:id="1">
    <w:p w14:paraId="02CA18CB" w14:textId="77777777" w:rsidR="00D510FE" w:rsidRDefault="00D51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Mäori">
    <w:altName w:val="Times New Roman"/>
    <w:charset w:val="00"/>
    <w:family w:val="roman"/>
    <w:pitch w:val="variable"/>
    <w:sig w:usb0="00000003" w:usb1="00000000" w:usb2="00000000" w:usb3="00000000" w:csb0="00000001" w:csb1="00000000"/>
  </w:font>
  <w:font w:name="Yu Mincho Light">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etropolis">
    <w:altName w:val="Calibri"/>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4E12D7D1-82E4-400D-A6E4-C85AD54C8E83}"/>
    <w:embedItalic r:id="rId2" w:subsetted="1" w:fontKey="{94F0A27A-8C23-4132-A997-9C36513AE02B}"/>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Metropolis Light">
    <w:panose1 w:val="00000500000000000000"/>
    <w:charset w:val="00"/>
    <w:family w:val="modern"/>
    <w:notTrueType/>
    <w:pitch w:val="variable"/>
    <w:sig w:usb0="00000007" w:usb1="00000000" w:usb2="00000000" w:usb3="00000000" w:csb0="00000093" w:csb1="00000000"/>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Yu Gothic UI Semibold">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3" w:subsetted="1" w:fontKey="{C005B66F-ABF9-473C-B29D-97A699034FC7}"/>
  </w:font>
  <w:font w:name="Segoe UI Emoji">
    <w:panose1 w:val="020B0502040204020203"/>
    <w:charset w:val="00"/>
    <w:family w:val="swiss"/>
    <w:pitch w:val="variable"/>
    <w:sig w:usb0="00000003" w:usb1="02000000" w:usb2="00000000" w:usb3="00000000" w:csb0="00000001" w:csb1="00000000"/>
  </w:font>
  <w:font w:name="Metropolis Extra Bold">
    <w:panose1 w:val="00000900000000000000"/>
    <w:charset w:val="00"/>
    <w:family w:val="modern"/>
    <w:notTrueType/>
    <w:pitch w:val="variable"/>
    <w:sig w:usb0="00000007" w:usb1="00000000" w:usb2="00000000" w:usb3="00000000" w:csb0="00000093" w:csb1="00000000"/>
  </w:font>
  <w:font w:name="ZWAdobeF">
    <w:charset w:val="00"/>
    <w:family w:val="auto"/>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4" w:fontKey="{DCE2613A-B6C3-4C4A-89EE-C7027AFE3FF3}"/>
  </w:font>
  <w:font w:name="Verdana">
    <w:panose1 w:val="020B0604030504040204"/>
    <w:charset w:val="00"/>
    <w:family w:val="swiss"/>
    <w:pitch w:val="variable"/>
    <w:sig w:usb0="A00006FF" w:usb1="4000205B" w:usb2="00000010" w:usb3="00000000" w:csb0="0000019F" w:csb1="00000000"/>
    <w:embedRegular r:id="rId5" w:subsetted="1" w:fontKey="{CBCBE760-C3B1-49EC-B00E-F0493978B2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64C0" w14:textId="77777777" w:rsidR="00E81695" w:rsidRDefault="00E81695">
    <w:pPr>
      <w:pStyle w:val="Footer"/>
    </w:pPr>
    <w:r>
      <w:rPr>
        <w:noProof/>
        <w:lang w:eastAsia="en-NZ"/>
      </w:rPr>
      <w:drawing>
        <wp:anchor distT="0" distB="0" distL="114300" distR="114300" simplePos="0" relativeHeight="251658242" behindDoc="0" locked="0" layoutInCell="1" allowOverlap="1" wp14:anchorId="657B357E" wp14:editId="42C01A6F">
          <wp:simplePos x="0" y="0"/>
          <wp:positionH relativeFrom="page">
            <wp:posOffset>146636</wp:posOffset>
          </wp:positionH>
          <wp:positionV relativeFrom="page">
            <wp:posOffset>9571600</wp:posOffset>
          </wp:positionV>
          <wp:extent cx="7242810" cy="10140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4281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0342BA" w14:paraId="2576295C" w14:textId="77777777" w:rsidTr="2A4E7D65">
      <w:tc>
        <w:tcPr>
          <w:tcW w:w="3028" w:type="dxa"/>
        </w:tcPr>
        <w:p w14:paraId="741027F5" w14:textId="77777777" w:rsidR="000342BA" w:rsidRDefault="000342BA" w:rsidP="2A4E7D65">
          <w:pPr>
            <w:pStyle w:val="Header"/>
            <w:ind w:left="-115"/>
          </w:pPr>
        </w:p>
      </w:tc>
      <w:tc>
        <w:tcPr>
          <w:tcW w:w="3028" w:type="dxa"/>
        </w:tcPr>
        <w:p w14:paraId="2AD9E235" w14:textId="77777777" w:rsidR="000342BA" w:rsidRDefault="000342BA" w:rsidP="2A4E7D65">
          <w:pPr>
            <w:pStyle w:val="Header"/>
            <w:jc w:val="center"/>
          </w:pPr>
        </w:p>
      </w:tc>
      <w:tc>
        <w:tcPr>
          <w:tcW w:w="3028" w:type="dxa"/>
        </w:tcPr>
        <w:p w14:paraId="03C7DD01" w14:textId="77777777" w:rsidR="000342BA" w:rsidRDefault="000342BA" w:rsidP="2A4E7D65">
          <w:pPr>
            <w:pStyle w:val="Header"/>
            <w:ind w:right="-115"/>
            <w:jc w:val="right"/>
          </w:pPr>
        </w:p>
      </w:tc>
    </w:tr>
  </w:tbl>
  <w:p w14:paraId="411D7887" w14:textId="77777777" w:rsidR="000342BA" w:rsidRDefault="000342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2371" w14:textId="77777777" w:rsidR="000342BA" w:rsidRPr="00DA0B23" w:rsidRDefault="000342BA" w:rsidP="00DA0B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C9C1A" w14:textId="77777777" w:rsidR="00E81695" w:rsidRDefault="00E816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1640" w14:textId="77777777" w:rsidR="00C7016E" w:rsidRDefault="00C7016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E81695" w14:paraId="18A743EA" w14:textId="77777777" w:rsidTr="2A4E7D65">
      <w:tc>
        <w:tcPr>
          <w:tcW w:w="3024" w:type="dxa"/>
        </w:tcPr>
        <w:p w14:paraId="0C477C3E" w14:textId="77777777" w:rsidR="00E81695" w:rsidRDefault="00E81695" w:rsidP="2A4E7D65">
          <w:pPr>
            <w:pStyle w:val="Header"/>
            <w:ind w:left="-115"/>
          </w:pPr>
        </w:p>
      </w:tc>
      <w:tc>
        <w:tcPr>
          <w:tcW w:w="3024" w:type="dxa"/>
        </w:tcPr>
        <w:p w14:paraId="2D7619BC" w14:textId="77777777" w:rsidR="00E81695" w:rsidRDefault="00E81695" w:rsidP="2A4E7D65">
          <w:pPr>
            <w:pStyle w:val="Header"/>
            <w:jc w:val="center"/>
          </w:pPr>
        </w:p>
      </w:tc>
      <w:tc>
        <w:tcPr>
          <w:tcW w:w="3024" w:type="dxa"/>
        </w:tcPr>
        <w:p w14:paraId="26C61884" w14:textId="77777777" w:rsidR="00E81695" w:rsidRDefault="00E81695" w:rsidP="2A4E7D65">
          <w:pPr>
            <w:pStyle w:val="Header"/>
            <w:ind w:right="-115"/>
            <w:jc w:val="right"/>
          </w:pPr>
        </w:p>
      </w:tc>
    </w:tr>
  </w:tbl>
  <w:p w14:paraId="63E5382E" w14:textId="77777777" w:rsidR="00E81695" w:rsidRDefault="00E816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E81695" w14:paraId="661A8F45" w14:textId="77777777" w:rsidTr="2A4E7D65">
      <w:tc>
        <w:tcPr>
          <w:tcW w:w="3028" w:type="dxa"/>
        </w:tcPr>
        <w:p w14:paraId="6BBE0C78" w14:textId="77777777" w:rsidR="00E81695" w:rsidRDefault="00E81695" w:rsidP="2A4E7D65">
          <w:pPr>
            <w:pStyle w:val="Header"/>
            <w:ind w:left="-115"/>
          </w:pPr>
        </w:p>
      </w:tc>
      <w:tc>
        <w:tcPr>
          <w:tcW w:w="3028" w:type="dxa"/>
        </w:tcPr>
        <w:p w14:paraId="74F1558C" w14:textId="77777777" w:rsidR="00E81695" w:rsidRDefault="00E81695" w:rsidP="2A4E7D65">
          <w:pPr>
            <w:pStyle w:val="Header"/>
            <w:jc w:val="center"/>
          </w:pPr>
        </w:p>
      </w:tc>
      <w:tc>
        <w:tcPr>
          <w:tcW w:w="3028" w:type="dxa"/>
        </w:tcPr>
        <w:p w14:paraId="696BC2BC" w14:textId="77777777" w:rsidR="00E81695" w:rsidRDefault="00E81695" w:rsidP="2A4E7D65">
          <w:pPr>
            <w:pStyle w:val="Header"/>
            <w:ind w:right="-115"/>
            <w:jc w:val="right"/>
          </w:pPr>
        </w:p>
      </w:tc>
    </w:tr>
  </w:tbl>
  <w:p w14:paraId="23F73644" w14:textId="77777777" w:rsidR="00E81695" w:rsidRDefault="00E81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6CEB4" w14:textId="77777777" w:rsidR="00D510FE" w:rsidRDefault="00D510FE">
      <w:r>
        <w:separator/>
      </w:r>
    </w:p>
  </w:footnote>
  <w:footnote w:type="continuationSeparator" w:id="0">
    <w:p w14:paraId="3084E079" w14:textId="77777777" w:rsidR="00D510FE" w:rsidRDefault="00D510FE">
      <w:r>
        <w:continuationSeparator/>
      </w:r>
    </w:p>
  </w:footnote>
  <w:footnote w:type="continuationNotice" w:id="1">
    <w:p w14:paraId="5C0724F5" w14:textId="77777777" w:rsidR="00D510FE" w:rsidRDefault="00D510FE"/>
  </w:footnote>
  <w:footnote w:id="2">
    <w:p w14:paraId="4C217F77" w14:textId="251C6434" w:rsidR="005F67FC" w:rsidRPr="00A76029" w:rsidRDefault="005F67FC" w:rsidP="005F67FC">
      <w:pPr>
        <w:pStyle w:val="FootnoteText"/>
      </w:pPr>
      <w:r w:rsidRPr="00A76029">
        <w:rPr>
          <w:rStyle w:val="FootnoteReference"/>
        </w:rPr>
        <w:footnoteRef/>
      </w:r>
      <w:r w:rsidRPr="00A76029">
        <w:t xml:space="preserve"> </w:t>
      </w:r>
      <w:r w:rsidRPr="00A76029">
        <w:tab/>
        <w:t xml:space="preserve">Some courts, including te Kooti Whenua Māori | Māori Land Court, te Kōti Taiao | Environment Court and te Kōti Whānau | Family Court are not bound by the Evidence Act 2006. </w:t>
      </w:r>
    </w:p>
  </w:footnote>
  <w:footnote w:id="3">
    <w:p w14:paraId="3C23CE40" w14:textId="77777777" w:rsidR="005F67FC" w:rsidRPr="00A76029" w:rsidRDefault="005F67FC" w:rsidP="005F67FC">
      <w:pPr>
        <w:pStyle w:val="FootnoteText"/>
      </w:pPr>
      <w:r w:rsidRPr="00A76029">
        <w:rPr>
          <w:rStyle w:val="FootnoteReference"/>
        </w:rPr>
        <w:footnoteRef/>
      </w:r>
      <w:r w:rsidRPr="00A76029">
        <w:t xml:space="preserve"> </w:t>
      </w:r>
      <w:r w:rsidRPr="00A76029">
        <w:tab/>
        <w:t xml:space="preserve">Te Aka Matua o te Ture | Law Commission </w:t>
      </w:r>
      <w:r w:rsidRPr="00A76029">
        <w:rPr>
          <w:i/>
          <w:iCs/>
        </w:rPr>
        <w:t xml:space="preserve">Evidence: Reform of the Law </w:t>
      </w:r>
      <w:r w:rsidRPr="00A76029">
        <w:t xml:space="preserve">(NZLC R55 Vol 1, 1999); Te Aka Matua o te Ture | Law Commission </w:t>
      </w:r>
      <w:r w:rsidRPr="00A76029">
        <w:rPr>
          <w:i/>
          <w:iCs/>
        </w:rPr>
        <w:t xml:space="preserve">Evidence: Evidence Code and Commentary </w:t>
      </w:r>
      <w:r w:rsidRPr="00A76029">
        <w:t>(NZLC R55 Vol 2, 1999).</w:t>
      </w:r>
    </w:p>
  </w:footnote>
  <w:footnote w:id="4">
    <w:p w14:paraId="44AC34CE" w14:textId="77777777" w:rsidR="005F67FC" w:rsidRPr="00A76029" w:rsidRDefault="005F67FC" w:rsidP="005F67FC">
      <w:pPr>
        <w:pStyle w:val="FootnoteText"/>
      </w:pPr>
      <w:r w:rsidRPr="00A76029">
        <w:rPr>
          <w:rStyle w:val="FootnoteReference"/>
        </w:rPr>
        <w:footnoteRef/>
      </w:r>
      <w:r w:rsidRPr="00A76029">
        <w:t xml:space="preserve"> </w:t>
      </w:r>
      <w:r w:rsidRPr="00A76029">
        <w:tab/>
        <w:t xml:space="preserve">Including, but not limited to, the Evidence Act 1908: Te Aka Matua o te Ture | Law Commission </w:t>
      </w:r>
      <w:r w:rsidRPr="00A76029">
        <w:rPr>
          <w:i/>
          <w:iCs/>
        </w:rPr>
        <w:t>The 2013 Review of the Evidence Act 2006</w:t>
      </w:r>
      <w:r w:rsidRPr="00A76029">
        <w:t xml:space="preserve"> (NZLC R127, 2013) at [1.2].</w:t>
      </w:r>
    </w:p>
  </w:footnote>
  <w:footnote w:id="5">
    <w:p w14:paraId="1D72AE96" w14:textId="77777777" w:rsidR="005F67FC" w:rsidRPr="00A76029" w:rsidRDefault="005F67FC" w:rsidP="005F67FC">
      <w:pPr>
        <w:pStyle w:val="FootnoteText"/>
      </w:pPr>
      <w:r w:rsidRPr="00A76029">
        <w:rPr>
          <w:rStyle w:val="FootnoteReference"/>
        </w:rPr>
        <w:footnoteRef/>
      </w:r>
      <w:r w:rsidRPr="00A76029">
        <w:t xml:space="preserve"> </w:t>
      </w:r>
      <w:r w:rsidRPr="00A76029">
        <w:tab/>
        <w:t xml:space="preserve">Te Aka Matua o te Ture | Law Commission </w:t>
      </w:r>
      <w:r w:rsidRPr="00A76029">
        <w:rPr>
          <w:i/>
          <w:iCs/>
        </w:rPr>
        <w:t xml:space="preserve">Evidence: Reform of the Law </w:t>
      </w:r>
      <w:r w:rsidRPr="00A76029">
        <w:t>(NZLC R55 Vol 1, 1999) at xviii.</w:t>
      </w:r>
    </w:p>
  </w:footnote>
  <w:footnote w:id="6">
    <w:p w14:paraId="53A06B9C" w14:textId="77777777" w:rsidR="005F67FC" w:rsidRPr="00A76029" w:rsidRDefault="005F67FC" w:rsidP="005F67FC">
      <w:pPr>
        <w:pStyle w:val="FootnoteText"/>
      </w:pPr>
      <w:r w:rsidRPr="00A76029">
        <w:rPr>
          <w:rStyle w:val="FootnoteReference"/>
        </w:rPr>
        <w:footnoteRef/>
      </w:r>
      <w:r w:rsidRPr="00A76029">
        <w:t xml:space="preserve"> </w:t>
      </w:r>
      <w:r w:rsidRPr="00A76029">
        <w:tab/>
        <w:t xml:space="preserve">Te Aka Matua o te Ture | Law Commission </w:t>
      </w:r>
      <w:r w:rsidRPr="00A76029">
        <w:rPr>
          <w:i/>
          <w:iCs/>
        </w:rPr>
        <w:t xml:space="preserve">Evidence: Reform of the Law </w:t>
      </w:r>
      <w:r w:rsidRPr="00A76029">
        <w:t>(NZLC R55 Vol 1, 1999) at xviii.</w:t>
      </w:r>
    </w:p>
  </w:footnote>
  <w:footnote w:id="7">
    <w:p w14:paraId="4C4D2593" w14:textId="26AE690B" w:rsidR="005F67FC" w:rsidRPr="00A76029" w:rsidRDefault="005F67FC" w:rsidP="005F67FC">
      <w:pPr>
        <w:pStyle w:val="FootnoteText"/>
      </w:pPr>
      <w:r w:rsidRPr="00A76029">
        <w:rPr>
          <w:rStyle w:val="FootnoteReference"/>
        </w:rPr>
        <w:footnoteRef/>
      </w:r>
      <w:r w:rsidRPr="00A76029">
        <w:t xml:space="preserve"> </w:t>
      </w:r>
      <w:r w:rsidRPr="00A76029">
        <w:tab/>
        <w:t xml:space="preserve">Te Aka Matua o te Ture | Law Commission </w:t>
      </w:r>
      <w:r w:rsidRPr="00A76029">
        <w:rPr>
          <w:i/>
          <w:iCs/>
        </w:rPr>
        <w:t xml:space="preserve">Evidence: Reform of the Law </w:t>
      </w:r>
      <w:r w:rsidRPr="00A76029">
        <w:t>(NZLC R55 Vol 1, 1999) at [7</w:t>
      </w:r>
      <w:r w:rsidR="00F22581">
        <w:t>]–</w:t>
      </w:r>
      <w:r w:rsidRPr="00A76029">
        <w:t>[8].</w:t>
      </w:r>
    </w:p>
  </w:footnote>
  <w:footnote w:id="8">
    <w:p w14:paraId="46A75371" w14:textId="77777777" w:rsidR="005F67FC" w:rsidRPr="00A76029" w:rsidRDefault="005F67FC" w:rsidP="005F67FC">
      <w:pPr>
        <w:pStyle w:val="FootnoteText"/>
      </w:pPr>
      <w:r w:rsidRPr="00A76029">
        <w:rPr>
          <w:rStyle w:val="FootnoteReference"/>
        </w:rPr>
        <w:footnoteRef/>
      </w:r>
      <w:r w:rsidRPr="00A76029">
        <w:t xml:space="preserve"> </w:t>
      </w:r>
      <w:r w:rsidRPr="00A76029">
        <w:tab/>
        <w:t>Evidence Bill 2005 (256-2) (select committee report) at 1.</w:t>
      </w:r>
    </w:p>
  </w:footnote>
  <w:footnote w:id="9">
    <w:p w14:paraId="1C38E421" w14:textId="77777777" w:rsidR="005F67FC" w:rsidRPr="00A76029" w:rsidRDefault="005F67FC" w:rsidP="005F67FC">
      <w:pPr>
        <w:pStyle w:val="FootnoteText"/>
      </w:pPr>
      <w:r w:rsidRPr="00A76029">
        <w:rPr>
          <w:rStyle w:val="FootnoteReference"/>
        </w:rPr>
        <w:footnoteRef/>
      </w:r>
      <w:r w:rsidRPr="00A76029">
        <w:t xml:space="preserve"> </w:t>
      </w:r>
      <w:r w:rsidRPr="00A76029">
        <w:tab/>
        <w:t xml:space="preserve">Te Aka Matua o te Ture | Law Commission </w:t>
      </w:r>
      <w:r w:rsidRPr="00A76029">
        <w:rPr>
          <w:i/>
          <w:iCs/>
        </w:rPr>
        <w:t>The 2013 Review of the Evidence Act 2006</w:t>
      </w:r>
      <w:r w:rsidRPr="00A76029">
        <w:t xml:space="preserve"> (NZLC R127, 2013).</w:t>
      </w:r>
    </w:p>
  </w:footnote>
  <w:footnote w:id="10">
    <w:p w14:paraId="4D9483CE" w14:textId="77777777" w:rsidR="005F67FC" w:rsidRPr="00A76029" w:rsidRDefault="005F67FC" w:rsidP="005F67FC">
      <w:pPr>
        <w:pStyle w:val="FootnoteText"/>
      </w:pPr>
      <w:r w:rsidRPr="00A76029">
        <w:rPr>
          <w:rStyle w:val="FootnoteReference"/>
        </w:rPr>
        <w:footnoteRef/>
      </w:r>
      <w:r w:rsidRPr="00A76029">
        <w:t xml:space="preserve"> </w:t>
      </w:r>
      <w:r w:rsidRPr="00A76029">
        <w:tab/>
      </w:r>
      <w:r w:rsidRPr="00A76029">
        <w:rPr>
          <w:lang w:val="mi-NZ"/>
        </w:rPr>
        <w:t xml:space="preserve">Te Aka Matua o te Ture | Law Commission </w:t>
      </w:r>
      <w:r w:rsidRPr="00A76029">
        <w:rPr>
          <w:i/>
          <w:iCs/>
          <w:lang w:val="mi-NZ"/>
        </w:rPr>
        <w:t xml:space="preserve">The Second Review of the Evidence Act 2006 </w:t>
      </w:r>
      <w:r w:rsidRPr="00A76029">
        <w:rPr>
          <w:lang w:val="mi-NZ"/>
        </w:rPr>
        <w:t xml:space="preserve">| </w:t>
      </w:r>
      <w:r w:rsidRPr="00A76029">
        <w:rPr>
          <w:i/>
          <w:iCs/>
          <w:lang w:val="mi-NZ"/>
        </w:rPr>
        <w:t xml:space="preserve">Te Arotake Tuarua i te Evidence Act 2006 </w:t>
      </w:r>
      <w:r w:rsidRPr="00A76029">
        <w:rPr>
          <w:lang w:val="mi-NZ"/>
        </w:rPr>
        <w:t>(NZLC R142, 2019).</w:t>
      </w:r>
    </w:p>
  </w:footnote>
  <w:footnote w:id="11">
    <w:p w14:paraId="55914A0E" w14:textId="77777777" w:rsidR="005F67FC" w:rsidRPr="00A76029" w:rsidRDefault="005F67FC" w:rsidP="005F67FC">
      <w:pPr>
        <w:pStyle w:val="FootnoteText"/>
      </w:pPr>
      <w:r w:rsidRPr="00A76029">
        <w:rPr>
          <w:rStyle w:val="FootnoteReference"/>
        </w:rPr>
        <w:footnoteRef/>
      </w:r>
      <w:r w:rsidRPr="00A76029">
        <w:t xml:space="preserve"> </w:t>
      </w:r>
      <w:r w:rsidRPr="00A76029">
        <w:tab/>
        <w:t>Letter from Hon Kris Faafoi (Minister of Justice) to Amokura Kawharu (President of Te Aka Matua o te Ture | Law Commission) regarding the third statutory review of the Evidence Act 2006 (23 February 2022).</w:t>
      </w:r>
    </w:p>
  </w:footnote>
  <w:footnote w:id="12">
    <w:p w14:paraId="41D2DB38" w14:textId="0D0ECA39" w:rsidR="005F67FC" w:rsidRPr="00A76029" w:rsidRDefault="005F67FC" w:rsidP="005F67FC">
      <w:pPr>
        <w:pStyle w:val="FootnoteText"/>
      </w:pPr>
      <w:r w:rsidRPr="00A76029">
        <w:rPr>
          <w:rStyle w:val="FootnoteReference"/>
        </w:rPr>
        <w:footnoteRef/>
      </w:r>
      <w:r w:rsidRPr="00A76029">
        <w:t xml:space="preserve"> </w:t>
      </w:r>
      <w:r w:rsidRPr="00A76029">
        <w:tab/>
        <w:t xml:space="preserve">The Commission must report to the Minister within </w:t>
      </w:r>
      <w:r w:rsidR="0046562F">
        <w:t>two</w:t>
      </w:r>
      <w:r w:rsidRPr="00A76029">
        <w:t xml:space="preserve"> years of the date on which the reference occurs (that is, within 2 years of 23 February 2022): Evidence Act 2006, s 202(2).</w:t>
      </w:r>
    </w:p>
  </w:footnote>
  <w:footnote w:id="13">
    <w:p w14:paraId="5130CEE8" w14:textId="77777777" w:rsidR="005F67FC" w:rsidRPr="00A76029" w:rsidRDefault="005F67FC" w:rsidP="005F67FC">
      <w:pPr>
        <w:pStyle w:val="FootnoteText"/>
      </w:pPr>
      <w:r w:rsidRPr="00A76029">
        <w:rPr>
          <w:rStyle w:val="FootnoteReference"/>
        </w:rPr>
        <w:footnoteRef/>
      </w:r>
      <w:r w:rsidRPr="00A76029">
        <w:t xml:space="preserve"> </w:t>
      </w:r>
      <w:r w:rsidRPr="00A76029">
        <w:tab/>
        <w:t xml:space="preserve">The terms of reference are available on the Commission’s website: </w:t>
      </w:r>
      <w:hyperlink r:id="rId1" w:history="1">
        <w:r w:rsidRPr="00A76029">
          <w:rPr>
            <w:rStyle w:val="Hyperlink"/>
          </w:rPr>
          <w:t>www.lawcom.govt.nz</w:t>
        </w:r>
      </w:hyperlink>
      <w:r w:rsidRPr="00A76029">
        <w:t>.</w:t>
      </w:r>
    </w:p>
  </w:footnote>
  <w:footnote w:id="14">
    <w:p w14:paraId="587E72C5" w14:textId="70565FC6" w:rsidR="005F67FC" w:rsidRPr="00A76029" w:rsidRDefault="005F67FC" w:rsidP="005F67FC">
      <w:pPr>
        <w:pStyle w:val="FootnoteText"/>
      </w:pPr>
      <w:r w:rsidRPr="00A76029">
        <w:rPr>
          <w:rStyle w:val="FootnoteReference"/>
        </w:rPr>
        <w:footnoteRef/>
      </w:r>
      <w:r w:rsidRPr="00A76029">
        <w:t xml:space="preserve"> </w:t>
      </w:r>
      <w:r w:rsidRPr="00A76029">
        <w:tab/>
        <w:t>Pursuant to s 202(1)(a) of the Evidence Act 2006, we focused our research on the five years since the publication of the Issues Paper in the Second Review in March 2018.</w:t>
      </w:r>
    </w:p>
  </w:footnote>
  <w:footnote w:id="15">
    <w:p w14:paraId="0605DD44" w14:textId="77777777" w:rsidR="005F67FC" w:rsidRPr="00A76029" w:rsidRDefault="005F67FC" w:rsidP="005F67FC">
      <w:pPr>
        <w:pStyle w:val="FootnoteText"/>
      </w:pPr>
      <w:r w:rsidRPr="00A76029">
        <w:rPr>
          <w:rStyle w:val="FootnoteReference"/>
        </w:rPr>
        <w:footnoteRef/>
      </w:r>
      <w:r w:rsidRPr="00A76029">
        <w:t xml:space="preserve"> </w:t>
      </w:r>
      <w:r w:rsidRPr="00A76029">
        <w:tab/>
        <w:t>Letter from Hon Kris Faafoi (Minister of Justice) to Amokura Kawharu (President of Te Aka Matua o te Ture | Law Commission) regarding the third statutory review of the Evidence Act 2006 (23 February 2022).</w:t>
      </w:r>
    </w:p>
  </w:footnote>
  <w:footnote w:id="16">
    <w:p w14:paraId="2A062A2F" w14:textId="52BB4BE6" w:rsidR="005F67FC" w:rsidRPr="00A76029" w:rsidRDefault="005F67FC" w:rsidP="005F67FC">
      <w:pPr>
        <w:pStyle w:val="FootnoteText"/>
      </w:pPr>
      <w:r w:rsidRPr="00A76029">
        <w:rPr>
          <w:rStyle w:val="FootnoteReference"/>
        </w:rPr>
        <w:footnoteRef/>
      </w:r>
      <w:r w:rsidRPr="00A76029">
        <w:t xml:space="preserve"> </w:t>
      </w:r>
      <w:r w:rsidRPr="00A76029">
        <w:tab/>
        <w:t>We have also included one technical drafting issue in th</w:t>
      </w:r>
      <w:r w:rsidR="00D3209B">
        <w:t>is</w:t>
      </w:r>
      <w:r w:rsidRPr="00A76029">
        <w:t xml:space="preserve"> </w:t>
      </w:r>
      <w:r w:rsidR="00D3209B">
        <w:t>I</w:t>
      </w:r>
      <w:r w:rsidRPr="00A76029">
        <w:t xml:space="preserve">ssues </w:t>
      </w:r>
      <w:r w:rsidR="00D3209B">
        <w:t>P</w:t>
      </w:r>
      <w:r w:rsidRPr="00A76029">
        <w:t xml:space="preserve">aper (relating to litigation privilege and confidentiality, discussed in Chapter </w:t>
      </w:r>
      <w:r w:rsidR="0089660D">
        <w:t>13</w:t>
      </w:r>
      <w:r w:rsidRPr="00A76029">
        <w:t xml:space="preserve">). We have included this issue for completeness on the basis that the drafting issue appears to be relatively uncontroversial and there is a clear legislative solution. </w:t>
      </w:r>
    </w:p>
  </w:footnote>
  <w:footnote w:id="17">
    <w:p w14:paraId="498D148E" w14:textId="77777777" w:rsidR="005F67FC" w:rsidRPr="00A76029" w:rsidRDefault="005F67FC" w:rsidP="005F67FC">
      <w:pPr>
        <w:pStyle w:val="FootnoteText"/>
      </w:pPr>
      <w:r w:rsidRPr="00A76029">
        <w:rPr>
          <w:rStyle w:val="FootnoteReference"/>
        </w:rPr>
        <w:footnoteRef/>
      </w:r>
      <w:r w:rsidRPr="00A76029">
        <w:t xml:space="preserve"> </w:t>
      </w:r>
      <w:r w:rsidRPr="00A76029">
        <w:tab/>
        <w:t>In accordance with our statutory obligation to take into account te ao Māori under s 5 of the Law Commission Act 1985.</w:t>
      </w:r>
    </w:p>
  </w:footnote>
  <w:footnote w:id="18">
    <w:p w14:paraId="445A705D" w14:textId="77777777" w:rsidR="005F67FC" w:rsidRPr="00A76029" w:rsidRDefault="005F67FC" w:rsidP="005F67FC">
      <w:pPr>
        <w:pStyle w:val="FootnoteText"/>
      </w:pPr>
      <w:r w:rsidRPr="00A76029">
        <w:rPr>
          <w:rStyle w:val="FootnoteReference"/>
        </w:rPr>
        <w:footnoteRef/>
      </w:r>
      <w:r w:rsidRPr="00A76029">
        <w:t xml:space="preserve"> </w:t>
      </w:r>
      <w:r w:rsidRPr="00A76029">
        <w:tab/>
        <w:t>Evidence Act 2006, s 202(1)(c); Letter from Hon Kris Faafoi (Minister of Justice) to Amokura Kawharu (President of Te Aka Matua o te Ture | Law Commission) regarding the third statutory review of the Evidence Act 2006 (23 February 2022).</w:t>
      </w:r>
    </w:p>
  </w:footnote>
  <w:footnote w:id="19">
    <w:p w14:paraId="5C958563" w14:textId="049E583A" w:rsidR="005F67FC" w:rsidRDefault="005F67FC" w:rsidP="005F67FC">
      <w:pPr>
        <w:pStyle w:val="FootnoteText"/>
      </w:pPr>
      <w:r w:rsidRPr="00A76029">
        <w:rPr>
          <w:rStyle w:val="FootnoteReference"/>
        </w:rPr>
        <w:footnoteRef/>
      </w:r>
      <w:r w:rsidRPr="00A76029">
        <w:t xml:space="preserve"> </w:t>
      </w:r>
      <w:r w:rsidRPr="00A76029">
        <w:tab/>
        <w:t>Evidence Act 2006, s 6. For discussion of the purpose provision</w:t>
      </w:r>
      <w:r w:rsidR="00523A7D">
        <w:t>,</w:t>
      </w:r>
      <w:r w:rsidRPr="00A76029">
        <w:t xml:space="preserve"> see </w:t>
      </w:r>
      <w:r w:rsidRPr="00A76029">
        <w:rPr>
          <w:lang w:val="mi-NZ"/>
        </w:rPr>
        <w:t xml:space="preserve">Te Aka Matua o te Ture | Law Commission </w:t>
      </w:r>
      <w:r w:rsidRPr="00A76029">
        <w:rPr>
          <w:i/>
          <w:iCs/>
          <w:lang w:val="mi-NZ"/>
        </w:rPr>
        <w:t xml:space="preserve">Second Review of the Evidence Act 2006 </w:t>
      </w:r>
      <w:r w:rsidRPr="00A76029">
        <w:rPr>
          <w:lang w:val="mi-NZ"/>
        </w:rPr>
        <w:t xml:space="preserve">| </w:t>
      </w:r>
      <w:r w:rsidRPr="00A76029">
        <w:rPr>
          <w:i/>
          <w:iCs/>
          <w:lang w:val="mi-NZ"/>
        </w:rPr>
        <w:t>Te Arotake Tuarua i te Evidence Act 2006</w:t>
      </w:r>
      <w:r w:rsidRPr="00A76029">
        <w:rPr>
          <w:lang w:val="mi-NZ"/>
        </w:rPr>
        <w:t xml:space="preserve"> (NZLC IP42, 2018) at [1.22]–[1.38].</w:t>
      </w:r>
    </w:p>
  </w:footnote>
  <w:footnote w:id="20">
    <w:p w14:paraId="4A3B31C2" w14:textId="77777777" w:rsidR="00662072" w:rsidRPr="005A7BDD" w:rsidRDefault="00662072" w:rsidP="00662072">
      <w:pPr>
        <w:pStyle w:val="FootnoteText"/>
      </w:pPr>
      <w:r w:rsidRPr="005A7BDD">
        <w:rPr>
          <w:rStyle w:val="FootnoteReference"/>
        </w:rPr>
        <w:footnoteRef/>
      </w:r>
      <w:r w:rsidRPr="005A7BDD">
        <w:t xml:space="preserve"> </w:t>
      </w:r>
      <w:r w:rsidRPr="005A7BDD">
        <w:tab/>
        <w:t xml:space="preserve">These and other issues were discussed in Te Aka Matua o te Ture | Law Commission </w:t>
      </w:r>
      <w:r w:rsidRPr="005A7BDD">
        <w:rPr>
          <w:i/>
          <w:iCs/>
        </w:rPr>
        <w:t>Evidence Law Reform: Te Ao Māori Consultation</w:t>
      </w:r>
      <w:r w:rsidRPr="005A7BDD">
        <w:t xml:space="preserve"> (unpublished consultation paper, 1997).</w:t>
      </w:r>
    </w:p>
  </w:footnote>
  <w:footnote w:id="21">
    <w:p w14:paraId="5BF0B6EB" w14:textId="77777777" w:rsidR="00662072" w:rsidRPr="005A7BDD" w:rsidRDefault="00662072" w:rsidP="00662072">
      <w:pPr>
        <w:pStyle w:val="FootnoteText"/>
      </w:pPr>
      <w:r w:rsidRPr="005A7BDD">
        <w:rPr>
          <w:rStyle w:val="FootnoteReference"/>
        </w:rPr>
        <w:footnoteRef/>
      </w:r>
      <w:r w:rsidRPr="005A7BDD">
        <w:t xml:space="preserve"> </w:t>
      </w:r>
      <w:r w:rsidRPr="005A7BDD">
        <w:tab/>
        <w:t xml:space="preserve">See </w:t>
      </w:r>
      <w:r w:rsidRPr="005A7BDD">
        <w:rPr>
          <w:lang w:val="mi-NZ"/>
        </w:rPr>
        <w:t xml:space="preserve">Te Aka Matua o te Ture | Law Commission </w:t>
      </w:r>
      <w:r w:rsidRPr="005A7BDD">
        <w:rPr>
          <w:i/>
          <w:iCs/>
          <w:lang w:val="mi-NZ"/>
        </w:rPr>
        <w:t xml:space="preserve">Second Review of the Evidence Act 2006 </w:t>
      </w:r>
      <w:r w:rsidRPr="005A7BDD">
        <w:rPr>
          <w:lang w:val="mi-NZ"/>
        </w:rPr>
        <w:t xml:space="preserve">| </w:t>
      </w:r>
      <w:r w:rsidRPr="005A7BDD">
        <w:rPr>
          <w:i/>
          <w:iCs/>
          <w:lang w:val="mi-NZ"/>
        </w:rPr>
        <w:t>Te Arotake Tuarua i te Evidence Act 2006</w:t>
      </w:r>
      <w:r w:rsidRPr="005A7BDD">
        <w:rPr>
          <w:lang w:val="mi-NZ"/>
        </w:rPr>
        <w:t xml:space="preserve"> (NZLC IP42, 2018) at ch 2. The first review of the Act was undertaken in a shorter timeframe and did not identify any issues of particular concern to Māori.</w:t>
      </w:r>
    </w:p>
  </w:footnote>
  <w:footnote w:id="22">
    <w:p w14:paraId="3CA62E3D"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lang w:val="mi-NZ"/>
        </w:rPr>
        <w:t xml:space="preserve">Te Aka Matua o te Ture | Law Commission </w:t>
      </w:r>
      <w:r w:rsidRPr="005A7BDD">
        <w:rPr>
          <w:i/>
          <w:iCs/>
          <w:lang w:val="mi-NZ"/>
        </w:rPr>
        <w:t xml:space="preserve">Second Review of the Evidence Act 2006 </w:t>
      </w:r>
      <w:r w:rsidRPr="005A7BDD">
        <w:rPr>
          <w:lang w:val="mi-NZ"/>
        </w:rPr>
        <w:t xml:space="preserve">| </w:t>
      </w:r>
      <w:r w:rsidRPr="005A7BDD">
        <w:rPr>
          <w:i/>
          <w:iCs/>
          <w:lang w:val="mi-NZ"/>
        </w:rPr>
        <w:t>Te Arotake Tuarua i te Evidence Act 2006</w:t>
      </w:r>
      <w:r w:rsidRPr="005A7BDD">
        <w:rPr>
          <w:lang w:val="mi-NZ"/>
        </w:rPr>
        <w:t xml:space="preserve"> (NZLC IP42, 2018) at [9]. </w:t>
      </w:r>
    </w:p>
  </w:footnote>
  <w:footnote w:id="23">
    <w:p w14:paraId="4E489DF8"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lang w:val="mi-NZ"/>
        </w:rPr>
        <w:t xml:space="preserve">Te Aka Matua o te Ture | Law Commission </w:t>
      </w:r>
      <w:r w:rsidRPr="005A7BDD">
        <w:rPr>
          <w:i/>
          <w:iCs/>
          <w:lang w:val="mi-NZ"/>
        </w:rPr>
        <w:t xml:space="preserve">Second Review of the Evidence Act 2006 </w:t>
      </w:r>
      <w:r w:rsidRPr="005A7BDD">
        <w:rPr>
          <w:lang w:val="mi-NZ"/>
        </w:rPr>
        <w:t xml:space="preserve">| </w:t>
      </w:r>
      <w:r w:rsidRPr="005A7BDD">
        <w:rPr>
          <w:i/>
          <w:iCs/>
          <w:lang w:val="mi-NZ"/>
        </w:rPr>
        <w:t>Te Arotake Tuarua i te Evidence Act 2006</w:t>
      </w:r>
      <w:r w:rsidRPr="005A7BDD">
        <w:rPr>
          <w:lang w:val="mi-NZ"/>
        </w:rPr>
        <w:t xml:space="preserve"> (NZLC IP42, 2018) at ch 2. </w:t>
      </w:r>
    </w:p>
  </w:footnote>
  <w:footnote w:id="24">
    <w:p w14:paraId="52E11BB1"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lang w:val="mi-NZ"/>
        </w:rPr>
        <w:t xml:space="preserve">Te Aka Matua o te Ture | Law Commission </w:t>
      </w:r>
      <w:r w:rsidRPr="005A7BDD">
        <w:rPr>
          <w:i/>
          <w:iCs/>
          <w:lang w:val="mi-NZ"/>
        </w:rPr>
        <w:t xml:space="preserve">The Second Review of the Evidence Act 2006 </w:t>
      </w:r>
      <w:r w:rsidRPr="005A7BDD">
        <w:rPr>
          <w:lang w:val="mi-NZ"/>
        </w:rPr>
        <w:t xml:space="preserve">| </w:t>
      </w:r>
      <w:r w:rsidRPr="005A7BDD">
        <w:rPr>
          <w:i/>
          <w:iCs/>
          <w:lang w:val="mi-NZ"/>
        </w:rPr>
        <w:t xml:space="preserve">Te Arotake Tuarua i te Evidence Act 2006 </w:t>
      </w:r>
      <w:r w:rsidRPr="005A7BDD">
        <w:rPr>
          <w:lang w:val="mi-NZ"/>
        </w:rPr>
        <w:t>(NZLC R142, 2019) at [2.11].</w:t>
      </w:r>
    </w:p>
  </w:footnote>
  <w:footnote w:id="25">
    <w:p w14:paraId="20F04505" w14:textId="77777777" w:rsidR="00662072" w:rsidRPr="005A7BDD" w:rsidRDefault="00662072" w:rsidP="00662072">
      <w:pPr>
        <w:pStyle w:val="FootnoteText"/>
        <w:rPr>
          <w:lang w:val="mi-NZ"/>
        </w:rPr>
      </w:pPr>
      <w:r w:rsidRPr="005A7BDD">
        <w:rPr>
          <w:rStyle w:val="FootnoteReference"/>
        </w:rPr>
        <w:footnoteRef/>
      </w:r>
      <w:r w:rsidRPr="005A7BDD">
        <w:t xml:space="preserve"> </w:t>
      </w:r>
      <w:r w:rsidRPr="005A7BDD">
        <w:rPr>
          <w:lang w:val="mi-NZ"/>
        </w:rPr>
        <w:tab/>
        <w:t xml:space="preserve">Te Aka Matua o te Ture | Law Commission </w:t>
      </w:r>
      <w:r w:rsidRPr="005A7BDD">
        <w:rPr>
          <w:i/>
          <w:iCs/>
          <w:lang w:val="mi-NZ"/>
        </w:rPr>
        <w:t xml:space="preserve">The Second Review of the Evidence Act 2006 </w:t>
      </w:r>
      <w:r w:rsidRPr="005A7BDD">
        <w:rPr>
          <w:lang w:val="mi-NZ"/>
        </w:rPr>
        <w:t xml:space="preserve">| </w:t>
      </w:r>
      <w:r w:rsidRPr="005A7BDD">
        <w:rPr>
          <w:i/>
          <w:iCs/>
          <w:lang w:val="mi-NZ"/>
        </w:rPr>
        <w:t xml:space="preserve">Te Arotake Tuarua i te Evidence Act 2006 </w:t>
      </w:r>
      <w:r w:rsidRPr="005A7BDD">
        <w:rPr>
          <w:lang w:val="mi-NZ"/>
        </w:rPr>
        <w:t>(NZLC R142, 2019), recommendation 2.</w:t>
      </w:r>
    </w:p>
  </w:footnote>
  <w:footnote w:id="26">
    <w:p w14:paraId="3C94A3FD" w14:textId="77777777" w:rsidR="00662072" w:rsidRPr="005A7BDD" w:rsidRDefault="00662072" w:rsidP="00662072">
      <w:pPr>
        <w:pStyle w:val="FootnoteText"/>
        <w:rPr>
          <w:lang w:val="mi-NZ"/>
        </w:rPr>
      </w:pPr>
      <w:r w:rsidRPr="005A7BDD">
        <w:rPr>
          <w:rStyle w:val="FootnoteReference"/>
        </w:rPr>
        <w:footnoteRef/>
      </w:r>
      <w:r w:rsidRPr="005A7BDD">
        <w:t xml:space="preserve"> </w:t>
      </w:r>
      <w:r w:rsidRPr="005A7BDD">
        <w:rPr>
          <w:lang w:val="mi-NZ"/>
        </w:rPr>
        <w:tab/>
        <w:t>Government Response to the Law Commission Report: The Second Review of the Evidence Act 2006 | Te Arotake Tuarua i te Evidence Act 2006 (September 2019) at 7.</w:t>
      </w:r>
    </w:p>
  </w:footnote>
  <w:footnote w:id="27">
    <w:p w14:paraId="2D63EC37" w14:textId="77777777" w:rsidR="00662072" w:rsidRPr="005A7BDD" w:rsidRDefault="00662072" w:rsidP="00662072">
      <w:pPr>
        <w:pStyle w:val="FootnoteText"/>
      </w:pPr>
      <w:r w:rsidRPr="005A7BDD">
        <w:rPr>
          <w:rStyle w:val="FootnoteReference"/>
        </w:rPr>
        <w:footnoteRef/>
      </w:r>
      <w:r w:rsidRPr="005A7BDD">
        <w:t xml:space="preserve"> </w:t>
      </w:r>
      <w:r w:rsidRPr="005A7BDD">
        <w:tab/>
        <w:t xml:space="preserve">Including mātauranga ā-iwi and tikanga ā-iwi. </w:t>
      </w:r>
    </w:p>
  </w:footnote>
  <w:footnote w:id="28">
    <w:p w14:paraId="6D69C282" w14:textId="32172D07" w:rsidR="00662072" w:rsidRPr="005A7BDD" w:rsidRDefault="00662072" w:rsidP="00662072">
      <w:pPr>
        <w:pStyle w:val="FootnoteText"/>
      </w:pPr>
      <w:r w:rsidRPr="005A7BDD">
        <w:rPr>
          <w:rStyle w:val="FootnoteReference"/>
        </w:rPr>
        <w:footnoteRef/>
      </w:r>
      <w:r w:rsidRPr="005A7BDD">
        <w:t xml:space="preserve"> </w:t>
      </w:r>
      <w:r w:rsidRPr="005A7BDD">
        <w:tab/>
        <w:t>See discussion at [</w:t>
      </w:r>
      <w:r w:rsidR="003879F7">
        <w:t>2.20</w:t>
      </w:r>
      <w:r w:rsidRPr="005A7BDD">
        <w:t xml:space="preserve">] below of the observations made by the Supreme Court in </w:t>
      </w:r>
      <w:r w:rsidRPr="005A7BDD">
        <w:rPr>
          <w:i/>
          <w:iCs/>
          <w:lang w:val="mi-NZ"/>
        </w:rPr>
        <w:t xml:space="preserve">Ellis v R </w:t>
      </w:r>
      <w:r w:rsidRPr="005A7BDD">
        <w:rPr>
          <w:lang w:val="mi-NZ"/>
        </w:rPr>
        <w:t>[2022] NZSC 114</w:t>
      </w:r>
      <w:r w:rsidR="001D20E9">
        <w:rPr>
          <w:lang w:val="mi-NZ"/>
        </w:rPr>
        <w:t>,</w:t>
      </w:r>
      <w:r w:rsidR="001D20E9" w:rsidRPr="001D20E9">
        <w:rPr>
          <w:lang w:val="mi-NZ"/>
        </w:rPr>
        <w:t xml:space="preserve"> [2022] 1 NZLR 239</w:t>
      </w:r>
      <w:r w:rsidRPr="005A7BDD">
        <w:rPr>
          <w:lang w:val="mi-NZ"/>
        </w:rPr>
        <w:t xml:space="preserve">. </w:t>
      </w:r>
    </w:p>
  </w:footnote>
  <w:footnote w:id="29">
    <w:p w14:paraId="0D57EED7" w14:textId="740EBD00"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 xml:space="preserve">See discussion in Natalie Coates “The Rise of Tikanga Māori and Te Tiriti o Waitangi Jurisprudence” in John Burrows and Jeremy Finn (ed) </w:t>
      </w:r>
      <w:r w:rsidRPr="005A7BDD">
        <w:rPr>
          <w:i/>
          <w:iCs/>
        </w:rPr>
        <w:t xml:space="preserve">Challenge and Change: Judging in Aotearoa New Zealand </w:t>
      </w:r>
      <w:r w:rsidRPr="005A7BDD">
        <w:t xml:space="preserve">(LexisNexis, Wellington, 2021) 65 at 86–87. For example, </w:t>
      </w:r>
      <w:r w:rsidRPr="005A7BDD">
        <w:rPr>
          <w:i/>
          <w:iCs/>
          <w:lang w:val="mi-NZ"/>
        </w:rPr>
        <w:t xml:space="preserve">Ngāti Whātua Ōrākei Trust v Attorney-General </w:t>
      </w:r>
      <w:r w:rsidRPr="005A7BDD">
        <w:rPr>
          <w:lang w:val="mi-NZ"/>
        </w:rPr>
        <w:t>[2022] NZHC 843 considered “ground-breaking” issues concerning history, tikanga, the Treaty settlement process, and the extent to which the court should intervene in those arenas</w:t>
      </w:r>
      <w:r w:rsidR="00B810C0">
        <w:rPr>
          <w:lang w:val="mi-NZ"/>
        </w:rPr>
        <w:t xml:space="preserve"> (</w:t>
      </w:r>
      <w:r w:rsidRPr="005A7BDD">
        <w:rPr>
          <w:lang w:val="mi-NZ"/>
        </w:rPr>
        <w:t>at [2]</w:t>
      </w:r>
      <w:r w:rsidR="004917A7">
        <w:rPr>
          <w:lang w:val="mi-NZ"/>
        </w:rPr>
        <w:t>)</w:t>
      </w:r>
      <w:r w:rsidRPr="005A7BDD">
        <w:rPr>
          <w:lang w:val="mi-NZ"/>
        </w:rPr>
        <w:t xml:space="preserve">. In </w:t>
      </w:r>
      <w:r w:rsidRPr="005A7BDD">
        <w:rPr>
          <w:i/>
          <w:iCs/>
          <w:lang w:val="mi-NZ"/>
        </w:rPr>
        <w:t xml:space="preserve">Ngāti Whātua Ōrākei Trust v Attorney-General </w:t>
      </w:r>
      <w:r w:rsidRPr="005A7BDD">
        <w:rPr>
          <w:lang w:val="mi-NZ"/>
        </w:rPr>
        <w:t xml:space="preserve">[2020] NZHC 3120, Palmer </w:t>
      </w:r>
      <w:r w:rsidR="00A9207E">
        <w:rPr>
          <w:lang w:val="mi-NZ"/>
        </w:rPr>
        <w:t xml:space="preserve">J </w:t>
      </w:r>
      <w:r w:rsidRPr="005A7BDD">
        <w:rPr>
          <w:lang w:val="mi-NZ"/>
        </w:rPr>
        <w:t xml:space="preserve">expressed a view that questions of tikanga are likely to arise more frequently in the </w:t>
      </w:r>
      <w:r w:rsidR="00B75D82">
        <w:rPr>
          <w:lang w:val="mi-NZ"/>
        </w:rPr>
        <w:t>c</w:t>
      </w:r>
      <w:r w:rsidRPr="005A7BDD">
        <w:rPr>
          <w:lang w:val="mi-NZ"/>
        </w:rPr>
        <w:t xml:space="preserve">ourts in future </w:t>
      </w:r>
      <w:r w:rsidR="004917A7">
        <w:rPr>
          <w:lang w:val="mi-NZ"/>
        </w:rPr>
        <w:t>(</w:t>
      </w:r>
      <w:r w:rsidRPr="005A7BDD">
        <w:rPr>
          <w:lang w:val="mi-NZ"/>
        </w:rPr>
        <w:t>at [36]</w:t>
      </w:r>
      <w:r w:rsidR="004917A7">
        <w:rPr>
          <w:lang w:val="mi-NZ"/>
        </w:rPr>
        <w:t>)</w:t>
      </w:r>
      <w:r w:rsidRPr="005A7BDD">
        <w:rPr>
          <w:lang w:val="mi-NZ"/>
        </w:rPr>
        <w:t xml:space="preserve">. </w:t>
      </w:r>
    </w:p>
  </w:footnote>
  <w:footnote w:id="30">
    <w:p w14:paraId="01725A18" w14:textId="4D7729FC"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lang w:val="mi-NZ"/>
        </w:rPr>
        <w:t xml:space="preserve">Ellis v R </w:t>
      </w:r>
      <w:r w:rsidRPr="005A7BDD">
        <w:rPr>
          <w:lang w:val="mi-NZ"/>
        </w:rPr>
        <w:t>[2022] NZSC 114</w:t>
      </w:r>
      <w:r w:rsidR="001D20E9">
        <w:rPr>
          <w:lang w:val="mi-NZ"/>
        </w:rPr>
        <w:t xml:space="preserve">, </w:t>
      </w:r>
      <w:r w:rsidR="001D20E9" w:rsidRPr="00BC36AD">
        <w:t>[2022] 1 NZLR 239</w:t>
      </w:r>
      <w:r w:rsidRPr="005A7BDD">
        <w:rPr>
          <w:lang w:val="mi-NZ"/>
        </w:rPr>
        <w:t xml:space="preserve">. </w:t>
      </w:r>
    </w:p>
  </w:footnote>
  <w:footnote w:id="31">
    <w:p w14:paraId="1AF6EFBC"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Evidence Act 2006, s 7(1).</w:t>
      </w:r>
    </w:p>
  </w:footnote>
  <w:footnote w:id="32">
    <w:p w14:paraId="0E57CECD"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Evidence Act 2006, s 7(3).</w:t>
      </w:r>
    </w:p>
  </w:footnote>
  <w:footnote w:id="33">
    <w:p w14:paraId="59A542BC"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Evidence Act 2006, s 4 (definition of “hearsay statement”).</w:t>
      </w:r>
    </w:p>
  </w:footnote>
  <w:footnote w:id="34">
    <w:p w14:paraId="33FE0798"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Evidence Act 2006, s 17.</w:t>
      </w:r>
    </w:p>
  </w:footnote>
  <w:footnote w:id="35">
    <w:p w14:paraId="3376138F"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t xml:space="preserve">Te Aka Matua o te Ture | Law Commission </w:t>
      </w:r>
      <w:r w:rsidRPr="005A7BDD">
        <w:rPr>
          <w:i/>
          <w:iCs/>
        </w:rPr>
        <w:t>Evidence Law Reform: Te Ao Māori Consultation</w:t>
      </w:r>
      <w:r w:rsidRPr="005A7BDD">
        <w:t xml:space="preserve"> (unpublished consultation paper, 1997) at [5].</w:t>
      </w:r>
    </w:p>
  </w:footnote>
  <w:footnote w:id="36">
    <w:p w14:paraId="53D91769" w14:textId="077C85CD"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 xml:space="preserve">Evidence Act 2006, ss 16(2) and 18. </w:t>
      </w:r>
      <w:r w:rsidR="00C125ED">
        <w:rPr>
          <w:lang w:val="mi-NZ"/>
        </w:rPr>
        <w:t>S</w:t>
      </w:r>
      <w:r w:rsidRPr="005A7BDD">
        <w:rPr>
          <w:lang w:val="mi-NZ"/>
        </w:rPr>
        <w:t>ee</w:t>
      </w:r>
      <w:r w:rsidR="00C125ED">
        <w:rPr>
          <w:lang w:val="mi-NZ"/>
        </w:rPr>
        <w:t xml:space="preserve"> also</w:t>
      </w:r>
      <w:r w:rsidRPr="005A7BDD">
        <w:rPr>
          <w:lang w:val="mi-NZ"/>
        </w:rPr>
        <w:t xml:space="preserve"> s 20, which enables the hearsay rule to be varied by the High Court Rules. Currently, the High Court Rules provide an exception for “statements of belief” in affidavits filed in relation to interlocutory appl</w:t>
      </w:r>
      <w:r w:rsidR="009326DE">
        <w:rPr>
          <w:lang w:val="mi-NZ"/>
        </w:rPr>
        <w:t>i</w:t>
      </w:r>
      <w:r w:rsidRPr="005A7BDD">
        <w:rPr>
          <w:lang w:val="mi-NZ"/>
        </w:rPr>
        <w:t xml:space="preserve">cations if certain conditions are met: </w:t>
      </w:r>
      <w:r w:rsidRPr="005A7BDD">
        <w:t xml:space="preserve">High Court Rules 2016, r 7.30. Hearsay evidence was admitted under this rule in </w:t>
      </w:r>
      <w:r w:rsidRPr="005A7BDD">
        <w:rPr>
          <w:i/>
          <w:iCs/>
        </w:rPr>
        <w:t xml:space="preserve">Witehira v Ram </w:t>
      </w:r>
      <w:r w:rsidRPr="005A7BDD">
        <w:t>[2020] NZHC 2326 at [24], an application for an interim injunction to prevent disposal of the applicant’s daughter’s body following a disagreement on how the deceased’s body was to be dealt with.</w:t>
      </w:r>
    </w:p>
  </w:footnote>
  <w:footnote w:id="37">
    <w:p w14:paraId="4A63F567"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t xml:space="preserve">Te Aka Matua o te Ture | Law Commission </w:t>
      </w:r>
      <w:r w:rsidRPr="005A7BDD">
        <w:rPr>
          <w:i/>
          <w:iCs/>
        </w:rPr>
        <w:t xml:space="preserve">Evidence Law: Hearsay </w:t>
      </w:r>
      <w:r w:rsidRPr="005A7BDD">
        <w:t xml:space="preserve">(NZLC PP15, 1991) </w:t>
      </w:r>
      <w:r w:rsidRPr="005A7BDD">
        <w:rPr>
          <w:lang w:val="mi-NZ"/>
        </w:rPr>
        <w:t>at [60].</w:t>
      </w:r>
    </w:p>
  </w:footnote>
  <w:footnote w:id="38">
    <w:p w14:paraId="77CA5D96" w14:textId="5A45090E"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 xml:space="preserve">Te Aka Matua o te Ture | Law Commission </w:t>
      </w:r>
      <w:r w:rsidRPr="005A7BDD">
        <w:rPr>
          <w:i/>
          <w:iCs/>
        </w:rPr>
        <w:t xml:space="preserve">Evidence Law: Hearsay </w:t>
      </w:r>
      <w:r w:rsidRPr="005A7BDD">
        <w:t xml:space="preserve">(NZLC PP15, 1991) at [60]. We note that in that paper the Commission proposed abolishing the hearsay rule in civil proceedings, subject to a general power to exclude evidence </w:t>
      </w:r>
      <w:r w:rsidR="0006799B">
        <w:t>that</w:t>
      </w:r>
      <w:r w:rsidRPr="005A7BDD">
        <w:t xml:space="preserve"> is unfairly prejudicial, misleading, confusing or time-wasting </w:t>
      </w:r>
      <w:r w:rsidR="0002014D">
        <w:t>(</w:t>
      </w:r>
      <w:r w:rsidRPr="005A7BDD">
        <w:t xml:space="preserve">at </w:t>
      </w:r>
      <w:r w:rsidRPr="005A7BDD">
        <w:rPr>
          <w:color w:val="auto"/>
        </w:rPr>
        <w:t>[3]</w:t>
      </w:r>
      <w:r w:rsidR="0002014D">
        <w:rPr>
          <w:color w:val="auto"/>
        </w:rPr>
        <w:t>)</w:t>
      </w:r>
      <w:r w:rsidRPr="005A7BDD">
        <w:rPr>
          <w:color w:val="auto"/>
        </w:rPr>
        <w:t xml:space="preserve">. </w:t>
      </w:r>
      <w:r w:rsidRPr="005A7BDD">
        <w:t xml:space="preserve">In its Evidence Report, however, the Commission recommended retaining but liberalising the hearsay rule for both criminal and civil proceedings, noting there is a need for judicial control over the admission of hearsay: Te Aka Matua o te Ture | Law Commission </w:t>
      </w:r>
      <w:r w:rsidRPr="005A7BDD">
        <w:rPr>
          <w:i/>
          <w:iCs/>
        </w:rPr>
        <w:t xml:space="preserve">Evidence: Reform of the Law </w:t>
      </w:r>
      <w:r w:rsidRPr="005A7BDD">
        <w:t>(NZLC R55 Vol 1, 1999) at [64].</w:t>
      </w:r>
    </w:p>
  </w:footnote>
  <w:footnote w:id="39">
    <w:p w14:paraId="29753649"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t xml:space="preserve">Te Aka Matua o te Ture | Law Commission </w:t>
      </w:r>
      <w:r w:rsidRPr="005A7BDD">
        <w:rPr>
          <w:i/>
          <w:iCs/>
        </w:rPr>
        <w:t xml:space="preserve">Evidence Law: Hearsay </w:t>
      </w:r>
      <w:r w:rsidRPr="005A7BDD">
        <w:t xml:space="preserve">(NZLC PP15, 1991) at [60]. </w:t>
      </w:r>
    </w:p>
  </w:footnote>
  <w:footnote w:id="40">
    <w:p w14:paraId="10B04C7D"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Evidence Act 2006, s 23.</w:t>
      </w:r>
    </w:p>
  </w:footnote>
  <w:footnote w:id="41">
    <w:p w14:paraId="56731334" w14:textId="37BD9DAC"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Evidence Act 2006, s 25. Section 24 also permits a witness to state an opinion in evidence if that opinion is necessary to enable the witness to communicate, or the fact-finder to understand, what the witness saw, heard or otherwise perceived.</w:t>
      </w:r>
    </w:p>
  </w:footnote>
  <w:footnote w:id="42">
    <w:p w14:paraId="17B489C9"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Evidence Act 2006, s 4 (definition of “expert”).</w:t>
      </w:r>
    </w:p>
  </w:footnote>
  <w:footnote w:id="43">
    <w:p w14:paraId="041699F9"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Evidence Act 2006, s 25(1).</w:t>
      </w:r>
    </w:p>
  </w:footnote>
  <w:footnote w:id="44">
    <w:p w14:paraId="721D908A"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 xml:space="preserve">Te Aka Matua o te Ture | Law Commission </w:t>
      </w:r>
      <w:r w:rsidRPr="005A7BDD">
        <w:rPr>
          <w:i/>
          <w:iCs/>
        </w:rPr>
        <w:t>Evidence Law Reform: Te Ao Māori Consultation</w:t>
      </w:r>
      <w:r w:rsidRPr="005A7BDD">
        <w:t xml:space="preserve"> (unpublished consultation paper, 1997) at [34].</w:t>
      </w:r>
    </w:p>
  </w:footnote>
  <w:footnote w:id="45">
    <w:p w14:paraId="733EE8FA"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 xml:space="preserve">See, for example, </w:t>
      </w:r>
      <w:r w:rsidRPr="005A7BDD">
        <w:rPr>
          <w:i/>
          <w:iCs/>
        </w:rPr>
        <w:t xml:space="preserve">Ministry of Agriculture and Fisheries v Hakaria and Scott </w:t>
      </w:r>
      <w:r w:rsidRPr="005A7BDD">
        <w:t xml:space="preserve">[1989] DCR 289 at 294. </w:t>
      </w:r>
    </w:p>
  </w:footnote>
  <w:footnote w:id="46">
    <w:p w14:paraId="4F7CBFEC"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 xml:space="preserve">See discussion in Te Aka Matua o te Ture | Law Commission </w:t>
      </w:r>
      <w:r w:rsidRPr="005A7BDD">
        <w:rPr>
          <w:i/>
          <w:iCs/>
        </w:rPr>
        <w:t>Evidence Law: Expert Evidence and Opinion Evidence</w:t>
      </w:r>
      <w:r w:rsidRPr="005A7BDD">
        <w:t xml:space="preserve"> (NZLC PP18, 1991) at [36]; Te Aka Matua o te Ture | Law Commission </w:t>
      </w:r>
      <w:r w:rsidRPr="005A7BDD">
        <w:rPr>
          <w:i/>
          <w:iCs/>
        </w:rPr>
        <w:t>Evidence Law Reform: Te Ao Māori Consultation</w:t>
      </w:r>
      <w:r w:rsidRPr="005A7BDD">
        <w:t xml:space="preserve"> (unpublished consultation paper, 1997) at [34]–[35]; Te Aka Matua o te Ture | Law Commission </w:t>
      </w:r>
      <w:r w:rsidRPr="005A7BDD">
        <w:rPr>
          <w:i/>
          <w:iCs/>
        </w:rPr>
        <w:t xml:space="preserve">Evidence: Evidence Code and Commentary </w:t>
      </w:r>
      <w:r w:rsidRPr="005A7BDD">
        <w:t xml:space="preserve">(NZLC R55 Vol 2, 1999) at [C15]. </w:t>
      </w:r>
    </w:p>
  </w:footnote>
  <w:footnote w:id="47">
    <w:p w14:paraId="7FDB995F" w14:textId="77777777" w:rsidR="00662072" w:rsidRPr="005A7BDD" w:rsidRDefault="00662072" w:rsidP="00662072">
      <w:pPr>
        <w:pStyle w:val="FootnoteText"/>
      </w:pPr>
      <w:r w:rsidRPr="005A7BDD">
        <w:rPr>
          <w:rStyle w:val="FootnoteReference"/>
        </w:rPr>
        <w:footnoteRef/>
      </w:r>
      <w:r w:rsidRPr="005A7BDD">
        <w:t xml:space="preserve"> </w:t>
      </w:r>
      <w:r w:rsidRPr="005A7BDD">
        <w:tab/>
        <w:t>Evidence Act 2006, s 9.</w:t>
      </w:r>
    </w:p>
  </w:footnote>
  <w:footnote w:id="48">
    <w:p w14:paraId="2697CD25" w14:textId="6F927798"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rPr>
          <w:i/>
          <w:iCs/>
          <w:lang w:val="mi-NZ"/>
        </w:rPr>
        <w:t xml:space="preserve">Ellis v R </w:t>
      </w:r>
      <w:r w:rsidRPr="005A7BDD">
        <w:rPr>
          <w:lang w:val="mi-NZ"/>
        </w:rPr>
        <w:t>[2022] NZSC 114</w:t>
      </w:r>
      <w:r w:rsidR="001D20E9">
        <w:rPr>
          <w:lang w:val="mi-NZ"/>
        </w:rPr>
        <w:t xml:space="preserve">, </w:t>
      </w:r>
      <w:r w:rsidR="001D20E9" w:rsidRPr="00BC36AD">
        <w:t>[2022] 1 NZLR 239</w:t>
      </w:r>
      <w:r w:rsidRPr="005A7BDD">
        <w:rPr>
          <w:lang w:val="mi-NZ"/>
        </w:rPr>
        <w:t xml:space="preserve"> at [35]–[37]. </w:t>
      </w:r>
      <w:r w:rsidR="00C125ED">
        <w:rPr>
          <w:lang w:val="mi-NZ"/>
        </w:rPr>
        <w:t>See also</w:t>
      </w:r>
      <w:r w:rsidRPr="005A7BDD">
        <w:rPr>
          <w:lang w:val="mi-NZ"/>
        </w:rPr>
        <w:t xml:space="preserve"> discussion</w:t>
      </w:r>
      <w:r w:rsidR="0041432D">
        <w:rPr>
          <w:lang w:val="mi-NZ"/>
        </w:rPr>
        <w:t xml:space="preserve"> below</w:t>
      </w:r>
      <w:r w:rsidRPr="005A7BDD">
        <w:rPr>
          <w:lang w:val="mi-NZ"/>
        </w:rPr>
        <w:t xml:space="preserve"> of </w:t>
      </w:r>
      <w:r w:rsidRPr="005A7BDD">
        <w:rPr>
          <w:i/>
          <w:iCs/>
        </w:rPr>
        <w:t>Te Ara Rangatū o Te Iwi o Ngāti Te Ata Waiohua Inc v Attorney-General</w:t>
      </w:r>
      <w:r w:rsidRPr="005A7BDD">
        <w:rPr>
          <w:lang w:val="mi-NZ"/>
        </w:rPr>
        <w:t xml:space="preserve"> [2020] NZHC 1882.</w:t>
      </w:r>
    </w:p>
  </w:footnote>
  <w:footnote w:id="49">
    <w:p w14:paraId="28A5D331"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Evidence Act 2006, s 128(1).</w:t>
      </w:r>
    </w:p>
  </w:footnote>
  <w:footnote w:id="50">
    <w:p w14:paraId="7CA3D4F7"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Evidence Act 2006, s 128(2).</w:t>
      </w:r>
    </w:p>
  </w:footnote>
  <w:footnote w:id="51">
    <w:p w14:paraId="342E0397"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rPr>
        <w:t xml:space="preserve">Tukaki v Commonwealth of Australia </w:t>
      </w:r>
      <w:r w:rsidRPr="005A7BDD">
        <w:t>[2018] NZCA 324, [2018] NZAR 1597 at [38].</w:t>
      </w:r>
    </w:p>
  </w:footnote>
  <w:footnote w:id="52">
    <w:p w14:paraId="644C7512" w14:textId="77777777" w:rsidR="00662072" w:rsidRPr="005A7BDD" w:rsidRDefault="00662072" w:rsidP="00662072">
      <w:pPr>
        <w:pStyle w:val="FootnoteText"/>
      </w:pPr>
      <w:r w:rsidRPr="005A7BDD">
        <w:rPr>
          <w:rStyle w:val="FootnoteReference"/>
        </w:rPr>
        <w:footnoteRef/>
      </w:r>
      <w:r w:rsidRPr="005A7BDD">
        <w:t xml:space="preserve"> </w:t>
      </w:r>
      <w:r w:rsidRPr="005A7BDD">
        <w:tab/>
        <w:t>Evidence Act 2006, s 129.</w:t>
      </w:r>
    </w:p>
  </w:footnote>
  <w:footnote w:id="53">
    <w:p w14:paraId="64341CBD" w14:textId="25112695"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lang w:val="mi-NZ"/>
        </w:rPr>
        <w:t xml:space="preserve">Winitana v Attorney-General </w:t>
      </w:r>
      <w:r w:rsidRPr="005A7BDD">
        <w:rPr>
          <w:lang w:val="mi-NZ"/>
        </w:rPr>
        <w:t xml:space="preserve">[2019] NZHC 381 at [7]–[8]. </w:t>
      </w:r>
      <w:r w:rsidR="00C125ED">
        <w:rPr>
          <w:lang w:val="mi-NZ"/>
        </w:rPr>
        <w:t>See also</w:t>
      </w:r>
      <w:r w:rsidRPr="005A7BDD">
        <w:rPr>
          <w:lang w:val="mi-NZ"/>
        </w:rPr>
        <w:t xml:space="preserve"> </w:t>
      </w:r>
      <w:r w:rsidRPr="005A7BDD">
        <w:rPr>
          <w:i/>
          <w:iCs/>
          <w:lang w:val="mi-NZ"/>
        </w:rPr>
        <w:t>Te Runanga o Muriwhenua Inc v Attorney-General</w:t>
      </w:r>
      <w:r w:rsidRPr="005A7BDD">
        <w:rPr>
          <w:lang w:val="mi-NZ"/>
        </w:rPr>
        <w:t xml:space="preserve"> [1990] 2 NZLR 641 (CA) at 653; and </w:t>
      </w:r>
      <w:r w:rsidRPr="005A7BDD">
        <w:rPr>
          <w:i/>
          <w:iCs/>
          <w:lang w:val="mi-NZ"/>
        </w:rPr>
        <w:t>Paki v Attorney-General</w:t>
      </w:r>
      <w:r w:rsidRPr="005A7BDD">
        <w:rPr>
          <w:lang w:val="mi-NZ"/>
        </w:rPr>
        <w:t xml:space="preserve"> [2009] NZCA 584</w:t>
      </w:r>
      <w:r w:rsidR="00984FDA">
        <w:rPr>
          <w:lang w:val="mi-NZ"/>
        </w:rPr>
        <w:t>,</w:t>
      </w:r>
      <w:r w:rsidRPr="005A7BDD">
        <w:rPr>
          <w:lang w:val="mi-NZ"/>
        </w:rPr>
        <w:t xml:space="preserve"> [2011] 1 NZLR 125 at [45]. In </w:t>
      </w:r>
      <w:r w:rsidRPr="005A7BDD">
        <w:rPr>
          <w:i/>
          <w:iCs/>
        </w:rPr>
        <w:t xml:space="preserve">Ellis v R </w:t>
      </w:r>
      <w:r w:rsidRPr="005A7BDD">
        <w:t>[</w:t>
      </w:r>
      <w:r w:rsidRPr="005A7BDD">
        <w:rPr>
          <w:lang w:val="mi-NZ"/>
        </w:rPr>
        <w:t xml:space="preserve">2022] NZSC 114, </w:t>
      </w:r>
      <w:r w:rsidR="00764BC7" w:rsidRPr="00BC36AD">
        <w:t>[2022] 1 NZLR 239</w:t>
      </w:r>
      <w:r w:rsidR="00764BC7">
        <w:t xml:space="preserve"> </w:t>
      </w:r>
      <w:r w:rsidRPr="005A7BDD">
        <w:rPr>
          <w:lang w:val="mi-NZ"/>
        </w:rPr>
        <w:t xml:space="preserve">Glazebrook </w:t>
      </w:r>
      <w:r w:rsidR="00AC48BC">
        <w:rPr>
          <w:lang w:val="mi-NZ"/>
        </w:rPr>
        <w:t xml:space="preserve">J </w:t>
      </w:r>
      <w:r w:rsidRPr="005A7BDD">
        <w:rPr>
          <w:lang w:val="mi-NZ"/>
        </w:rPr>
        <w:t>also suggested relevant Te Aka Matua o te Ture | Law Commission publications and widely available tikanga compendiums could be relied on in ac</w:t>
      </w:r>
      <w:r w:rsidR="00B874AC">
        <w:rPr>
          <w:lang w:val="mi-NZ"/>
        </w:rPr>
        <w:t>c</w:t>
      </w:r>
      <w:r w:rsidRPr="005A7BDD">
        <w:rPr>
          <w:lang w:val="mi-NZ"/>
        </w:rPr>
        <w:t>o</w:t>
      </w:r>
      <w:r w:rsidR="00C44D11">
        <w:rPr>
          <w:lang w:val="mi-NZ"/>
        </w:rPr>
        <w:t>r</w:t>
      </w:r>
      <w:r w:rsidRPr="005A7BDD">
        <w:rPr>
          <w:lang w:val="mi-NZ"/>
        </w:rPr>
        <w:t>dance with s 129</w:t>
      </w:r>
      <w:r w:rsidR="0002014D">
        <w:rPr>
          <w:lang w:val="mi-NZ"/>
        </w:rPr>
        <w:t xml:space="preserve"> (</w:t>
      </w:r>
      <w:r w:rsidRPr="005A7BDD">
        <w:rPr>
          <w:lang w:val="mi-NZ"/>
        </w:rPr>
        <w:t>at n 153</w:t>
      </w:r>
      <w:r w:rsidR="0002014D">
        <w:rPr>
          <w:lang w:val="mi-NZ"/>
        </w:rPr>
        <w:t>)</w:t>
      </w:r>
      <w:r w:rsidRPr="005A7BDD">
        <w:rPr>
          <w:lang w:val="mi-NZ"/>
        </w:rPr>
        <w:t>.</w:t>
      </w:r>
    </w:p>
  </w:footnote>
  <w:footnote w:id="54">
    <w:p w14:paraId="3E3F5966"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lang w:val="mi-NZ"/>
        </w:rPr>
        <w:t xml:space="preserve">Winitana v Attorney-General </w:t>
      </w:r>
      <w:r w:rsidRPr="005A7BDD">
        <w:rPr>
          <w:lang w:val="mi-NZ"/>
        </w:rPr>
        <w:t>[2019] NZHC 381 at [9].</w:t>
      </w:r>
    </w:p>
  </w:footnote>
  <w:footnote w:id="55">
    <w:p w14:paraId="1F55769F" w14:textId="75D6FFDF" w:rsidR="00662072" w:rsidRPr="005A7BDD" w:rsidRDefault="00662072" w:rsidP="00662072">
      <w:pPr>
        <w:pStyle w:val="FootnoteText"/>
        <w:rPr>
          <w:i/>
          <w:iCs/>
        </w:rPr>
      </w:pPr>
      <w:r w:rsidRPr="005A7BDD">
        <w:rPr>
          <w:rStyle w:val="FootnoteReference"/>
          <w:rFonts w:eastAsiaTheme="minorHAnsi"/>
        </w:rPr>
        <w:footnoteRef/>
      </w:r>
      <w:r w:rsidRPr="005A7BDD">
        <w:t xml:space="preserve"> </w:t>
      </w:r>
      <w:r w:rsidRPr="005A7BDD">
        <w:tab/>
      </w:r>
      <w:r w:rsidRPr="005A7BDD">
        <w:rPr>
          <w:i/>
          <w:iCs/>
        </w:rPr>
        <w:t xml:space="preserve">Ellis v R </w:t>
      </w:r>
      <w:r w:rsidRPr="005A7BDD">
        <w:t>[</w:t>
      </w:r>
      <w:r w:rsidRPr="005A7BDD">
        <w:rPr>
          <w:lang w:val="mi-NZ"/>
        </w:rPr>
        <w:t>2022] NZSC 114</w:t>
      </w:r>
      <w:r w:rsidR="00EB7E9D">
        <w:rPr>
          <w:lang w:val="mi-NZ"/>
        </w:rPr>
        <w:t xml:space="preserve">, </w:t>
      </w:r>
      <w:r w:rsidR="00EB7E9D" w:rsidRPr="00EB7E9D">
        <w:rPr>
          <w:lang w:val="mi-NZ"/>
        </w:rPr>
        <w:t>[2022] 1 NZLR 239</w:t>
      </w:r>
      <w:r w:rsidRPr="005A7BDD">
        <w:rPr>
          <w:lang w:val="mi-NZ"/>
        </w:rPr>
        <w:t xml:space="preserve"> at [125].</w:t>
      </w:r>
    </w:p>
  </w:footnote>
  <w:footnote w:id="56">
    <w:p w14:paraId="2CB48010"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Doney v Adlam </w:t>
      </w:r>
      <w:r w:rsidRPr="005A7BDD">
        <w:t>[2023] NZHC 363.</w:t>
      </w:r>
    </w:p>
  </w:footnote>
  <w:footnote w:id="57">
    <w:p w14:paraId="23A1B889"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Doney v Adlam </w:t>
      </w:r>
      <w:r w:rsidRPr="005A7BDD">
        <w:t>[2023] NZHC 363 at [81].</w:t>
      </w:r>
    </w:p>
  </w:footnote>
  <w:footnote w:id="58">
    <w:p w14:paraId="0E3127A1" w14:textId="00F9B6BD" w:rsidR="00662072" w:rsidRPr="005A7BDD" w:rsidRDefault="00662072" w:rsidP="00662072">
      <w:pPr>
        <w:pStyle w:val="FootnoteText"/>
        <w:rPr>
          <w:lang w:val="mi-NZ"/>
        </w:rPr>
      </w:pPr>
      <w:r w:rsidRPr="005A7BDD">
        <w:rPr>
          <w:rStyle w:val="FootnoteReference"/>
        </w:rPr>
        <w:footnoteRef/>
      </w:r>
      <w:r w:rsidRPr="005A7BDD">
        <w:t xml:space="preserve"> </w:t>
      </w:r>
      <w:r w:rsidRPr="005A7BDD">
        <w:rPr>
          <w:lang w:val="mi-NZ"/>
        </w:rPr>
        <w:tab/>
      </w:r>
      <w:r w:rsidRPr="005A7BDD">
        <w:rPr>
          <w:i/>
          <w:iCs/>
        </w:rPr>
        <w:t xml:space="preserve">Doney v Adlam </w:t>
      </w:r>
      <w:r w:rsidRPr="005A7BDD">
        <w:t>[2023] NZHC 363 at [81]–[107].</w:t>
      </w:r>
    </w:p>
  </w:footnote>
  <w:footnote w:id="59">
    <w:p w14:paraId="0ECA0663" w14:textId="7616E23C"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 xml:space="preserve">High Court Rule 9.36, discussed in </w:t>
      </w:r>
      <w:r w:rsidRPr="005A7BDD">
        <w:rPr>
          <w:i/>
          <w:iCs/>
          <w:lang w:val="mi-NZ"/>
        </w:rPr>
        <w:t xml:space="preserve">Ngāti Whātua Ōrākei Trust v Attorney-General </w:t>
      </w:r>
      <w:r w:rsidRPr="005A7BDD">
        <w:rPr>
          <w:lang w:val="mi-NZ"/>
        </w:rPr>
        <w:t>[2020] NZHC 3120 at [36] where the Court observed that, “[e]</w:t>
      </w:r>
      <w:r w:rsidRPr="005A7BDD">
        <w:t>ven if r 9.36 did not apply, appointment of pūkenga by the High Court would be possible under its inherent jurisdiction</w:t>
      </w:r>
      <w:r w:rsidRPr="005A7BDD">
        <w:rPr>
          <w:lang w:val="mi-NZ"/>
        </w:rPr>
        <w:t xml:space="preserve">”. A power to apoint pūkenga also exists under the </w:t>
      </w:r>
      <w:r w:rsidRPr="005A7BDD">
        <w:t xml:space="preserve">Marine and Coastal Area (Takutai Moana) Act 2011, s 99. Pūkenga were appointed by the court in accordance with that provision in </w:t>
      </w:r>
      <w:r w:rsidRPr="005A7BDD">
        <w:rPr>
          <w:i/>
          <w:iCs/>
        </w:rPr>
        <w:t xml:space="preserve">Re Ngāti Pāhauwera </w:t>
      </w:r>
      <w:r w:rsidRPr="005A7BDD">
        <w:t>[2021] NZHC 3599</w:t>
      </w:r>
      <w:r w:rsidR="00A07B64">
        <w:t xml:space="preserve"> (</w:t>
      </w:r>
      <w:r w:rsidRPr="005A7BDD">
        <w:t>at [327]–[328]</w:t>
      </w:r>
      <w:r w:rsidR="00A07B64">
        <w:t>)</w:t>
      </w:r>
      <w:r w:rsidRPr="005A7BDD">
        <w:t xml:space="preserve"> and in </w:t>
      </w:r>
      <w:r w:rsidRPr="005A7BDD">
        <w:rPr>
          <w:i/>
          <w:iCs/>
        </w:rPr>
        <w:t xml:space="preserve">Re Edwards (No 2) </w:t>
      </w:r>
      <w:r w:rsidRPr="005A7BDD">
        <w:t xml:space="preserve">[2021] NZHC 1025, [2022] 2 NZLR 772 </w:t>
      </w:r>
      <w:r w:rsidR="00A07B64">
        <w:t>(</w:t>
      </w:r>
      <w:r w:rsidRPr="005A7BDD">
        <w:t>at [309]–[310]</w:t>
      </w:r>
      <w:r w:rsidR="00A07B64">
        <w:t>)</w:t>
      </w:r>
      <w:r w:rsidRPr="005A7BDD">
        <w:t xml:space="preserve">. </w:t>
      </w:r>
    </w:p>
  </w:footnote>
  <w:footnote w:id="60">
    <w:p w14:paraId="7763AE99"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rPr>
          <w:i/>
          <w:iCs/>
          <w:lang w:val="mi-NZ"/>
        </w:rPr>
        <w:t xml:space="preserve">Ngāti Whātua Ōrākei Trust v Attorney-General </w:t>
      </w:r>
      <w:r w:rsidRPr="005A7BDD">
        <w:rPr>
          <w:lang w:val="mi-NZ"/>
        </w:rPr>
        <w:t>[2020] NZHC 3120.</w:t>
      </w:r>
    </w:p>
  </w:footnote>
  <w:footnote w:id="61">
    <w:p w14:paraId="462E0AFC"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rPr>
          <w:i/>
          <w:iCs/>
          <w:lang w:val="mi-NZ"/>
        </w:rPr>
        <w:t xml:space="preserve">Ngāti Whātua Ōrākei Trust v Attorney-General </w:t>
      </w:r>
      <w:r w:rsidRPr="005A7BDD">
        <w:rPr>
          <w:lang w:val="mi-NZ"/>
        </w:rPr>
        <w:t>[2022] NZHC 843 at [93].</w:t>
      </w:r>
    </w:p>
  </w:footnote>
  <w:footnote w:id="62">
    <w:p w14:paraId="6F68327F"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 xml:space="preserve">Te Ture Whenua Maori Act 1993, s 61. </w:t>
      </w:r>
    </w:p>
  </w:footnote>
  <w:footnote w:id="63">
    <w:p w14:paraId="0B6620E2" w14:textId="18888FDF"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rPr>
        <w:t xml:space="preserve">Ellis v R </w:t>
      </w:r>
      <w:r w:rsidRPr="005A7BDD">
        <w:t>[</w:t>
      </w:r>
      <w:r w:rsidRPr="005A7BDD">
        <w:rPr>
          <w:lang w:val="mi-NZ"/>
        </w:rPr>
        <w:t>2022] NZSC 114</w:t>
      </w:r>
      <w:r w:rsidR="00EB7E9D" w:rsidRPr="00EB7E9D">
        <w:rPr>
          <w:lang w:val="mi-NZ"/>
        </w:rPr>
        <w:t>, [2022] 1 NZLR 239</w:t>
      </w:r>
      <w:r w:rsidRPr="005A7BDD">
        <w:rPr>
          <w:lang w:val="mi-NZ"/>
        </w:rPr>
        <w:t xml:space="preserve"> at [125]. </w:t>
      </w:r>
      <w:r w:rsidR="00C125ED">
        <w:t>See also</w:t>
      </w:r>
      <w:r w:rsidRPr="005A7BDD">
        <w:t xml:space="preserve"> comments from Winkelmann CJ at [181].</w:t>
      </w:r>
    </w:p>
  </w:footnote>
  <w:footnote w:id="64">
    <w:p w14:paraId="6808438F" w14:textId="354AB461"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Statement of Tikanga at [120], appended to</w:t>
      </w:r>
      <w:r w:rsidRPr="005A7BDD">
        <w:rPr>
          <w:i/>
          <w:iCs/>
        </w:rPr>
        <w:t xml:space="preserve"> Ellis v R </w:t>
      </w:r>
      <w:r w:rsidRPr="005A7BDD">
        <w:t>[</w:t>
      </w:r>
      <w:r w:rsidRPr="005A7BDD">
        <w:rPr>
          <w:lang w:val="mi-NZ"/>
        </w:rPr>
        <w:t>2022] NZSC 114</w:t>
      </w:r>
      <w:r w:rsidR="00EC6DF5" w:rsidRPr="00EC6DF5">
        <w:rPr>
          <w:lang w:val="mi-NZ"/>
        </w:rPr>
        <w:t>, [2022] 1 NZLR 239</w:t>
      </w:r>
      <w:r w:rsidRPr="005A7BDD">
        <w:t>.</w:t>
      </w:r>
    </w:p>
  </w:footnote>
  <w:footnote w:id="65">
    <w:p w14:paraId="2014AD67" w14:textId="48AEB07D"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 xml:space="preserve">In </w:t>
      </w:r>
      <w:r w:rsidRPr="005A7BDD">
        <w:rPr>
          <w:i/>
          <w:iCs/>
        </w:rPr>
        <w:t>Takamore v Clarke</w:t>
      </w:r>
      <w:r w:rsidRPr="005A7BDD">
        <w:t xml:space="preserve"> [2012] NZSC 116, [2013] 2 NZLR 733, Elias CJ had suggested that what constitutes Māori custom or tikanga in the particular case “is a question of fact for expert evidence” </w:t>
      </w:r>
      <w:r w:rsidR="0073737B">
        <w:t>(</w:t>
      </w:r>
      <w:r w:rsidRPr="005A7BDD">
        <w:t>at [95]</w:t>
      </w:r>
      <w:r w:rsidR="0073737B">
        <w:t>)</w:t>
      </w:r>
      <w:r w:rsidRPr="005A7BDD">
        <w:t xml:space="preserve">. </w:t>
      </w:r>
      <w:r w:rsidRPr="005A7BDD">
        <w:rPr>
          <w:lang w:val="mi-NZ"/>
        </w:rPr>
        <w:t xml:space="preserve">In </w:t>
      </w:r>
      <w:r w:rsidRPr="005A7BDD">
        <w:rPr>
          <w:i/>
          <w:iCs/>
        </w:rPr>
        <w:t xml:space="preserve">Ngāti Whātua Ōrākei Trust v Attorney-General </w:t>
      </w:r>
      <w:r w:rsidRPr="005A7BDD">
        <w:t xml:space="preserve">[2020] NZHC 3120, Palmer J accepted a submission that “tikanga is law proved as a matter of fact” </w:t>
      </w:r>
      <w:r w:rsidR="0073737B">
        <w:t>(</w:t>
      </w:r>
      <w:r w:rsidRPr="005A7BDD">
        <w:t>at [36]</w:t>
      </w:r>
      <w:r w:rsidR="0073737B">
        <w:t>)</w:t>
      </w:r>
      <w:r w:rsidRPr="005A7BDD">
        <w:t xml:space="preserve">. These observations were repeated in </w:t>
      </w:r>
      <w:r w:rsidRPr="005A7BDD">
        <w:rPr>
          <w:i/>
          <w:iCs/>
        </w:rPr>
        <w:t xml:space="preserve">Ngawaka v Ngāti Rehua-Ngātiwai ki Aotea Trust Board </w:t>
      </w:r>
      <w:r w:rsidRPr="005A7BDD">
        <w:t xml:space="preserve">(no 2) [2021] NZHC 291, [2021] 2 NZLR 1 at [47]. </w:t>
      </w:r>
    </w:p>
  </w:footnote>
  <w:footnote w:id="66">
    <w:p w14:paraId="544D03D6" w14:textId="2E8CF8E0"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rPr>
          <w:i/>
          <w:iCs/>
        </w:rPr>
        <w:t xml:space="preserve">Ellis v R </w:t>
      </w:r>
      <w:r w:rsidR="00793F50">
        <w:t>[2022] NZSC 114, [2022] 1 NZLR 239</w:t>
      </w:r>
      <w:r w:rsidRPr="005A7BDD">
        <w:rPr>
          <w:lang w:val="mi-NZ"/>
        </w:rPr>
        <w:t xml:space="preserve"> at n 151.</w:t>
      </w:r>
    </w:p>
  </w:footnote>
  <w:footnote w:id="67">
    <w:p w14:paraId="29990428" w14:textId="075B3DFE"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rPr>
        <w:t xml:space="preserve">Ellis v R </w:t>
      </w:r>
      <w:r w:rsidR="00793F50">
        <w:t>[2022] NZSC 114, [2022] 1 NZLR 239</w:t>
      </w:r>
      <w:r w:rsidRPr="005A7BDD">
        <w:t xml:space="preserve"> at [273]. </w:t>
      </w:r>
      <w:r w:rsidR="00C125ED">
        <w:t>See also</w:t>
      </w:r>
      <w:r w:rsidRPr="005A7BDD">
        <w:t xml:space="preserve"> comments from Winkelmann CJ at [181].</w:t>
      </w:r>
    </w:p>
  </w:footnote>
  <w:footnote w:id="68">
    <w:p w14:paraId="6E413D15" w14:textId="2A07A122"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Ellis v R </w:t>
      </w:r>
      <w:r w:rsidR="00793F50">
        <w:t>[2022] NZSC 114, [2022] 1 NZLR 239</w:t>
      </w:r>
      <w:r w:rsidRPr="005A7BDD">
        <w:t xml:space="preserve"> at [273].</w:t>
      </w:r>
    </w:p>
  </w:footnote>
  <w:footnote w:id="69">
    <w:p w14:paraId="57D14491"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rPr>
        <w:t xml:space="preserve">R v Saxton </w:t>
      </w:r>
      <w:r w:rsidRPr="005A7BDD">
        <w:t>DC Christchurch CRI-2004-002-000741, 25 October 2007.</w:t>
      </w:r>
    </w:p>
  </w:footnote>
  <w:footnote w:id="70">
    <w:p w14:paraId="124044EC"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rPr>
        <w:t xml:space="preserve">R v Saxton </w:t>
      </w:r>
      <w:r w:rsidRPr="005A7BDD">
        <w:t>DC Christchurch CRI-2004-002-000741, 25 October 2007, n 41.</w:t>
      </w:r>
    </w:p>
  </w:footnote>
  <w:footnote w:id="71">
    <w:p w14:paraId="46A0C7D5" w14:textId="3C6E38E4"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rPr>
        <w:t xml:space="preserve">R v Saxton </w:t>
      </w:r>
      <w:r w:rsidRPr="005A7BDD">
        <w:t xml:space="preserve">[2009] NZCA 498, [2012] 1 NZLR 331 at [78]. The Court of Appeal “appeared to agree with counsel that evidence of custom would be admissible under the Evidence Act 2006”: </w:t>
      </w:r>
      <w:r w:rsidR="00F66EB0">
        <w:t>Mathew Downs (ed)</w:t>
      </w:r>
      <w:r w:rsidRPr="005A7BDD">
        <w:t xml:space="preserve"> </w:t>
      </w:r>
      <w:r w:rsidRPr="005A7BDD">
        <w:rPr>
          <w:i/>
          <w:iCs/>
        </w:rPr>
        <w:t>Adams on Criminal Law – Evidence</w:t>
      </w:r>
      <w:r w:rsidRPr="005A7BDD">
        <w:t xml:space="preserve"> (online looseleaf ed, Thomson Reuters) at [EA18.03(1)].</w:t>
      </w:r>
    </w:p>
  </w:footnote>
  <w:footnote w:id="72">
    <w:p w14:paraId="211F15C4"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rPr>
          <w:i/>
          <w:iCs/>
        </w:rPr>
        <w:t>Proprietors of Wakatū Inc v Attorney-General</w:t>
      </w:r>
      <w:r w:rsidRPr="005A7BDD">
        <w:t xml:space="preserve"> [2012] NZHC 1461, [2012] BCL 396 at [41].</w:t>
      </w:r>
    </w:p>
  </w:footnote>
  <w:footnote w:id="73">
    <w:p w14:paraId="4092BC72"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rPr>
        <w:t>Proprietors of Wakatū Inc v Attorney-General</w:t>
      </w:r>
      <w:r w:rsidRPr="005A7BDD">
        <w:t xml:space="preserve"> HC Nelson CIV-2010-442-181, 7 December 2010 at [45], set out in </w:t>
      </w:r>
      <w:r w:rsidRPr="005A7BDD">
        <w:rPr>
          <w:i/>
          <w:iCs/>
        </w:rPr>
        <w:t>Proprietors of Wakatū Inc v Attorney-General</w:t>
      </w:r>
      <w:r w:rsidRPr="005A7BDD">
        <w:t xml:space="preserve"> [2012] NZHC 1461, [2012] BCL 396 at [41], and confirmed at [42].</w:t>
      </w:r>
    </w:p>
  </w:footnote>
  <w:footnote w:id="74">
    <w:p w14:paraId="58543CC0"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rPr>
          <w:i/>
          <w:iCs/>
        </w:rPr>
        <w:t xml:space="preserve">Te Ara Rangatū o Te Iwi o Ngāti Te Ata Waiohua Inc v Attorney-General </w:t>
      </w:r>
      <w:r w:rsidRPr="005A7BDD">
        <w:t>[2020] NZHC 1882.</w:t>
      </w:r>
    </w:p>
  </w:footnote>
  <w:footnote w:id="75">
    <w:p w14:paraId="32AB7BB3"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rPr>
          <w:i/>
          <w:iCs/>
        </w:rPr>
        <w:t xml:space="preserve">Te Ara Rangatū o Te Iwi o Ngāti Te Ata Waiohua Inc v Attorney-General </w:t>
      </w:r>
      <w:r w:rsidRPr="005A7BDD">
        <w:t>[2020] NZHC 1882 at [15].</w:t>
      </w:r>
    </w:p>
  </w:footnote>
  <w:footnote w:id="76">
    <w:p w14:paraId="77B555B8"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rPr>
        <w:t xml:space="preserve">Te Ara Rangatū o Te Iwi o Ngāti Te Ata Waiohua Inc v Attorney-General </w:t>
      </w:r>
      <w:r w:rsidRPr="005A7BDD">
        <w:t>[2020] NZHC 1882 at [142].</w:t>
      </w:r>
    </w:p>
  </w:footnote>
  <w:footnote w:id="77">
    <w:p w14:paraId="02A66FEE"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r>
      <w:r w:rsidRPr="005A7BDD">
        <w:rPr>
          <w:i/>
          <w:iCs/>
        </w:rPr>
        <w:t xml:space="preserve">Te Ara Rangatū o Te Iwi o Ngāti Te Ata Waiohua Inc v Attorney-General </w:t>
      </w:r>
      <w:r w:rsidRPr="005A7BDD">
        <w:t>[2020] NZHC 1882 at [15].</w:t>
      </w:r>
    </w:p>
  </w:footnote>
  <w:footnote w:id="78">
    <w:p w14:paraId="4620A925"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rPr>
          <w:i/>
          <w:iCs/>
        </w:rPr>
        <w:t xml:space="preserve">Te Ara Rangatū o Te Iwi o Ngāti Te Ata Waiohua Inc v Attorney-General </w:t>
      </w:r>
      <w:r w:rsidRPr="005A7BDD">
        <w:t>[2020] NZHC 1882 at [18].</w:t>
      </w:r>
    </w:p>
  </w:footnote>
  <w:footnote w:id="79">
    <w:p w14:paraId="6E05C64F" w14:textId="6D10858B"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 xml:space="preserve">Section 9 allows a </w:t>
      </w:r>
      <w:r w:rsidR="00C435A5">
        <w:rPr>
          <w:lang w:val="mi-NZ"/>
        </w:rPr>
        <w:t>j</w:t>
      </w:r>
      <w:r w:rsidRPr="005A7BDD">
        <w:rPr>
          <w:lang w:val="mi-NZ"/>
        </w:rPr>
        <w:t xml:space="preserve">udge to admit evidence that is not otherwise admissible “with the written or oral agreement of all parties”. The legislative history of this provision indicates that the language was intended to require express consent of the parties rather than implied consent. See discussion in Elisabeth McDonald and Scott Optican (eds) </w:t>
      </w:r>
      <w:r w:rsidRPr="005A7BDD">
        <w:rPr>
          <w:i/>
          <w:iCs/>
          <w:lang w:val="mi-NZ"/>
        </w:rPr>
        <w:t>Mahoney on Evidence: Act and Analysis</w:t>
      </w:r>
      <w:r w:rsidRPr="005A7BDD">
        <w:rPr>
          <w:lang w:val="mi-NZ"/>
        </w:rPr>
        <w:t xml:space="preserve"> (4th ed, Thomson Reuters, Wellington, 2018) at [EV9.02]</w:t>
      </w:r>
      <w:r w:rsidRPr="005A7BDD">
        <w:rPr>
          <w:i/>
          <w:iCs/>
          <w:lang w:val="mi-NZ"/>
        </w:rPr>
        <w:t>.</w:t>
      </w:r>
    </w:p>
  </w:footnote>
  <w:footnote w:id="80">
    <w:p w14:paraId="6E95BBAF" w14:textId="2ADA0204"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 xml:space="preserve">Not included in this list are the claims recently considered under the Marine and Coastal Area (Takutai Moana) Act 2011. As we explain below, claims under this Act are not subject to the rules in the Evidence Act 2006. Nonetheless it is notable that these cases involve extensive evidence from pūkenga, given the centrality of tikanga to the statutory tests. See, for example, </w:t>
      </w:r>
      <w:r w:rsidRPr="005A7BDD">
        <w:rPr>
          <w:i/>
          <w:iCs/>
        </w:rPr>
        <w:t xml:space="preserve">Re Ngāti Pāhauwera </w:t>
      </w:r>
      <w:r w:rsidRPr="005A7BDD">
        <w:t xml:space="preserve">[2021] NZHC 3599 at [321] and [324]. See also </w:t>
      </w:r>
      <w:r w:rsidRPr="005A7BDD">
        <w:rPr>
          <w:i/>
          <w:iCs/>
        </w:rPr>
        <w:t xml:space="preserve">Re Edwards (No 2) </w:t>
      </w:r>
      <w:r w:rsidRPr="005A7BDD">
        <w:t xml:space="preserve">[2021] NZHC 1025, [2022] 2 NZLR 772 at [131] and [308]; </w:t>
      </w:r>
      <w:r w:rsidRPr="005A7BDD">
        <w:rPr>
          <w:i/>
          <w:iCs/>
          <w:lang w:val="mi-NZ"/>
        </w:rPr>
        <w:t xml:space="preserve">Re Reeder </w:t>
      </w:r>
      <w:r w:rsidRPr="005A7BDD">
        <w:rPr>
          <w:lang w:val="mi-NZ"/>
        </w:rPr>
        <w:t>[2021] NZHC 2726 at [46];</w:t>
      </w:r>
      <w:r w:rsidRPr="005A7BDD">
        <w:t xml:space="preserve"> and </w:t>
      </w:r>
      <w:r w:rsidRPr="005A7BDD">
        <w:rPr>
          <w:i/>
          <w:iCs/>
        </w:rPr>
        <w:t xml:space="preserve">Paul v Attorney-General </w:t>
      </w:r>
      <w:r w:rsidRPr="005A7BDD">
        <w:t>[2022] NZCA 443 at [51].</w:t>
      </w:r>
    </w:p>
  </w:footnote>
  <w:footnote w:id="81">
    <w:p w14:paraId="014E1380" w14:textId="4F230CC7" w:rsidR="00662072" w:rsidRPr="005A7BDD" w:rsidRDefault="00662072" w:rsidP="00662072">
      <w:pPr>
        <w:pStyle w:val="FootnoteText"/>
      </w:pPr>
      <w:r w:rsidRPr="005A7BDD">
        <w:rPr>
          <w:rStyle w:val="FootnoteReference"/>
        </w:rPr>
        <w:footnoteRef/>
      </w:r>
      <w:r w:rsidRPr="005A7BDD">
        <w:t xml:space="preserve"> </w:t>
      </w:r>
      <w:r w:rsidRPr="005A7BDD">
        <w:tab/>
        <w:t xml:space="preserve">For example, </w:t>
      </w:r>
      <w:r w:rsidRPr="005A7BDD">
        <w:rPr>
          <w:i/>
          <w:iCs/>
        </w:rPr>
        <w:t xml:space="preserve">Ngawaka v Ngāti Rehua-Ngātiwai ki Aotea Trust Board (No 2) </w:t>
      </w:r>
      <w:r w:rsidRPr="005A7BDD">
        <w:t>[2021] NZHC 291, [2021] 2 NZLR 1 concerned a dispute between two groups of beneficiaries of the Ngāti Rehua-Ngātiwai ki Aotea Trust about the whakapapa of two people. The Court was asked to determine whether the dispute should be resolved by arbitration in accordance with a mediation agreement previously entered by the parties. The Court heard expert evidence from a pūkenga and hereditary rangatira in Ngāti Rehua-Ngātiwai ki Aotea tikanga</w:t>
      </w:r>
      <w:r w:rsidR="00A07B64">
        <w:t xml:space="preserve"> (</w:t>
      </w:r>
      <w:r w:rsidRPr="005A7BDD">
        <w:t>at [48]</w:t>
      </w:r>
      <w:r w:rsidR="00A07B64">
        <w:t>)</w:t>
      </w:r>
      <w:r w:rsidRPr="005A7BDD">
        <w:t>.</w:t>
      </w:r>
    </w:p>
  </w:footnote>
  <w:footnote w:id="82">
    <w:p w14:paraId="2B4ED0C5" w14:textId="2182D93B" w:rsidR="00662072" w:rsidRPr="005A7BDD" w:rsidRDefault="00662072" w:rsidP="00662072">
      <w:pPr>
        <w:pStyle w:val="FootnoteText"/>
      </w:pPr>
      <w:r w:rsidRPr="005A7BDD">
        <w:rPr>
          <w:rStyle w:val="FootnoteReference"/>
        </w:rPr>
        <w:footnoteRef/>
      </w:r>
      <w:r w:rsidRPr="005A7BDD">
        <w:t xml:space="preserve"> </w:t>
      </w:r>
      <w:r w:rsidRPr="005A7BDD">
        <w:tab/>
        <w:t xml:space="preserve">For example, </w:t>
      </w:r>
      <w:r w:rsidRPr="005A7BDD">
        <w:rPr>
          <w:i/>
          <w:iCs/>
        </w:rPr>
        <w:t xml:space="preserve">Cowan v Cowan </w:t>
      </w:r>
      <w:r w:rsidRPr="005A7BDD">
        <w:t>[2022] NZHC 1322</w:t>
      </w:r>
      <w:r w:rsidRPr="005A7BDD">
        <w:rPr>
          <w:i/>
          <w:iCs/>
        </w:rPr>
        <w:t xml:space="preserve"> </w:t>
      </w:r>
      <w:r w:rsidRPr="005A7BDD">
        <w:t>involved a dispute between whānau as to the proposed sale of the family home. The Court ruled expert evidence from a tikanga expert was admissible on the basis that it was relevant to the plaintiffs’ damages claim, as they argued that they had suffered financial damage and psychological loss because their customary rights to their papak</w:t>
      </w:r>
      <w:r w:rsidR="007A0422">
        <w:t>ā</w:t>
      </w:r>
      <w:r w:rsidRPr="005A7BDD">
        <w:t>inga had not been recognised by their family</w:t>
      </w:r>
      <w:r w:rsidR="00A07B64">
        <w:t xml:space="preserve"> (</w:t>
      </w:r>
      <w:r w:rsidRPr="005A7BDD">
        <w:t>at [8]–[9]</w:t>
      </w:r>
      <w:r w:rsidR="00A07B64">
        <w:t>)</w:t>
      </w:r>
      <w:r w:rsidRPr="005A7BDD">
        <w:t xml:space="preserve">. </w:t>
      </w:r>
    </w:p>
  </w:footnote>
  <w:footnote w:id="83">
    <w:p w14:paraId="09ABE30C" w14:textId="3336AD99" w:rsidR="00662072" w:rsidRPr="005A7BDD" w:rsidRDefault="00662072" w:rsidP="00662072">
      <w:pPr>
        <w:pStyle w:val="FootnoteText"/>
      </w:pPr>
      <w:r w:rsidRPr="005A7BDD">
        <w:rPr>
          <w:rStyle w:val="FootnoteReference"/>
        </w:rPr>
        <w:footnoteRef/>
      </w:r>
      <w:r w:rsidRPr="005A7BDD">
        <w:t xml:space="preserve"> </w:t>
      </w:r>
      <w:r w:rsidRPr="005A7BDD">
        <w:tab/>
        <w:t xml:space="preserve">For example, </w:t>
      </w:r>
      <w:r w:rsidRPr="005A7BDD">
        <w:rPr>
          <w:i/>
          <w:iCs/>
        </w:rPr>
        <w:t xml:space="preserve">Te Pou Matakana Ltd v Attorney-General </w:t>
      </w:r>
      <w:r w:rsidRPr="005A7BDD">
        <w:rPr>
          <w:lang w:val="mi-NZ"/>
        </w:rPr>
        <w:t>[2021] NZHC 3319, [2022] 2 NZLR 178</w:t>
      </w:r>
      <w:r w:rsidRPr="005A7BDD">
        <w:rPr>
          <w:i/>
          <w:iCs/>
        </w:rPr>
        <w:t xml:space="preserve"> </w:t>
      </w:r>
      <w:r w:rsidRPr="005A7BDD">
        <w:t>was a judicial</w:t>
      </w:r>
      <w:r w:rsidRPr="005A7BDD">
        <w:rPr>
          <w:i/>
          <w:iCs/>
        </w:rPr>
        <w:t xml:space="preserve"> </w:t>
      </w:r>
      <w:r w:rsidRPr="005A7BDD">
        <w:t>review of a decision by the Ministry of Health declining to provide the applicant with personal details of Māori living in Te Ika-a-Māui | North Island who had not yet received any dose of the C</w:t>
      </w:r>
      <w:r w:rsidR="0032765E">
        <w:t>OVID</w:t>
      </w:r>
      <w:r w:rsidRPr="005A7BDD">
        <w:t>-19 vaccine. Expert evidence was given as to what tikanga required in this context</w:t>
      </w:r>
      <w:r w:rsidR="00B771E9">
        <w:t xml:space="preserve"> (</w:t>
      </w:r>
      <w:r w:rsidRPr="005A7BDD">
        <w:t>at [108]</w:t>
      </w:r>
      <w:r w:rsidR="00B771E9">
        <w:t>)</w:t>
      </w:r>
      <w:r w:rsidRPr="005A7BDD">
        <w:t xml:space="preserve">. </w:t>
      </w:r>
    </w:p>
  </w:footnote>
  <w:footnote w:id="84">
    <w:p w14:paraId="2231FB4C" w14:textId="75C67905" w:rsidR="00662072" w:rsidRPr="005A7BDD" w:rsidRDefault="00662072" w:rsidP="00662072">
      <w:pPr>
        <w:pStyle w:val="FootnoteText"/>
      </w:pPr>
      <w:r w:rsidRPr="005A7BDD">
        <w:rPr>
          <w:rStyle w:val="FootnoteReference"/>
        </w:rPr>
        <w:footnoteRef/>
      </w:r>
      <w:r w:rsidRPr="005A7BDD">
        <w:t xml:space="preserve"> </w:t>
      </w:r>
      <w:r w:rsidRPr="005A7BDD">
        <w:tab/>
        <w:t xml:space="preserve">For example, </w:t>
      </w:r>
      <w:r w:rsidRPr="005A7BDD">
        <w:rPr>
          <w:i/>
          <w:iCs/>
          <w:lang w:val="mi-NZ"/>
        </w:rPr>
        <w:t xml:space="preserve">Urlich v Attorney-General </w:t>
      </w:r>
      <w:r w:rsidRPr="005A7BDD">
        <w:rPr>
          <w:lang w:val="mi-NZ"/>
        </w:rPr>
        <w:t xml:space="preserve">[2022] NZCA 38 concerned </w:t>
      </w:r>
      <w:r w:rsidRPr="005A7BDD">
        <w:t xml:space="preserve">the ownership of land once gifted by two brothers of Ngāti Kahu descent to the Crown for use as a Māori school. When </w:t>
      </w:r>
      <w:r w:rsidRPr="005A7BDD">
        <w:rPr>
          <w:lang w:val="mi-NZ"/>
        </w:rPr>
        <w:t xml:space="preserve">the school closed, the land was offered back to “successors” of the original owners in accordance with the Public Works Act 1981. This meant the land was offered back to the grandson of one of the original owners, but not the son of the other original owner, because he was not the residual beneficiary under his father’s will. Leave was granted to </w:t>
      </w:r>
      <w:r w:rsidR="005A34C5">
        <w:rPr>
          <w:lang w:val="mi-NZ"/>
        </w:rPr>
        <w:t>offer</w:t>
      </w:r>
      <w:r w:rsidRPr="005A7BDD">
        <w:rPr>
          <w:lang w:val="mi-NZ"/>
        </w:rPr>
        <w:t xml:space="preserve"> expert evidence </w:t>
      </w:r>
      <w:r w:rsidR="008D32AB">
        <w:rPr>
          <w:lang w:val="mi-NZ"/>
        </w:rPr>
        <w:t>that</w:t>
      </w:r>
      <w:r w:rsidRPr="005A7BDD">
        <w:rPr>
          <w:lang w:val="mi-NZ"/>
        </w:rPr>
        <w:t xml:space="preserve"> contended that these actions contravened Te Whānau Moana and Ngāti Kahu tikanga </w:t>
      </w:r>
      <w:r w:rsidR="002920B9">
        <w:rPr>
          <w:lang w:val="mi-NZ"/>
        </w:rPr>
        <w:t>(</w:t>
      </w:r>
      <w:r w:rsidRPr="005A7BDD">
        <w:rPr>
          <w:lang w:val="mi-NZ"/>
        </w:rPr>
        <w:t>at [37] and [39]</w:t>
      </w:r>
      <w:r w:rsidR="002920B9">
        <w:rPr>
          <w:lang w:val="mi-NZ"/>
        </w:rPr>
        <w:t>)</w:t>
      </w:r>
      <w:r w:rsidRPr="005A7BDD">
        <w:rPr>
          <w:lang w:val="mi-NZ"/>
        </w:rPr>
        <w:t>.</w:t>
      </w:r>
    </w:p>
  </w:footnote>
  <w:footnote w:id="85">
    <w:p w14:paraId="728249B7" w14:textId="7B2065A4"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Mercury NZ Ltd v Waitangi Tribunal </w:t>
      </w:r>
      <w:r w:rsidRPr="005A7BDD">
        <w:t xml:space="preserve">[2021] NZHC 654. It was argued that the Tribunal’s determination was unlawful as it was inconsistent with tikanga and in breach of the Treaty </w:t>
      </w:r>
      <w:r w:rsidR="002920B9">
        <w:t>(</w:t>
      </w:r>
      <w:r w:rsidRPr="005A7BDD">
        <w:t>at [95]</w:t>
      </w:r>
      <w:r w:rsidR="002920B9">
        <w:t>)</w:t>
      </w:r>
      <w:r w:rsidRPr="005A7BDD">
        <w:t xml:space="preserve">. Expert evidence on whether the Tribunal’s preliminary determination breached tikanga was received by the Court and was not contested or challenged </w:t>
      </w:r>
      <w:r w:rsidR="002920B9">
        <w:t>(</w:t>
      </w:r>
      <w:r w:rsidRPr="005A7BDD">
        <w:t>at n 78</w:t>
      </w:r>
      <w:r w:rsidR="002920B9">
        <w:t>)</w:t>
      </w:r>
      <w:r w:rsidRPr="005A7BDD">
        <w:t>.</w:t>
      </w:r>
    </w:p>
  </w:footnote>
  <w:footnote w:id="86">
    <w:p w14:paraId="0B52F565"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 xml:space="preserve">This case is </w:t>
      </w:r>
      <w:r w:rsidRPr="005A7BDD">
        <w:t>subject to publication restrictions until final disposition of trial.</w:t>
      </w:r>
    </w:p>
  </w:footnote>
  <w:footnote w:id="87">
    <w:p w14:paraId="089CE1F6" w14:textId="1C437477" w:rsidR="00662072" w:rsidRPr="005A7BDD" w:rsidRDefault="00662072" w:rsidP="00662072">
      <w:pPr>
        <w:pStyle w:val="FootnoteText"/>
      </w:pPr>
      <w:r w:rsidRPr="005A7BDD">
        <w:rPr>
          <w:rStyle w:val="FootnoteReference"/>
        </w:rPr>
        <w:footnoteRef/>
      </w:r>
      <w:r w:rsidRPr="005A7BDD">
        <w:t xml:space="preserve"> </w:t>
      </w:r>
      <w:r w:rsidRPr="005A7BDD">
        <w:tab/>
        <w:t>An upcoming case</w:t>
      </w:r>
      <w:r w:rsidRPr="005A7BDD">
        <w:rPr>
          <w:lang w:val="mi-NZ"/>
        </w:rPr>
        <w:t xml:space="preserve"> in which tikanga Māori and evidence about historical events is likely to be central to the issues in dispute concerns </w:t>
      </w:r>
      <w:r w:rsidRPr="005A7BDD">
        <w:t xml:space="preserve">Ngāi Tahu’s claim of rangatiratanga and pūtake-mauka rights and entitlements in their takiwā in relation to wai māori (freshwater): </w:t>
      </w:r>
      <w:r w:rsidRPr="005A7BDD">
        <w:rPr>
          <w:i/>
          <w:iCs/>
        </w:rPr>
        <w:t xml:space="preserve">Tau v Attorney-General </w:t>
      </w:r>
      <w:r w:rsidRPr="005A7BDD">
        <w:t xml:space="preserve">[2022] NZHC 2604. Ngāi Tahu says wai māori is a taonga and the assertion of its rights and entitlements is grounded in tikaka (tikanga in the Ngāi Tahu dialect) and riteka (ritenga in the Ngāi Tahu dialect). It contends these rights and entitlements have been constrained, encumbered, eroded, or removed by the conduct of the Crown and seeks declarations to recognise, restore or accommodate them </w:t>
      </w:r>
      <w:r w:rsidR="0076205A">
        <w:t>(</w:t>
      </w:r>
      <w:r w:rsidRPr="005A7BDD">
        <w:t>at [1]</w:t>
      </w:r>
      <w:r w:rsidR="0076205A">
        <w:t>)</w:t>
      </w:r>
      <w:r w:rsidRPr="005A7BDD">
        <w:t xml:space="preserve">. The trial is unlikely to be before 2025 </w:t>
      </w:r>
      <w:r w:rsidR="0076205A">
        <w:t>(</w:t>
      </w:r>
      <w:r w:rsidRPr="005A7BDD">
        <w:t>at [72]</w:t>
      </w:r>
      <w:r w:rsidR="0076205A">
        <w:t>)</w:t>
      </w:r>
      <w:r w:rsidRPr="005A7BDD">
        <w:t>.</w:t>
      </w:r>
    </w:p>
  </w:footnote>
  <w:footnote w:id="88">
    <w:p w14:paraId="05954BAD" w14:textId="205156C1"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Te Ture Whenua M</w:t>
      </w:r>
      <w:r w:rsidR="006B7890">
        <w:t>a</w:t>
      </w:r>
      <w:r w:rsidRPr="005A7BDD">
        <w:t>ori Act 1993</w:t>
      </w:r>
      <w:r w:rsidR="00375807">
        <w:t>, s 69(1)</w:t>
      </w:r>
      <w:r w:rsidRPr="005A7BDD">
        <w:t xml:space="preserve"> provides that the Māori Land Court and the Māori Appellate Court may receive as evidence any statement, document, information, or matter that, in the opinion of the </w:t>
      </w:r>
      <w:r w:rsidR="005A7E32">
        <w:t>C</w:t>
      </w:r>
      <w:r w:rsidRPr="005A7BDD">
        <w:t>ourt, may assist it to deal effectively with the matters before it, whether or not that would be legally admissible in evidence. Resource Management Act 1991</w:t>
      </w:r>
      <w:r w:rsidR="00E44A50">
        <w:t>, s 276</w:t>
      </w:r>
      <w:r w:rsidRPr="005A7BDD">
        <w:t xml:space="preserve"> provides that the Environment Court may receive anything in evidence that it considers appropriate to receive. The Marine and Coastal Area (Takutai Moana) Act 2011</w:t>
      </w:r>
      <w:r w:rsidR="00727687">
        <w:t>, s 105</w:t>
      </w:r>
      <w:r w:rsidRPr="005A7BDD">
        <w:t xml:space="preserve"> provides that the Court may receive as evidence any oral or written statement, document, matter or information that the Court considers to be reliable, whether or not that evidence would otherwise be admissible.</w:t>
      </w:r>
    </w:p>
  </w:footnote>
  <w:footnote w:id="89">
    <w:p w14:paraId="4B84CCE4" w14:textId="08919601"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Ngati Hokopu Ki Hokowhitu v Whakatane District Council </w:t>
      </w:r>
      <w:r w:rsidRPr="005A7BDD">
        <w:t>(2002) 9 ELRNZ 111 at [56]. For an example of the approach taken in the Māori Land Court</w:t>
      </w:r>
      <w:r w:rsidR="009D1DE1">
        <w:t>,</w:t>
      </w:r>
      <w:r w:rsidRPr="005A7BDD">
        <w:t xml:space="preserve"> see </w:t>
      </w:r>
      <w:r w:rsidRPr="005A7BDD">
        <w:rPr>
          <w:i/>
          <w:iCs/>
        </w:rPr>
        <w:t xml:space="preserve">Stone v Couch </w:t>
      </w:r>
      <w:r w:rsidRPr="005A7BDD">
        <w:t xml:space="preserve">– </w:t>
      </w:r>
      <w:r w:rsidRPr="005A7BDD">
        <w:rPr>
          <w:i/>
          <w:iCs/>
        </w:rPr>
        <w:t>Rāpaki MR 875 39A</w:t>
      </w:r>
      <w:r w:rsidRPr="005A7BDD">
        <w:t xml:space="preserve"> (2020) 65 Te Waipounamu MB 61 (65 TWP 61) at [56]–[57]. In relation to claims under the Marine and Coastal Area (Takutai Moana) Act 2011, the High Court has acknowledged that the proper authorities on tikanga are the living people who have retained the mātauranga, the knowledge and wisdom passed down to them by their ancestors: </w:t>
      </w:r>
      <w:r w:rsidRPr="005A7BDD">
        <w:rPr>
          <w:i/>
          <w:iCs/>
        </w:rPr>
        <w:t xml:space="preserve">Re Edwards (No 2) </w:t>
      </w:r>
      <w:r w:rsidRPr="005A7BDD">
        <w:t>[2021] NZHC 1025, [2022] 2 NZLR 772 at [308]; and</w:t>
      </w:r>
      <w:r w:rsidRPr="005A7BDD">
        <w:rPr>
          <w:i/>
          <w:iCs/>
        </w:rPr>
        <w:t xml:space="preserve"> Re Ngāti Pāhauwera </w:t>
      </w:r>
      <w:r w:rsidRPr="005A7BDD">
        <w:t xml:space="preserve">[2021] NZHC 3599 at [325]. </w:t>
      </w:r>
    </w:p>
  </w:footnote>
  <w:footnote w:id="90">
    <w:p w14:paraId="40B524A3" w14:textId="258849F2"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Ngati Hokopu Ki Hokowhitu v Whakatane District Council </w:t>
      </w:r>
      <w:r w:rsidRPr="005A7BDD">
        <w:t xml:space="preserve">(2002) 9 ELRNZ 111 at [57]. See also </w:t>
      </w:r>
      <w:r w:rsidRPr="005A7BDD">
        <w:rPr>
          <w:i/>
          <w:iCs/>
        </w:rPr>
        <w:t>Takamore Trustees v Kapiti Coast District Council</w:t>
      </w:r>
      <w:r w:rsidRPr="005A7BDD">
        <w:t xml:space="preserve"> [2003] 3 NZLR 496, where the High Court rejected the Environment Court’s criticisms of evidence given by kaumātua as to the presence of k</w:t>
      </w:r>
      <w:r w:rsidR="008D2545">
        <w:t>ō</w:t>
      </w:r>
      <w:r w:rsidRPr="005A7BDD">
        <w:t xml:space="preserve">iwi in the swamps of Takamore on the basis that it was hearsay, general in nature, and lacked any specificity by way of oral tradition or historical foundation. The High Court observed that it was “difficult to see, given we are concerned with an oral history which pre-dates European presence, more specificity is reasonably possible”, and “[t]he fact no European was present with pen and paper to record such burials could hardly be grounds for rejecting the evidence” </w:t>
      </w:r>
      <w:r w:rsidR="00A07B64">
        <w:t>(</w:t>
      </w:r>
      <w:r w:rsidRPr="005A7BDD">
        <w:t>at [67</w:t>
      </w:r>
      <w:r w:rsidR="00F22581">
        <w:t>]–</w:t>
      </w:r>
      <w:r w:rsidRPr="005A7BDD">
        <w:t>[68]</w:t>
      </w:r>
      <w:r w:rsidR="00A07B64">
        <w:t>)</w:t>
      </w:r>
      <w:r w:rsidRPr="005A7BDD">
        <w:t>. Further, reducing oral history to “assertion rather than evidence” was “not at all the proper approach to oral history such as this”</w:t>
      </w:r>
      <w:r w:rsidR="00A07B64">
        <w:t xml:space="preserve"> (</w:t>
      </w:r>
      <w:r w:rsidRPr="005A7BDD">
        <w:t>at [78]</w:t>
      </w:r>
      <w:r w:rsidR="00A07B64">
        <w:t>)</w:t>
      </w:r>
      <w:r w:rsidRPr="005A7BDD">
        <w:t>.</w:t>
      </w:r>
    </w:p>
  </w:footnote>
  <w:footnote w:id="91">
    <w:p w14:paraId="004B6AF1"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 xml:space="preserve">See discussion in Australian Law Reform Commission and others </w:t>
      </w:r>
      <w:r w:rsidRPr="005A7BDD">
        <w:rPr>
          <w:i/>
          <w:iCs/>
        </w:rPr>
        <w:t xml:space="preserve">Uniform Evidence Law: Report </w:t>
      </w:r>
      <w:r w:rsidRPr="005A7BDD">
        <w:t>(ALRC R102, NSWLRC R112, VLRC Final Report, December 2005), ch 19.</w:t>
      </w:r>
    </w:p>
  </w:footnote>
  <w:footnote w:id="92">
    <w:p w14:paraId="68525E57"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rPr>
          <w:lang w:val="mi-NZ"/>
        </w:rPr>
        <w:tab/>
        <w:t>See Evidence Act 1995 (Cth), s 72; Evidence Act 2011 (ACT); Evidence Act 1995 (NSW); Evidence Act 2008 (Vic); Evidence Act 2001 (Tas); and Evidence (National Uniform Legislation) Act 2011 (NT).</w:t>
      </w:r>
    </w:p>
  </w:footnote>
  <w:footnote w:id="93">
    <w:p w14:paraId="3AFA11B0" w14:textId="77777777" w:rsidR="00662072" w:rsidRPr="005A7BDD" w:rsidRDefault="00662072" w:rsidP="00662072">
      <w:pPr>
        <w:pStyle w:val="FootnoteText"/>
      </w:pPr>
      <w:r w:rsidRPr="005A7BDD">
        <w:rPr>
          <w:rStyle w:val="FootnoteReference"/>
        </w:rPr>
        <w:footnoteRef/>
      </w:r>
      <w:r w:rsidRPr="005A7BDD">
        <w:t xml:space="preserve"> </w:t>
      </w:r>
      <w:r w:rsidRPr="005A7BDD">
        <w:tab/>
        <w:t>See Evidence Act 1995 (Cth), s 78A.</w:t>
      </w:r>
    </w:p>
  </w:footnote>
  <w:footnote w:id="94">
    <w:p w14:paraId="26856C40" w14:textId="16F4B0F1" w:rsidR="00662072" w:rsidRPr="005A7BDD" w:rsidRDefault="00662072" w:rsidP="00662072">
      <w:pPr>
        <w:pStyle w:val="FootnoteText"/>
      </w:pPr>
      <w:r w:rsidRPr="005A7BDD">
        <w:rPr>
          <w:rStyle w:val="FootnoteReference"/>
        </w:rPr>
        <w:footnoteRef/>
      </w:r>
      <w:r w:rsidRPr="005A7BDD">
        <w:t xml:space="preserve"> </w:t>
      </w:r>
      <w:r w:rsidRPr="005A7BDD">
        <w:tab/>
        <w:t xml:space="preserve">The Act defines “expert” as a person who has specialised knowledge or skill based on training, study or experience: Evidence Act 2006, s 4 </w:t>
      </w:r>
      <w:r w:rsidR="00984FDA">
        <w:t>(</w:t>
      </w:r>
      <w:r w:rsidRPr="005A7BDD">
        <w:t>definition of “expert”</w:t>
      </w:r>
      <w:r w:rsidR="00984FDA">
        <w:t>)</w:t>
      </w:r>
      <w:r w:rsidRPr="005A7BDD">
        <w:t xml:space="preserve">. </w:t>
      </w:r>
    </w:p>
  </w:footnote>
  <w:footnote w:id="95">
    <w:p w14:paraId="67968886"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Deng v Zheng </w:t>
      </w:r>
      <w:r w:rsidRPr="005A7BDD">
        <w:t>[2022] NZSC 76 at [78(a)].</w:t>
      </w:r>
    </w:p>
  </w:footnote>
  <w:footnote w:id="96">
    <w:p w14:paraId="15005C24"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 xml:space="preserve">A similar option was considered in the Second Review but was not progressed: Te Aka Matua o te Ture | Law Commission </w:t>
      </w:r>
      <w:r w:rsidRPr="005A7BDD">
        <w:rPr>
          <w:i/>
          <w:iCs/>
          <w:lang w:val="mi-NZ"/>
        </w:rPr>
        <w:t xml:space="preserve">The Second Review of the Evidence Act 2006 </w:t>
      </w:r>
      <w:r w:rsidRPr="005A7BDD">
        <w:rPr>
          <w:lang w:val="mi-NZ"/>
        </w:rPr>
        <w:t xml:space="preserve">| </w:t>
      </w:r>
      <w:r w:rsidRPr="005A7BDD">
        <w:rPr>
          <w:i/>
          <w:iCs/>
          <w:lang w:val="mi-NZ"/>
        </w:rPr>
        <w:t xml:space="preserve">Te Arotake Tuarua i te Evidence Act 2006 </w:t>
      </w:r>
      <w:r w:rsidRPr="005A7BDD">
        <w:rPr>
          <w:lang w:val="mi-NZ"/>
        </w:rPr>
        <w:t>(NZLC R142, 2019) at [2.27]–[2.34].</w:t>
      </w:r>
    </w:p>
  </w:footnote>
  <w:footnote w:id="97">
    <w:p w14:paraId="49DB944A" w14:textId="77777777" w:rsidR="00662072" w:rsidRPr="005A7BDD" w:rsidRDefault="00662072" w:rsidP="00662072">
      <w:pPr>
        <w:pStyle w:val="FootnoteText"/>
      </w:pPr>
      <w:r w:rsidRPr="005A7BDD">
        <w:rPr>
          <w:rStyle w:val="FootnoteReference"/>
        </w:rPr>
        <w:footnoteRef/>
      </w:r>
      <w:r w:rsidRPr="005A7BDD">
        <w:t xml:space="preserve"> </w:t>
      </w:r>
      <w:r w:rsidRPr="005A7BDD">
        <w:tab/>
        <w:t>Resource Management Act 1991, s 269(3).</w:t>
      </w:r>
    </w:p>
  </w:footnote>
  <w:footnote w:id="98">
    <w:p w14:paraId="07D4B21A" w14:textId="77777777" w:rsidR="00662072" w:rsidRPr="005A7BDD" w:rsidRDefault="00662072" w:rsidP="00662072">
      <w:pPr>
        <w:pStyle w:val="FootnoteText"/>
      </w:pPr>
      <w:r w:rsidRPr="005A7BDD">
        <w:rPr>
          <w:rStyle w:val="FootnoteReference"/>
        </w:rPr>
        <w:footnoteRef/>
      </w:r>
      <w:r w:rsidRPr="005A7BDD">
        <w:t xml:space="preserve"> </w:t>
      </w:r>
      <w:r w:rsidRPr="005A7BDD">
        <w:tab/>
        <w:t>Te Ture Whenua Maori Act 1993, s 66(1).</w:t>
      </w:r>
    </w:p>
  </w:footnote>
  <w:footnote w:id="99">
    <w:p w14:paraId="05C15369" w14:textId="4B076705" w:rsidR="00662072" w:rsidRPr="0002399E" w:rsidRDefault="00662072" w:rsidP="00662072">
      <w:pPr>
        <w:pStyle w:val="FootnoteText"/>
      </w:pPr>
      <w:r w:rsidRPr="005A7BDD">
        <w:rPr>
          <w:rStyle w:val="FootnoteReference"/>
        </w:rPr>
        <w:footnoteRef/>
      </w:r>
      <w:r w:rsidRPr="005A7BDD">
        <w:t xml:space="preserve"> </w:t>
      </w:r>
      <w:r w:rsidRPr="005A7BDD">
        <w:tab/>
        <w:t xml:space="preserve">Eugene Bingham, Felippe Rodrigues and Chris McKeen “Unwarranted: The little-known, but widely-used police tactic” </w:t>
      </w:r>
      <w:r w:rsidR="0002399E">
        <w:t>(</w:t>
      </w:r>
      <w:r w:rsidRPr="005A7BDD">
        <w:t>2020)</w:t>
      </w:r>
      <w:r w:rsidR="0002399E">
        <w:t xml:space="preserve"> </w:t>
      </w:r>
      <w:r w:rsidR="0002399E" w:rsidRPr="0002399E">
        <w:t>Stuff</w:t>
      </w:r>
      <w:r w:rsidR="0002399E">
        <w:rPr>
          <w:i/>
          <w:iCs/>
        </w:rPr>
        <w:t xml:space="preserve"> </w:t>
      </w:r>
      <w:r w:rsidR="0002399E">
        <w:t>&lt;www.stuff.co.nz&gt;.</w:t>
      </w:r>
    </w:p>
  </w:footnote>
  <w:footnote w:id="100">
    <w:p w14:paraId="64A98CF4" w14:textId="77777777" w:rsidR="00662072" w:rsidRPr="005A7BDD" w:rsidRDefault="00662072" w:rsidP="00662072">
      <w:pPr>
        <w:pStyle w:val="FootnoteText"/>
      </w:pPr>
      <w:r w:rsidRPr="005A7BDD">
        <w:rPr>
          <w:rStyle w:val="FootnoteReference"/>
        </w:rPr>
        <w:footnoteRef/>
      </w:r>
      <w:r w:rsidRPr="005A7BDD">
        <w:t xml:space="preserve"> </w:t>
      </w:r>
      <w:r w:rsidRPr="005A7BDD">
        <w:tab/>
        <w:t>Ngā Pirihimana o Aotearoa | New Zealand Police “Police embark on new phase of research into Fair and Equitable policing” (2 June 2022) &lt;www.police.govt.nz&gt;.</w:t>
      </w:r>
    </w:p>
  </w:footnote>
  <w:footnote w:id="101">
    <w:p w14:paraId="5791541E"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lang w:val="mi-NZ"/>
        </w:rPr>
        <w:t>Kearns v R</w:t>
      </w:r>
      <w:r w:rsidRPr="005A7BDD">
        <w:rPr>
          <w:lang w:val="mi-NZ"/>
        </w:rPr>
        <w:t xml:space="preserve"> [2017] NZCA 51, [2017] 2 NZLR 835.</w:t>
      </w:r>
    </w:p>
  </w:footnote>
  <w:footnote w:id="102">
    <w:p w14:paraId="7D54D6D1"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Kearns v R </w:t>
      </w:r>
      <w:r w:rsidRPr="005A7BDD">
        <w:t xml:space="preserve">[2017] NZCA 51, [2017] 2 NZLR 835 at [38]–[42]. </w:t>
      </w:r>
    </w:p>
  </w:footnote>
  <w:footnote w:id="103">
    <w:p w14:paraId="3AC1FA8D"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lang w:val="mi-NZ"/>
        </w:rPr>
        <w:t xml:space="preserve">This case is </w:t>
      </w:r>
      <w:r w:rsidRPr="005A7BDD">
        <w:t>subject to publication restrictions until final disposition of trial.</w:t>
      </w:r>
    </w:p>
  </w:footnote>
  <w:footnote w:id="104">
    <w:p w14:paraId="3EB5B8FB"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rStyle w:val="normaltextrun"/>
          <w:rFonts w:eastAsiaTheme="minorHAnsi"/>
          <w:color w:val="0D0D0D"/>
          <w:szCs w:val="15"/>
          <w:shd w:val="clear" w:color="auto" w:fill="FFFFFF"/>
        </w:rPr>
        <w:t>Te Aka Matua o te Ture</w:t>
      </w:r>
      <w:r w:rsidRPr="005A7BDD">
        <w:rPr>
          <w:rStyle w:val="normaltextrun"/>
          <w:rFonts w:ascii="Calibri" w:eastAsiaTheme="minorHAnsi" w:hAnsi="Calibri" w:cs="Calibri"/>
          <w:color w:val="0D0D0D"/>
          <w:szCs w:val="15"/>
          <w:shd w:val="clear" w:color="auto" w:fill="FFFFFF"/>
        </w:rPr>
        <w:t> </w:t>
      </w:r>
      <w:r w:rsidRPr="005A7BDD">
        <w:rPr>
          <w:rStyle w:val="normaltextrun"/>
          <w:rFonts w:eastAsiaTheme="minorHAnsi"/>
          <w:color w:val="0D0D0D"/>
          <w:szCs w:val="15"/>
          <w:shd w:val="clear" w:color="auto" w:fill="FFFFFF"/>
        </w:rPr>
        <w:t>| Law Commission</w:t>
      </w:r>
      <w:r w:rsidRPr="005A7BDD">
        <w:rPr>
          <w:rStyle w:val="normaltextrun"/>
          <w:rFonts w:ascii="Calibri" w:eastAsiaTheme="minorHAnsi" w:hAnsi="Calibri" w:cs="Calibri"/>
          <w:color w:val="0D0D0D"/>
          <w:szCs w:val="15"/>
          <w:shd w:val="clear" w:color="auto" w:fill="FFFFFF"/>
        </w:rPr>
        <w:t> </w:t>
      </w:r>
      <w:r w:rsidRPr="005A7BDD">
        <w:rPr>
          <w:rStyle w:val="normaltextrun"/>
          <w:rFonts w:eastAsiaTheme="minorHAnsi"/>
          <w:i/>
          <w:iCs/>
          <w:color w:val="0D0D0D"/>
          <w:szCs w:val="15"/>
          <w:shd w:val="clear" w:color="auto" w:fill="FFFFFF"/>
        </w:rPr>
        <w:t>Evidence Law Reform: Te ao Māori</w:t>
      </w:r>
      <w:r w:rsidRPr="005A7BDD">
        <w:rPr>
          <w:rStyle w:val="normaltextrun"/>
          <w:rFonts w:ascii="Calibri" w:eastAsiaTheme="minorHAnsi" w:hAnsi="Calibri" w:cs="Calibri"/>
          <w:i/>
          <w:iCs/>
          <w:color w:val="0D0D0D"/>
          <w:szCs w:val="15"/>
          <w:shd w:val="clear" w:color="auto" w:fill="FFFFFF"/>
        </w:rPr>
        <w:t> </w:t>
      </w:r>
      <w:r w:rsidRPr="005A7BDD">
        <w:rPr>
          <w:rStyle w:val="normaltextrun"/>
          <w:rFonts w:eastAsiaTheme="minorHAnsi"/>
          <w:i/>
          <w:iCs/>
          <w:color w:val="0D0D0D"/>
          <w:szCs w:val="15"/>
          <w:shd w:val="clear" w:color="auto" w:fill="FFFFFF"/>
        </w:rPr>
        <w:t>Consultation</w:t>
      </w:r>
      <w:r w:rsidRPr="005A7BDD">
        <w:rPr>
          <w:rStyle w:val="normaltextrun"/>
          <w:rFonts w:ascii="Calibri" w:eastAsiaTheme="minorHAnsi" w:hAnsi="Calibri" w:cs="Calibri"/>
          <w:i/>
          <w:iCs/>
          <w:color w:val="0D0D0D"/>
          <w:szCs w:val="15"/>
          <w:shd w:val="clear" w:color="auto" w:fill="FFFFFF"/>
        </w:rPr>
        <w:t> </w:t>
      </w:r>
      <w:r w:rsidRPr="005A7BDD">
        <w:rPr>
          <w:rStyle w:val="normaltextrun"/>
          <w:rFonts w:eastAsiaTheme="minorHAnsi"/>
          <w:color w:val="0D0D0D"/>
          <w:szCs w:val="15"/>
          <w:shd w:val="clear" w:color="auto" w:fill="FFFFFF"/>
        </w:rPr>
        <w:t>(unpublished consultation paper, 1997) at</w:t>
      </w:r>
      <w:r w:rsidRPr="005A7BDD">
        <w:rPr>
          <w:rStyle w:val="normaltextrun"/>
          <w:rFonts w:ascii="Calibri" w:eastAsiaTheme="minorHAnsi" w:hAnsi="Calibri" w:cs="Calibri"/>
          <w:color w:val="0D0D0D"/>
          <w:szCs w:val="15"/>
          <w:shd w:val="clear" w:color="auto" w:fill="FFFFFF"/>
        </w:rPr>
        <w:t> </w:t>
      </w:r>
      <w:r w:rsidRPr="005A7BDD">
        <w:rPr>
          <w:rStyle w:val="normaltextrun"/>
          <w:rFonts w:eastAsiaTheme="minorHAnsi"/>
          <w:color w:val="0D0D0D"/>
          <w:szCs w:val="15"/>
          <w:shd w:val="clear" w:color="auto" w:fill="FFFFFF"/>
        </w:rPr>
        <w:t>[106]–[107].</w:t>
      </w:r>
      <w:r w:rsidRPr="005A7BDD">
        <w:rPr>
          <w:rStyle w:val="normaltextrun"/>
          <w:rFonts w:ascii="Calibri" w:eastAsiaTheme="minorHAnsi" w:hAnsi="Calibri" w:cs="Calibri"/>
          <w:color w:val="0D0D0D"/>
          <w:szCs w:val="15"/>
          <w:shd w:val="clear" w:color="auto" w:fill="FFFFFF"/>
        </w:rPr>
        <w:t> </w:t>
      </w:r>
    </w:p>
  </w:footnote>
  <w:footnote w:id="105">
    <w:p w14:paraId="5C865324" w14:textId="77777777" w:rsidR="00662072" w:rsidRPr="005A7BDD" w:rsidRDefault="00662072" w:rsidP="00662072">
      <w:pPr>
        <w:pStyle w:val="FootnoteText"/>
      </w:pPr>
      <w:r w:rsidRPr="005A7BDD">
        <w:rPr>
          <w:rStyle w:val="FootnoteReference"/>
        </w:rPr>
        <w:footnoteRef/>
      </w:r>
      <w:r w:rsidRPr="005A7BDD">
        <w:t xml:space="preserve"> </w:t>
      </w:r>
      <w:r w:rsidRPr="005A7BDD">
        <w:tab/>
        <w:t>Evidence Act 2006, s 126.</w:t>
      </w:r>
    </w:p>
  </w:footnote>
  <w:footnote w:id="106">
    <w:p w14:paraId="283083BE"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lang w:val="mi-NZ"/>
        </w:rPr>
        <w:t xml:space="preserve">Te Aka Matua o te Ture | Law Commission </w:t>
      </w:r>
      <w:r w:rsidRPr="005A7BDD">
        <w:rPr>
          <w:i/>
          <w:iCs/>
          <w:lang w:val="mi-NZ"/>
        </w:rPr>
        <w:t xml:space="preserve">The Second Review of the Evidence Act 2006 </w:t>
      </w:r>
      <w:r w:rsidRPr="005A7BDD">
        <w:rPr>
          <w:lang w:val="mi-NZ"/>
        </w:rPr>
        <w:t xml:space="preserve">| </w:t>
      </w:r>
      <w:r w:rsidRPr="005A7BDD">
        <w:rPr>
          <w:i/>
          <w:iCs/>
          <w:lang w:val="mi-NZ"/>
        </w:rPr>
        <w:t xml:space="preserve">Te Arotake Tuarua i te Evidence Act 2006 </w:t>
      </w:r>
      <w:r w:rsidRPr="005A7BDD">
        <w:rPr>
          <w:lang w:val="mi-NZ"/>
        </w:rPr>
        <w:t>(NZLC R142, 2019) at [2.35]–[2.63].</w:t>
      </w:r>
    </w:p>
  </w:footnote>
  <w:footnote w:id="107">
    <w:p w14:paraId="683AC692"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lang w:val="mi-NZ"/>
        </w:rPr>
        <w:t xml:space="preserve">Te Aka Matua o te Ture | Law Commission </w:t>
      </w:r>
      <w:r w:rsidRPr="005A7BDD">
        <w:rPr>
          <w:i/>
          <w:iCs/>
          <w:lang w:val="mi-NZ"/>
        </w:rPr>
        <w:t xml:space="preserve">The Second Review of the Evidence Act 2006 </w:t>
      </w:r>
      <w:r w:rsidRPr="005A7BDD">
        <w:rPr>
          <w:lang w:val="mi-NZ"/>
        </w:rPr>
        <w:t xml:space="preserve">| </w:t>
      </w:r>
      <w:r w:rsidRPr="005A7BDD">
        <w:rPr>
          <w:i/>
          <w:iCs/>
          <w:lang w:val="mi-NZ"/>
        </w:rPr>
        <w:t xml:space="preserve">Te Arotake Tuarua i te Evidence Act 2006 </w:t>
      </w:r>
      <w:r w:rsidRPr="005A7BDD">
        <w:rPr>
          <w:lang w:val="mi-NZ"/>
        </w:rPr>
        <w:t>(NZLC R142, 2019) at [2.40].</w:t>
      </w:r>
    </w:p>
  </w:footnote>
  <w:footnote w:id="108">
    <w:p w14:paraId="31E0B1DF"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 xml:space="preserve">Te Aka Matua o te Ture | Law Commission </w:t>
      </w:r>
      <w:r w:rsidRPr="005A7BDD">
        <w:rPr>
          <w:i/>
          <w:iCs/>
          <w:lang w:val="mi-NZ"/>
        </w:rPr>
        <w:t xml:space="preserve">The Second Review of the Evidence Act 2006 </w:t>
      </w:r>
      <w:r w:rsidRPr="005A7BDD">
        <w:rPr>
          <w:lang w:val="mi-NZ"/>
        </w:rPr>
        <w:t xml:space="preserve">| </w:t>
      </w:r>
      <w:r w:rsidRPr="005A7BDD">
        <w:rPr>
          <w:i/>
          <w:iCs/>
          <w:lang w:val="mi-NZ"/>
        </w:rPr>
        <w:t xml:space="preserve">Te Arotake Tuarua i te Evidence Act 2006 </w:t>
      </w:r>
      <w:r w:rsidRPr="005A7BDD">
        <w:rPr>
          <w:lang w:val="mi-NZ"/>
        </w:rPr>
        <w:t>(NZLC R142, 2019), recommendation 2.</w:t>
      </w:r>
    </w:p>
  </w:footnote>
  <w:footnote w:id="109">
    <w:p w14:paraId="141481E5" w14:textId="77777777"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Government Response to the Law Commission Report: The Second Review of the Evidence Act 2006 | Te Arotake Tuarua i te Evidence Act 2006 (September 2019) at 7.</w:t>
      </w:r>
    </w:p>
  </w:footnote>
  <w:footnote w:id="110">
    <w:p w14:paraId="71C7E569" w14:textId="7D09B6CA"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t xml:space="preserve">For example, in </w:t>
      </w:r>
      <w:r w:rsidRPr="005A7BDD">
        <w:rPr>
          <w:i/>
          <w:iCs/>
          <w:lang w:val="mi-NZ"/>
        </w:rPr>
        <w:t xml:space="preserve">Ngāti Whātua Ōrākei Trust v Attorney-General </w:t>
      </w:r>
      <w:r w:rsidRPr="005A7BDD">
        <w:rPr>
          <w:lang w:val="mi-NZ"/>
        </w:rPr>
        <w:t>[2020] NZHC 3120, some parties agreed among themselves that they would not cross-examine each other</w:t>
      </w:r>
      <w:r w:rsidR="001C7948">
        <w:rPr>
          <w:lang w:val="mi-NZ"/>
        </w:rPr>
        <w:t>’s</w:t>
      </w:r>
      <w:r w:rsidRPr="005A7BDD">
        <w:rPr>
          <w:lang w:val="mi-NZ"/>
        </w:rPr>
        <w:t xml:space="preserve"> witnesses on the basis that “[t]he absence of cross-examination does not mean that the evidence is uncontested. Any contest of evidence will be dealt with through submission rather than cross-examination”</w:t>
      </w:r>
      <w:r w:rsidR="00A07B64">
        <w:rPr>
          <w:lang w:val="mi-NZ"/>
        </w:rPr>
        <w:t xml:space="preserve"> (</w:t>
      </w:r>
      <w:r w:rsidRPr="005A7BDD">
        <w:rPr>
          <w:lang w:val="mi-NZ"/>
        </w:rPr>
        <w:t>at [11(a)]</w:t>
      </w:r>
      <w:r w:rsidR="00A07B64">
        <w:rPr>
          <w:lang w:val="mi-NZ"/>
        </w:rPr>
        <w:t>)</w:t>
      </w:r>
      <w:r w:rsidRPr="005A7BDD">
        <w:rPr>
          <w:lang w:val="mi-NZ"/>
        </w:rPr>
        <w:t>.</w:t>
      </w:r>
    </w:p>
  </w:footnote>
  <w:footnote w:id="111">
    <w:p w14:paraId="1CB8E854"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 xml:space="preserve">Te Aka Matua o te Ture | Law Commission </w:t>
      </w:r>
      <w:r w:rsidRPr="005A7BDD">
        <w:rPr>
          <w:i/>
          <w:iCs/>
        </w:rPr>
        <w:t xml:space="preserve">Evidence: Evidence Code and Commentary </w:t>
      </w:r>
      <w:r w:rsidRPr="005A7BDD">
        <w:t xml:space="preserve">(NZLC R55 Vol 2, 1999) at [C323]. </w:t>
      </w:r>
    </w:p>
  </w:footnote>
  <w:footnote w:id="112">
    <w:p w14:paraId="7CB5A9AA" w14:textId="77777777" w:rsidR="00662072" w:rsidRPr="005A7BDD" w:rsidRDefault="00662072" w:rsidP="00662072">
      <w:pPr>
        <w:pStyle w:val="FootnoteText"/>
      </w:pPr>
      <w:r w:rsidRPr="005A7BDD">
        <w:rPr>
          <w:rStyle w:val="FootnoteReference"/>
          <w:rFonts w:eastAsiaTheme="minorHAnsi"/>
        </w:rPr>
        <w:footnoteRef/>
      </w:r>
      <w:r w:rsidRPr="005A7BDD">
        <w:t xml:space="preserve"> </w:t>
      </w:r>
      <w:r w:rsidRPr="005A7BDD">
        <w:tab/>
        <w:t>Evidence Act 2006, s 85.</w:t>
      </w:r>
    </w:p>
  </w:footnote>
  <w:footnote w:id="113">
    <w:p w14:paraId="603AE614" w14:textId="24F47E66" w:rsidR="00662072" w:rsidRPr="005A7BDD" w:rsidRDefault="00662072" w:rsidP="00662072">
      <w:pPr>
        <w:pStyle w:val="FootnoteText"/>
        <w:rPr>
          <w:lang w:val="mi-NZ"/>
        </w:rPr>
      </w:pPr>
      <w:r w:rsidRPr="005A7BDD">
        <w:rPr>
          <w:rStyle w:val="FootnoteReference"/>
          <w:rFonts w:eastAsiaTheme="minorHAnsi"/>
        </w:rPr>
        <w:footnoteRef/>
      </w:r>
      <w:r w:rsidRPr="005A7BDD">
        <w:t xml:space="preserve"> </w:t>
      </w:r>
      <w:r w:rsidRPr="005A7BDD">
        <w:rPr>
          <w:lang w:val="mi-NZ"/>
        </w:rPr>
        <w:tab/>
      </w:r>
      <w:r w:rsidRPr="005A7BDD">
        <w:t xml:space="preserve">Te Aka Matua o te Ture | Law Commission </w:t>
      </w:r>
      <w:r w:rsidRPr="005A7BDD">
        <w:rPr>
          <w:i/>
          <w:iCs/>
        </w:rPr>
        <w:t xml:space="preserve">Evidence: Evidence Code and Commentary </w:t>
      </w:r>
      <w:r w:rsidRPr="005A7BDD">
        <w:t xml:space="preserve">(NZLC R55 Vol 2, 1999) at [C323]. It suggested one way would be to encourage counsel to state a possible position to which the </w:t>
      </w:r>
      <w:r w:rsidR="00F74347" w:rsidRPr="005A7BDD">
        <w:t>k</w:t>
      </w:r>
      <w:r w:rsidR="00F74347">
        <w:t>ā</w:t>
      </w:r>
      <w:r w:rsidR="00F74347" w:rsidRPr="005A7BDD">
        <w:t>umātua</w:t>
      </w:r>
      <w:r w:rsidRPr="005A7BDD">
        <w:t xml:space="preserve"> is invited to respond, instead of directly questioning a k</w:t>
      </w:r>
      <w:r w:rsidR="00E2745E">
        <w:t>ā</w:t>
      </w:r>
      <w:r w:rsidRPr="005A7BDD">
        <w:t>umātua.</w:t>
      </w:r>
    </w:p>
  </w:footnote>
  <w:footnote w:id="114">
    <w:p w14:paraId="4E9968E7" w14:textId="77777777" w:rsidR="00662072" w:rsidRPr="005A7BDD" w:rsidRDefault="00662072" w:rsidP="00662072">
      <w:pPr>
        <w:pStyle w:val="FootnoteText"/>
      </w:pPr>
      <w:r w:rsidRPr="005A7BDD">
        <w:rPr>
          <w:rStyle w:val="FootnoteReference"/>
        </w:rPr>
        <w:footnoteRef/>
      </w:r>
      <w:r w:rsidRPr="005A7BDD">
        <w:t xml:space="preserve"> </w:t>
      </w:r>
      <w:r w:rsidRPr="005A7BDD">
        <w:tab/>
        <w:t>Evidence Act 2006, s 79(1).</w:t>
      </w:r>
    </w:p>
  </w:footnote>
  <w:footnote w:id="115">
    <w:p w14:paraId="6E5A4560"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Bamber v Official Assignee </w:t>
      </w:r>
      <w:r w:rsidRPr="005A7BDD">
        <w:t>[2023] NZHC 260.</w:t>
      </w:r>
    </w:p>
  </w:footnote>
  <w:footnote w:id="116">
    <w:p w14:paraId="18245D74" w14:textId="77777777" w:rsidR="00662072" w:rsidRPr="005A7BDD"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Bamber v Official Assignee </w:t>
      </w:r>
      <w:r w:rsidRPr="005A7BDD">
        <w:t>[2023] NZHC 260 at [21].</w:t>
      </w:r>
    </w:p>
  </w:footnote>
  <w:footnote w:id="117">
    <w:p w14:paraId="4621DC12" w14:textId="77777777" w:rsidR="00662072" w:rsidRDefault="00662072" w:rsidP="00662072">
      <w:pPr>
        <w:pStyle w:val="FootnoteText"/>
      </w:pPr>
      <w:r w:rsidRPr="005A7BDD">
        <w:rPr>
          <w:rStyle w:val="FootnoteReference"/>
        </w:rPr>
        <w:footnoteRef/>
      </w:r>
      <w:r w:rsidRPr="005A7BDD">
        <w:t xml:space="preserve"> </w:t>
      </w:r>
      <w:r w:rsidRPr="005A7BDD">
        <w:tab/>
      </w:r>
      <w:r w:rsidRPr="005A7BDD">
        <w:rPr>
          <w:i/>
          <w:iCs/>
        </w:rPr>
        <w:t xml:space="preserve">Bamber v Official Assignee </w:t>
      </w:r>
      <w:r w:rsidRPr="005A7BDD">
        <w:t>[2023] NZHC 260 at [43].</w:t>
      </w:r>
    </w:p>
  </w:footnote>
  <w:footnote w:id="118">
    <w:p w14:paraId="6CD2F31B" w14:textId="77777777" w:rsidR="00024697" w:rsidRPr="00264A44" w:rsidRDefault="00024697" w:rsidP="00024697">
      <w:pPr>
        <w:pStyle w:val="FootnoteText"/>
      </w:pPr>
      <w:r>
        <w:rPr>
          <w:rStyle w:val="FootnoteReference"/>
        </w:rPr>
        <w:footnoteRef/>
      </w:r>
      <w:r>
        <w:t xml:space="preserve"> </w:t>
      </w:r>
      <w:r>
        <w:tab/>
      </w:r>
      <w:r w:rsidRPr="00264A44">
        <w:t>Codified in s 83 of the Evidence Act 2006.</w:t>
      </w:r>
    </w:p>
  </w:footnote>
  <w:footnote w:id="119">
    <w:p w14:paraId="73C53304"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Taniwha v R </w:t>
      </w:r>
      <w:r w:rsidRPr="00264A44">
        <w:t xml:space="preserve">[2016] NZSC 123, [2017] 1 NZLR 116 at [1]. </w:t>
      </w:r>
    </w:p>
  </w:footnote>
  <w:footnote w:id="120">
    <w:p w14:paraId="6F4302FB" w14:textId="77777777" w:rsidR="00024697" w:rsidRPr="00264A44" w:rsidRDefault="00024697" w:rsidP="00024697">
      <w:pPr>
        <w:pStyle w:val="FootnoteText"/>
      </w:pPr>
      <w:r w:rsidRPr="00264A44">
        <w:rPr>
          <w:rStyle w:val="FootnoteReference"/>
        </w:rPr>
        <w:footnoteRef/>
      </w:r>
      <w:r w:rsidRPr="00264A44">
        <w:t xml:space="preserve"> </w:t>
      </w:r>
      <w:r w:rsidRPr="00264A44">
        <w:tab/>
        <w:t>Evidence Act 2006, s 4 (definition of “witness”).</w:t>
      </w:r>
    </w:p>
  </w:footnote>
  <w:footnote w:id="121">
    <w:p w14:paraId="78D651FD"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lang w:eastAsia="en-AU"/>
        </w:rPr>
        <w:t>These exceptions include the Sovereign and other heads of state, judges, defendants and associated defendants.</w:t>
      </w:r>
    </w:p>
  </w:footnote>
  <w:footnote w:id="122">
    <w:p w14:paraId="51144C06" w14:textId="77777777" w:rsidR="00024697" w:rsidRDefault="00024697" w:rsidP="00024697">
      <w:pPr>
        <w:pStyle w:val="FootnoteText"/>
      </w:pPr>
      <w:r w:rsidRPr="00264A44">
        <w:rPr>
          <w:rStyle w:val="FootnoteReference"/>
        </w:rPr>
        <w:footnoteRef/>
      </w:r>
      <w:r w:rsidRPr="00264A44">
        <w:t xml:space="preserve"> </w:t>
      </w:r>
      <w:r w:rsidRPr="00264A44">
        <w:tab/>
        <w:t>Evidence Act 2006, s 4 (definition of “hearsay statement”).</w:t>
      </w:r>
    </w:p>
  </w:footnote>
  <w:footnote w:id="123">
    <w:p w14:paraId="12B5586D" w14:textId="77777777" w:rsidR="00024697" w:rsidRPr="00264A44" w:rsidRDefault="00024697" w:rsidP="00024697">
      <w:pPr>
        <w:pStyle w:val="FootnoteText"/>
      </w:pPr>
      <w:r>
        <w:rPr>
          <w:rStyle w:val="FootnoteReference"/>
        </w:rPr>
        <w:footnoteRef/>
      </w:r>
      <w:r>
        <w:t xml:space="preserve"> </w:t>
      </w:r>
      <w:r>
        <w:tab/>
      </w:r>
      <w:r w:rsidRPr="00264A44">
        <w:rPr>
          <w:i/>
          <w:iCs/>
          <w:szCs w:val="15"/>
        </w:rPr>
        <w:t>Awatere v R</w:t>
      </w:r>
      <w:r w:rsidRPr="00264A44">
        <w:rPr>
          <w:szCs w:val="15"/>
        </w:rPr>
        <w:t xml:space="preserve"> [2018] NZHC 883.</w:t>
      </w:r>
    </w:p>
  </w:footnote>
  <w:footnote w:id="124">
    <w:p w14:paraId="520E03B2" w14:textId="77777777" w:rsidR="00024697" w:rsidRPr="00264A44" w:rsidRDefault="00024697" w:rsidP="00024697">
      <w:pPr>
        <w:pStyle w:val="FootnoteText"/>
      </w:pPr>
      <w:r w:rsidRPr="00264A44">
        <w:rPr>
          <w:rStyle w:val="FootnoteReference"/>
        </w:rPr>
        <w:footnoteRef/>
      </w:r>
      <w:r w:rsidRPr="00264A44">
        <w:t xml:space="preserve"> </w:t>
      </w:r>
      <w:r w:rsidRPr="00264A44">
        <w:tab/>
        <w:t>See Criminal Procedure Act 2011, ss 159, 161 and 165.</w:t>
      </w:r>
    </w:p>
  </w:footnote>
  <w:footnote w:id="125">
    <w:p w14:paraId="7EB0A30B" w14:textId="6E641597" w:rsidR="00024697" w:rsidRPr="00264A44" w:rsidRDefault="00024697" w:rsidP="00024697">
      <w:pPr>
        <w:pStyle w:val="FootnoteText"/>
      </w:pPr>
      <w:r w:rsidRPr="00264A44">
        <w:rPr>
          <w:rStyle w:val="FootnoteReference"/>
        </w:rPr>
        <w:footnoteRef/>
      </w:r>
      <w:r w:rsidRPr="00264A44">
        <w:t xml:space="preserve"> </w:t>
      </w:r>
      <w:r w:rsidRPr="00264A44">
        <w:tab/>
        <w:t xml:space="preserve">Criminal </w:t>
      </w:r>
      <w:r w:rsidR="003D2AEE">
        <w:t>P</w:t>
      </w:r>
      <w:r w:rsidRPr="00264A44">
        <w:t>rocedure Act 2011, s 165(3)(a).</w:t>
      </w:r>
    </w:p>
  </w:footnote>
  <w:footnote w:id="126">
    <w:p w14:paraId="596BE5F7" w14:textId="6997D32C" w:rsidR="00024697" w:rsidRDefault="00024697" w:rsidP="00024697">
      <w:pPr>
        <w:pStyle w:val="FootnoteText"/>
      </w:pPr>
      <w:r w:rsidRPr="00264A44">
        <w:rPr>
          <w:rStyle w:val="FootnoteReference"/>
        </w:rPr>
        <w:footnoteRef/>
      </w:r>
      <w:r w:rsidRPr="00264A44">
        <w:t xml:space="preserve"> </w:t>
      </w:r>
      <w:r w:rsidRPr="00264A44">
        <w:tab/>
        <w:t xml:space="preserve">Criminal </w:t>
      </w:r>
      <w:r w:rsidR="00EC3A00">
        <w:t>P</w:t>
      </w:r>
      <w:r w:rsidRPr="00264A44">
        <w:t xml:space="preserve">rocedure Act 2011, s 165(2)(a). </w:t>
      </w:r>
      <w:r w:rsidR="00C125ED">
        <w:t>See also</w:t>
      </w:r>
      <w:r w:rsidRPr="00264A44">
        <w:t xml:space="preserve"> s 159, which provides that it is not an offence to refuse to appear in court in response to a witness summons if the person has a “reasonable excuse”, and s 161, which provides</w:t>
      </w:r>
      <w:r>
        <w:t xml:space="preserve"> that a judicial officer may issue a warrant to arrest a person who has failed to appear in response to a summons if “no reasonable excuse is offered” for that failure. </w:t>
      </w:r>
    </w:p>
  </w:footnote>
  <w:footnote w:id="127">
    <w:p w14:paraId="1B621012" w14:textId="77777777" w:rsidR="00024697" w:rsidRPr="00264A44" w:rsidRDefault="00024697" w:rsidP="00024697">
      <w:pPr>
        <w:pStyle w:val="FootnoteText"/>
        <w:rPr>
          <w:szCs w:val="15"/>
        </w:rPr>
      </w:pPr>
      <w:r w:rsidRPr="00B75AAF">
        <w:rPr>
          <w:rStyle w:val="FootnoteReference"/>
          <w:sz w:val="16"/>
          <w:szCs w:val="16"/>
        </w:rPr>
        <w:footnoteRef/>
      </w:r>
      <w:r w:rsidRPr="00B75AAF">
        <w:rPr>
          <w:sz w:val="16"/>
          <w:szCs w:val="16"/>
        </w:rPr>
        <w:t xml:space="preserve"> </w:t>
      </w:r>
      <w:r w:rsidRPr="00B75AAF">
        <w:rPr>
          <w:sz w:val="16"/>
          <w:szCs w:val="16"/>
        </w:rPr>
        <w:tab/>
      </w:r>
      <w:r w:rsidRPr="00264A44">
        <w:rPr>
          <w:i/>
          <w:iCs/>
          <w:szCs w:val="15"/>
        </w:rPr>
        <w:t>Awatere v R</w:t>
      </w:r>
      <w:r w:rsidRPr="00264A44">
        <w:rPr>
          <w:szCs w:val="15"/>
        </w:rPr>
        <w:t xml:space="preserve"> [2018] NZHC 883 at [13].</w:t>
      </w:r>
    </w:p>
  </w:footnote>
  <w:footnote w:id="128">
    <w:p w14:paraId="1C0F4620" w14:textId="77777777" w:rsidR="00024697" w:rsidRPr="00264A44" w:rsidRDefault="00024697" w:rsidP="00024697">
      <w:pPr>
        <w:pStyle w:val="FootnoteText"/>
        <w:rPr>
          <w:szCs w:val="15"/>
        </w:rPr>
      </w:pPr>
      <w:r w:rsidRPr="00264A44">
        <w:rPr>
          <w:rStyle w:val="FootnoteReference"/>
          <w:szCs w:val="15"/>
        </w:rPr>
        <w:footnoteRef/>
      </w:r>
      <w:r w:rsidRPr="00264A44">
        <w:rPr>
          <w:szCs w:val="15"/>
        </w:rPr>
        <w:t xml:space="preserve"> </w:t>
      </w:r>
      <w:r w:rsidRPr="00264A44">
        <w:rPr>
          <w:szCs w:val="15"/>
        </w:rPr>
        <w:tab/>
      </w:r>
      <w:r w:rsidRPr="00264A44">
        <w:rPr>
          <w:i/>
          <w:iCs/>
          <w:szCs w:val="15"/>
        </w:rPr>
        <w:t>Awatere v R</w:t>
      </w:r>
      <w:r w:rsidRPr="00264A44">
        <w:rPr>
          <w:szCs w:val="15"/>
        </w:rPr>
        <w:t xml:space="preserve"> [2018] NZHC 883 at [16].</w:t>
      </w:r>
    </w:p>
  </w:footnote>
  <w:footnote w:id="129">
    <w:p w14:paraId="11020D53" w14:textId="77777777" w:rsidR="00024697" w:rsidRPr="00264A44" w:rsidRDefault="00024697" w:rsidP="00024697">
      <w:pPr>
        <w:pStyle w:val="FootnoteText"/>
        <w:rPr>
          <w:szCs w:val="15"/>
        </w:rPr>
      </w:pPr>
      <w:r w:rsidRPr="00264A44">
        <w:rPr>
          <w:rStyle w:val="FootnoteReference"/>
          <w:szCs w:val="15"/>
        </w:rPr>
        <w:footnoteRef/>
      </w:r>
      <w:r w:rsidRPr="00264A44">
        <w:rPr>
          <w:szCs w:val="15"/>
        </w:rPr>
        <w:t xml:space="preserve"> </w:t>
      </w:r>
      <w:r w:rsidRPr="00264A44">
        <w:rPr>
          <w:szCs w:val="15"/>
        </w:rPr>
        <w:tab/>
      </w:r>
      <w:r w:rsidRPr="00264A44">
        <w:rPr>
          <w:i/>
          <w:iCs/>
          <w:szCs w:val="15"/>
        </w:rPr>
        <w:t>Awatere v R</w:t>
      </w:r>
      <w:r w:rsidRPr="00264A44">
        <w:rPr>
          <w:szCs w:val="15"/>
        </w:rPr>
        <w:t xml:space="preserve"> [2018] NZHC 883 at [25].</w:t>
      </w:r>
    </w:p>
  </w:footnote>
  <w:footnote w:id="130">
    <w:p w14:paraId="16C5D883" w14:textId="77777777" w:rsidR="00024697" w:rsidRPr="00264A44" w:rsidRDefault="00024697" w:rsidP="00024697">
      <w:pPr>
        <w:pStyle w:val="FootnoteText"/>
        <w:rPr>
          <w:szCs w:val="15"/>
        </w:rPr>
      </w:pPr>
      <w:r w:rsidRPr="00264A44">
        <w:rPr>
          <w:rStyle w:val="FootnoteReference"/>
          <w:szCs w:val="15"/>
        </w:rPr>
        <w:footnoteRef/>
      </w:r>
      <w:r w:rsidRPr="00264A44">
        <w:rPr>
          <w:szCs w:val="15"/>
        </w:rPr>
        <w:t xml:space="preserve"> </w:t>
      </w:r>
      <w:r w:rsidRPr="00264A44">
        <w:rPr>
          <w:szCs w:val="15"/>
        </w:rPr>
        <w:tab/>
      </w:r>
      <w:r w:rsidRPr="00264A44">
        <w:rPr>
          <w:i/>
          <w:szCs w:val="15"/>
        </w:rPr>
        <w:t>Awatere v R</w:t>
      </w:r>
      <w:r w:rsidRPr="00264A44">
        <w:rPr>
          <w:szCs w:val="15"/>
        </w:rPr>
        <w:t xml:space="preserve"> [2018] NZHC 883 at [39].</w:t>
      </w:r>
    </w:p>
  </w:footnote>
  <w:footnote w:id="131">
    <w:p w14:paraId="3F0FC546" w14:textId="77777777" w:rsidR="00024697" w:rsidRPr="00264A44" w:rsidRDefault="00024697" w:rsidP="00024697">
      <w:pPr>
        <w:pStyle w:val="FootnoteText"/>
        <w:rPr>
          <w:szCs w:val="15"/>
        </w:rPr>
      </w:pPr>
      <w:r w:rsidRPr="00264A44">
        <w:rPr>
          <w:rStyle w:val="FootnoteReference"/>
          <w:szCs w:val="15"/>
        </w:rPr>
        <w:footnoteRef/>
      </w:r>
      <w:r w:rsidRPr="00264A44">
        <w:rPr>
          <w:szCs w:val="15"/>
        </w:rPr>
        <w:t xml:space="preserve"> </w:t>
      </w:r>
      <w:r w:rsidRPr="00264A44">
        <w:rPr>
          <w:szCs w:val="15"/>
        </w:rPr>
        <w:tab/>
      </w:r>
      <w:r w:rsidRPr="00264A44">
        <w:rPr>
          <w:i/>
          <w:szCs w:val="15"/>
        </w:rPr>
        <w:t>Awatere v R</w:t>
      </w:r>
      <w:r w:rsidRPr="00264A44">
        <w:rPr>
          <w:szCs w:val="15"/>
        </w:rPr>
        <w:t xml:space="preserve"> [2018] NZHC 883 at [45].</w:t>
      </w:r>
    </w:p>
  </w:footnote>
  <w:footnote w:id="132">
    <w:p w14:paraId="5B0FE44C" w14:textId="77777777" w:rsidR="00024697" w:rsidRPr="00264A44" w:rsidRDefault="00024697" w:rsidP="00024697">
      <w:pPr>
        <w:pStyle w:val="FootnoteText"/>
      </w:pPr>
      <w:r w:rsidRPr="00264A44">
        <w:rPr>
          <w:rStyle w:val="FootnoteReference"/>
        </w:rPr>
        <w:footnoteRef/>
      </w:r>
      <w:r w:rsidRPr="00264A44">
        <w:t xml:space="preserve"> </w:t>
      </w:r>
      <w:r w:rsidRPr="00264A44">
        <w:tab/>
        <w:t>These cases are subject to publication restrictions until final disposition of trial.</w:t>
      </w:r>
    </w:p>
  </w:footnote>
  <w:footnote w:id="133">
    <w:p w14:paraId="0BB61799" w14:textId="559C205E" w:rsidR="00024697" w:rsidRPr="00264A44" w:rsidRDefault="00024697" w:rsidP="00024697">
      <w:pPr>
        <w:pStyle w:val="FootnoteText"/>
      </w:pPr>
      <w:r w:rsidRPr="00264A44">
        <w:rPr>
          <w:rStyle w:val="FootnoteReference"/>
        </w:rPr>
        <w:footnoteRef/>
      </w:r>
      <w:r w:rsidRPr="00264A44">
        <w:t xml:space="preserve"> </w:t>
      </w:r>
      <w:r w:rsidRPr="00264A44">
        <w:tab/>
        <w:t xml:space="preserve">Te Aka Matua o te Ture | Law Commission </w:t>
      </w:r>
      <w:r w:rsidRPr="00264A44">
        <w:rPr>
          <w:i/>
          <w:iCs/>
        </w:rPr>
        <w:t xml:space="preserve">Evidence: Evidence Code and Commentary </w:t>
      </w:r>
      <w:r w:rsidRPr="00264A44">
        <w:t>(NZLC R55 Vol 2, 1999) at 44–55. As part of its work on evidence law reform</w:t>
      </w:r>
      <w:r w:rsidR="00BF2844">
        <w:t>,</w:t>
      </w:r>
      <w:r w:rsidRPr="00264A44">
        <w:t xml:space="preserve"> the Commission had also published two preliminary papers on hearsay: </w:t>
      </w:r>
      <w:r w:rsidRPr="00264A44">
        <w:rPr>
          <w:lang w:val="mi-NZ"/>
        </w:rPr>
        <w:t xml:space="preserve">Te Aka Matua o te Ture | Law Commission </w:t>
      </w:r>
      <w:r w:rsidRPr="00264A44">
        <w:rPr>
          <w:i/>
          <w:iCs/>
          <w:lang w:val="mi-NZ"/>
        </w:rPr>
        <w:t xml:space="preserve">Hearsay Evidence </w:t>
      </w:r>
      <w:r w:rsidRPr="00264A44">
        <w:rPr>
          <w:lang w:val="mi-NZ"/>
        </w:rPr>
        <w:t xml:space="preserve">(NZLC PP10, 1989) and </w:t>
      </w:r>
      <w:r w:rsidRPr="00264A44">
        <w:t xml:space="preserve">Te Aka Matua o te Ture | Law Commission </w:t>
      </w:r>
      <w:r w:rsidRPr="00264A44">
        <w:rPr>
          <w:i/>
          <w:iCs/>
        </w:rPr>
        <w:t xml:space="preserve">Evidence Law: Hearsay </w:t>
      </w:r>
      <w:r w:rsidRPr="00264A44">
        <w:t>(NZLC PP15, 1991).</w:t>
      </w:r>
    </w:p>
  </w:footnote>
  <w:footnote w:id="134">
    <w:p w14:paraId="63B3EFD8" w14:textId="77777777" w:rsidR="00024697" w:rsidRPr="00264A44" w:rsidRDefault="00024697" w:rsidP="00024697">
      <w:pPr>
        <w:pStyle w:val="FootnoteText"/>
        <w:rPr>
          <w:sz w:val="16"/>
          <w:szCs w:val="16"/>
        </w:rPr>
      </w:pPr>
      <w:r w:rsidRPr="00264A44">
        <w:rPr>
          <w:rStyle w:val="FootnoteReference"/>
          <w:sz w:val="16"/>
          <w:szCs w:val="16"/>
        </w:rPr>
        <w:footnoteRef/>
      </w:r>
      <w:r w:rsidRPr="00264A44">
        <w:rPr>
          <w:sz w:val="16"/>
          <w:szCs w:val="16"/>
        </w:rPr>
        <w:t xml:space="preserve"> </w:t>
      </w:r>
      <w:r w:rsidRPr="00264A44">
        <w:rPr>
          <w:sz w:val="16"/>
          <w:szCs w:val="16"/>
        </w:rPr>
        <w:tab/>
      </w:r>
      <w:r w:rsidRPr="00264A44">
        <w:rPr>
          <w:szCs w:val="15"/>
        </w:rPr>
        <w:t xml:space="preserve">Te Aka Matua o te Ture | Law Commission </w:t>
      </w:r>
      <w:r w:rsidRPr="00264A44">
        <w:rPr>
          <w:i/>
          <w:iCs/>
          <w:szCs w:val="15"/>
        </w:rPr>
        <w:t>Evidence: Evidence Code and Commentary</w:t>
      </w:r>
      <w:r w:rsidRPr="00264A44">
        <w:rPr>
          <w:szCs w:val="15"/>
        </w:rPr>
        <w:t xml:space="preserve"> (NZLC R55 Vol 1, 1999) at [58].</w:t>
      </w:r>
    </w:p>
  </w:footnote>
  <w:footnote w:id="135">
    <w:p w14:paraId="09051234" w14:textId="60EAB976" w:rsidR="00024697" w:rsidRPr="00264A44" w:rsidRDefault="00024697" w:rsidP="00024697">
      <w:pPr>
        <w:pStyle w:val="FootnoteText"/>
        <w:rPr>
          <w:sz w:val="16"/>
          <w:szCs w:val="16"/>
        </w:rPr>
      </w:pPr>
      <w:r w:rsidRPr="00264A44">
        <w:rPr>
          <w:rStyle w:val="FootnoteReference"/>
          <w:sz w:val="16"/>
          <w:szCs w:val="16"/>
        </w:rPr>
        <w:footnoteRef/>
      </w:r>
      <w:r w:rsidRPr="00264A44">
        <w:rPr>
          <w:sz w:val="16"/>
          <w:szCs w:val="16"/>
        </w:rPr>
        <w:t xml:space="preserve"> </w:t>
      </w:r>
      <w:r w:rsidRPr="00264A44">
        <w:rPr>
          <w:sz w:val="16"/>
          <w:szCs w:val="16"/>
        </w:rPr>
        <w:tab/>
      </w:r>
      <w:r w:rsidRPr="00264A44">
        <w:rPr>
          <w:szCs w:val="15"/>
        </w:rPr>
        <w:t xml:space="preserve">Such as allowing anonymity or the use of screens or closed-circuit television. Te Aka Matua o te Ture | Law Commission </w:t>
      </w:r>
      <w:r w:rsidRPr="00264A44">
        <w:rPr>
          <w:i/>
          <w:iCs/>
          <w:szCs w:val="15"/>
        </w:rPr>
        <w:t>Evidence: Evidence Code and Commentary</w:t>
      </w:r>
      <w:r w:rsidRPr="00264A44">
        <w:rPr>
          <w:szCs w:val="15"/>
        </w:rPr>
        <w:t xml:space="preserve"> (NZLC R55 Vol 1, 1999) at [58]. The courts can and do give permission to give evidence remotely when witnesses are fearful of retaliation</w:t>
      </w:r>
      <w:r w:rsidR="00C4190A">
        <w:rPr>
          <w:szCs w:val="15"/>
        </w:rPr>
        <w:t>.</w:t>
      </w:r>
      <w:r w:rsidRPr="00264A44">
        <w:rPr>
          <w:szCs w:val="15"/>
        </w:rPr>
        <w:t xml:space="preserve"> See</w:t>
      </w:r>
      <w:r w:rsidR="00BF2844">
        <w:rPr>
          <w:szCs w:val="15"/>
        </w:rPr>
        <w:t>,</w:t>
      </w:r>
      <w:r w:rsidRPr="00264A44">
        <w:rPr>
          <w:szCs w:val="15"/>
        </w:rPr>
        <w:t xml:space="preserve"> for </w:t>
      </w:r>
      <w:r w:rsidR="00BF6739">
        <w:rPr>
          <w:szCs w:val="15"/>
        </w:rPr>
        <w:t>example,</w:t>
      </w:r>
      <w:r w:rsidRPr="00264A44">
        <w:rPr>
          <w:szCs w:val="15"/>
        </w:rPr>
        <w:t xml:space="preserve"> </w:t>
      </w:r>
      <w:r w:rsidRPr="00264A44">
        <w:rPr>
          <w:i/>
          <w:iCs/>
          <w:szCs w:val="15"/>
        </w:rPr>
        <w:t>Rameka v R</w:t>
      </w:r>
      <w:r w:rsidRPr="00264A44">
        <w:rPr>
          <w:szCs w:val="15"/>
        </w:rPr>
        <w:t xml:space="preserve"> [2019] NZCA 105 at [52].</w:t>
      </w:r>
    </w:p>
  </w:footnote>
  <w:footnote w:id="136">
    <w:p w14:paraId="22981B7A" w14:textId="77777777" w:rsidR="00024697" w:rsidRPr="00CD71CC" w:rsidRDefault="00024697" w:rsidP="00024697">
      <w:pPr>
        <w:pStyle w:val="FootnoteText"/>
      </w:pPr>
      <w:r w:rsidRPr="00264A44">
        <w:rPr>
          <w:rStyle w:val="FootnoteReference"/>
        </w:rPr>
        <w:footnoteRef/>
      </w:r>
      <w:r w:rsidRPr="00264A44">
        <w:t xml:space="preserve"> </w:t>
      </w:r>
      <w:r w:rsidRPr="00264A44">
        <w:tab/>
        <w:t xml:space="preserve">Te Aka Matua o te Ture | Law Commission </w:t>
      </w:r>
      <w:r w:rsidRPr="00264A44">
        <w:rPr>
          <w:i/>
          <w:iCs/>
        </w:rPr>
        <w:t xml:space="preserve">Evidence: Reform of the Law </w:t>
      </w:r>
      <w:r w:rsidRPr="00264A44">
        <w:t>(NZLC R55 Vol 1, 1999) at [59].</w:t>
      </w:r>
    </w:p>
  </w:footnote>
  <w:footnote w:id="137">
    <w:p w14:paraId="4062CED8" w14:textId="405590B4" w:rsidR="00024697" w:rsidRPr="00264A44" w:rsidRDefault="00024697" w:rsidP="00024697">
      <w:pPr>
        <w:pStyle w:val="FootnoteText"/>
      </w:pPr>
      <w:r w:rsidRPr="00264A44">
        <w:rPr>
          <w:rStyle w:val="FootnoteReference"/>
          <w:sz w:val="16"/>
          <w:szCs w:val="16"/>
        </w:rPr>
        <w:footnoteRef/>
      </w:r>
      <w:r w:rsidRPr="00264A44">
        <w:rPr>
          <w:sz w:val="16"/>
          <w:szCs w:val="16"/>
        </w:rPr>
        <w:t xml:space="preserve"> </w:t>
      </w:r>
      <w:r w:rsidRPr="00264A44">
        <w:rPr>
          <w:sz w:val="16"/>
          <w:szCs w:val="16"/>
        </w:rPr>
        <w:tab/>
      </w:r>
      <w:r w:rsidRPr="00264A44">
        <w:t xml:space="preserve">Te Aka Matua o te Ture | Law Commission </w:t>
      </w:r>
      <w:r w:rsidRPr="00264A44">
        <w:rPr>
          <w:i/>
          <w:iCs/>
        </w:rPr>
        <w:t xml:space="preserve">Evidence: Reform of the Law </w:t>
      </w:r>
      <w:r w:rsidRPr="00264A44">
        <w:t xml:space="preserve">(NZLC R55 Vol 1, 1999) </w:t>
      </w:r>
      <w:r w:rsidRPr="00264A44">
        <w:rPr>
          <w:sz w:val="16"/>
          <w:szCs w:val="16"/>
        </w:rPr>
        <w:t xml:space="preserve">at [344]. </w:t>
      </w:r>
      <w:r w:rsidR="00C125ED">
        <w:rPr>
          <w:sz w:val="16"/>
          <w:szCs w:val="16"/>
        </w:rPr>
        <w:t>See also</w:t>
      </w:r>
      <w:r w:rsidRPr="00264A44">
        <w:rPr>
          <w:sz w:val="16"/>
          <w:szCs w:val="16"/>
        </w:rPr>
        <w:t xml:space="preserve"> Te Aka Matua o te Ture | Law Commission </w:t>
      </w:r>
      <w:r w:rsidRPr="00264A44">
        <w:rPr>
          <w:i/>
          <w:iCs/>
          <w:sz w:val="16"/>
          <w:szCs w:val="16"/>
        </w:rPr>
        <w:t>Evidence Law: Privilege</w:t>
      </w:r>
      <w:r w:rsidRPr="00264A44">
        <w:rPr>
          <w:sz w:val="16"/>
          <w:szCs w:val="16"/>
        </w:rPr>
        <w:t xml:space="preserve"> (NZLC PP23, 1994) at [229]–[231].</w:t>
      </w:r>
    </w:p>
  </w:footnote>
  <w:footnote w:id="138">
    <w:p w14:paraId="29A5FECD"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Te Aka Matua o te Ture | Law Commission </w:t>
      </w:r>
      <w:r w:rsidRPr="00264A44">
        <w:rPr>
          <w:i/>
          <w:iCs/>
        </w:rPr>
        <w:t xml:space="preserve">Evidence: Reform of the Law </w:t>
      </w:r>
      <w:r w:rsidRPr="00264A44">
        <w:t xml:space="preserve">(NZLC R55 Vol 1, 1999) </w:t>
      </w:r>
      <w:r w:rsidRPr="00264A44">
        <w:rPr>
          <w:sz w:val="16"/>
          <w:szCs w:val="16"/>
        </w:rPr>
        <w:t>at</w:t>
      </w:r>
      <w:r w:rsidRPr="00264A44">
        <w:t xml:space="preserve"> [344].</w:t>
      </w:r>
    </w:p>
  </w:footnote>
  <w:footnote w:id="139">
    <w:p w14:paraId="602CB924" w14:textId="77777777" w:rsidR="00024697" w:rsidRPr="00264A44" w:rsidRDefault="00024697" w:rsidP="00024697">
      <w:pPr>
        <w:pStyle w:val="FootnoteText"/>
      </w:pPr>
      <w:r w:rsidRPr="00264A44">
        <w:rPr>
          <w:rStyle w:val="FootnoteReference"/>
          <w:szCs w:val="15"/>
        </w:rPr>
        <w:footnoteRef/>
      </w:r>
      <w:r w:rsidRPr="00264A44">
        <w:rPr>
          <w:szCs w:val="15"/>
        </w:rPr>
        <w:t xml:space="preserve"> </w:t>
      </w:r>
      <w:r w:rsidRPr="00264A44">
        <w:rPr>
          <w:szCs w:val="15"/>
        </w:rPr>
        <w:tab/>
      </w:r>
      <w:r w:rsidRPr="00264A44">
        <w:t xml:space="preserve">Te Aka Matua o te Ture | Law Commission </w:t>
      </w:r>
      <w:r w:rsidRPr="00264A44">
        <w:rPr>
          <w:i/>
          <w:iCs/>
        </w:rPr>
        <w:t xml:space="preserve">Evidence: Reform of the Law </w:t>
      </w:r>
      <w:r w:rsidRPr="00264A44">
        <w:t xml:space="preserve">(NZLC R55 Vol 1, 1999) </w:t>
      </w:r>
      <w:r w:rsidRPr="00264A44">
        <w:rPr>
          <w:szCs w:val="15"/>
        </w:rPr>
        <w:t>at [345].</w:t>
      </w:r>
    </w:p>
  </w:footnote>
  <w:footnote w:id="140">
    <w:p w14:paraId="2EC77C89" w14:textId="77777777" w:rsidR="00024697" w:rsidRPr="00264A44" w:rsidRDefault="00024697" w:rsidP="00024697">
      <w:pPr>
        <w:pStyle w:val="FootnoteText"/>
      </w:pPr>
      <w:r w:rsidRPr="00264A44">
        <w:rPr>
          <w:rStyle w:val="FootnoteReference"/>
          <w:szCs w:val="15"/>
        </w:rPr>
        <w:footnoteRef/>
      </w:r>
      <w:r w:rsidRPr="00264A44">
        <w:rPr>
          <w:szCs w:val="15"/>
        </w:rPr>
        <w:t xml:space="preserve"> </w:t>
      </w:r>
      <w:r w:rsidRPr="00264A44">
        <w:rPr>
          <w:szCs w:val="15"/>
        </w:rPr>
        <w:tab/>
      </w:r>
      <w:r w:rsidRPr="00264A44">
        <w:t xml:space="preserve">Te Aka Matua o te Ture | Law Commission </w:t>
      </w:r>
      <w:r w:rsidRPr="00264A44">
        <w:rPr>
          <w:i/>
          <w:iCs/>
        </w:rPr>
        <w:t xml:space="preserve">Evidence: Reform of the Law </w:t>
      </w:r>
      <w:r w:rsidRPr="00264A44">
        <w:t xml:space="preserve">(NZLC R55 Vol 1, 1999) </w:t>
      </w:r>
      <w:r w:rsidRPr="00264A44">
        <w:rPr>
          <w:szCs w:val="15"/>
        </w:rPr>
        <w:t>at [345].</w:t>
      </w:r>
    </w:p>
  </w:footnote>
  <w:footnote w:id="141">
    <w:p w14:paraId="3601612C" w14:textId="77777777" w:rsidR="00024697" w:rsidRPr="00264A44" w:rsidRDefault="00024697" w:rsidP="00024697">
      <w:pPr>
        <w:pStyle w:val="FootnoteText"/>
      </w:pPr>
      <w:r w:rsidRPr="00264A44">
        <w:rPr>
          <w:rStyle w:val="FootnoteReference"/>
          <w:szCs w:val="15"/>
        </w:rPr>
        <w:footnoteRef/>
      </w:r>
      <w:r w:rsidRPr="00264A44">
        <w:rPr>
          <w:szCs w:val="15"/>
        </w:rPr>
        <w:t xml:space="preserve"> </w:t>
      </w:r>
      <w:r w:rsidRPr="00264A44">
        <w:rPr>
          <w:szCs w:val="15"/>
        </w:rPr>
        <w:tab/>
      </w:r>
      <w:r w:rsidRPr="00264A44">
        <w:t xml:space="preserve">Te Aka Matua o te Ture | Law Commission </w:t>
      </w:r>
      <w:r w:rsidRPr="00264A44">
        <w:rPr>
          <w:i/>
          <w:iCs/>
        </w:rPr>
        <w:t xml:space="preserve">Evidence: Reform of the Law </w:t>
      </w:r>
      <w:r w:rsidRPr="00264A44">
        <w:t xml:space="preserve">(NZLC R55 Vol 1, 1999) </w:t>
      </w:r>
      <w:r w:rsidRPr="00264A44">
        <w:rPr>
          <w:szCs w:val="15"/>
        </w:rPr>
        <w:t>at [346].</w:t>
      </w:r>
    </w:p>
  </w:footnote>
  <w:footnote w:id="142">
    <w:p w14:paraId="6DF9A0CF" w14:textId="77777777" w:rsidR="00024697" w:rsidRPr="00264A44" w:rsidRDefault="00024697" w:rsidP="00024697">
      <w:pPr>
        <w:pStyle w:val="FootnoteText"/>
      </w:pPr>
      <w:r w:rsidRPr="00264A44">
        <w:rPr>
          <w:rStyle w:val="FootnoteReference"/>
          <w:szCs w:val="15"/>
        </w:rPr>
        <w:footnoteRef/>
      </w:r>
      <w:r w:rsidRPr="00264A44">
        <w:rPr>
          <w:szCs w:val="15"/>
        </w:rPr>
        <w:t xml:space="preserve"> </w:t>
      </w:r>
      <w:r w:rsidRPr="00264A44">
        <w:rPr>
          <w:szCs w:val="15"/>
        </w:rPr>
        <w:tab/>
      </w:r>
      <w:r w:rsidRPr="00264A44">
        <w:t xml:space="preserve">Te Aka Matua o te Ture | Law Commission </w:t>
      </w:r>
      <w:r w:rsidRPr="00264A44">
        <w:rPr>
          <w:i/>
          <w:iCs/>
        </w:rPr>
        <w:t xml:space="preserve">Evidence: Reform of the Law </w:t>
      </w:r>
      <w:r w:rsidRPr="00264A44">
        <w:t xml:space="preserve">(NZLC R55 Vol 1, 1999) at </w:t>
      </w:r>
      <w:r w:rsidRPr="00264A44">
        <w:rPr>
          <w:szCs w:val="15"/>
        </w:rPr>
        <w:t>[347].</w:t>
      </w:r>
    </w:p>
  </w:footnote>
  <w:footnote w:id="143">
    <w:p w14:paraId="1C9B1E83" w14:textId="0C0BEC79" w:rsidR="00024697" w:rsidRPr="00264A44" w:rsidRDefault="00024697" w:rsidP="00024697">
      <w:pPr>
        <w:pStyle w:val="FootnoteText"/>
      </w:pPr>
      <w:r w:rsidRPr="00264A44">
        <w:rPr>
          <w:rStyle w:val="FootnoteReference"/>
          <w:szCs w:val="15"/>
        </w:rPr>
        <w:footnoteRef/>
      </w:r>
      <w:r w:rsidRPr="00264A44">
        <w:t xml:space="preserve"> </w:t>
      </w:r>
      <w:r w:rsidRPr="00264A44">
        <w:tab/>
      </w:r>
      <w:r w:rsidR="003F085C" w:rsidRPr="003F085C">
        <w:t xml:space="preserve">Cabinet Paper “Evidence Bill: Paper 5: Spousal Witness Immunity and Children’s </w:t>
      </w:r>
      <w:r w:rsidR="003F085C" w:rsidRPr="000057F2">
        <w:t>Evidence” (</w:t>
      </w:r>
      <w:r w:rsidR="000057F2" w:rsidRPr="000057F2">
        <w:t>18 March 2003</w:t>
      </w:r>
      <w:r w:rsidR="003F085C" w:rsidRPr="000057F2">
        <w:t xml:space="preserve">) </w:t>
      </w:r>
      <w:r w:rsidRPr="000057F2">
        <w:t>at</w:t>
      </w:r>
      <w:r w:rsidRPr="00264A44">
        <w:t xml:space="preserve"> [12].</w:t>
      </w:r>
    </w:p>
  </w:footnote>
  <w:footnote w:id="144">
    <w:p w14:paraId="05EE3E11" w14:textId="41CEFB56" w:rsidR="00024697" w:rsidRPr="00264A44" w:rsidRDefault="00024697" w:rsidP="00024697">
      <w:pPr>
        <w:pStyle w:val="FootnoteText"/>
        <w:rPr>
          <w:sz w:val="16"/>
          <w:szCs w:val="16"/>
        </w:rPr>
      </w:pPr>
      <w:r w:rsidRPr="00264A44">
        <w:rPr>
          <w:rStyle w:val="FootnoteReference"/>
          <w:szCs w:val="15"/>
        </w:rPr>
        <w:footnoteRef/>
      </w:r>
      <w:r w:rsidRPr="00264A44">
        <w:rPr>
          <w:szCs w:val="15"/>
        </w:rPr>
        <w:t xml:space="preserve"> </w:t>
      </w:r>
      <w:r w:rsidRPr="00264A44">
        <w:rPr>
          <w:szCs w:val="15"/>
        </w:rPr>
        <w:tab/>
        <w:t>Evidence Bill 2005 (256-2) (</w:t>
      </w:r>
      <w:r w:rsidR="00792115">
        <w:rPr>
          <w:szCs w:val="15"/>
        </w:rPr>
        <w:t>s</w:t>
      </w:r>
      <w:r w:rsidRPr="00264A44">
        <w:rPr>
          <w:szCs w:val="15"/>
        </w:rPr>
        <w:t xml:space="preserve">elect </w:t>
      </w:r>
      <w:r w:rsidR="00792115">
        <w:rPr>
          <w:szCs w:val="15"/>
        </w:rPr>
        <w:t>c</w:t>
      </w:r>
      <w:r w:rsidRPr="00264A44">
        <w:rPr>
          <w:szCs w:val="15"/>
        </w:rPr>
        <w:t>ommittee report) at 9.</w:t>
      </w:r>
    </w:p>
  </w:footnote>
  <w:footnote w:id="145">
    <w:p w14:paraId="1FCFC7AD" w14:textId="77777777" w:rsidR="00024697" w:rsidRDefault="00024697" w:rsidP="00024697">
      <w:pPr>
        <w:pStyle w:val="FootnoteText"/>
      </w:pPr>
      <w:r w:rsidRPr="00264A44">
        <w:rPr>
          <w:rStyle w:val="FootnoteReference"/>
        </w:rPr>
        <w:footnoteRef/>
      </w:r>
      <w:r w:rsidRPr="00264A44">
        <w:t xml:space="preserve"> </w:t>
      </w:r>
      <w:r w:rsidRPr="00264A44">
        <w:tab/>
        <w:t xml:space="preserve">See, for example, discussion in Te Aka Matua o te Ture | Law Commission </w:t>
      </w:r>
      <w:r w:rsidRPr="00264A44">
        <w:rPr>
          <w:i/>
          <w:iCs/>
        </w:rPr>
        <w:t xml:space="preserve">Evidence: Reform of the Law </w:t>
      </w:r>
      <w:r w:rsidRPr="00264A44">
        <w:t>(NZLC R55 Vol 1, 1999) at [61]. These competing interests are recognised in s 6 of the Evidence Act 2006 which refers</w:t>
      </w:r>
      <w:r>
        <w:t xml:space="preserve"> to the need to provide rules of evidence that recognise the importance of the rights affirmed by the New Zealand Bill of Rights Act 1990, to promote fairness to parties and witnesses, and to protect other important public interests. </w:t>
      </w:r>
    </w:p>
  </w:footnote>
  <w:footnote w:id="146">
    <w:p w14:paraId="012C05DA" w14:textId="01B93C0A" w:rsidR="00024697" w:rsidRPr="00264A44" w:rsidRDefault="00024697" w:rsidP="00024697">
      <w:pPr>
        <w:pStyle w:val="FootnoteText"/>
      </w:pPr>
      <w:r>
        <w:rPr>
          <w:rStyle w:val="FootnoteReference"/>
        </w:rPr>
        <w:footnoteRef/>
      </w:r>
      <w:r>
        <w:t xml:space="preserve"> </w:t>
      </w:r>
      <w:r>
        <w:tab/>
      </w:r>
      <w:r w:rsidRPr="00264A44">
        <w:t xml:space="preserve">New Zealand Bill of Rights Act 1990, s 25(f). </w:t>
      </w:r>
      <w:r w:rsidR="00C125ED">
        <w:t>See also</w:t>
      </w:r>
      <w:r w:rsidRPr="00264A44">
        <w:t xml:space="preserve"> s 27. The Commission observed in its 1999 Report that to a lesser degree there may be analogous rights in civil proceedings – for instance, the right not to be subjected to an adverse judgment unless a case has been made out, and the right to call and cross-examine witnesses: Te Aka Matua o te Ture | Law Commission </w:t>
      </w:r>
      <w:r w:rsidRPr="00264A44">
        <w:rPr>
          <w:i/>
          <w:iCs/>
        </w:rPr>
        <w:t xml:space="preserve">Evidence: Reform of the Law </w:t>
      </w:r>
      <w:r w:rsidRPr="00264A44">
        <w:t>(NZLC R55 Vol 1, 1999) at [18].</w:t>
      </w:r>
    </w:p>
  </w:footnote>
  <w:footnote w:id="147">
    <w:p w14:paraId="10E9330C" w14:textId="77777777" w:rsidR="00024697" w:rsidRPr="00264A44" w:rsidRDefault="00024697" w:rsidP="00024697">
      <w:pPr>
        <w:pStyle w:val="FootnoteText"/>
        <w:rPr>
          <w:szCs w:val="15"/>
        </w:rPr>
      </w:pPr>
      <w:r w:rsidRPr="00264A44">
        <w:rPr>
          <w:rStyle w:val="FootnoteReference"/>
          <w:szCs w:val="15"/>
        </w:rPr>
        <w:footnoteRef/>
      </w:r>
      <w:r w:rsidRPr="00264A44">
        <w:rPr>
          <w:szCs w:val="15"/>
        </w:rPr>
        <w:t xml:space="preserve"> </w:t>
      </w:r>
      <w:r w:rsidRPr="00264A44">
        <w:rPr>
          <w:szCs w:val="15"/>
        </w:rPr>
        <w:tab/>
      </w:r>
      <w:r w:rsidRPr="00264A44">
        <w:rPr>
          <w:i/>
          <w:szCs w:val="15"/>
        </w:rPr>
        <w:t>Awatere v R</w:t>
      </w:r>
      <w:r w:rsidRPr="00264A44">
        <w:rPr>
          <w:szCs w:val="15"/>
        </w:rPr>
        <w:t xml:space="preserve"> [2018] NZHC 883 at [39].</w:t>
      </w:r>
    </w:p>
  </w:footnote>
  <w:footnote w:id="148">
    <w:p w14:paraId="5D580556" w14:textId="2672E04E" w:rsidR="00024697" w:rsidRPr="00264A44" w:rsidRDefault="00024697" w:rsidP="00024697">
      <w:pPr>
        <w:pStyle w:val="FootnoteText"/>
      </w:pPr>
      <w:r w:rsidRPr="00264A44">
        <w:rPr>
          <w:rStyle w:val="FootnoteReference"/>
        </w:rPr>
        <w:footnoteRef/>
      </w:r>
      <w:r w:rsidRPr="00264A44">
        <w:t xml:space="preserve"> </w:t>
      </w:r>
      <w:r w:rsidRPr="00264A44">
        <w:tab/>
        <w:t xml:space="preserve">Evidence Act 2006, ss 103–105 (general provisions about alternative ways of giving evidence); ss 106AA–106B (relating to family violence complainants); ss 106C–106J (relating to sexual case complainants or propensity witnesses); ss 107AA–107B (relating to child witnesses in criminal proceedings); ss 108 and 109 (relating to undercover </w:t>
      </w:r>
      <w:r w:rsidR="00482CFA">
        <w:t>p</w:t>
      </w:r>
      <w:r w:rsidRPr="00264A44">
        <w:t xml:space="preserve">olice officers); and ss 110–118 (relating to anonymous witnesses). In relation to family violence complainants, see discussion in </w:t>
      </w:r>
      <w:r w:rsidRPr="00264A44">
        <w:rPr>
          <w:lang w:val="mi-NZ"/>
        </w:rPr>
        <w:t xml:space="preserve">Te Aka Matua o te Ture | Law Commission </w:t>
      </w:r>
      <w:r w:rsidRPr="00264A44">
        <w:rPr>
          <w:i/>
          <w:iCs/>
          <w:lang w:val="mi-NZ"/>
        </w:rPr>
        <w:t xml:space="preserve">The Second Review of the Evidence Act 2006 </w:t>
      </w:r>
      <w:r w:rsidRPr="00264A44">
        <w:rPr>
          <w:lang w:val="mi-NZ"/>
        </w:rPr>
        <w:t xml:space="preserve">| </w:t>
      </w:r>
      <w:r w:rsidRPr="00264A44">
        <w:rPr>
          <w:i/>
          <w:iCs/>
          <w:lang w:val="mi-NZ"/>
        </w:rPr>
        <w:t xml:space="preserve">Te Arotake Tuarua i te Evidence Act 2006 </w:t>
      </w:r>
      <w:r w:rsidRPr="00264A44">
        <w:rPr>
          <w:lang w:val="mi-NZ"/>
        </w:rPr>
        <w:t>(NZLC R142, 2019), ch 9.</w:t>
      </w:r>
    </w:p>
  </w:footnote>
  <w:footnote w:id="149">
    <w:p w14:paraId="14D19F81" w14:textId="77777777" w:rsidR="00024697" w:rsidRDefault="00024697" w:rsidP="00024697">
      <w:pPr>
        <w:pStyle w:val="FootnoteText"/>
      </w:pPr>
      <w:r w:rsidRPr="00264A44">
        <w:rPr>
          <w:rStyle w:val="FootnoteReference"/>
        </w:rPr>
        <w:footnoteRef/>
      </w:r>
      <w:r w:rsidRPr="00264A44">
        <w:t xml:space="preserve"> </w:t>
      </w:r>
      <w:r w:rsidRPr="00264A44">
        <w:tab/>
        <w:t>Cara Thorburn “Compellability of Complainants in Family Violence Prosecutions: “Just Excuse” and the Application of the Hearsay Rules” [2019] NZLJ 57 at 59.</w:t>
      </w:r>
    </w:p>
  </w:footnote>
  <w:footnote w:id="150">
    <w:p w14:paraId="48E0DF32" w14:textId="77777777" w:rsidR="00024697" w:rsidRPr="00264A44" w:rsidRDefault="00024697" w:rsidP="00024697">
      <w:pPr>
        <w:pStyle w:val="FootnoteText"/>
      </w:pPr>
      <w:r>
        <w:rPr>
          <w:rStyle w:val="FootnoteReference"/>
        </w:rPr>
        <w:footnoteRef/>
      </w:r>
      <w:r>
        <w:t xml:space="preserve"> </w:t>
      </w:r>
      <w:r>
        <w:tab/>
      </w:r>
      <w:r w:rsidRPr="00264A44">
        <w:t>Cara Thorburn “Compellability of Complainants in Family Violence Prosecutions: “Just Excuse” and the Application of the Hearsay Rules” [2019] NZLJ 57 at 60.</w:t>
      </w:r>
    </w:p>
  </w:footnote>
  <w:footnote w:id="151">
    <w:p w14:paraId="75DF5801" w14:textId="02321D7F" w:rsidR="00024697" w:rsidRPr="00264A44" w:rsidRDefault="00024697" w:rsidP="00024697">
      <w:pPr>
        <w:pStyle w:val="FootnoteText"/>
      </w:pPr>
      <w:r w:rsidRPr="00264A44">
        <w:rPr>
          <w:rStyle w:val="FootnoteReference"/>
        </w:rPr>
        <w:footnoteRef/>
      </w:r>
      <w:r w:rsidRPr="00264A44">
        <w:t xml:space="preserve"> </w:t>
      </w:r>
      <w:r w:rsidRPr="00264A44">
        <w:tab/>
        <w:t xml:space="preserve">See, for example, </w:t>
      </w:r>
      <w:r w:rsidRPr="00264A44">
        <w:rPr>
          <w:szCs w:val="15"/>
        </w:rPr>
        <w:t>Evidence Bill 2005 (256-2) (</w:t>
      </w:r>
      <w:r w:rsidR="00543495">
        <w:rPr>
          <w:szCs w:val="15"/>
        </w:rPr>
        <w:t>s</w:t>
      </w:r>
      <w:r w:rsidRPr="00264A44">
        <w:rPr>
          <w:szCs w:val="15"/>
        </w:rPr>
        <w:t xml:space="preserve">elect </w:t>
      </w:r>
      <w:r w:rsidR="00543495">
        <w:rPr>
          <w:szCs w:val="15"/>
        </w:rPr>
        <w:t>c</w:t>
      </w:r>
      <w:r w:rsidRPr="00264A44">
        <w:rPr>
          <w:szCs w:val="15"/>
        </w:rPr>
        <w:t>ommittee report) at 9.</w:t>
      </w:r>
    </w:p>
  </w:footnote>
  <w:footnote w:id="152">
    <w:p w14:paraId="14400C36"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This was illustrated in </w:t>
      </w:r>
      <w:r w:rsidRPr="00264A44">
        <w:rPr>
          <w:i/>
          <w:iCs/>
        </w:rPr>
        <w:t xml:space="preserve">Huritu v New Zealand Police </w:t>
      </w:r>
      <w:r w:rsidRPr="00264A44">
        <w:t>[2021] NZCA 15 at [7]. The complainant was arrested on warrant to secure her attendance at the trial, and then bailed to attend the retrial. A second warrant was executed for her arrest when she failed to appear, but she could not be found.</w:t>
      </w:r>
    </w:p>
  </w:footnote>
  <w:footnote w:id="153">
    <w:p w14:paraId="7821322E" w14:textId="5109160E" w:rsidR="00024697" w:rsidRPr="00264A44" w:rsidRDefault="00024697" w:rsidP="00024697">
      <w:pPr>
        <w:pStyle w:val="FootnoteText"/>
      </w:pPr>
      <w:r w:rsidRPr="00264A44">
        <w:rPr>
          <w:rStyle w:val="FootnoteReference"/>
        </w:rPr>
        <w:footnoteRef/>
      </w:r>
      <w:r w:rsidRPr="00264A44">
        <w:t xml:space="preserve"> </w:t>
      </w:r>
      <w:r w:rsidRPr="00264A44">
        <w:tab/>
        <w:t xml:space="preserve">See, for example, Elisabeth McDonald </w:t>
      </w:r>
      <w:r w:rsidRPr="00264A44">
        <w:rPr>
          <w:i/>
          <w:iCs/>
        </w:rPr>
        <w:t xml:space="preserve">Principles of Evidence in Criminal Cases </w:t>
      </w:r>
      <w:r w:rsidRPr="00264A44">
        <w:t>(Thomson Reuters, Wellington, 2012) at 122</w:t>
      </w:r>
      <w:r w:rsidR="00F22581">
        <w:t>–</w:t>
      </w:r>
      <w:r w:rsidRPr="00264A44">
        <w:t>125.</w:t>
      </w:r>
    </w:p>
  </w:footnote>
  <w:footnote w:id="154">
    <w:p w14:paraId="2C8F0240" w14:textId="77777777" w:rsidR="00024697" w:rsidRPr="00264A44" w:rsidRDefault="00024697" w:rsidP="00024697">
      <w:pPr>
        <w:pStyle w:val="FootnoteText"/>
      </w:pPr>
      <w:r w:rsidRPr="00264A44">
        <w:rPr>
          <w:rStyle w:val="FootnoteReference"/>
          <w:sz w:val="16"/>
          <w:szCs w:val="16"/>
        </w:rPr>
        <w:footnoteRef/>
      </w:r>
      <w:r w:rsidRPr="00264A44">
        <w:rPr>
          <w:sz w:val="16"/>
          <w:szCs w:val="16"/>
        </w:rPr>
        <w:t xml:space="preserve"> </w:t>
      </w:r>
      <w:r w:rsidRPr="00264A44">
        <w:rPr>
          <w:sz w:val="16"/>
          <w:szCs w:val="16"/>
        </w:rPr>
        <w:tab/>
      </w:r>
      <w:r w:rsidRPr="00264A44">
        <w:t xml:space="preserve">Te Aka Matua o te Ture | Law Commission </w:t>
      </w:r>
      <w:r w:rsidRPr="00264A44">
        <w:rPr>
          <w:i/>
          <w:iCs/>
        </w:rPr>
        <w:t>Evidence Law: Privilege</w:t>
      </w:r>
      <w:r w:rsidRPr="00264A44">
        <w:t xml:space="preserve"> (NZLC PP23, 1994) </w:t>
      </w:r>
      <w:r w:rsidRPr="00264A44">
        <w:rPr>
          <w:sz w:val="16"/>
          <w:szCs w:val="16"/>
        </w:rPr>
        <w:t>at [230].</w:t>
      </w:r>
    </w:p>
  </w:footnote>
  <w:footnote w:id="155">
    <w:p w14:paraId="05562EB1" w14:textId="77777777" w:rsidR="00024697" w:rsidRPr="008C1D16" w:rsidRDefault="00024697" w:rsidP="00024697">
      <w:pPr>
        <w:pStyle w:val="FootnoteText"/>
      </w:pPr>
      <w:r w:rsidRPr="00264A44">
        <w:rPr>
          <w:rStyle w:val="FootnoteReference"/>
        </w:rPr>
        <w:footnoteRef/>
      </w:r>
      <w:r w:rsidRPr="00264A44">
        <w:t xml:space="preserve"> </w:t>
      </w:r>
      <w:r w:rsidRPr="00264A44">
        <w:tab/>
        <w:t xml:space="preserve">Evidence Act 2006, s 16(2)(d). See, for example, </w:t>
      </w:r>
      <w:r w:rsidRPr="00264A44">
        <w:rPr>
          <w:i/>
          <w:iCs/>
        </w:rPr>
        <w:t xml:space="preserve">Rameka v R </w:t>
      </w:r>
      <w:r w:rsidRPr="00264A44">
        <w:t xml:space="preserve">[2019] NZCA 105; </w:t>
      </w:r>
      <w:r w:rsidRPr="00264A44">
        <w:rPr>
          <w:i/>
          <w:iCs/>
        </w:rPr>
        <w:t xml:space="preserve">Huritu v New Zealand Police </w:t>
      </w:r>
      <w:r w:rsidRPr="00264A44">
        <w:t>[2021] NZCA 15</w:t>
      </w:r>
      <w:r w:rsidRPr="00264A44">
        <w:rPr>
          <w:i/>
          <w:iCs/>
        </w:rPr>
        <w:t>.</w:t>
      </w:r>
      <w:r>
        <w:t xml:space="preserve"> </w:t>
      </w:r>
    </w:p>
  </w:footnote>
  <w:footnote w:id="156">
    <w:p w14:paraId="5649DCD2" w14:textId="4A06A9C8" w:rsidR="00024697" w:rsidRPr="00264A44" w:rsidRDefault="00024697" w:rsidP="00024697">
      <w:pPr>
        <w:pStyle w:val="FootnoteText"/>
      </w:pPr>
      <w:r>
        <w:rPr>
          <w:rStyle w:val="FootnoteReference"/>
        </w:rPr>
        <w:footnoteRef/>
      </w:r>
      <w:r>
        <w:t xml:space="preserve"> </w:t>
      </w:r>
      <w:r>
        <w:tab/>
        <w:t xml:space="preserve">See, for </w:t>
      </w:r>
      <w:r w:rsidRPr="00264A44">
        <w:t xml:space="preserve">example, </w:t>
      </w:r>
      <w:r w:rsidRPr="00264A44">
        <w:rPr>
          <w:i/>
          <w:iCs/>
        </w:rPr>
        <w:t>Zespri Group Ltd v Gao</w:t>
      </w:r>
      <w:r w:rsidRPr="00264A44">
        <w:t xml:space="preserve"> [2020] NZHC 109, Schedule - Hearsay Rulings at [26]–[28]. In that case, genuine fears held by the makers of the hearsay statements were not sufficient to render them unavailable given the absence of efforts by the party to try and allay their concerns. The Court noted that confidentiality orders and alternative ways of giving evidence could have been explored, but in the absence of such efforts having been made, the threshold in s 16(2)(b) had not been met</w:t>
      </w:r>
      <w:r w:rsidR="00A07B64">
        <w:t xml:space="preserve"> (</w:t>
      </w:r>
      <w:r w:rsidRPr="00264A44">
        <w:t>at [28]</w:t>
      </w:r>
      <w:r w:rsidR="00A07B64">
        <w:t>)</w:t>
      </w:r>
      <w:r w:rsidRPr="00264A44">
        <w:t xml:space="preserve">. </w:t>
      </w:r>
    </w:p>
  </w:footnote>
  <w:footnote w:id="157">
    <w:p w14:paraId="6AA937AF" w14:textId="7EA91DC8" w:rsidR="00024697" w:rsidRDefault="00024697" w:rsidP="00024697">
      <w:pPr>
        <w:pStyle w:val="FootnoteText"/>
      </w:pPr>
      <w:r w:rsidRPr="00264A44">
        <w:rPr>
          <w:rStyle w:val="FootnoteReference"/>
        </w:rPr>
        <w:footnoteRef/>
      </w:r>
      <w:r w:rsidRPr="00264A44">
        <w:t xml:space="preserve"> </w:t>
      </w:r>
      <w:r w:rsidRPr="00264A44">
        <w:tab/>
        <w:t xml:space="preserve">While a finding can be made prior to trial that a person had a “reasonable excuse” for not responding to a witness summons under </w:t>
      </w:r>
      <w:r w:rsidR="00D8628A">
        <w:t>s</w:t>
      </w:r>
      <w:r w:rsidRPr="00264A44">
        <w:t xml:space="preserve"> 161 of the Criminal Procedure Act 2011, that decision is made by a judicial officer rather than a judge and, like decisions under s 165, is for a limited purpose</w:t>
      </w:r>
      <w:r>
        <w:t xml:space="preserve"> (deciding whether to issue an arrest warrant to obtain attendance of a summoned person before the court). </w:t>
      </w:r>
    </w:p>
  </w:footnote>
  <w:footnote w:id="158">
    <w:p w14:paraId="78CA14C7" w14:textId="77777777" w:rsidR="00024697" w:rsidRPr="00264A44" w:rsidRDefault="00024697" w:rsidP="00024697">
      <w:pPr>
        <w:pStyle w:val="FootnoteText"/>
      </w:pPr>
      <w:r>
        <w:rPr>
          <w:rStyle w:val="FootnoteReference"/>
        </w:rPr>
        <w:footnoteRef/>
      </w:r>
      <w:r>
        <w:t xml:space="preserve"> </w:t>
      </w:r>
      <w:r>
        <w:tab/>
        <w:t xml:space="preserve">Discussed </w:t>
      </w:r>
      <w:r w:rsidRPr="00264A44">
        <w:t>in Elisabeth McDonald “Hearsay in domestic violence cases” [2003] NZLJ 174 at 176.</w:t>
      </w:r>
    </w:p>
  </w:footnote>
  <w:footnote w:id="159">
    <w:p w14:paraId="7B8C1F2F" w14:textId="476FD7FA" w:rsidR="00024697" w:rsidRPr="00264A44" w:rsidRDefault="00024697" w:rsidP="00024697">
      <w:pPr>
        <w:pStyle w:val="FootnoteText"/>
      </w:pPr>
      <w:r w:rsidRPr="00264A44">
        <w:rPr>
          <w:rStyle w:val="FootnoteReference"/>
        </w:rPr>
        <w:footnoteRef/>
      </w:r>
      <w:r w:rsidRPr="00264A44">
        <w:t xml:space="preserve"> </w:t>
      </w:r>
      <w:r w:rsidRPr="00264A44">
        <w:tab/>
        <w:t>Elisabeth McDonald “Hearsay in domestic violence cases” [2003] NZLJ 174. McDonald argued that in all cases where there is a justificable decision to excuse a witness a finding of “unavailability” for hearsay purposes must follow</w:t>
      </w:r>
      <w:r w:rsidR="00A07B64">
        <w:t xml:space="preserve"> (</w:t>
      </w:r>
      <w:r w:rsidRPr="00264A44">
        <w:t>at 175</w:t>
      </w:r>
      <w:r w:rsidR="00A07B64">
        <w:t>)</w:t>
      </w:r>
      <w:r w:rsidRPr="00264A44">
        <w:t>. Scott Optican has also suggested consideration be given to such a provision</w:t>
      </w:r>
      <w:r w:rsidR="00872666">
        <w:t>:</w:t>
      </w:r>
      <w:r w:rsidRPr="00264A44">
        <w:t xml:space="preserve"> </w:t>
      </w:r>
      <w:r w:rsidR="00872666" w:rsidRPr="00264A44">
        <w:t xml:space="preserve">Scott Optican </w:t>
      </w:r>
      <w:r w:rsidRPr="00264A44">
        <w:t>“Evidence” [2021] NZ L Rev 313 at 343</w:t>
      </w:r>
      <w:r w:rsidR="00872666">
        <w:t xml:space="preserve"> and</w:t>
      </w:r>
      <w:r w:rsidRPr="00264A44">
        <w:t xml:space="preserve"> n 136</w:t>
      </w:r>
      <w:r w:rsidR="00872666">
        <w:t xml:space="preserve">; </w:t>
      </w:r>
      <w:r w:rsidR="00872666" w:rsidRPr="00264A44">
        <w:t>Scott Optican</w:t>
      </w:r>
      <w:r w:rsidRPr="00264A44">
        <w:t xml:space="preserve"> “Evidence” [2018] NZ L Rev 429 at 472.</w:t>
      </w:r>
    </w:p>
  </w:footnote>
  <w:footnote w:id="160">
    <w:p w14:paraId="499548E2" w14:textId="686388D7" w:rsidR="00024697" w:rsidRPr="00264A44" w:rsidRDefault="00024697" w:rsidP="00024697">
      <w:pPr>
        <w:pStyle w:val="FootnoteText"/>
      </w:pPr>
      <w:r w:rsidRPr="00264A44">
        <w:rPr>
          <w:rStyle w:val="FootnoteReference"/>
        </w:rPr>
        <w:footnoteRef/>
      </w:r>
      <w:r w:rsidRPr="00264A44">
        <w:t xml:space="preserve"> </w:t>
      </w:r>
      <w:r w:rsidRPr="00264A44">
        <w:tab/>
        <w:t xml:space="preserve">The approach in England and Wales </w:t>
      </w:r>
      <w:r w:rsidR="00495635">
        <w:t xml:space="preserve">(discussed below) </w:t>
      </w:r>
      <w:r w:rsidRPr="00264A44">
        <w:t xml:space="preserve">has also been implemented in South Australia: Evidence Act 1929 (SA), s 34KA. In Australia, </w:t>
      </w:r>
      <w:r w:rsidRPr="00264A44">
        <w:rPr>
          <w:lang w:eastAsia="en-AU"/>
        </w:rPr>
        <w:t xml:space="preserve">the categories of unavailability for hearsay purposes are similar to those in the Evidence Act 2006, but with additional categories that provide for situations where all reasonable steps have been taken by the party seeking to prove the person is not available to either find the person or secure their attendance, or to compel them to give evidence, but without success: Evidence Act 1995 (Cth), pt 2 s 4. This provides for situations where a witness makes it clear that they will resist attempts to make them attend or give evidence, and for situations where a person attends court but then refuses to provide evidence, whatever threats are made concerning the consequences arising out of a contempt of court: </w:t>
      </w:r>
      <w:r w:rsidRPr="00264A44">
        <w:t xml:space="preserve">Stephen Odgers </w:t>
      </w:r>
      <w:r w:rsidRPr="00264A44">
        <w:rPr>
          <w:i/>
          <w:iCs/>
        </w:rPr>
        <w:t xml:space="preserve">Uniform Evidence Law </w:t>
      </w:r>
      <w:r w:rsidRPr="00264A44">
        <w:t>(</w:t>
      </w:r>
      <w:r w:rsidR="007118F7">
        <w:t>17th ed, Thomson Reuters, Pyrmont, 2022</w:t>
      </w:r>
      <w:r w:rsidRPr="00264A44">
        <w:t xml:space="preserve">) at </w:t>
      </w:r>
      <w:r w:rsidRPr="00264A44">
        <w:rPr>
          <w:lang w:eastAsia="en-AU"/>
        </w:rPr>
        <w:t xml:space="preserve">1793–1794. </w:t>
      </w:r>
      <w:r w:rsidRPr="00264A44">
        <w:t xml:space="preserve">In Canada, </w:t>
      </w:r>
      <w:r w:rsidRPr="00264A44">
        <w:rPr>
          <w:lang w:eastAsia="en-AU"/>
        </w:rPr>
        <w:t xml:space="preserve">hearsay is admissible if it has sufficient reliability and, in the circumstances, admission is “reasonably necessary”, which has allowed for greater use of hearsay evidence from witnesses who are technically “available”. See, for example, </w:t>
      </w:r>
      <w:r w:rsidRPr="00264A44">
        <w:rPr>
          <w:i/>
          <w:iCs/>
          <w:lang w:eastAsia="en-AU"/>
        </w:rPr>
        <w:t>R v Khan</w:t>
      </w:r>
      <w:r w:rsidRPr="00264A44">
        <w:rPr>
          <w:lang w:eastAsia="en-AU"/>
        </w:rPr>
        <w:t xml:space="preserve"> [1990] 2 SCR 531 and </w:t>
      </w:r>
      <w:r w:rsidRPr="00264A44">
        <w:rPr>
          <w:i/>
          <w:iCs/>
          <w:lang w:eastAsia="en-AU"/>
        </w:rPr>
        <w:t>R v Rockey</w:t>
      </w:r>
      <w:r w:rsidRPr="00264A44">
        <w:rPr>
          <w:lang w:eastAsia="en-AU"/>
        </w:rPr>
        <w:t xml:space="preserve"> [1996] 3 SCR 829.</w:t>
      </w:r>
    </w:p>
  </w:footnote>
  <w:footnote w:id="161">
    <w:p w14:paraId="7F19D4D9"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Criminal Justice Act 2003 (UK), s 116(2)(e), replacing </w:t>
      </w:r>
      <w:r w:rsidRPr="00264A44">
        <w:rPr>
          <w:sz w:val="16"/>
          <w:szCs w:val="16"/>
        </w:rPr>
        <w:t>Criminal Justice Act 1988 (UK), 23(3)(b).</w:t>
      </w:r>
    </w:p>
  </w:footnote>
  <w:footnote w:id="162">
    <w:p w14:paraId="1D07855E" w14:textId="77777777" w:rsidR="00024697" w:rsidRPr="00264A44" w:rsidRDefault="00024697" w:rsidP="00024697">
      <w:pPr>
        <w:pStyle w:val="FootnoteText"/>
      </w:pPr>
      <w:r w:rsidRPr="00264A44">
        <w:rPr>
          <w:rStyle w:val="FootnoteReference"/>
        </w:rPr>
        <w:footnoteRef/>
      </w:r>
      <w:r w:rsidRPr="00264A44">
        <w:t xml:space="preserve"> </w:t>
      </w:r>
      <w:r w:rsidRPr="00264A44">
        <w:tab/>
        <w:t>Criminal Justice Act 2003 (UK), s 116(3).</w:t>
      </w:r>
    </w:p>
  </w:footnote>
  <w:footnote w:id="163">
    <w:p w14:paraId="4494166E" w14:textId="77777777" w:rsidR="00024697" w:rsidRDefault="00024697" w:rsidP="00024697">
      <w:pPr>
        <w:pStyle w:val="FootnoteText"/>
      </w:pPr>
      <w:r w:rsidRPr="00264A44">
        <w:rPr>
          <w:rStyle w:val="FootnoteReference"/>
        </w:rPr>
        <w:footnoteRef/>
      </w:r>
      <w:r w:rsidRPr="00264A44">
        <w:t xml:space="preserve"> </w:t>
      </w:r>
      <w:r w:rsidRPr="00264A44">
        <w:tab/>
        <w:t>Criminal Justice Act 2003 (UK), s 116(4).</w:t>
      </w:r>
    </w:p>
  </w:footnote>
  <w:footnote w:id="164">
    <w:p w14:paraId="002D450B" w14:textId="77777777" w:rsidR="00024697" w:rsidRPr="00264A44" w:rsidRDefault="00024697" w:rsidP="00024697">
      <w:pPr>
        <w:pStyle w:val="FootnoteText"/>
      </w:pPr>
      <w:r>
        <w:rPr>
          <w:rStyle w:val="FootnoteReference"/>
        </w:rPr>
        <w:footnoteRef/>
      </w:r>
      <w:r>
        <w:t xml:space="preserve"> </w:t>
      </w:r>
      <w:r>
        <w:tab/>
      </w:r>
      <w:r w:rsidRPr="00264A44">
        <w:t>Criminal Justice Act 2003 (UK), s 116(4). The court can also have regard to “any other relevant circumstances”: s 116(4)(d).</w:t>
      </w:r>
    </w:p>
  </w:footnote>
  <w:footnote w:id="165">
    <w:p w14:paraId="63BE6A9F"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Criminal Justice Act 2003 (UK), s 114. </w:t>
      </w:r>
    </w:p>
  </w:footnote>
  <w:footnote w:id="166">
    <w:p w14:paraId="1B0D3560" w14:textId="77777777" w:rsidR="00024697" w:rsidRPr="00264A44" w:rsidRDefault="00024697" w:rsidP="00024697">
      <w:pPr>
        <w:pStyle w:val="FootnoteText"/>
      </w:pPr>
      <w:r w:rsidRPr="00264A44">
        <w:rPr>
          <w:rStyle w:val="FootnoteReference"/>
        </w:rPr>
        <w:footnoteRef/>
      </w:r>
      <w:r w:rsidRPr="00264A44">
        <w:t xml:space="preserve"> </w:t>
      </w:r>
      <w:r w:rsidRPr="00264A44">
        <w:tab/>
        <w:t>The Convention for the Protection of Human Rights and Fundamental Freedoms (European Convention on Human Rights) 213 UNTS 221 (opened for signature 4 November 1950, entered into force 3 September 1953), Art 6(1) and 6(3)(d).</w:t>
      </w:r>
    </w:p>
  </w:footnote>
  <w:footnote w:id="167">
    <w:p w14:paraId="64C55D0B"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Al-Khawaja and Tahery v United Kingdom </w:t>
      </w:r>
      <w:r w:rsidRPr="00264A44">
        <w:t xml:space="preserve">[2011] 6 ECHR 191 (Grand Chamber). This issue was also considered by the Supreme Court of the United Kingdom in </w:t>
      </w:r>
      <w:r w:rsidRPr="00264A44">
        <w:rPr>
          <w:i/>
          <w:iCs/>
        </w:rPr>
        <w:t xml:space="preserve">R v Horncastle </w:t>
      </w:r>
      <w:r w:rsidRPr="00264A44">
        <w:t>[2009] UKSC 14.</w:t>
      </w:r>
    </w:p>
  </w:footnote>
  <w:footnote w:id="168">
    <w:p w14:paraId="028F5F8B"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Al-Khawaja and Tahery v United Kingdom </w:t>
      </w:r>
      <w:r w:rsidRPr="00264A44">
        <w:t>[2011] 6 ECHR 191 (Grand Chamber) at [119].</w:t>
      </w:r>
    </w:p>
  </w:footnote>
  <w:footnote w:id="169">
    <w:p w14:paraId="5151043A"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Al-Khawaja and Tahery v United Kingdom </w:t>
      </w:r>
      <w:r w:rsidRPr="00264A44">
        <w:t>[2011] 6 ECHR 191 (Grand Chamber) at [122]–[125].</w:t>
      </w:r>
    </w:p>
  </w:footnote>
  <w:footnote w:id="170">
    <w:p w14:paraId="2C1C0FC6"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Al-Khawaja and Tahery v United Kingdom </w:t>
      </w:r>
      <w:r w:rsidRPr="00264A44">
        <w:t>[2011] 6 ECHR 191 (Grand Chamber) at [122].</w:t>
      </w:r>
    </w:p>
  </w:footnote>
  <w:footnote w:id="171">
    <w:p w14:paraId="4B95DC38" w14:textId="77777777" w:rsidR="00024697"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Al-Khawaja and Tahery v United Kingdom </w:t>
      </w:r>
      <w:r w:rsidRPr="00264A44">
        <w:t>[2011] 6 ECHR 191 (Grand Chamber) at [123].</w:t>
      </w:r>
    </w:p>
  </w:footnote>
  <w:footnote w:id="172">
    <w:p w14:paraId="4F2E4083" w14:textId="77777777" w:rsidR="00024697" w:rsidRPr="00264A44" w:rsidRDefault="00024697" w:rsidP="00024697">
      <w:pPr>
        <w:pStyle w:val="FootnoteText"/>
      </w:pPr>
      <w:r>
        <w:rPr>
          <w:rStyle w:val="FootnoteReference"/>
        </w:rPr>
        <w:footnoteRef/>
      </w:r>
      <w:r>
        <w:t xml:space="preserve"> </w:t>
      </w:r>
      <w:r>
        <w:tab/>
      </w:r>
      <w:r w:rsidRPr="00264A44">
        <w:rPr>
          <w:i/>
          <w:iCs/>
        </w:rPr>
        <w:t xml:space="preserve">Al-Khawaja and Tahery v United Kingdom </w:t>
      </w:r>
      <w:r w:rsidRPr="00264A44">
        <w:t xml:space="preserve">[2011] 6 ECHR 191 (Grand Chamber) at [123], discussing </w:t>
      </w:r>
      <w:r w:rsidRPr="00264A44">
        <w:rPr>
          <w:i/>
          <w:iCs/>
        </w:rPr>
        <w:t xml:space="preserve">R v Horncastle </w:t>
      </w:r>
      <w:r w:rsidRPr="00264A44">
        <w:t xml:space="preserve">[2009] UKSC 14. </w:t>
      </w:r>
    </w:p>
  </w:footnote>
  <w:footnote w:id="173">
    <w:p w14:paraId="3C6DB835"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Al-Khawaja and Tahery v United Kingdom </w:t>
      </w:r>
      <w:r w:rsidRPr="00264A44">
        <w:t>[2011] 6 ECHR 191 (Grand Chamber) at [124].</w:t>
      </w:r>
    </w:p>
  </w:footnote>
  <w:footnote w:id="174">
    <w:p w14:paraId="5840A231"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Al-Khawaja and Tahery v United Kingdom </w:t>
      </w:r>
      <w:r w:rsidRPr="00264A44">
        <w:t>[2011] 6 ECHR 191 (Grand Chamber) at [125].</w:t>
      </w:r>
    </w:p>
  </w:footnote>
  <w:footnote w:id="175">
    <w:p w14:paraId="429B22F1"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Al-Khawaja and Tahery v United Kingdom </w:t>
      </w:r>
      <w:r w:rsidRPr="00264A44">
        <w:t>[2011] 6 ECHR 191 (Grand Chamber) at [147].</w:t>
      </w:r>
    </w:p>
  </w:footnote>
  <w:footnote w:id="176">
    <w:p w14:paraId="54985C07"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Al-Khawaja and Tahery v United Kingdom </w:t>
      </w:r>
      <w:r w:rsidRPr="00264A44">
        <w:t>[2011] 6 ECHR 191 (Grand Chamber) at [147].</w:t>
      </w:r>
    </w:p>
  </w:footnote>
  <w:footnote w:id="177">
    <w:p w14:paraId="740F68A2"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Al-Khawaja and Tahery v United Kingdom </w:t>
      </w:r>
      <w:r w:rsidRPr="00264A44">
        <w:t>[2011] 6 ECHR 191 (Grand Chamber) at [151].</w:t>
      </w:r>
      <w:r w:rsidRPr="00264A44">
        <w:rPr>
          <w:sz w:val="16"/>
          <w:szCs w:val="16"/>
        </w:rPr>
        <w:t xml:space="preserve"> The Grand Chamber also noted at [150] the general safeguards of a discretion to exclude evidence if its admission would have such an adverse effect on the fairness of the trial that it ought not be admitted (Police and Criminal Evidence Act 1984, s 78), and common law requirements in relation to jury directions on burden of proof and reliance on hearsay statements.</w:t>
      </w:r>
    </w:p>
  </w:footnote>
  <w:footnote w:id="178">
    <w:p w14:paraId="0E2E04DE" w14:textId="77777777" w:rsidR="00024697" w:rsidRPr="00264A44" w:rsidRDefault="00024697" w:rsidP="00024697">
      <w:pPr>
        <w:pStyle w:val="FootnoteText"/>
      </w:pPr>
      <w:r w:rsidRPr="00264A44">
        <w:rPr>
          <w:rStyle w:val="FootnoteReference"/>
        </w:rPr>
        <w:footnoteRef/>
      </w:r>
      <w:r w:rsidRPr="00264A44">
        <w:t xml:space="preserve"> </w:t>
      </w:r>
      <w:r w:rsidRPr="00264A44">
        <w:tab/>
        <w:t>Criminal Justice Act 2003 (UK), s 124.</w:t>
      </w:r>
    </w:p>
  </w:footnote>
  <w:footnote w:id="179">
    <w:p w14:paraId="167D6F6D" w14:textId="77777777" w:rsidR="00024697" w:rsidRDefault="00024697" w:rsidP="00024697">
      <w:pPr>
        <w:pStyle w:val="FootnoteText"/>
      </w:pPr>
      <w:r w:rsidRPr="00264A44">
        <w:rPr>
          <w:rStyle w:val="FootnoteReference"/>
        </w:rPr>
        <w:footnoteRef/>
      </w:r>
      <w:r w:rsidRPr="00264A44">
        <w:t xml:space="preserve"> </w:t>
      </w:r>
      <w:r w:rsidRPr="00264A44">
        <w:tab/>
        <w:t>Criminal Justice Act 2003 (UK), s 126.</w:t>
      </w:r>
    </w:p>
  </w:footnote>
  <w:footnote w:id="180">
    <w:p w14:paraId="6528539B" w14:textId="77777777" w:rsidR="00024697" w:rsidRPr="00264A44" w:rsidRDefault="00024697" w:rsidP="00024697">
      <w:pPr>
        <w:pStyle w:val="FootnoteText"/>
      </w:pPr>
      <w:r w:rsidRPr="00C335C5">
        <w:rPr>
          <w:rStyle w:val="FootnoteReference"/>
        </w:rPr>
        <w:footnoteRef/>
      </w:r>
      <w:r w:rsidRPr="00C335C5">
        <w:t xml:space="preserve"> </w:t>
      </w:r>
      <w:r w:rsidRPr="00C335C5">
        <w:tab/>
      </w:r>
      <w:r w:rsidRPr="00264A44">
        <w:t xml:space="preserve">Criminal Justice Act 2003 (UK), s 125. This safeguard had been recommended by the Law Commission of England and Wales in 1997. </w:t>
      </w:r>
    </w:p>
  </w:footnote>
  <w:footnote w:id="181">
    <w:p w14:paraId="571C4530" w14:textId="34BC2838"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Awatere v R </w:t>
      </w:r>
      <w:r w:rsidRPr="00264A44">
        <w:t>[2018] NZHC 883</w:t>
      </w:r>
      <w:r w:rsidRPr="00264A44">
        <w:rPr>
          <w:i/>
          <w:iCs/>
        </w:rPr>
        <w:t xml:space="preserve"> </w:t>
      </w:r>
      <w:r w:rsidRPr="00264A44">
        <w:t xml:space="preserve">at [22]. </w:t>
      </w:r>
      <w:r w:rsidR="00923745" w:rsidRPr="00264A44">
        <w:t>Elisabeth McDonald note</w:t>
      </w:r>
      <w:r w:rsidR="00923745">
        <w:t xml:space="preserve">s </w:t>
      </w:r>
      <w:r w:rsidRPr="00264A44">
        <w:t>that extending the definition of unavailability to cover witnesses who are fearful “is probably unnecessary”</w:t>
      </w:r>
      <w:r w:rsidR="00E57F18">
        <w:t>.</w:t>
      </w:r>
      <w:r w:rsidRPr="00264A44">
        <w:t xml:space="preserve"> </w:t>
      </w:r>
      <w:r w:rsidR="00E57F18">
        <w:t>H</w:t>
      </w:r>
      <w:r w:rsidRPr="00264A44">
        <w:t>owever</w:t>
      </w:r>
      <w:r w:rsidR="00E57F18">
        <w:t>,</w:t>
      </w:r>
      <w:r w:rsidRPr="00264A44">
        <w:t xml:space="preserve"> that was on the assumption that a decision to excuse a person from giving evidence triggers the hearsay provisions in the Act: </w:t>
      </w:r>
      <w:r w:rsidR="00C319C2" w:rsidRPr="00264A44">
        <w:t xml:space="preserve">Elisabeth McDonald </w:t>
      </w:r>
      <w:r w:rsidR="00C319C2" w:rsidRPr="00264A44">
        <w:rPr>
          <w:i/>
          <w:iCs/>
        </w:rPr>
        <w:t xml:space="preserve">Principles of Evidence in Criminal Cases </w:t>
      </w:r>
      <w:r w:rsidR="00C319C2" w:rsidRPr="00264A44">
        <w:t>(Thomson Reuters, Wellington, 2012)</w:t>
      </w:r>
      <w:r w:rsidR="00C319C2">
        <w:t xml:space="preserve"> </w:t>
      </w:r>
      <w:r w:rsidRPr="00264A44">
        <w:t>at 149 and Appendix 1.</w:t>
      </w:r>
    </w:p>
  </w:footnote>
  <w:footnote w:id="182">
    <w:p w14:paraId="72972125" w14:textId="656ECD8E" w:rsidR="00024697" w:rsidRDefault="00024697" w:rsidP="00024697">
      <w:pPr>
        <w:pStyle w:val="FootnoteText"/>
      </w:pPr>
      <w:r w:rsidRPr="00264A44">
        <w:rPr>
          <w:rStyle w:val="FootnoteReference"/>
        </w:rPr>
        <w:footnoteRef/>
      </w:r>
      <w:r w:rsidRPr="00264A44">
        <w:t xml:space="preserve"> </w:t>
      </w:r>
      <w:r w:rsidRPr="00264A44">
        <w:tab/>
        <w:t>For a discussion of the different reasons why a complainant might be reluctant to give evidence against an abusive partner</w:t>
      </w:r>
      <w:r w:rsidR="00A4011A">
        <w:t>,</w:t>
      </w:r>
      <w:r w:rsidRPr="00264A44">
        <w:t xml:space="preserve"> see Te Aka Matua o te Ture | Law Commission </w:t>
      </w:r>
      <w:r w:rsidRPr="00264A44">
        <w:rPr>
          <w:i/>
          <w:iCs/>
        </w:rPr>
        <w:t>Evidence Law: Privilege</w:t>
      </w:r>
      <w:r w:rsidRPr="00264A44">
        <w:t xml:space="preserve"> (NZLC PP23, 1994) </w:t>
      </w:r>
      <w:r w:rsidRPr="00264A44">
        <w:rPr>
          <w:sz w:val="16"/>
          <w:szCs w:val="16"/>
        </w:rPr>
        <w:t>at [229</w:t>
      </w:r>
      <w:r w:rsidR="00F22581">
        <w:rPr>
          <w:sz w:val="16"/>
          <w:szCs w:val="16"/>
        </w:rPr>
        <w:t>]–</w:t>
      </w:r>
      <w:r w:rsidRPr="00264A44">
        <w:rPr>
          <w:sz w:val="16"/>
          <w:szCs w:val="16"/>
        </w:rPr>
        <w:t xml:space="preserve">[231] and </w:t>
      </w:r>
      <w:r w:rsidRPr="00264A44">
        <w:t>Elisabeth McDonald “Hearsay in domestic violence cases” [2003] NZLJ 174 at 176.</w:t>
      </w:r>
      <w:r w:rsidRPr="00533DFE">
        <w:t xml:space="preserve"> </w:t>
      </w:r>
    </w:p>
  </w:footnote>
  <w:footnote w:id="183">
    <w:p w14:paraId="2ADF790F" w14:textId="77777777" w:rsidR="00024697" w:rsidRPr="00264A44" w:rsidRDefault="00024697" w:rsidP="00024697">
      <w:pPr>
        <w:pStyle w:val="FootnoteText"/>
      </w:pPr>
      <w:r>
        <w:rPr>
          <w:rStyle w:val="FootnoteReference"/>
        </w:rPr>
        <w:footnoteRef/>
      </w:r>
      <w:r>
        <w:t xml:space="preserve"> </w:t>
      </w:r>
      <w:r>
        <w:tab/>
      </w:r>
      <w:r w:rsidRPr="00264A44">
        <w:rPr>
          <w:i/>
          <w:iCs/>
        </w:rPr>
        <w:t xml:space="preserve">R v Manase </w:t>
      </w:r>
      <w:r w:rsidRPr="00264A44">
        <w:t>[2001] 2 NZLR 197 (CA) at [30(b)].</w:t>
      </w:r>
    </w:p>
  </w:footnote>
  <w:footnote w:id="184">
    <w:p w14:paraId="5A340E96" w14:textId="77777777" w:rsidR="00024697" w:rsidRPr="00264A44" w:rsidRDefault="00024697" w:rsidP="00024697">
      <w:pPr>
        <w:pStyle w:val="FootnoteText"/>
      </w:pPr>
      <w:r w:rsidRPr="00264A44">
        <w:rPr>
          <w:rStyle w:val="FootnoteReference"/>
        </w:rPr>
        <w:footnoteRef/>
      </w:r>
      <w:r w:rsidRPr="00264A44">
        <w:t xml:space="preserve"> </w:t>
      </w:r>
      <w:r w:rsidRPr="00264A44">
        <w:tab/>
        <w:t>Elisabeth McDonald “Hearsay in domestic violence cases” [2003] NZLJ 174 at 176.</w:t>
      </w:r>
    </w:p>
  </w:footnote>
  <w:footnote w:id="185">
    <w:p w14:paraId="1A207E0A" w14:textId="59AE40C3" w:rsidR="00024697" w:rsidRPr="00264A44" w:rsidRDefault="00024697" w:rsidP="00024697">
      <w:pPr>
        <w:pStyle w:val="FootnoteText"/>
      </w:pPr>
      <w:r w:rsidRPr="00264A44">
        <w:rPr>
          <w:rStyle w:val="FootnoteReference"/>
        </w:rPr>
        <w:footnoteRef/>
      </w:r>
      <w:r w:rsidRPr="00264A44">
        <w:t xml:space="preserve"> </w:t>
      </w:r>
      <w:r w:rsidRPr="00264A44">
        <w:tab/>
        <w:t xml:space="preserve">As Elisabeth McDonald has said, “[t]hose who make sufficiently dire threats in order to decrease the amount of prosecution evidence are unlikely to be influenced by how the evidence was offered”: </w:t>
      </w:r>
      <w:r w:rsidR="00D43987" w:rsidRPr="00264A44">
        <w:t xml:space="preserve">Elisabeth McDonald </w:t>
      </w:r>
      <w:r w:rsidRPr="00264A44">
        <w:rPr>
          <w:i/>
          <w:iCs/>
        </w:rPr>
        <w:t xml:space="preserve">Principles of Evidence in Criminal Cases </w:t>
      </w:r>
      <w:r w:rsidRPr="00264A44">
        <w:t xml:space="preserve">(Thomson Reuters, Wellington, 2012) at 148–149. </w:t>
      </w:r>
    </w:p>
  </w:footnote>
  <w:footnote w:id="186">
    <w:p w14:paraId="6B900E89" w14:textId="77777777" w:rsidR="00024697" w:rsidRPr="00264A44" w:rsidRDefault="00024697" w:rsidP="00024697">
      <w:pPr>
        <w:pStyle w:val="FootnoteText"/>
      </w:pPr>
      <w:r w:rsidRPr="00264A44">
        <w:rPr>
          <w:rStyle w:val="FootnoteReference"/>
        </w:rPr>
        <w:footnoteRef/>
      </w:r>
      <w:r w:rsidRPr="00264A44">
        <w:t xml:space="preserve"> </w:t>
      </w:r>
      <w:r w:rsidRPr="00264A44">
        <w:tab/>
        <w:t>Evidence Act 2006, s 16(2)(c).</w:t>
      </w:r>
    </w:p>
  </w:footnote>
  <w:footnote w:id="187">
    <w:p w14:paraId="108A93DC"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Te Aka Matua o te Ture | Law Commission </w:t>
      </w:r>
      <w:r w:rsidRPr="00264A44">
        <w:rPr>
          <w:i/>
          <w:iCs/>
        </w:rPr>
        <w:t xml:space="preserve">Evidence: Reform of the Law </w:t>
      </w:r>
      <w:r w:rsidRPr="00264A44">
        <w:t>(NZLC R55 Vol 1, 1999) at [58].</w:t>
      </w:r>
    </w:p>
  </w:footnote>
  <w:footnote w:id="188">
    <w:p w14:paraId="2F571C97"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R v Alovili </w:t>
      </w:r>
      <w:r w:rsidRPr="00264A44">
        <w:t xml:space="preserve">HC Auckland CRI-2007-404-000162, 27 June 2008 at [26]. </w:t>
      </w:r>
    </w:p>
  </w:footnote>
  <w:footnote w:id="189">
    <w:p w14:paraId="3BF09324"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Downes v R </w:t>
      </w:r>
      <w:r w:rsidRPr="00264A44">
        <w:t xml:space="preserve">[2022] NZCA 639 at [37]. </w:t>
      </w:r>
    </w:p>
  </w:footnote>
  <w:footnote w:id="190">
    <w:p w14:paraId="17498E18"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Evidence Act 2006, ss 37(1) and 40(2). </w:t>
      </w:r>
    </w:p>
  </w:footnote>
  <w:footnote w:id="191">
    <w:p w14:paraId="7BDCE32A" w14:textId="77777777" w:rsidR="00024697" w:rsidRDefault="00024697" w:rsidP="00024697">
      <w:pPr>
        <w:pStyle w:val="FootnoteText"/>
      </w:pPr>
      <w:r w:rsidRPr="00264A44">
        <w:rPr>
          <w:rStyle w:val="FootnoteReference"/>
        </w:rPr>
        <w:footnoteRef/>
      </w:r>
      <w:r w:rsidRPr="00264A44">
        <w:t xml:space="preserve"> </w:t>
      </w:r>
      <w:r w:rsidRPr="00264A44">
        <w:tab/>
        <w:t>Criminal Justice Act 2003 (UK), s 116(4).</w:t>
      </w:r>
    </w:p>
  </w:footnote>
  <w:footnote w:id="192">
    <w:p w14:paraId="6403C827" w14:textId="47A71489" w:rsidR="00024697" w:rsidRPr="00264A44" w:rsidRDefault="00024697" w:rsidP="00024697">
      <w:pPr>
        <w:pStyle w:val="FootnoteText"/>
      </w:pPr>
      <w:r>
        <w:rPr>
          <w:rStyle w:val="FootnoteReference"/>
        </w:rPr>
        <w:footnoteRef/>
      </w:r>
      <w:r>
        <w:t xml:space="preserve"> </w:t>
      </w:r>
      <w:r>
        <w:tab/>
        <w:t xml:space="preserve">This </w:t>
      </w:r>
      <w:r w:rsidRPr="00264A44">
        <w:t xml:space="preserve">would be in addition to the power in </w:t>
      </w:r>
      <w:r w:rsidR="00D8628A">
        <w:t>s</w:t>
      </w:r>
      <w:r w:rsidRPr="00264A44">
        <w:t xml:space="preserve"> 147 of the Criminal Procedure Act 2011. See</w:t>
      </w:r>
      <w:r w:rsidR="00692D8C">
        <w:t>,</w:t>
      </w:r>
      <w:r w:rsidRPr="00264A44">
        <w:t xml:space="preserve"> for example</w:t>
      </w:r>
      <w:r w:rsidR="00692D8C">
        <w:t>,</w:t>
      </w:r>
      <w:r w:rsidRPr="00264A44">
        <w:t xml:space="preserve"> Criminal Justice Act 2003 (UK), s 125 discussed above.</w:t>
      </w:r>
    </w:p>
  </w:footnote>
  <w:footnote w:id="193">
    <w:p w14:paraId="002270CA" w14:textId="77777777" w:rsidR="00024697" w:rsidRPr="00264A44" w:rsidRDefault="00024697" w:rsidP="00024697">
      <w:pPr>
        <w:pStyle w:val="FootnoteText"/>
      </w:pPr>
      <w:r w:rsidRPr="00264A44">
        <w:rPr>
          <w:rStyle w:val="FootnoteReference"/>
        </w:rPr>
        <w:footnoteRef/>
      </w:r>
      <w:r w:rsidRPr="00264A44">
        <w:t xml:space="preserve"> </w:t>
      </w:r>
      <w:r w:rsidRPr="00264A44">
        <w:tab/>
        <w:t>Evidence Act 2006, s 18(1).</w:t>
      </w:r>
    </w:p>
  </w:footnote>
  <w:footnote w:id="194">
    <w:p w14:paraId="444DA915" w14:textId="6FE30F54" w:rsidR="00024697" w:rsidRDefault="00024697" w:rsidP="00024697">
      <w:pPr>
        <w:pStyle w:val="FootnoteText"/>
      </w:pPr>
      <w:r w:rsidRPr="00264A44">
        <w:rPr>
          <w:rStyle w:val="FootnoteReference"/>
        </w:rPr>
        <w:footnoteRef/>
      </w:r>
      <w:r w:rsidRPr="00264A44">
        <w:t xml:space="preserve"> </w:t>
      </w:r>
      <w:r w:rsidRPr="00264A44">
        <w:tab/>
        <w:t xml:space="preserve">The Evidence Act 2006, </w:t>
      </w:r>
      <w:r w:rsidR="00062DDB">
        <w:t>part</w:t>
      </w:r>
      <w:r w:rsidRPr="00264A44">
        <w:t xml:space="preserve"> 3, subpart 5 provides</w:t>
      </w:r>
      <w:r>
        <w:t xml:space="preserve"> for evidence to be offered by video record as an alternative way of giving evidence in chief at the trial. These records are known as evidential video interviews or EVIs. They are often used in relation to child witnesses and adult complainants in sexual offending cases. The Evidence Regulations 2007, p</w:t>
      </w:r>
      <w:r w:rsidR="00062DDB">
        <w:t>ar</w:t>
      </w:r>
      <w:r>
        <w:t>t 4 also provide</w:t>
      </w:r>
      <w:r w:rsidR="000F1CD3">
        <w:t>s</w:t>
      </w:r>
      <w:r>
        <w:t xml:space="preserve"> for mobile video records or MVRs in relation to family violence offending. </w:t>
      </w:r>
    </w:p>
  </w:footnote>
  <w:footnote w:id="195">
    <w:p w14:paraId="725C7134" w14:textId="77777777" w:rsidR="00024697" w:rsidRPr="00264A44" w:rsidRDefault="00024697" w:rsidP="00024697">
      <w:pPr>
        <w:pStyle w:val="FootnoteText"/>
      </w:pPr>
      <w:r>
        <w:rPr>
          <w:rStyle w:val="FootnoteReference"/>
        </w:rPr>
        <w:footnoteRef/>
      </w:r>
      <w:r>
        <w:t xml:space="preserve"> </w:t>
      </w:r>
      <w:r>
        <w:tab/>
      </w:r>
      <w:r w:rsidRPr="00264A44">
        <w:rPr>
          <w:i/>
          <w:iCs/>
        </w:rPr>
        <w:t>Huritu v Police</w:t>
      </w:r>
      <w:r w:rsidRPr="00264A44">
        <w:t xml:space="preserve"> [2019] NZHC 2560; </w:t>
      </w:r>
      <w:r w:rsidRPr="00264A44">
        <w:rPr>
          <w:i/>
          <w:iCs/>
        </w:rPr>
        <w:t xml:space="preserve">Huritu v New Zealand Police </w:t>
      </w:r>
      <w:r w:rsidRPr="00264A44">
        <w:t xml:space="preserve">[2021] NZCA 15, </w:t>
      </w:r>
      <w:r w:rsidRPr="00264A44">
        <w:rPr>
          <w:i/>
          <w:iCs/>
        </w:rPr>
        <w:t xml:space="preserve">Huritu v New Zealand Police </w:t>
      </w:r>
      <w:r w:rsidRPr="00264A44">
        <w:t>[2021] NZSC 126 (dismissing application for leave to appeal).</w:t>
      </w:r>
    </w:p>
  </w:footnote>
  <w:footnote w:id="196">
    <w:p w14:paraId="5F6FD9AA"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Huritu v New Zealand Police </w:t>
      </w:r>
      <w:r w:rsidRPr="00264A44">
        <w:t>[2021] NZCA 15 at [7]–[8].</w:t>
      </w:r>
    </w:p>
  </w:footnote>
  <w:footnote w:id="197">
    <w:p w14:paraId="60FE3FAC"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Huritu v New Zealand Police </w:t>
      </w:r>
      <w:r w:rsidRPr="00264A44">
        <w:t>[2021] NZCA 15 at [16]–[17] and [37].</w:t>
      </w:r>
    </w:p>
  </w:footnote>
  <w:footnote w:id="198">
    <w:p w14:paraId="14DD9F6D"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Huritu v New Zealand Police </w:t>
      </w:r>
      <w:r w:rsidRPr="00264A44">
        <w:t>[2021] NZCA 15 at [21] and [37]–[38].</w:t>
      </w:r>
    </w:p>
  </w:footnote>
  <w:footnote w:id="199">
    <w:p w14:paraId="1539C854"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Huritu v New Zealand Police </w:t>
      </w:r>
      <w:r w:rsidRPr="00264A44">
        <w:t>[2021] NZCA 15 at [37]–[38].</w:t>
      </w:r>
    </w:p>
  </w:footnote>
  <w:footnote w:id="200">
    <w:p w14:paraId="64C70D0A" w14:textId="77777777" w:rsidR="00024697"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Huritu v New Zealand Police </w:t>
      </w:r>
      <w:r w:rsidRPr="00264A44">
        <w:t>[2021] NZCA 15 at [39].</w:t>
      </w:r>
    </w:p>
  </w:footnote>
  <w:footnote w:id="201">
    <w:p w14:paraId="434C2042" w14:textId="77777777" w:rsidR="00024697" w:rsidRPr="00264A44" w:rsidRDefault="00024697" w:rsidP="00024697">
      <w:pPr>
        <w:pStyle w:val="FootnoteText"/>
      </w:pPr>
      <w:r w:rsidRPr="006235C2">
        <w:rPr>
          <w:rStyle w:val="FootnoteReference"/>
        </w:rPr>
        <w:footnoteRef/>
      </w:r>
      <w:r w:rsidRPr="006235C2">
        <w:t xml:space="preserve"> </w:t>
      </w:r>
      <w:r w:rsidRPr="006235C2">
        <w:tab/>
      </w:r>
      <w:r w:rsidRPr="00264A44">
        <w:rPr>
          <w:i/>
          <w:iCs/>
        </w:rPr>
        <w:t>Huritu v New Zealand Police</w:t>
      </w:r>
      <w:r w:rsidRPr="00264A44">
        <w:t xml:space="preserve"> [2021] NZSC 126 at [8].</w:t>
      </w:r>
    </w:p>
  </w:footnote>
  <w:footnote w:id="202">
    <w:p w14:paraId="5A7E65D5"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Huritu v New Zealand Police</w:t>
      </w:r>
      <w:r w:rsidRPr="00264A44">
        <w:t xml:space="preserve"> [2021] NZSC 126 at [11].</w:t>
      </w:r>
    </w:p>
  </w:footnote>
  <w:footnote w:id="203">
    <w:p w14:paraId="3E157EC3" w14:textId="77777777" w:rsidR="00024697" w:rsidRDefault="00024697" w:rsidP="00024697">
      <w:pPr>
        <w:pStyle w:val="FootnoteText"/>
      </w:pPr>
      <w:r w:rsidRPr="00264A44">
        <w:rPr>
          <w:rStyle w:val="FootnoteReference"/>
        </w:rPr>
        <w:footnoteRef/>
      </w:r>
      <w:r w:rsidRPr="00264A44">
        <w:t xml:space="preserve"> </w:t>
      </w:r>
      <w:r w:rsidRPr="00264A44">
        <w:tab/>
        <w:t>Criminal Justice Act 2003 (UK), s 116(2)(d).</w:t>
      </w:r>
    </w:p>
  </w:footnote>
  <w:footnote w:id="204">
    <w:p w14:paraId="59ACC545" w14:textId="2F2E6E1A" w:rsidR="00024697" w:rsidRPr="005704FE" w:rsidRDefault="00024697" w:rsidP="00024697">
      <w:pPr>
        <w:pStyle w:val="FootnoteText"/>
      </w:pPr>
      <w:r w:rsidRPr="005704FE">
        <w:rPr>
          <w:rStyle w:val="FootnoteReference"/>
        </w:rPr>
        <w:footnoteRef/>
      </w:r>
      <w:r w:rsidRPr="005704FE">
        <w:t xml:space="preserve"> </w:t>
      </w:r>
      <w:r w:rsidRPr="005704FE">
        <w:tab/>
      </w:r>
      <w:r w:rsidRPr="005704FE">
        <w:rPr>
          <w:i/>
        </w:rPr>
        <w:t xml:space="preserve">R v DT </w:t>
      </w:r>
      <w:r w:rsidRPr="005704FE">
        <w:t xml:space="preserve">[2009] EWCA </w:t>
      </w:r>
      <w:r w:rsidR="005C4013" w:rsidRPr="005704FE">
        <w:t>Crim</w:t>
      </w:r>
      <w:r w:rsidRPr="005704FE">
        <w:t xml:space="preserve"> 1213 </w:t>
      </w:r>
      <w:r w:rsidR="00935CB9" w:rsidRPr="005704FE">
        <w:t xml:space="preserve">at </w:t>
      </w:r>
      <w:r w:rsidR="00756435" w:rsidRPr="005704FE">
        <w:t>[31</w:t>
      </w:r>
      <w:r w:rsidR="00146994">
        <w:t>]–[</w:t>
      </w:r>
      <w:r w:rsidR="00935CB9" w:rsidRPr="005704FE">
        <w:t>3</w:t>
      </w:r>
      <w:r w:rsidR="004C64BC" w:rsidRPr="005704FE">
        <w:t>3</w:t>
      </w:r>
      <w:r w:rsidR="00935CB9" w:rsidRPr="005704FE">
        <w:t>]</w:t>
      </w:r>
      <w:r w:rsidRPr="005704FE">
        <w:t xml:space="preserve"> where the </w:t>
      </w:r>
      <w:r w:rsidR="003125DB">
        <w:t>C</w:t>
      </w:r>
      <w:r w:rsidRPr="005704FE">
        <w:t>ourt held that</w:t>
      </w:r>
      <w:r w:rsidR="003125DB">
        <w:t>,</w:t>
      </w:r>
      <w:r w:rsidRPr="005704FE">
        <w:t xml:space="preserve"> if there was a problem with the cost of finding</w:t>
      </w:r>
      <w:r w:rsidR="000C613E" w:rsidRPr="005704FE">
        <w:t xml:space="preserve"> and </w:t>
      </w:r>
      <w:r w:rsidRPr="005704FE">
        <w:t xml:space="preserve">caring for and a reluctant witness, then that needed to be </w:t>
      </w:r>
      <w:r w:rsidR="00935CB9" w:rsidRPr="005704FE">
        <w:t>shown</w:t>
      </w:r>
      <w:r w:rsidRPr="005704FE">
        <w:t xml:space="preserve"> with evidence. On the facts at hand, the </w:t>
      </w:r>
      <w:r w:rsidR="003125DB">
        <w:t>C</w:t>
      </w:r>
      <w:r w:rsidRPr="005704FE">
        <w:t xml:space="preserve">ourt found that matters had proceeded so informally before the </w:t>
      </w:r>
      <w:r w:rsidR="005A3D01">
        <w:t>J</w:t>
      </w:r>
      <w:r w:rsidRPr="005704FE">
        <w:t>udge that no attempt had been made, and no evidence called, to try and explore what steps had been taken by the police to discover the whereabouts of the witness.</w:t>
      </w:r>
    </w:p>
  </w:footnote>
  <w:footnote w:id="205">
    <w:p w14:paraId="5418DE61" w14:textId="0F173962" w:rsidR="00024697" w:rsidRPr="005704FE" w:rsidRDefault="00024697" w:rsidP="00024697">
      <w:pPr>
        <w:pStyle w:val="FootnoteText"/>
      </w:pPr>
      <w:r w:rsidRPr="005704FE">
        <w:rPr>
          <w:rStyle w:val="FootnoteReference"/>
        </w:rPr>
        <w:footnoteRef/>
      </w:r>
      <w:r w:rsidRPr="005704FE">
        <w:t xml:space="preserve"> </w:t>
      </w:r>
      <w:r w:rsidRPr="005704FE">
        <w:tab/>
      </w:r>
      <w:r w:rsidR="000D4F5D" w:rsidRPr="005704FE">
        <w:rPr>
          <w:i/>
        </w:rPr>
        <w:t>R v Jones</w:t>
      </w:r>
      <w:r w:rsidR="00464911" w:rsidRPr="005704FE">
        <w:t xml:space="preserve"> [2015] EWCA Crim 1317 </w:t>
      </w:r>
      <w:r w:rsidR="000D4F5D" w:rsidRPr="005704FE">
        <w:t>at [18].</w:t>
      </w:r>
    </w:p>
  </w:footnote>
  <w:footnote w:id="206">
    <w:p w14:paraId="591801CF" w14:textId="15EE829F" w:rsidR="00024697" w:rsidRPr="005704FE" w:rsidRDefault="00024697" w:rsidP="00024697">
      <w:pPr>
        <w:pStyle w:val="FootnoteText"/>
      </w:pPr>
      <w:r w:rsidRPr="005704FE">
        <w:rPr>
          <w:rStyle w:val="FootnoteReference"/>
        </w:rPr>
        <w:footnoteRef/>
      </w:r>
      <w:r w:rsidRPr="005704FE">
        <w:tab/>
      </w:r>
      <w:r w:rsidR="006751C5" w:rsidRPr="005704FE">
        <w:rPr>
          <w:i/>
        </w:rPr>
        <w:t xml:space="preserve">Halsbury’s Laws of England </w:t>
      </w:r>
      <w:r w:rsidR="006751C5" w:rsidRPr="005704FE">
        <w:t>(</w:t>
      </w:r>
      <w:r w:rsidR="002D2C80">
        <w:t>5th</w:t>
      </w:r>
      <w:r w:rsidR="006751C5" w:rsidRPr="005704FE">
        <w:t xml:space="preserve"> ed, 2021, online ed) vol 28 Criminal Procedure at </w:t>
      </w:r>
      <w:r w:rsidR="0038658A" w:rsidRPr="005704FE">
        <w:t>[</w:t>
      </w:r>
      <w:r w:rsidRPr="005704FE">
        <w:t>627], n 12</w:t>
      </w:r>
      <w:r w:rsidR="006751C5" w:rsidRPr="005704FE">
        <w:t xml:space="preserve">, citing </w:t>
      </w:r>
      <w:r w:rsidRPr="005704FE">
        <w:rPr>
          <w:i/>
        </w:rPr>
        <w:t>R v McEvoy</w:t>
      </w:r>
      <w:r w:rsidRPr="005704FE">
        <w:t xml:space="preserve"> [2016] EWCA Crim 1654</w:t>
      </w:r>
      <w:r w:rsidR="006751C5" w:rsidRPr="005704FE">
        <w:t>,</w:t>
      </w:r>
      <w:r w:rsidRPr="005704FE">
        <w:t xml:space="preserve"> </w:t>
      </w:r>
      <w:r w:rsidRPr="005704FE">
        <w:rPr>
          <w:i/>
        </w:rPr>
        <w:t>R v Juskelis</w:t>
      </w:r>
      <w:r w:rsidRPr="005704FE">
        <w:t xml:space="preserve"> [2016] EWCA Crim 1817</w:t>
      </w:r>
      <w:r w:rsidR="006751C5" w:rsidRPr="005704FE">
        <w:t>, and</w:t>
      </w:r>
      <w:r w:rsidRPr="005704FE">
        <w:t xml:space="preserve"> </w:t>
      </w:r>
      <w:r w:rsidRPr="005704FE">
        <w:rPr>
          <w:i/>
        </w:rPr>
        <w:t>R (on the Application of Rankin) v Ipswich Magistrates Court</w:t>
      </w:r>
      <w:r w:rsidRPr="005704FE">
        <w:t xml:space="preserve"> [2016] EWHC 2851 (Admin</w:t>
      </w:r>
      <w:r w:rsidR="006751C5" w:rsidRPr="005704FE">
        <w:t>).</w:t>
      </w:r>
    </w:p>
  </w:footnote>
  <w:footnote w:id="207">
    <w:p w14:paraId="090A427C" w14:textId="77777777" w:rsidR="00024697" w:rsidRDefault="00024697" w:rsidP="00024697">
      <w:pPr>
        <w:pStyle w:val="FootnoteText"/>
      </w:pPr>
      <w:r w:rsidRPr="005704FE">
        <w:rPr>
          <w:rStyle w:val="FootnoteReference"/>
        </w:rPr>
        <w:footnoteRef/>
      </w:r>
      <w:r w:rsidRPr="005704FE">
        <w:t xml:space="preserve"> </w:t>
      </w:r>
      <w:r w:rsidRPr="005704FE">
        <w:tab/>
      </w:r>
      <w:r w:rsidRPr="005704FE">
        <w:rPr>
          <w:i/>
        </w:rPr>
        <w:t>R v Juskelis</w:t>
      </w:r>
      <w:r w:rsidRPr="005704FE">
        <w:t xml:space="preserve"> [2016] EWCA Crim 1817.</w:t>
      </w:r>
    </w:p>
  </w:footnote>
  <w:footnote w:id="208">
    <w:p w14:paraId="69A5522E" w14:textId="53FC1F0B" w:rsidR="00024697" w:rsidRDefault="00024697" w:rsidP="00024697">
      <w:pPr>
        <w:pStyle w:val="FootnoteText"/>
      </w:pPr>
      <w:r>
        <w:rPr>
          <w:rStyle w:val="FootnoteReference"/>
        </w:rPr>
        <w:footnoteRef/>
      </w:r>
      <w:r>
        <w:t xml:space="preserve"> </w:t>
      </w:r>
      <w:r>
        <w:tab/>
      </w:r>
      <w:r w:rsidR="00E30998">
        <w:t xml:space="preserve">See </w:t>
      </w:r>
      <w:r w:rsidR="00043832">
        <w:t xml:space="preserve">for example: </w:t>
      </w:r>
      <w:r w:rsidR="00C73B51" w:rsidRPr="00C73B51">
        <w:t>Evidence Act 1995 (Cth)</w:t>
      </w:r>
      <w:r w:rsidR="00C73B51">
        <w:t>, Part 2</w:t>
      </w:r>
      <w:r w:rsidR="00984E9D">
        <w:t xml:space="preserve"> – Other Expressions</w:t>
      </w:r>
      <w:r w:rsidR="00B63635">
        <w:t>,</w:t>
      </w:r>
      <w:r w:rsidR="001A210F">
        <w:t xml:space="preserve"> cl </w:t>
      </w:r>
      <w:r w:rsidR="00B63635">
        <w:t>4</w:t>
      </w:r>
      <w:r w:rsidR="00613903">
        <w:t>;</w:t>
      </w:r>
      <w:r w:rsidR="00984E9D">
        <w:t xml:space="preserve"> </w:t>
      </w:r>
      <w:r w:rsidR="00613903" w:rsidRPr="00613903">
        <w:t>Evidence Act 1995 (NSW)</w:t>
      </w:r>
      <w:r w:rsidR="00037A88">
        <w:t xml:space="preserve">, </w:t>
      </w:r>
      <w:r w:rsidR="002300B9" w:rsidRPr="002300B9">
        <w:t xml:space="preserve">Part 2 </w:t>
      </w:r>
      <w:r w:rsidR="00F67F18">
        <w:t xml:space="preserve">- </w:t>
      </w:r>
      <w:r w:rsidR="002300B9" w:rsidRPr="002300B9">
        <w:t>Other expressions</w:t>
      </w:r>
      <w:r w:rsidR="00B63635">
        <w:t>, cl 4</w:t>
      </w:r>
      <w:r w:rsidR="00037A88">
        <w:t xml:space="preserve">; </w:t>
      </w:r>
      <w:r w:rsidR="006A46CC" w:rsidRPr="006A46CC">
        <w:t>Evidence Act 2008 (VIC)</w:t>
      </w:r>
      <w:r w:rsidR="00FA2CDD">
        <w:t xml:space="preserve">, </w:t>
      </w:r>
      <w:r w:rsidR="00F67F18" w:rsidRPr="00F67F18">
        <w:t>Part 2—Other expressions</w:t>
      </w:r>
      <w:r w:rsidR="00043832">
        <w:t>, c</w:t>
      </w:r>
      <w:r w:rsidR="00B63635">
        <w:t>l 4</w:t>
      </w:r>
      <w:r w:rsidR="00043832">
        <w:t>.</w:t>
      </w:r>
    </w:p>
  </w:footnote>
  <w:footnote w:id="209">
    <w:p w14:paraId="064EA554" w14:textId="77777777" w:rsidR="00024697"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Huang v Wei </w:t>
      </w:r>
      <w:r w:rsidRPr="00264A44">
        <w:t>[2022] NSWSC 222 at [41].</w:t>
      </w:r>
    </w:p>
  </w:footnote>
  <w:footnote w:id="210">
    <w:p w14:paraId="1229293D" w14:textId="77777777" w:rsidR="00024697"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Huang v Wei </w:t>
      </w:r>
      <w:r w:rsidRPr="00264A44">
        <w:t>[2022] NSWSC 222 at [42].</w:t>
      </w:r>
    </w:p>
  </w:footnote>
  <w:footnote w:id="211">
    <w:p w14:paraId="501FB298" w14:textId="42503981" w:rsidR="00024697" w:rsidRPr="00264A44" w:rsidRDefault="00024697" w:rsidP="00024697">
      <w:pPr>
        <w:pStyle w:val="FootnoteText"/>
      </w:pPr>
      <w:r>
        <w:rPr>
          <w:rStyle w:val="FootnoteReference"/>
        </w:rPr>
        <w:footnoteRef/>
      </w:r>
      <w:r>
        <w:t xml:space="preserve"> </w:t>
      </w:r>
      <w:r>
        <w:tab/>
      </w:r>
      <w:r w:rsidRPr="00264A44">
        <w:t>See, for example</w:t>
      </w:r>
      <w:r w:rsidR="0092178F">
        <w:t>:</w:t>
      </w:r>
      <w:r w:rsidRPr="00264A44">
        <w:t xml:space="preserve"> </w:t>
      </w:r>
      <w:r w:rsidRPr="00264A44">
        <w:rPr>
          <w:i/>
          <w:iCs/>
        </w:rPr>
        <w:t>Clout v Police</w:t>
      </w:r>
      <w:r w:rsidRPr="00264A44">
        <w:t xml:space="preserve"> [2013] NZHC 1364 at [17</w:t>
      </w:r>
      <w:r w:rsidR="00F22581">
        <w:t>]–</w:t>
      </w:r>
      <w:r w:rsidRPr="00264A44">
        <w:t xml:space="preserve">[18]; </w:t>
      </w:r>
      <w:r w:rsidRPr="00264A44">
        <w:rPr>
          <w:i/>
          <w:iCs/>
        </w:rPr>
        <w:t>R v Leaitua</w:t>
      </w:r>
      <w:r w:rsidRPr="00264A44">
        <w:t xml:space="preserve"> [2013] NZHC 2910 at [16</w:t>
      </w:r>
      <w:r w:rsidR="00F22581">
        <w:t>]–</w:t>
      </w:r>
      <w:r w:rsidRPr="00264A44">
        <w:t>[18].</w:t>
      </w:r>
    </w:p>
  </w:footnote>
  <w:footnote w:id="212">
    <w:p w14:paraId="6B135C37"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Huritu v New Zealand Police</w:t>
      </w:r>
      <w:r w:rsidRPr="00264A44">
        <w:t xml:space="preserve"> [2021] NZCA 15 at [40].</w:t>
      </w:r>
    </w:p>
  </w:footnote>
  <w:footnote w:id="213">
    <w:p w14:paraId="60C59281"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Formal statements are admissible as evidence for the purpose of any pre-trial applications to the same extent as if it were oral evidence under s 86 of the Criminal Procedure Act 2011, but a party may apply for an order allowing the oral examination of a potential witness under s 90. </w:t>
      </w:r>
    </w:p>
  </w:footnote>
  <w:footnote w:id="214">
    <w:p w14:paraId="169247B1" w14:textId="77777777" w:rsidR="00024697" w:rsidRDefault="00024697" w:rsidP="00024697">
      <w:pPr>
        <w:pStyle w:val="FootnoteText"/>
      </w:pPr>
      <w:r w:rsidRPr="00264A44">
        <w:rPr>
          <w:rStyle w:val="FootnoteReference"/>
        </w:rPr>
        <w:footnoteRef/>
      </w:r>
      <w:r w:rsidRPr="00264A44">
        <w:t xml:space="preserve"> </w:t>
      </w:r>
      <w:r w:rsidRPr="00264A44">
        <w:tab/>
        <w:t xml:space="preserve">Torts and General Law Reform Committee </w:t>
      </w:r>
      <w:r w:rsidRPr="00264A44">
        <w:rPr>
          <w:i/>
          <w:iCs/>
        </w:rPr>
        <w:t>Hearsay Evidence</w:t>
      </w:r>
      <w:r w:rsidRPr="00264A44">
        <w:t xml:space="preserve"> (1967) at 9, which recommended expanding the list of people who are unavailable to give evidence to include people who “cannot with reasonable</w:t>
      </w:r>
      <w:r>
        <w:t xml:space="preserve"> diligence be found”.</w:t>
      </w:r>
    </w:p>
  </w:footnote>
  <w:footnote w:id="215">
    <w:p w14:paraId="04D50934" w14:textId="77777777" w:rsidR="00024697" w:rsidRPr="00264A44" w:rsidRDefault="00024697" w:rsidP="00024697">
      <w:pPr>
        <w:pStyle w:val="FootnoteText"/>
      </w:pPr>
      <w:r>
        <w:rPr>
          <w:rStyle w:val="FootnoteReference"/>
        </w:rPr>
        <w:footnoteRef/>
      </w:r>
      <w:r>
        <w:t xml:space="preserve"> </w:t>
      </w:r>
      <w:r>
        <w:tab/>
        <w:t xml:space="preserve">Rules of evidence are </w:t>
      </w:r>
      <w:r w:rsidRPr="00264A44">
        <w:t>prescribed in Part 9 of the High Court Rules 2016 and Part 9 of the District Court Rules 2014. For simplicity, in this chapter we refer to the High Court Rules only.</w:t>
      </w:r>
    </w:p>
  </w:footnote>
  <w:footnote w:id="216">
    <w:p w14:paraId="7BCEB055"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Pursuant to s 83(1)(c) of the Evidence Act 2006 and r 9.12 of the High Court Rules 2016. </w:t>
      </w:r>
    </w:p>
  </w:footnote>
  <w:footnote w:id="217">
    <w:p w14:paraId="434F9FAB" w14:textId="77777777" w:rsidR="00024697" w:rsidRPr="00264A44" w:rsidRDefault="00024697" w:rsidP="00024697">
      <w:pPr>
        <w:pStyle w:val="FootnoteText"/>
      </w:pPr>
      <w:r w:rsidRPr="00264A44">
        <w:rPr>
          <w:rStyle w:val="FootnoteReference"/>
        </w:rPr>
        <w:footnoteRef/>
      </w:r>
      <w:r w:rsidRPr="00264A44">
        <w:t xml:space="preserve"> </w:t>
      </w:r>
      <w:r w:rsidRPr="00264A44">
        <w:tab/>
        <w:t>High Court Rules 2016, r 9.7.</w:t>
      </w:r>
    </w:p>
  </w:footnote>
  <w:footnote w:id="218">
    <w:p w14:paraId="60AD4773" w14:textId="77777777" w:rsidR="00024697" w:rsidRDefault="00024697" w:rsidP="00024697">
      <w:pPr>
        <w:pStyle w:val="FootnoteText"/>
      </w:pPr>
      <w:r w:rsidRPr="00264A44">
        <w:rPr>
          <w:rStyle w:val="FootnoteReference"/>
        </w:rPr>
        <w:footnoteRef/>
      </w:r>
      <w:r w:rsidRPr="00264A44">
        <w:t xml:space="preserve"> </w:t>
      </w:r>
      <w:r w:rsidRPr="00264A44">
        <w:tab/>
        <w:t>High Court Rules 2016, r 9.4.</w:t>
      </w:r>
    </w:p>
  </w:footnote>
  <w:footnote w:id="219">
    <w:p w14:paraId="729AE8EE" w14:textId="77777777" w:rsidR="00024697" w:rsidRPr="00264A44" w:rsidRDefault="00024697" w:rsidP="00024697">
      <w:pPr>
        <w:pStyle w:val="FootnoteText"/>
      </w:pPr>
      <w:r w:rsidRPr="00E10AE9">
        <w:rPr>
          <w:rStyle w:val="FootnoteReference"/>
        </w:rPr>
        <w:footnoteRef/>
      </w:r>
      <w:r w:rsidRPr="00E10AE9">
        <w:t xml:space="preserve"> </w:t>
      </w:r>
      <w:r w:rsidRPr="00E10AE9">
        <w:tab/>
      </w:r>
      <w:r w:rsidRPr="00264A44">
        <w:t xml:space="preserve">Andrew Beck </w:t>
      </w:r>
      <w:r w:rsidRPr="00264A44">
        <w:rPr>
          <w:i/>
          <w:iCs/>
        </w:rPr>
        <w:t>A to Z of New Zealand Law</w:t>
      </w:r>
      <w:r w:rsidRPr="00264A44">
        <w:t xml:space="preserve"> (online ed, Thomson Reuters, 2012) at [13.10.8.4].</w:t>
      </w:r>
    </w:p>
  </w:footnote>
  <w:footnote w:id="220">
    <w:p w14:paraId="3BE6F0B7"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Commissioner of Police v Drake </w:t>
      </w:r>
      <w:r w:rsidRPr="00264A44">
        <w:t>[2017] NZHC 2919 at [55].</w:t>
      </w:r>
    </w:p>
  </w:footnote>
  <w:footnote w:id="221">
    <w:p w14:paraId="25AD78DE"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Zespri Group Ltd v Gao</w:t>
      </w:r>
      <w:r w:rsidRPr="00264A44">
        <w:t xml:space="preserve"> [2020] NZHC 109.</w:t>
      </w:r>
    </w:p>
  </w:footnote>
  <w:footnote w:id="222">
    <w:p w14:paraId="0B02B511"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Zespri Group Ltd v Gao</w:t>
      </w:r>
      <w:r w:rsidRPr="00264A44">
        <w:t xml:space="preserve"> [2020] NZHC 109, Schedule - Hearsay Rulings at [7].</w:t>
      </w:r>
    </w:p>
  </w:footnote>
  <w:footnote w:id="223">
    <w:p w14:paraId="01E90D8B"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Zespri Group Ltd v Gao</w:t>
      </w:r>
      <w:r w:rsidRPr="00264A44">
        <w:t xml:space="preserve"> [2020] NZHC 109, Schedule - Hearsay Rulings at [12]. This was also the conclusion in </w:t>
      </w:r>
      <w:r w:rsidRPr="00264A44">
        <w:rPr>
          <w:i/>
          <w:iCs/>
          <w:lang w:val="mi-NZ"/>
        </w:rPr>
        <w:t xml:space="preserve">Taylor v Asteron Life Ltd </w:t>
      </w:r>
      <w:r w:rsidRPr="00264A44">
        <w:rPr>
          <w:lang w:val="mi-NZ"/>
        </w:rPr>
        <w:t xml:space="preserve">[2020] NZCA 354, [2021] 2 NZLR 561 at [66]–[68] (discussed below at paragraph 3.55); </w:t>
      </w:r>
      <w:r w:rsidRPr="00264A44">
        <w:rPr>
          <w:i/>
          <w:iCs/>
          <w:lang w:val="mi-NZ"/>
        </w:rPr>
        <w:t>Brauninger v Westend</w:t>
      </w:r>
      <w:r w:rsidRPr="00264A44">
        <w:rPr>
          <w:lang w:val="mi-NZ"/>
        </w:rPr>
        <w:t xml:space="preserve"> [2020] NZHC 2512 at [46]; </w:t>
      </w:r>
      <w:r w:rsidRPr="00264A44">
        <w:rPr>
          <w:i/>
          <w:iCs/>
        </w:rPr>
        <w:t>Commissioner of Police v Drake</w:t>
      </w:r>
      <w:r w:rsidRPr="00264A44">
        <w:t xml:space="preserve"> [2017] NZHC 2919 at [55]–[56]; </w:t>
      </w:r>
      <w:r w:rsidRPr="00264A44">
        <w:rPr>
          <w:i/>
          <w:iCs/>
        </w:rPr>
        <w:t xml:space="preserve">Blanchett v Keshvara </w:t>
      </w:r>
      <w:r w:rsidRPr="00264A44">
        <w:t xml:space="preserve">[2011] NZCCLR 34 (HC) at [13]; and </w:t>
      </w:r>
      <w:r w:rsidRPr="00264A44">
        <w:rPr>
          <w:i/>
          <w:iCs/>
        </w:rPr>
        <w:t xml:space="preserve">Burrell Demolition Ltd v Wellington City Council </w:t>
      </w:r>
      <w:r w:rsidRPr="00264A44">
        <w:rPr>
          <w:lang w:val="mi-NZ"/>
        </w:rPr>
        <w:t xml:space="preserve">HC Wellington CIV-2006-485-1274, 12 March 2008 at [127] and [131]. </w:t>
      </w:r>
    </w:p>
  </w:footnote>
  <w:footnote w:id="224">
    <w:p w14:paraId="64B94218"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Andrew Beck </w:t>
      </w:r>
      <w:r w:rsidRPr="00264A44">
        <w:rPr>
          <w:i/>
          <w:iCs/>
        </w:rPr>
        <w:t>A to Z of New Zealand Law</w:t>
      </w:r>
      <w:r w:rsidRPr="00264A44">
        <w:t xml:space="preserve"> (online ed, Thomson Reuters, 2012) at [13.10.8.4].</w:t>
      </w:r>
    </w:p>
  </w:footnote>
  <w:footnote w:id="225">
    <w:p w14:paraId="32298031" w14:textId="77777777" w:rsidR="00024697" w:rsidRPr="00372B5E"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Commerce Commission v Giltrap City Ltd </w:t>
      </w:r>
      <w:r w:rsidRPr="00264A44">
        <w:t>[2001] BCL 1008 (HC) at [25]–[28].</w:t>
      </w:r>
      <w:r>
        <w:t xml:space="preserve"> </w:t>
      </w:r>
    </w:p>
  </w:footnote>
  <w:footnote w:id="226">
    <w:p w14:paraId="7D27B0BD" w14:textId="65C347B3" w:rsidR="00024697" w:rsidRPr="00264A44" w:rsidRDefault="00024697" w:rsidP="00024697">
      <w:pPr>
        <w:pStyle w:val="FootnoteText"/>
      </w:pPr>
      <w:r w:rsidRPr="00264A44">
        <w:rPr>
          <w:rStyle w:val="FootnoteReference"/>
        </w:rPr>
        <w:footnoteRef/>
      </w:r>
      <w:r w:rsidRPr="00264A44">
        <w:t xml:space="preserve"> </w:t>
      </w:r>
      <w:r w:rsidRPr="00264A44">
        <w:tab/>
      </w:r>
      <w:r w:rsidR="007B1E4B">
        <w:t>See, for example</w:t>
      </w:r>
      <w:r w:rsidR="009A2FB1">
        <w:t>,</w:t>
      </w:r>
      <w:r w:rsidRPr="00264A44">
        <w:t xml:space="preserve"> </w:t>
      </w:r>
      <w:r w:rsidRPr="00264A44">
        <w:rPr>
          <w:i/>
          <w:iCs/>
        </w:rPr>
        <w:t>Zespri Group Ltd v Gao</w:t>
      </w:r>
      <w:r w:rsidRPr="00264A44">
        <w:t xml:space="preserve"> [2020] NZHC 109, Schedule - Hearsay Rulings at [14]. For a discussion of the courts’ approach to making pre-trial admissibility rulings see Gillian Coumbe “Just prove it: Lay witness statements and admissibility in civil cases” (paper presented to Legalwise “Evidence and Advocacy Masterclass” webinar, 2 June 2022) at [94]–[108].</w:t>
      </w:r>
    </w:p>
  </w:footnote>
  <w:footnote w:id="227">
    <w:p w14:paraId="76B433CD"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lang w:val="mi-NZ"/>
        </w:rPr>
        <w:t xml:space="preserve">Taylor v Asteron Life Ltd </w:t>
      </w:r>
      <w:r w:rsidRPr="00264A44">
        <w:rPr>
          <w:lang w:val="mi-NZ"/>
        </w:rPr>
        <w:t>[2020] NZCA 354, [2021] 2 NZLR 561 at [68].</w:t>
      </w:r>
    </w:p>
  </w:footnote>
  <w:footnote w:id="228">
    <w:p w14:paraId="7A342419" w14:textId="4F94C120" w:rsidR="00024697" w:rsidRPr="00264A44" w:rsidRDefault="00024697" w:rsidP="00024697">
      <w:pPr>
        <w:pStyle w:val="FootnoteText"/>
      </w:pPr>
      <w:r w:rsidRPr="00264A44">
        <w:rPr>
          <w:rStyle w:val="FootnoteReference"/>
        </w:rPr>
        <w:footnoteRef/>
      </w:r>
      <w:r w:rsidRPr="00264A44">
        <w:t xml:space="preserve"> </w:t>
      </w:r>
      <w:r w:rsidRPr="00264A44">
        <w:tab/>
        <w:t xml:space="preserve">See, for example, </w:t>
      </w:r>
      <w:r w:rsidRPr="00264A44">
        <w:rPr>
          <w:i/>
          <w:iCs/>
        </w:rPr>
        <w:t xml:space="preserve">Apollo Bathroom and Kitchen Ltd (In liq) </w:t>
      </w:r>
      <w:r w:rsidR="00F7474E">
        <w:rPr>
          <w:i/>
          <w:iCs/>
        </w:rPr>
        <w:t>v</w:t>
      </w:r>
      <w:r w:rsidRPr="00264A44">
        <w:rPr>
          <w:i/>
          <w:iCs/>
        </w:rPr>
        <w:t xml:space="preserve"> Ling </w:t>
      </w:r>
      <w:r w:rsidRPr="00264A44">
        <w:t>[2019] NZHC 237 at [15]–[17]. In this case, the admissibility of hearsay statements was challenged, but only at trial after the Court drew attention to the hearsay nature of the evidence</w:t>
      </w:r>
      <w:r w:rsidR="00A07B64">
        <w:t xml:space="preserve"> (</w:t>
      </w:r>
      <w:r w:rsidRPr="00264A44">
        <w:t>at [17]</w:t>
      </w:r>
      <w:r w:rsidR="00A07B64">
        <w:t>)</w:t>
      </w:r>
      <w:r w:rsidRPr="00264A44">
        <w:t xml:space="preserve">. However, because no foundation was provided to support the admissibility of the statements under s 18, the case is potentially analogous to the situation where admissibility of hearsay statements is simply not addressed. </w:t>
      </w:r>
      <w:r w:rsidR="00C125ED">
        <w:t>See also</w:t>
      </w:r>
      <w:r w:rsidRPr="00264A44">
        <w:t xml:space="preserve"> comments in </w:t>
      </w:r>
      <w:r w:rsidRPr="00264A44">
        <w:rPr>
          <w:i/>
          <w:iCs/>
        </w:rPr>
        <w:t xml:space="preserve">Brauninger v Westend </w:t>
      </w:r>
      <w:r w:rsidRPr="00264A44">
        <w:t>[2020] NZHC 2512 at [45].</w:t>
      </w:r>
    </w:p>
  </w:footnote>
  <w:footnote w:id="229">
    <w:p w14:paraId="3D59D130" w14:textId="77777777"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Matvin Group Ltd v Crown Finance Ltd </w:t>
      </w:r>
      <w:r w:rsidRPr="00264A44">
        <w:t>[2022] NZHC 2239 at [14].</w:t>
      </w:r>
    </w:p>
  </w:footnote>
  <w:footnote w:id="230">
    <w:p w14:paraId="39BAECE3" w14:textId="77777777" w:rsidR="00024697"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Matvin Group Ltd v Crown Finance Ltd </w:t>
      </w:r>
      <w:r w:rsidRPr="00264A44">
        <w:t>[2022] NZHC 2239 at [15].</w:t>
      </w:r>
    </w:p>
  </w:footnote>
  <w:footnote w:id="231">
    <w:p w14:paraId="531EA11F" w14:textId="77777777" w:rsidR="00024697" w:rsidRPr="00A61D47" w:rsidRDefault="00024697" w:rsidP="00024697">
      <w:pPr>
        <w:pStyle w:val="FootnoteText"/>
      </w:pPr>
      <w:r>
        <w:rPr>
          <w:rStyle w:val="FootnoteReference"/>
        </w:rPr>
        <w:footnoteRef/>
      </w:r>
      <w:r>
        <w:t xml:space="preserve"> </w:t>
      </w:r>
      <w:r>
        <w:tab/>
      </w:r>
      <w:r w:rsidRPr="00264A44">
        <w:t>S</w:t>
      </w:r>
      <w:r w:rsidRPr="00264A44">
        <w:rPr>
          <w:lang w:val="mi-NZ"/>
        </w:rPr>
        <w:t xml:space="preserve">ee </w:t>
      </w:r>
      <w:r w:rsidRPr="00264A44">
        <w:rPr>
          <w:i/>
          <w:iCs/>
          <w:lang w:val="mi-NZ"/>
        </w:rPr>
        <w:t xml:space="preserve">Lockhart v R </w:t>
      </w:r>
      <w:r w:rsidRPr="00264A44">
        <w:rPr>
          <w:lang w:val="mi-NZ"/>
        </w:rPr>
        <w:t xml:space="preserve">[2013] NZCA 549 at [60] and discussion in Elisabeth McDonald and Scott Optican (eds) </w:t>
      </w:r>
      <w:r w:rsidRPr="00264A44">
        <w:rPr>
          <w:i/>
          <w:iCs/>
          <w:lang w:val="mi-NZ"/>
        </w:rPr>
        <w:t>Mahoney on Evidence: Act and Analysis</w:t>
      </w:r>
      <w:r w:rsidRPr="00264A44">
        <w:rPr>
          <w:lang w:val="mi-NZ"/>
        </w:rPr>
        <w:t xml:space="preserve"> (4th ed, Thomson Reuters, Wellington, 2018) at [EV9.02]</w:t>
      </w:r>
      <w:r w:rsidRPr="00264A44">
        <w:rPr>
          <w:i/>
          <w:iCs/>
          <w:lang w:val="mi-NZ"/>
        </w:rPr>
        <w:t>.</w:t>
      </w:r>
      <w:r>
        <w:rPr>
          <w:i/>
          <w:iCs/>
          <w:lang w:val="mi-NZ"/>
        </w:rPr>
        <w:t xml:space="preserve"> </w:t>
      </w:r>
    </w:p>
  </w:footnote>
  <w:footnote w:id="232">
    <w:p w14:paraId="5918083D" w14:textId="6DAF5902" w:rsidR="00024697" w:rsidRPr="00264A44" w:rsidRDefault="00024697" w:rsidP="00024697">
      <w:pPr>
        <w:pStyle w:val="FootnoteText"/>
      </w:pPr>
      <w:r>
        <w:rPr>
          <w:rStyle w:val="FootnoteReference"/>
        </w:rPr>
        <w:footnoteRef/>
      </w:r>
      <w:r>
        <w:t xml:space="preserve"> </w:t>
      </w:r>
      <w:r>
        <w:tab/>
        <w:t xml:space="preserve">See </w:t>
      </w:r>
      <w:r w:rsidRPr="00264A44">
        <w:t xml:space="preserve">discussion in Te Komiti </w:t>
      </w:r>
      <w:r w:rsidR="003A5BFB">
        <w:t>m</w:t>
      </w:r>
      <w:r w:rsidRPr="00264A44">
        <w:t xml:space="preserve">ō </w:t>
      </w:r>
      <w:r w:rsidR="00765D50">
        <w:t>n</w:t>
      </w:r>
      <w:r w:rsidRPr="00264A44">
        <w:t xml:space="preserve">gā Tikanga Kooti | Rules Committee </w:t>
      </w:r>
      <w:r w:rsidRPr="00264A44">
        <w:rPr>
          <w:i/>
          <w:iCs/>
        </w:rPr>
        <w:t xml:space="preserve">Improving Access to Civil Justice </w:t>
      </w:r>
      <w:r w:rsidRPr="00264A44">
        <w:t>(November 2022) at [237]–[239].</w:t>
      </w:r>
    </w:p>
  </w:footnote>
  <w:footnote w:id="233">
    <w:p w14:paraId="0A00EE2C" w14:textId="77777777" w:rsidR="00024697" w:rsidRPr="00264A44" w:rsidRDefault="00024697" w:rsidP="00024697">
      <w:pPr>
        <w:pStyle w:val="FootnoteText"/>
      </w:pPr>
      <w:r w:rsidRPr="00264A44">
        <w:rPr>
          <w:rStyle w:val="FootnoteReference"/>
        </w:rPr>
        <w:footnoteRef/>
      </w:r>
      <w:r w:rsidRPr="00264A44">
        <w:t xml:space="preserve"> </w:t>
      </w:r>
      <w:r w:rsidRPr="00264A44">
        <w:tab/>
        <w:t>I</w:t>
      </w:r>
      <w:r w:rsidRPr="00264A44">
        <w:rPr>
          <w:lang w:eastAsia="en-AU"/>
        </w:rPr>
        <w:t>f a document in the common bundle contains a statement made by someone who is not a witness, and that statement is relied on for the truth of its contents, it will be a hearsay statement under the Evidence Act 2006 and inadmissible unless one of the exceptions in the Act applies.</w:t>
      </w:r>
    </w:p>
  </w:footnote>
  <w:footnote w:id="234">
    <w:p w14:paraId="60BDB193" w14:textId="400C0B95" w:rsidR="00024697" w:rsidRPr="00264A44" w:rsidRDefault="00024697" w:rsidP="00024697">
      <w:pPr>
        <w:pStyle w:val="FootnoteText"/>
      </w:pPr>
      <w:r w:rsidRPr="00264A44">
        <w:rPr>
          <w:rStyle w:val="FootnoteReference"/>
        </w:rPr>
        <w:footnoteRef/>
      </w:r>
      <w:r w:rsidRPr="00264A44">
        <w:t xml:space="preserve"> </w:t>
      </w:r>
      <w:r w:rsidRPr="00264A44">
        <w:tab/>
        <w:t xml:space="preserve">Te Komiti </w:t>
      </w:r>
      <w:r w:rsidR="003A5BFB">
        <w:t>m</w:t>
      </w:r>
      <w:r w:rsidR="003A5BFB" w:rsidRPr="00264A44">
        <w:t xml:space="preserve">ō </w:t>
      </w:r>
      <w:r w:rsidR="003A5BFB">
        <w:t>n</w:t>
      </w:r>
      <w:r w:rsidR="003A5BFB" w:rsidRPr="00264A44">
        <w:t xml:space="preserve">gā </w:t>
      </w:r>
      <w:r w:rsidRPr="00264A44">
        <w:t>Tikanga Kooti | Rules Committee</w:t>
      </w:r>
      <w:r w:rsidRPr="00264A44" w:rsidDel="00F6156B">
        <w:t xml:space="preserve"> </w:t>
      </w:r>
      <w:r w:rsidRPr="00264A44">
        <w:rPr>
          <w:i/>
          <w:iCs/>
        </w:rPr>
        <w:t xml:space="preserve">Improving Access to Civil Justice </w:t>
      </w:r>
      <w:r w:rsidRPr="00264A44">
        <w:t xml:space="preserve">(November 2022). </w:t>
      </w:r>
    </w:p>
  </w:footnote>
  <w:footnote w:id="235">
    <w:p w14:paraId="685238F4" w14:textId="77777777" w:rsidR="00024697" w:rsidRPr="00264A44" w:rsidRDefault="00024697" w:rsidP="00024697">
      <w:pPr>
        <w:pStyle w:val="FootnoteText"/>
      </w:pPr>
      <w:r w:rsidRPr="00264A44">
        <w:rPr>
          <w:rStyle w:val="FootnoteReference"/>
        </w:rPr>
        <w:footnoteRef/>
      </w:r>
      <w:r w:rsidRPr="00264A44">
        <w:t xml:space="preserve"> </w:t>
      </w:r>
      <w:r w:rsidRPr="00264A44">
        <w:tab/>
        <w:t>Te Komiti Mō Ngā Tikanga Kooti | Rules Committee</w:t>
      </w:r>
      <w:r w:rsidRPr="00264A44" w:rsidDel="00F6156B">
        <w:t xml:space="preserve"> </w:t>
      </w:r>
      <w:r w:rsidRPr="00264A44">
        <w:rPr>
          <w:i/>
          <w:iCs/>
        </w:rPr>
        <w:t xml:space="preserve">Improving Access to Civil Justice </w:t>
      </w:r>
      <w:r w:rsidRPr="00264A44">
        <w:t>(November 2022), Recommendation 22(b).</w:t>
      </w:r>
    </w:p>
  </w:footnote>
  <w:footnote w:id="236">
    <w:p w14:paraId="355FDFB4" w14:textId="308C3327" w:rsidR="00024697" w:rsidRPr="00264A44" w:rsidRDefault="00024697" w:rsidP="00024697">
      <w:pPr>
        <w:pStyle w:val="FootnoteText"/>
      </w:pPr>
      <w:r w:rsidRPr="00264A44">
        <w:rPr>
          <w:rStyle w:val="FootnoteReference"/>
        </w:rPr>
        <w:footnoteRef/>
      </w:r>
      <w:r w:rsidRPr="00264A44">
        <w:t xml:space="preserve"> </w:t>
      </w:r>
      <w:r w:rsidRPr="00264A44">
        <w:tab/>
        <w:t xml:space="preserve">Te Komiti </w:t>
      </w:r>
      <w:r w:rsidR="003A5BFB">
        <w:t>m</w:t>
      </w:r>
      <w:r w:rsidR="003A5BFB" w:rsidRPr="00264A44">
        <w:t xml:space="preserve">ō </w:t>
      </w:r>
      <w:r w:rsidR="003A5BFB">
        <w:t>n</w:t>
      </w:r>
      <w:r w:rsidR="003A5BFB" w:rsidRPr="00264A44">
        <w:t xml:space="preserve">gā </w:t>
      </w:r>
      <w:r w:rsidRPr="00264A44">
        <w:t>Tikanga Kooti | Rules Committee</w:t>
      </w:r>
      <w:r w:rsidRPr="00264A44" w:rsidDel="00F6156B">
        <w:t xml:space="preserve"> </w:t>
      </w:r>
      <w:r w:rsidRPr="00264A44">
        <w:rPr>
          <w:i/>
          <w:iCs/>
        </w:rPr>
        <w:t xml:space="preserve">Improving Access to Civil Justice </w:t>
      </w:r>
      <w:r w:rsidRPr="00264A44">
        <w:t>(November 2022) at [239].</w:t>
      </w:r>
    </w:p>
  </w:footnote>
  <w:footnote w:id="237">
    <w:p w14:paraId="3A15C7EB" w14:textId="15CEA6B7" w:rsidR="00024697" w:rsidRDefault="00024697" w:rsidP="00024697">
      <w:pPr>
        <w:pStyle w:val="FootnoteText"/>
      </w:pPr>
      <w:r w:rsidRPr="00264A44">
        <w:rPr>
          <w:rStyle w:val="FootnoteReference"/>
        </w:rPr>
        <w:footnoteRef/>
      </w:r>
      <w:r w:rsidRPr="00264A44">
        <w:t xml:space="preserve"> </w:t>
      </w:r>
      <w:r w:rsidRPr="00264A44">
        <w:tab/>
        <w:t xml:space="preserve">Te Komiti </w:t>
      </w:r>
      <w:r w:rsidR="003A5BFB">
        <w:t>m</w:t>
      </w:r>
      <w:r w:rsidR="003A5BFB" w:rsidRPr="00264A44">
        <w:t xml:space="preserve">ō </w:t>
      </w:r>
      <w:r w:rsidR="003A5BFB">
        <w:t>n</w:t>
      </w:r>
      <w:r w:rsidR="003A5BFB" w:rsidRPr="00264A44">
        <w:t>gā</w:t>
      </w:r>
      <w:r w:rsidRPr="00264A44">
        <w:t xml:space="preserve"> Tikanga Kooti | Rules Committee</w:t>
      </w:r>
      <w:r w:rsidRPr="00264A44" w:rsidDel="00F6156B">
        <w:t xml:space="preserve"> </w:t>
      </w:r>
      <w:r w:rsidRPr="00264A44">
        <w:rPr>
          <w:i/>
          <w:iCs/>
        </w:rPr>
        <w:t xml:space="preserve">Improving Access to Civil Justice </w:t>
      </w:r>
      <w:r w:rsidRPr="00264A44">
        <w:t>(November 2022) at [243].</w:t>
      </w:r>
    </w:p>
  </w:footnote>
  <w:footnote w:id="238">
    <w:p w14:paraId="70A35FCE" w14:textId="3B6DCD62" w:rsidR="00024697" w:rsidRPr="00264A44" w:rsidRDefault="00024697" w:rsidP="00024697">
      <w:pPr>
        <w:pStyle w:val="FootnoteText"/>
      </w:pPr>
      <w:r w:rsidRPr="00264A44">
        <w:rPr>
          <w:rStyle w:val="FootnoteReference"/>
        </w:rPr>
        <w:footnoteRef/>
      </w:r>
      <w:r w:rsidRPr="00264A44">
        <w:t xml:space="preserve"> </w:t>
      </w:r>
      <w:r w:rsidRPr="00264A44">
        <w:tab/>
        <w:t xml:space="preserve">Te Komiti </w:t>
      </w:r>
      <w:r w:rsidR="003A5BFB">
        <w:t>m</w:t>
      </w:r>
      <w:r w:rsidR="003A5BFB" w:rsidRPr="00264A44">
        <w:t xml:space="preserve">ō </w:t>
      </w:r>
      <w:r w:rsidR="003A5BFB">
        <w:t>n</w:t>
      </w:r>
      <w:r w:rsidR="003A5BFB" w:rsidRPr="00264A44">
        <w:t>gā</w:t>
      </w:r>
      <w:r w:rsidRPr="00264A44">
        <w:t xml:space="preserve"> Tikanga Kooti | Rules Committee</w:t>
      </w:r>
      <w:r w:rsidRPr="00264A44" w:rsidDel="00F6156B">
        <w:t xml:space="preserve"> </w:t>
      </w:r>
      <w:r w:rsidRPr="00264A44">
        <w:rPr>
          <w:i/>
          <w:iCs/>
        </w:rPr>
        <w:t xml:space="preserve">Improving Access to Civil Justice </w:t>
      </w:r>
      <w:r w:rsidRPr="00264A44">
        <w:t>(November 2022) at [243].</w:t>
      </w:r>
    </w:p>
  </w:footnote>
  <w:footnote w:id="239">
    <w:p w14:paraId="469F4F15"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Te Aka Matua o te Ture | Law Commission </w:t>
      </w:r>
      <w:r w:rsidRPr="00264A44">
        <w:rPr>
          <w:i/>
          <w:iCs/>
        </w:rPr>
        <w:t xml:space="preserve">Evidence Law: Hearsay </w:t>
      </w:r>
      <w:r w:rsidRPr="00264A44">
        <w:t>(NZLC PP15, 1991) at [7].</w:t>
      </w:r>
    </w:p>
  </w:footnote>
  <w:footnote w:id="240">
    <w:p w14:paraId="68A9AC2C" w14:textId="285B444B" w:rsidR="00024697" w:rsidRPr="00264A44" w:rsidRDefault="00024697" w:rsidP="00024697">
      <w:pPr>
        <w:pStyle w:val="FootnoteText"/>
      </w:pPr>
      <w:r w:rsidRPr="00264A44">
        <w:rPr>
          <w:rStyle w:val="FootnoteReference"/>
        </w:rPr>
        <w:footnoteRef/>
      </w:r>
      <w:r w:rsidRPr="00264A44">
        <w:t xml:space="preserve"> </w:t>
      </w:r>
      <w:r w:rsidRPr="00264A44">
        <w:tab/>
      </w:r>
      <w:r w:rsidRPr="00264A44">
        <w:rPr>
          <w:lang w:eastAsia="en-AU"/>
        </w:rPr>
        <w:t xml:space="preserve">Andrew Beck “Evidence Rules in Civil Proceedings: A Renaissance?” [2021] NZLJ 263 at 263. </w:t>
      </w:r>
      <w:r w:rsidR="00C125ED">
        <w:t>See also</w:t>
      </w:r>
      <w:r w:rsidRPr="00264A44">
        <w:t xml:space="preserve"> Te Aka Matua o te Ture | Law Commission </w:t>
      </w:r>
      <w:r w:rsidRPr="00264A44">
        <w:rPr>
          <w:i/>
        </w:rPr>
        <w:t xml:space="preserve">Evidence Law: Hearsay </w:t>
      </w:r>
      <w:r w:rsidRPr="00264A44">
        <w:t>(NZLC PP15, 1991) at [7].</w:t>
      </w:r>
    </w:p>
  </w:footnote>
  <w:footnote w:id="241">
    <w:p w14:paraId="503F0221" w14:textId="08F39B2E" w:rsidR="00024697" w:rsidRPr="00264A44" w:rsidRDefault="00024697" w:rsidP="00024697">
      <w:pPr>
        <w:pStyle w:val="FootnoteText"/>
      </w:pPr>
      <w:r w:rsidRPr="00264A44">
        <w:rPr>
          <w:rStyle w:val="FootnoteReference"/>
        </w:rPr>
        <w:footnoteRef/>
      </w:r>
      <w:r w:rsidRPr="00264A44">
        <w:t xml:space="preserve"> </w:t>
      </w:r>
      <w:r w:rsidRPr="00264A44">
        <w:tab/>
        <w:t xml:space="preserve">The Commission originally proposed, in a preliminary paper on hearsay, abolishing the hearsay rule in civil proceedings, subject to a general power to exclude evidence </w:t>
      </w:r>
      <w:r w:rsidR="004A5327">
        <w:t>that</w:t>
      </w:r>
      <w:r w:rsidRPr="00264A44">
        <w:t xml:space="preserve"> is unfairly prejudicial, misleading, confusing or time-wasting. It was of the view that, in a judge-alone civil case, “the judge, by reason of experience and training, should be able to assess the risks pertaining to hearsay evidence”: Te Aka Matua o te Ture | Law Commission </w:t>
      </w:r>
      <w:r w:rsidRPr="00264A44">
        <w:rPr>
          <w:i/>
        </w:rPr>
        <w:t xml:space="preserve">Evidence Law: Hearsay </w:t>
      </w:r>
      <w:r w:rsidRPr="00264A44">
        <w:t xml:space="preserve">(NZLC PP15, 1991) at [3] and [19]. Ultimately, the Commission did not adopt these proposals in its proposed Evidence Code and instead recommended a common set of hearsay rules for all proceedings. </w:t>
      </w:r>
    </w:p>
  </w:footnote>
  <w:footnote w:id="242">
    <w:p w14:paraId="1C418648" w14:textId="77777777" w:rsidR="00024697" w:rsidRPr="00264A44" w:rsidRDefault="00024697" w:rsidP="00024697">
      <w:pPr>
        <w:pStyle w:val="FootnoteText"/>
      </w:pPr>
      <w:r w:rsidRPr="00264A44">
        <w:rPr>
          <w:rStyle w:val="FootnoteReference"/>
        </w:rPr>
        <w:footnoteRef/>
      </w:r>
      <w:r w:rsidRPr="00264A44">
        <w:t xml:space="preserve"> </w:t>
      </w:r>
      <w:r w:rsidRPr="00264A44">
        <w:tab/>
        <w:t>See Civil Evidence Act 1995 (UK), s 1 (effectively abolishing the rule against hearsay); Evidence Act 1995 (Cth) ss 63 and 64, adopted in other uniform evidence act jurisdictions and abolishing the rule in relation to first-hand hearsay; and Civil Evidence (Scotland) Act 1988, s 2.</w:t>
      </w:r>
    </w:p>
  </w:footnote>
  <w:footnote w:id="243">
    <w:p w14:paraId="18C926EA" w14:textId="77777777" w:rsidR="00024697" w:rsidRPr="00F57A04" w:rsidRDefault="00024697" w:rsidP="00024697">
      <w:pPr>
        <w:pStyle w:val="FootnoteText"/>
        <w:rPr>
          <w:lang w:val="mi-NZ"/>
        </w:rPr>
      </w:pPr>
      <w:r w:rsidRPr="00264A44">
        <w:rPr>
          <w:rStyle w:val="FootnoteReference"/>
        </w:rPr>
        <w:footnoteRef/>
      </w:r>
      <w:r w:rsidRPr="00264A44">
        <w:t xml:space="preserve"> </w:t>
      </w:r>
      <w:r w:rsidRPr="00264A44">
        <w:rPr>
          <w:lang w:val="mi-NZ"/>
        </w:rPr>
        <w:tab/>
        <w:t>Evidence Act 2006, s 6(e).</w:t>
      </w:r>
    </w:p>
  </w:footnote>
  <w:footnote w:id="244">
    <w:p w14:paraId="77E69FAB" w14:textId="77777777" w:rsidR="00024697" w:rsidRPr="00264A44" w:rsidRDefault="00024697" w:rsidP="00024697">
      <w:pPr>
        <w:pStyle w:val="FootnoteText"/>
      </w:pPr>
      <w:r w:rsidRPr="00264A44">
        <w:rPr>
          <w:rStyle w:val="FootnoteReference"/>
        </w:rPr>
        <w:footnoteRef/>
      </w:r>
      <w:r w:rsidRPr="00264A44">
        <w:t xml:space="preserve"> </w:t>
      </w:r>
      <w:r w:rsidRPr="00264A44">
        <w:tab/>
        <w:t>Evidence Act 2006, s 22.</w:t>
      </w:r>
    </w:p>
  </w:footnote>
  <w:footnote w:id="245">
    <w:p w14:paraId="658859F5" w14:textId="77777777" w:rsidR="00024697" w:rsidRPr="00264A44" w:rsidRDefault="00024697" w:rsidP="00024697">
      <w:pPr>
        <w:pStyle w:val="FootnoteText"/>
      </w:pPr>
      <w:r w:rsidRPr="00264A44">
        <w:rPr>
          <w:rStyle w:val="FootnoteReference"/>
        </w:rPr>
        <w:footnoteRef/>
      </w:r>
      <w:r w:rsidRPr="00264A44">
        <w:t xml:space="preserve"> </w:t>
      </w:r>
      <w:r w:rsidRPr="00264A44">
        <w:tab/>
        <w:t>Evidence Bill 2005 (256–2) (select committee report) at 3–4.</w:t>
      </w:r>
    </w:p>
  </w:footnote>
  <w:footnote w:id="246">
    <w:p w14:paraId="3AEFE924" w14:textId="77777777" w:rsidR="00024697" w:rsidRPr="00264A44" w:rsidRDefault="00024697" w:rsidP="00024697">
      <w:pPr>
        <w:pStyle w:val="FootnoteText"/>
      </w:pPr>
      <w:r w:rsidRPr="00264A44">
        <w:rPr>
          <w:rStyle w:val="FootnoteReference"/>
        </w:rPr>
        <w:footnoteRef/>
      </w:r>
      <w:r w:rsidRPr="00264A44">
        <w:t xml:space="preserve"> </w:t>
      </w:r>
      <w:r w:rsidRPr="00264A44">
        <w:tab/>
        <w:t>Civil Evidence Act 1995 (UK), s 2 and Civil Procedure Rules (UK), r 33.2.</w:t>
      </w:r>
    </w:p>
  </w:footnote>
  <w:footnote w:id="247">
    <w:p w14:paraId="20CFDB74" w14:textId="77777777" w:rsidR="00024697" w:rsidRPr="00264A44" w:rsidRDefault="00024697" w:rsidP="00024697">
      <w:pPr>
        <w:pStyle w:val="FootnoteText"/>
      </w:pPr>
      <w:r w:rsidRPr="00264A44">
        <w:rPr>
          <w:rStyle w:val="FootnoteReference"/>
        </w:rPr>
        <w:footnoteRef/>
      </w:r>
      <w:r w:rsidRPr="00264A44">
        <w:t xml:space="preserve"> </w:t>
      </w:r>
      <w:r w:rsidRPr="00264A44">
        <w:tab/>
        <w:t xml:space="preserve">Te Aka Matua o te Ture | Law Commission </w:t>
      </w:r>
      <w:r w:rsidRPr="00264A44">
        <w:rPr>
          <w:i/>
          <w:iCs/>
        </w:rPr>
        <w:t xml:space="preserve">Evidence: Reform of the Law </w:t>
      </w:r>
      <w:r w:rsidRPr="00264A44">
        <w:t>(NZLC R55, Vol 1. 1999) at [68].</w:t>
      </w:r>
    </w:p>
  </w:footnote>
  <w:footnote w:id="248">
    <w:p w14:paraId="6122AEA8" w14:textId="63F225B2" w:rsidR="00024697" w:rsidRDefault="00024697" w:rsidP="00024697">
      <w:pPr>
        <w:pStyle w:val="FootnoteText"/>
      </w:pPr>
      <w:r w:rsidRPr="00264A44">
        <w:rPr>
          <w:rStyle w:val="FootnoteReference"/>
        </w:rPr>
        <w:footnoteRef/>
      </w:r>
      <w:r w:rsidRPr="00264A44">
        <w:t xml:space="preserve"> </w:t>
      </w:r>
      <w:r w:rsidRPr="00264A44">
        <w:tab/>
      </w:r>
      <w:r w:rsidRPr="00264A44">
        <w:rPr>
          <w:i/>
          <w:iCs/>
        </w:rPr>
        <w:t xml:space="preserve">Apollo Bathroom and Kitchen Ltd (In liq) </w:t>
      </w:r>
      <w:r w:rsidR="005C5653">
        <w:rPr>
          <w:i/>
          <w:iCs/>
        </w:rPr>
        <w:t>v</w:t>
      </w:r>
      <w:r w:rsidRPr="00264A44">
        <w:rPr>
          <w:i/>
          <w:iCs/>
        </w:rPr>
        <w:t xml:space="preserve"> Ling </w:t>
      </w:r>
      <w:r w:rsidRPr="00264A44">
        <w:t xml:space="preserve">[2019] NZHC 237 at [19]. </w:t>
      </w:r>
      <w:r w:rsidR="00C125ED">
        <w:t>See also</w:t>
      </w:r>
      <w:r w:rsidRPr="00264A44">
        <w:t xml:space="preserve"> </w:t>
      </w:r>
      <w:r w:rsidRPr="00264A44">
        <w:rPr>
          <w:i/>
          <w:iCs/>
        </w:rPr>
        <w:t>Zespri Group Ltd v Gao</w:t>
      </w:r>
      <w:r w:rsidRPr="00264A44">
        <w:t xml:space="preserve"> [2020] NZHC 109, Schedule - Hearsay Rulings at [12].</w:t>
      </w:r>
    </w:p>
  </w:footnote>
  <w:footnote w:id="249">
    <w:p w14:paraId="0A9341BF" w14:textId="77777777" w:rsidR="00024697" w:rsidRDefault="00024697" w:rsidP="00024697">
      <w:pPr>
        <w:pStyle w:val="FootnoteText"/>
      </w:pPr>
      <w:r w:rsidRPr="00264A44">
        <w:rPr>
          <w:rStyle w:val="FootnoteReference"/>
        </w:rPr>
        <w:footnoteRef/>
      </w:r>
      <w:r w:rsidRPr="00264A44">
        <w:t xml:space="preserve"> </w:t>
      </w:r>
      <w:r w:rsidRPr="00264A44">
        <w:tab/>
        <w:t>Gillian Coumbe “Just prove it: Lay witness statements and admissibility in civil cases” (paper presented to Legalwise “Evidence and Advocacy Masterclass” webinar, 2 June 2022) at [111].</w:t>
      </w:r>
    </w:p>
  </w:footnote>
  <w:footnote w:id="250">
    <w:p w14:paraId="4F6A49B0" w14:textId="77777777" w:rsidR="00F37091" w:rsidRPr="00334C57" w:rsidRDefault="00F37091" w:rsidP="00F37091">
      <w:pPr>
        <w:pStyle w:val="FootnoteText"/>
      </w:pPr>
      <w:r w:rsidRPr="00334C57">
        <w:rPr>
          <w:rStyle w:val="FootnoteReference"/>
        </w:rPr>
        <w:footnoteRef/>
      </w:r>
      <w:r w:rsidRPr="00334C57">
        <w:t xml:space="preserve"> </w:t>
      </w:r>
      <w:r w:rsidRPr="00334C57">
        <w:tab/>
        <w:t>A hearsay statement is a statement made by a person other than a witness</w:t>
      </w:r>
      <w:r w:rsidRPr="00334C57">
        <w:rPr>
          <w:i/>
          <w:iCs/>
        </w:rPr>
        <w:t xml:space="preserve"> </w:t>
      </w:r>
      <w:r w:rsidRPr="00334C57">
        <w:t>that is offered in evidence to prove the truth of its contents</w:t>
      </w:r>
      <w:r w:rsidRPr="00334C57">
        <w:rPr>
          <w:i/>
          <w:iCs/>
        </w:rPr>
        <w:t xml:space="preserve">: </w:t>
      </w:r>
      <w:r w:rsidRPr="00334C57">
        <w:t>Evidence Act 2006, s 4 (definition of “hearsay statement”)</w:t>
      </w:r>
      <w:r w:rsidRPr="00334C57">
        <w:rPr>
          <w:i/>
          <w:iCs/>
        </w:rPr>
        <w:t xml:space="preserve">. </w:t>
      </w:r>
      <w:r w:rsidRPr="00334C57">
        <w:t xml:space="preserve">A defendant’s statement produced for non-hearsay purposes (for example, simply to prove that the statement was made) may still be admissible: </w:t>
      </w:r>
      <w:r w:rsidRPr="00334C57">
        <w:rPr>
          <w:i/>
        </w:rPr>
        <w:t>Harwood v R</w:t>
      </w:r>
      <w:r w:rsidRPr="00334C57">
        <w:t xml:space="preserve"> [2010] NZCA 545 at [41]–[42].</w:t>
      </w:r>
    </w:p>
  </w:footnote>
  <w:footnote w:id="251">
    <w:p w14:paraId="3B99CBBD"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eastAsia="en-AU"/>
        </w:rPr>
        <w:t>The previous consistent statement rule and the rule against hearsay do not apply</w:t>
      </w:r>
      <w:r w:rsidRPr="00334C57">
        <w:t xml:space="preserve"> to defendants’ statements offered by the prosecution against the defendant: Evidence Act 2006, s 27(3).</w:t>
      </w:r>
    </w:p>
  </w:footnote>
  <w:footnote w:id="252">
    <w:p w14:paraId="1629F398" w14:textId="06DCF74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R v G</w:t>
      </w:r>
      <w:r w:rsidRPr="00334C57">
        <w:t xml:space="preserve"> [2009] NZCA 400 at [12]; </w:t>
      </w:r>
      <w:r w:rsidRPr="00334C57">
        <w:rPr>
          <w:i/>
        </w:rPr>
        <w:t>Kendall v R</w:t>
      </w:r>
      <w:r w:rsidRPr="00334C57">
        <w:t xml:space="preserve"> [2012] NZCA 5 at [16]. See discussion in Te Aka Matua o Te Ture | Law Commission </w:t>
      </w:r>
      <w:r w:rsidRPr="00334C57">
        <w:rPr>
          <w:i/>
        </w:rPr>
        <w:t xml:space="preserve">The 2013 </w:t>
      </w:r>
      <w:r w:rsidR="00B7224E">
        <w:rPr>
          <w:i/>
        </w:rPr>
        <w:t>R</w:t>
      </w:r>
      <w:r w:rsidRPr="00334C57">
        <w:rPr>
          <w:i/>
        </w:rPr>
        <w:t>eview of the Evidence Act 2006</w:t>
      </w:r>
      <w:r w:rsidRPr="00334C57">
        <w:t xml:space="preserve"> (NZLC R127, 2013) at [3.46].</w:t>
      </w:r>
    </w:p>
  </w:footnote>
  <w:footnote w:id="253">
    <w:p w14:paraId="6272D134" w14:textId="77777777" w:rsidR="00F37091" w:rsidRPr="00334C57" w:rsidRDefault="00F37091" w:rsidP="00F37091">
      <w:pPr>
        <w:pStyle w:val="FootnoteText"/>
        <w:rPr>
          <w:i/>
          <w:iCs/>
        </w:rPr>
      </w:pPr>
      <w:r w:rsidRPr="00334C57">
        <w:rPr>
          <w:rStyle w:val="FootnoteReference"/>
        </w:rPr>
        <w:footnoteRef/>
      </w:r>
      <w:r w:rsidRPr="00334C57">
        <w:t xml:space="preserve"> </w:t>
      </w:r>
      <w:r w:rsidRPr="00334C57">
        <w:tab/>
      </w:r>
      <w:r w:rsidRPr="00334C57">
        <w:rPr>
          <w:i/>
        </w:rPr>
        <w:t xml:space="preserve">R v King </w:t>
      </w:r>
      <w:r w:rsidRPr="00334C57">
        <w:t>[2009] NZCA 607, (2009) 24 CRNZ 527 at [16]–[19].</w:t>
      </w:r>
    </w:p>
  </w:footnote>
  <w:footnote w:id="254">
    <w:p w14:paraId="69D0A090" w14:textId="1FA563A0"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S (CA481</w:t>
      </w:r>
      <w:r w:rsidR="00E65DB7">
        <w:rPr>
          <w:i/>
        </w:rPr>
        <w:t>/</w:t>
      </w:r>
      <w:r w:rsidRPr="00334C57">
        <w:rPr>
          <w:i/>
        </w:rPr>
        <w:t>2018) v R</w:t>
      </w:r>
      <w:r w:rsidRPr="00334C57">
        <w:t xml:space="preserve"> [2019] NZCA 169 at [21].</w:t>
      </w:r>
    </w:p>
  </w:footnote>
  <w:footnote w:id="255">
    <w:p w14:paraId="03ACAB01" w14:textId="77777777" w:rsidR="00F37091" w:rsidRPr="00334C57" w:rsidRDefault="00F37091" w:rsidP="00F37091">
      <w:pPr>
        <w:pStyle w:val="FootnoteText"/>
      </w:pPr>
      <w:r w:rsidRPr="00334C57">
        <w:rPr>
          <w:rStyle w:val="FootnoteReference"/>
        </w:rPr>
        <w:footnoteRef/>
      </w:r>
      <w:r w:rsidRPr="00334C57">
        <w:t xml:space="preserve"> </w:t>
      </w:r>
      <w:r w:rsidRPr="00334C57">
        <w:tab/>
        <w:t>Bernard Robertson “Evidence section” [2020] NZLJ 360 at 363.</w:t>
      </w:r>
    </w:p>
  </w:footnote>
  <w:footnote w:id="256">
    <w:p w14:paraId="1228EE0D" w14:textId="77777777" w:rsidR="00F37091" w:rsidRPr="00334C57" w:rsidRDefault="00F37091" w:rsidP="00F37091">
      <w:pPr>
        <w:pStyle w:val="FootnoteText"/>
      </w:pPr>
      <w:r w:rsidRPr="00334C57">
        <w:rPr>
          <w:rStyle w:val="FootnoteReference"/>
        </w:rPr>
        <w:footnoteRef/>
      </w:r>
      <w:r w:rsidRPr="00334C57">
        <w:t xml:space="preserve"> </w:t>
      </w:r>
      <w:r w:rsidRPr="00334C57">
        <w:tab/>
        <w:t>Bernard Robertson “Evidence section” [2020] NZLJ 360 at 363.</w:t>
      </w:r>
    </w:p>
  </w:footnote>
  <w:footnote w:id="257">
    <w:p w14:paraId="47413466" w14:textId="5E2D00E4" w:rsidR="00F37091" w:rsidRPr="00334C57" w:rsidRDefault="00F37091" w:rsidP="00F37091">
      <w:pPr>
        <w:pStyle w:val="FootnoteText"/>
      </w:pPr>
      <w:r w:rsidRPr="00334C57">
        <w:rPr>
          <w:rStyle w:val="FootnoteReference"/>
        </w:rPr>
        <w:footnoteRef/>
      </w:r>
      <w:r w:rsidRPr="00334C57">
        <w:t xml:space="preserve"> </w:t>
      </w:r>
      <w:r w:rsidRPr="00334C57">
        <w:tab/>
        <w:t xml:space="preserve">See </w:t>
      </w:r>
      <w:r w:rsidRPr="00334C57">
        <w:rPr>
          <w:i/>
        </w:rPr>
        <w:t>R v Sturgeon</w:t>
      </w:r>
      <w:r w:rsidRPr="00334C57">
        <w:t xml:space="preserve"> [2005] 1 NZLR 767 </w:t>
      </w:r>
      <w:r w:rsidR="005D4F73">
        <w:t xml:space="preserve">(CA) </w:t>
      </w:r>
      <w:r w:rsidRPr="00334C57">
        <w:t xml:space="preserve">at [23]; </w:t>
      </w:r>
      <w:r w:rsidRPr="00334C57">
        <w:rPr>
          <w:rFonts w:eastAsia="Metropolis Light" w:cs="Metropolis Light"/>
          <w:szCs w:val="15"/>
        </w:rPr>
        <w:t xml:space="preserve">Te Aka Matua o te Ture | Law Commission </w:t>
      </w:r>
      <w:r w:rsidRPr="00334C57">
        <w:rPr>
          <w:rFonts w:eastAsia="Metropolis Light" w:cs="Metropolis Light"/>
          <w:i/>
          <w:szCs w:val="15"/>
        </w:rPr>
        <w:t xml:space="preserve">Evidence Law: Hearsay </w:t>
      </w:r>
      <w:r w:rsidRPr="00334C57">
        <w:rPr>
          <w:rFonts w:eastAsia="Metropolis Light" w:cs="Metropolis Light"/>
          <w:szCs w:val="15"/>
        </w:rPr>
        <w:t>(NZLC PP15, 1991) at [4].</w:t>
      </w:r>
    </w:p>
  </w:footnote>
  <w:footnote w:id="258">
    <w:p w14:paraId="2B84186E" w14:textId="34A6AFB2"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R v Sturgeon</w:t>
      </w:r>
      <w:r w:rsidRPr="00334C57">
        <w:t xml:space="preserve"> [2005] 1 NZLR 767 </w:t>
      </w:r>
      <w:r w:rsidR="005D4F73">
        <w:t xml:space="preserve">(CA) </w:t>
      </w:r>
      <w:r w:rsidRPr="00334C57">
        <w:t xml:space="preserve">at [23] and [25]; </w:t>
      </w:r>
      <w:r w:rsidRPr="00334C57">
        <w:rPr>
          <w:rFonts w:eastAsia="Metropolis Light" w:cs="Metropolis Light"/>
          <w:szCs w:val="15"/>
        </w:rPr>
        <w:t xml:space="preserve">Te Aka Matua o te Ture | Law Commission </w:t>
      </w:r>
      <w:r w:rsidRPr="00334C57">
        <w:rPr>
          <w:rFonts w:eastAsia="Metropolis Light" w:cs="Metropolis Light"/>
          <w:i/>
          <w:szCs w:val="15"/>
        </w:rPr>
        <w:t xml:space="preserve">Evidence: Reform of the Law </w:t>
      </w:r>
      <w:r w:rsidRPr="00334C57">
        <w:rPr>
          <w:rFonts w:eastAsia="Metropolis Light" w:cs="Metropolis Light"/>
          <w:szCs w:val="15"/>
        </w:rPr>
        <w:t>(NZLC R55 Vol 1, 1999) at [92]</w:t>
      </w:r>
      <w:r w:rsidRPr="00334C57">
        <w:t>.</w:t>
      </w:r>
    </w:p>
  </w:footnote>
  <w:footnote w:id="259">
    <w:p w14:paraId="05A9F29B"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R v Tozer</w:t>
      </w:r>
      <w:r w:rsidRPr="00334C57">
        <w:t xml:space="preserve"> [2002] 1 NZLR 193, (2001) 19 CRNZ 269 (CA) at [23].</w:t>
      </w:r>
    </w:p>
  </w:footnote>
  <w:footnote w:id="260">
    <w:p w14:paraId="63CCD217" w14:textId="3487C2F4" w:rsidR="00F37091" w:rsidRPr="00334C57" w:rsidRDefault="00F37091" w:rsidP="00F37091">
      <w:pPr>
        <w:pStyle w:val="FootnoteText"/>
      </w:pPr>
      <w:r w:rsidRPr="00334C57">
        <w:rPr>
          <w:rStyle w:val="FootnoteReference"/>
        </w:rPr>
        <w:footnoteRef/>
      </w:r>
      <w:r w:rsidRPr="00334C57">
        <w:t xml:space="preserve"> </w:t>
      </w:r>
      <w:r w:rsidRPr="00334C57">
        <w:tab/>
        <w:t xml:space="preserve">See </w:t>
      </w:r>
      <w:r w:rsidRPr="00334C57">
        <w:rPr>
          <w:i/>
        </w:rPr>
        <w:t>R v Sturgeon</w:t>
      </w:r>
      <w:r w:rsidRPr="00334C57">
        <w:t xml:space="preserve"> [2005] 1 NZLR 767 </w:t>
      </w:r>
      <w:r w:rsidR="00407F5B">
        <w:t xml:space="preserve">(CA) </w:t>
      </w:r>
      <w:r w:rsidRPr="00334C57">
        <w:t>at [23].</w:t>
      </w:r>
    </w:p>
  </w:footnote>
  <w:footnote w:id="261">
    <w:p w14:paraId="43A49585"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rFonts w:eastAsia="Metropolis Light" w:cs="Metropolis Light"/>
          <w:szCs w:val="15"/>
        </w:rPr>
        <w:t xml:space="preserve">Te Aka Matua o te Ture | Law Commission </w:t>
      </w:r>
      <w:r w:rsidRPr="00334C57">
        <w:rPr>
          <w:rFonts w:eastAsia="Metropolis Light" w:cs="Metropolis Light"/>
          <w:i/>
          <w:szCs w:val="15"/>
        </w:rPr>
        <w:t xml:space="preserve">Evidence: Reform of the Law </w:t>
      </w:r>
      <w:r w:rsidRPr="00334C57">
        <w:rPr>
          <w:rFonts w:eastAsia="Metropolis Light" w:cs="Metropolis Light"/>
          <w:szCs w:val="15"/>
        </w:rPr>
        <w:t>(NZLC R55 Vol 1, 1999) at [94]</w:t>
      </w:r>
      <w:r w:rsidRPr="00334C57">
        <w:t>.</w:t>
      </w:r>
    </w:p>
  </w:footnote>
  <w:footnote w:id="262">
    <w:p w14:paraId="1C08EF01" w14:textId="77777777" w:rsidR="00F37091" w:rsidRPr="00334C57" w:rsidRDefault="00F37091" w:rsidP="00F37091">
      <w:pPr>
        <w:pStyle w:val="FootnoteText"/>
      </w:pPr>
      <w:r w:rsidRPr="00334C57">
        <w:rPr>
          <w:rStyle w:val="FootnoteReference"/>
        </w:rPr>
        <w:footnoteRef/>
      </w:r>
      <w:r w:rsidRPr="00334C57">
        <w:t xml:space="preserve"> </w:t>
      </w:r>
      <w:r w:rsidRPr="00334C57">
        <w:tab/>
        <w:t xml:space="preserve">Te Aka Matua o te Ture | Law Commission </w:t>
      </w:r>
      <w:r w:rsidRPr="00334C57">
        <w:rPr>
          <w:i/>
        </w:rPr>
        <w:t xml:space="preserve">Evidence: Evidence Code and Commentary </w:t>
      </w:r>
      <w:r w:rsidRPr="00334C57">
        <w:t xml:space="preserve">(NZLC R55 Vol 2, 1999) at </w:t>
      </w:r>
      <w:r w:rsidRPr="00334C57">
        <w:rPr>
          <w:color w:val="auto"/>
        </w:rPr>
        <w:t>[C90].</w:t>
      </w:r>
    </w:p>
  </w:footnote>
  <w:footnote w:id="263">
    <w:p w14:paraId="1DC5AB1E" w14:textId="34A433BA" w:rsidR="00F37091" w:rsidRPr="00334C57" w:rsidRDefault="00F37091" w:rsidP="00F37091">
      <w:pPr>
        <w:pStyle w:val="FootnoteText"/>
      </w:pPr>
      <w:r w:rsidRPr="00334C57">
        <w:rPr>
          <w:rStyle w:val="FootnoteReference"/>
        </w:rPr>
        <w:footnoteRef/>
      </w:r>
      <w:r w:rsidRPr="00334C57">
        <w:t xml:space="preserve"> </w:t>
      </w:r>
      <w:r w:rsidRPr="00334C57">
        <w:tab/>
      </w:r>
      <w:r w:rsidRPr="00AA09E2">
        <w:t xml:space="preserve">Cabinet Paper "Evidence Bill: Paper 2: Admissibility of Evidence" </w:t>
      </w:r>
      <w:r w:rsidR="00EA40DC" w:rsidRPr="00AA09E2">
        <w:t>(</w:t>
      </w:r>
      <w:r w:rsidR="006B4A4B" w:rsidRPr="006B4A4B">
        <w:t>4 December 2002</w:t>
      </w:r>
      <w:r w:rsidR="009D2906" w:rsidRPr="00AA09E2">
        <w:t>)</w:t>
      </w:r>
      <w:r w:rsidRPr="00334C57">
        <w:t xml:space="preserve"> at [19]. We were unable to find any other information about the basis for inserting </w:t>
      </w:r>
      <w:r w:rsidR="00D8628A">
        <w:t>s</w:t>
      </w:r>
      <w:r w:rsidRPr="00334C57">
        <w:t xml:space="preserve"> 21.</w:t>
      </w:r>
    </w:p>
  </w:footnote>
  <w:footnote w:id="264">
    <w:p w14:paraId="434268C0"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King </w:t>
      </w:r>
      <w:r w:rsidRPr="00334C57">
        <w:t>[2009] NZCA 607, (2009) 24 CRNZ 527 at [15].</w:t>
      </w:r>
    </w:p>
  </w:footnote>
  <w:footnote w:id="265">
    <w:p w14:paraId="65B97932" w14:textId="66B0A5C3"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King </w:t>
      </w:r>
      <w:r w:rsidRPr="00334C57">
        <w:t xml:space="preserve">[2009] NZCA 607, (2009) 24 CRNZ 527 at [19] (referring to s 368(2) of the Crimes Act 1961 </w:t>
      </w:r>
      <w:r w:rsidR="00A60D73">
        <w:t>-</w:t>
      </w:r>
      <w:r w:rsidRPr="00334C57">
        <w:t xml:space="preserve"> now s 113 of the Criminal Procedure Act 2011). In that case</w:t>
      </w:r>
      <w:r w:rsidR="00BF6751">
        <w:t>,</w:t>
      </w:r>
      <w:r w:rsidRPr="00334C57">
        <w:t xml:space="preserve"> the interests of fairness did not require that evidence of the statement be led, as it was wholly exculpatory and consistent with other evidence. </w:t>
      </w:r>
    </w:p>
  </w:footnote>
  <w:footnote w:id="266">
    <w:p w14:paraId="176B5F23" w14:textId="77777777" w:rsidR="00F37091" w:rsidRPr="00334C57" w:rsidRDefault="00F37091" w:rsidP="00F37091">
      <w:pPr>
        <w:pStyle w:val="FootnoteText"/>
      </w:pPr>
      <w:r w:rsidRPr="00334C57">
        <w:rPr>
          <w:rStyle w:val="FootnoteReference"/>
        </w:rPr>
        <w:footnoteRef/>
      </w:r>
      <w:r w:rsidRPr="00334C57">
        <w:t xml:space="preserve"> </w:t>
      </w:r>
      <w:r w:rsidRPr="00334C57">
        <w:tab/>
        <w:t xml:space="preserve">See also </w:t>
      </w:r>
      <w:r w:rsidRPr="00334C57">
        <w:rPr>
          <w:i/>
        </w:rPr>
        <w:t xml:space="preserve">R v Felise (No 1) </w:t>
      </w:r>
      <w:r w:rsidRPr="00334C57">
        <w:t xml:space="preserve">HC Auckland CRI-2008-092-8864, 8 February 2010 at [14]. </w:t>
      </w:r>
    </w:p>
  </w:footnote>
  <w:footnote w:id="267">
    <w:p w14:paraId="0D2D91BE" w14:textId="513C8CFE" w:rsidR="00F37091" w:rsidRPr="00334C57" w:rsidRDefault="00F37091" w:rsidP="00F37091">
      <w:pPr>
        <w:pStyle w:val="FootnoteText"/>
      </w:pPr>
      <w:r w:rsidRPr="00334C57">
        <w:rPr>
          <w:rStyle w:val="FootnoteReference"/>
        </w:rPr>
        <w:footnoteRef/>
      </w:r>
      <w:r w:rsidRPr="00334C57">
        <w:t xml:space="preserve"> </w:t>
      </w:r>
      <w:r w:rsidRPr="00334C57">
        <w:tab/>
        <w:t xml:space="preserve">Te Aka Matua o Te Ture | Law Commission </w:t>
      </w:r>
      <w:r w:rsidRPr="00334C57">
        <w:rPr>
          <w:i/>
        </w:rPr>
        <w:t xml:space="preserve">The 2013 </w:t>
      </w:r>
      <w:r w:rsidR="00A829D1">
        <w:rPr>
          <w:i/>
        </w:rPr>
        <w:t>R</w:t>
      </w:r>
      <w:r w:rsidRPr="00334C57">
        <w:rPr>
          <w:i/>
        </w:rPr>
        <w:t>eview of the Evidence Act 2006</w:t>
      </w:r>
      <w:r w:rsidRPr="00334C57">
        <w:t xml:space="preserve"> (NZLC R127, 2013) at [3.47].</w:t>
      </w:r>
    </w:p>
  </w:footnote>
  <w:footnote w:id="268">
    <w:p w14:paraId="283CD934" w14:textId="7CE9E46B" w:rsidR="00F37091" w:rsidRPr="00334C57" w:rsidRDefault="00F37091" w:rsidP="00F37091">
      <w:pPr>
        <w:pStyle w:val="FootnoteText"/>
      </w:pPr>
      <w:r w:rsidRPr="00334C57">
        <w:rPr>
          <w:rStyle w:val="FootnoteReference"/>
        </w:rPr>
        <w:footnoteRef/>
      </w:r>
      <w:r w:rsidRPr="00334C57">
        <w:t xml:space="preserve"> </w:t>
      </w:r>
      <w:r w:rsidRPr="00334C57">
        <w:tab/>
        <w:t xml:space="preserve">Te Aka Matua o Te Ture | Law Commission </w:t>
      </w:r>
      <w:r w:rsidRPr="00334C57">
        <w:rPr>
          <w:i/>
        </w:rPr>
        <w:t xml:space="preserve">The 2013 </w:t>
      </w:r>
      <w:r w:rsidR="00A829D1">
        <w:rPr>
          <w:i/>
        </w:rPr>
        <w:t>R</w:t>
      </w:r>
      <w:r w:rsidRPr="00334C57">
        <w:rPr>
          <w:i/>
        </w:rPr>
        <w:t>eview of the Evidence Act 2006</w:t>
      </w:r>
      <w:r w:rsidRPr="00334C57">
        <w:t xml:space="preserve"> (NZLC R127, 2013) at [3.52].</w:t>
      </w:r>
    </w:p>
  </w:footnote>
  <w:footnote w:id="269">
    <w:p w14:paraId="416555B0" w14:textId="1E57B158" w:rsidR="00F37091" w:rsidRPr="00334C57" w:rsidRDefault="00F37091" w:rsidP="00F37091">
      <w:pPr>
        <w:pStyle w:val="FootnoteText"/>
      </w:pPr>
      <w:r w:rsidRPr="00334C57">
        <w:rPr>
          <w:rStyle w:val="FootnoteReference"/>
        </w:rPr>
        <w:footnoteRef/>
      </w:r>
      <w:r w:rsidRPr="00334C57">
        <w:t xml:space="preserve"> </w:t>
      </w:r>
      <w:r w:rsidRPr="00334C57">
        <w:tab/>
        <w:t xml:space="preserve">Te Aka Matua o Te Ture | Law Commission </w:t>
      </w:r>
      <w:r w:rsidRPr="00334C57">
        <w:rPr>
          <w:i/>
        </w:rPr>
        <w:t xml:space="preserve">The 2013 </w:t>
      </w:r>
      <w:r w:rsidR="00A829D1">
        <w:rPr>
          <w:i/>
        </w:rPr>
        <w:t>R</w:t>
      </w:r>
      <w:r w:rsidRPr="00334C57">
        <w:rPr>
          <w:i/>
        </w:rPr>
        <w:t>eview of the Evidence Act 2006</w:t>
      </w:r>
      <w:r w:rsidRPr="00334C57">
        <w:t xml:space="preserve"> (NZLC R127, 2013) at [3.53].</w:t>
      </w:r>
    </w:p>
  </w:footnote>
  <w:footnote w:id="270">
    <w:p w14:paraId="67952ACF" w14:textId="6A767A51" w:rsidR="00F37091" w:rsidRPr="00334C57" w:rsidRDefault="00F37091" w:rsidP="00F37091">
      <w:pPr>
        <w:pStyle w:val="FootnoteText"/>
      </w:pPr>
      <w:r w:rsidRPr="00334C57">
        <w:rPr>
          <w:rStyle w:val="FootnoteReference"/>
        </w:rPr>
        <w:footnoteRef/>
      </w:r>
      <w:r w:rsidRPr="00334C57">
        <w:t xml:space="preserve"> </w:t>
      </w:r>
      <w:r w:rsidRPr="00334C57">
        <w:tab/>
        <w:t xml:space="preserve">Te Aka Matua o Te Ture | Law Commission </w:t>
      </w:r>
      <w:r w:rsidRPr="00334C57">
        <w:rPr>
          <w:i/>
        </w:rPr>
        <w:t xml:space="preserve">The 2013 </w:t>
      </w:r>
      <w:r w:rsidR="00A829D1">
        <w:rPr>
          <w:i/>
        </w:rPr>
        <w:t>R</w:t>
      </w:r>
      <w:r w:rsidRPr="00334C57">
        <w:rPr>
          <w:i/>
        </w:rPr>
        <w:t>eview of the Evidence Act 2006</w:t>
      </w:r>
      <w:r w:rsidRPr="00334C57">
        <w:t xml:space="preserve"> (NZLC R127, 2013) at [3.53]. </w:t>
      </w:r>
    </w:p>
  </w:footnote>
  <w:footnote w:id="271">
    <w:p w14:paraId="60983A4A" w14:textId="77777777" w:rsidR="00F37091" w:rsidRPr="00334C57" w:rsidRDefault="00F37091" w:rsidP="00F37091">
      <w:pPr>
        <w:pStyle w:val="FootnoteText"/>
      </w:pPr>
      <w:r w:rsidRPr="00334C57">
        <w:rPr>
          <w:rStyle w:val="FootnoteReference"/>
        </w:rPr>
        <w:footnoteRef/>
      </w:r>
      <w:r w:rsidRPr="00334C57">
        <w:t xml:space="preserve"> </w:t>
      </w:r>
      <w:r w:rsidRPr="00334C57">
        <w:tab/>
        <w:t xml:space="preserve">See </w:t>
      </w:r>
      <w:r w:rsidRPr="00334C57">
        <w:rPr>
          <w:i/>
        </w:rPr>
        <w:t xml:space="preserve">Boyd v Police </w:t>
      </w:r>
      <w:r w:rsidRPr="00334C57">
        <w:t xml:space="preserve">[2012] NZHC 713 at [16] and </w:t>
      </w:r>
      <w:r w:rsidRPr="00334C57">
        <w:rPr>
          <w:i/>
        </w:rPr>
        <w:t>Paewhenua v Police</w:t>
      </w:r>
      <w:r w:rsidRPr="00334C57">
        <w:t xml:space="preserve"> [2015] NZHC 1831 at [47].</w:t>
      </w:r>
    </w:p>
  </w:footnote>
  <w:footnote w:id="272">
    <w:p w14:paraId="4B0102B9"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Boynton </w:t>
      </w:r>
      <w:r w:rsidRPr="00334C57">
        <w:t xml:space="preserve">[2013] NZHC 2415 (Judgment (No 2) of Toogood J [Defence application for order under s 368(2) Crimes Act 1961]); </w:t>
      </w:r>
      <w:r w:rsidRPr="00334C57">
        <w:rPr>
          <w:i/>
        </w:rPr>
        <w:t xml:space="preserve">Boyd v Police </w:t>
      </w:r>
      <w:r w:rsidRPr="00334C57">
        <w:t xml:space="preserve">[2012] NZHC 713 at [23]; </w:t>
      </w:r>
      <w:r w:rsidRPr="00334C57">
        <w:rPr>
          <w:i/>
        </w:rPr>
        <w:t>Paewhenua v Police</w:t>
      </w:r>
      <w:r w:rsidRPr="00334C57">
        <w:t xml:space="preserve"> [2015] NZHC 1831 at [47]; </w:t>
      </w:r>
      <w:r w:rsidRPr="00334C57">
        <w:rPr>
          <w:i/>
        </w:rPr>
        <w:t>Frew v Police</w:t>
      </w:r>
      <w:r w:rsidRPr="00334C57">
        <w:t xml:space="preserve"> [2022] NZHC 1961 at [39].</w:t>
      </w:r>
    </w:p>
  </w:footnote>
  <w:footnote w:id="273">
    <w:p w14:paraId="00D244E2" w14:textId="77777777" w:rsidR="00F37091" w:rsidRPr="00334C57" w:rsidRDefault="00F37091" w:rsidP="00F37091">
      <w:pPr>
        <w:pStyle w:val="FootnoteText"/>
      </w:pPr>
      <w:r w:rsidRPr="00334C57">
        <w:rPr>
          <w:rStyle w:val="FootnoteReference"/>
        </w:rPr>
        <w:footnoteRef/>
      </w:r>
      <w:r w:rsidRPr="00334C57">
        <w:t xml:space="preserve"> </w:t>
      </w:r>
      <w:r w:rsidRPr="00334C57">
        <w:tab/>
        <w:t xml:space="preserve">See </w:t>
      </w:r>
      <w:r w:rsidRPr="00334C57">
        <w:rPr>
          <w:i/>
        </w:rPr>
        <w:t>Frew v Police</w:t>
      </w:r>
      <w:r w:rsidRPr="00334C57">
        <w:t xml:space="preserve"> [2022] NZHC 1961 at [39].</w:t>
      </w:r>
    </w:p>
  </w:footnote>
  <w:footnote w:id="274">
    <w:p w14:paraId="1DA94521"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lang w:val="en-GB"/>
        </w:rPr>
        <w:t>Foster v R</w:t>
      </w:r>
      <w:r w:rsidRPr="00334C57">
        <w:rPr>
          <w:lang w:val="en-GB"/>
        </w:rPr>
        <w:t xml:space="preserve"> [2021] NZSC 90.</w:t>
      </w:r>
    </w:p>
  </w:footnote>
  <w:footnote w:id="275">
    <w:p w14:paraId="01CDD138"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lang w:val="en-GB"/>
        </w:rPr>
        <w:t>Foster v R</w:t>
      </w:r>
      <w:r w:rsidRPr="00334C57">
        <w:rPr>
          <w:lang w:val="en-GB"/>
        </w:rPr>
        <w:t xml:space="preserve"> [2021] NZSC 90 at </w:t>
      </w:r>
      <w:r w:rsidRPr="00334C57">
        <w:t>[14].</w:t>
      </w:r>
    </w:p>
  </w:footnote>
  <w:footnote w:id="276">
    <w:p w14:paraId="4FE0023C"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lang w:val="en-GB"/>
        </w:rPr>
        <w:t>Foster v R</w:t>
      </w:r>
      <w:r w:rsidRPr="00334C57">
        <w:rPr>
          <w:lang w:val="en-GB"/>
        </w:rPr>
        <w:t xml:space="preserve"> [2021] NZSC 90 a</w:t>
      </w:r>
      <w:r w:rsidRPr="00334C57">
        <w:t>t [16].</w:t>
      </w:r>
    </w:p>
  </w:footnote>
  <w:footnote w:id="277">
    <w:p w14:paraId="5FC2926C" w14:textId="204C8649"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Frew v Police</w:t>
      </w:r>
      <w:r w:rsidRPr="00334C57">
        <w:t xml:space="preserve"> [2022] NZHC 1961 (relying on </w:t>
      </w:r>
      <w:r w:rsidR="00D8628A">
        <w:t>s</w:t>
      </w:r>
      <w:r w:rsidRPr="00334C57">
        <w:t xml:space="preserve"> 21 to disregard evidence about a defendant’s wholly exculpatory statement) and </w:t>
      </w:r>
      <w:r w:rsidRPr="00334C57">
        <w:rPr>
          <w:i/>
        </w:rPr>
        <w:t xml:space="preserve">R v Parata </w:t>
      </w:r>
      <w:r w:rsidRPr="00334C57">
        <w:t>[2021] NZHC 3573 at [48]–[50] (finding that “A defendant is entitled to rely on the exculpatory portions of mixed statements”).</w:t>
      </w:r>
    </w:p>
  </w:footnote>
  <w:footnote w:id="278">
    <w:p w14:paraId="4678317F"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Parata </w:t>
      </w:r>
      <w:r w:rsidRPr="00334C57">
        <w:t>[2021] NZHC 3573.</w:t>
      </w:r>
    </w:p>
  </w:footnote>
  <w:footnote w:id="279">
    <w:p w14:paraId="0C0F9D12" w14:textId="77777777" w:rsidR="00F37091" w:rsidRPr="00334C57" w:rsidRDefault="00F37091" w:rsidP="00F37091">
      <w:pPr>
        <w:pStyle w:val="FootnoteText"/>
        <w:rPr>
          <w:i/>
          <w:iCs/>
        </w:rPr>
      </w:pPr>
      <w:r w:rsidRPr="00334C57">
        <w:rPr>
          <w:rStyle w:val="FootnoteReference"/>
        </w:rPr>
        <w:footnoteRef/>
      </w:r>
      <w:r w:rsidRPr="00334C57">
        <w:t xml:space="preserve"> </w:t>
      </w:r>
      <w:r w:rsidRPr="00334C57">
        <w:tab/>
      </w:r>
      <w:r w:rsidRPr="00334C57">
        <w:rPr>
          <w:i/>
        </w:rPr>
        <w:t xml:space="preserve">R v Singh </w:t>
      </w:r>
      <w:r w:rsidRPr="00334C57">
        <w:t>DC Tauranga CRI-2012-070-4867, 7 August 2013.</w:t>
      </w:r>
    </w:p>
  </w:footnote>
  <w:footnote w:id="280">
    <w:p w14:paraId="4E097D67"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Singh </w:t>
      </w:r>
      <w:r w:rsidRPr="00334C57">
        <w:t>DC Tauranga CRI-2012-070-4867, 7 August 2013 at [47].</w:t>
      </w:r>
    </w:p>
  </w:footnote>
  <w:footnote w:id="281">
    <w:p w14:paraId="5D1CA54B"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Nguyen v R</w:t>
      </w:r>
      <w:r w:rsidRPr="00334C57">
        <w:t xml:space="preserve"> [2020] HCA 23.</w:t>
      </w:r>
    </w:p>
  </w:footnote>
  <w:footnote w:id="282">
    <w:p w14:paraId="2EFE1606" w14:textId="77777777" w:rsidR="00F37091" w:rsidRPr="00334C57" w:rsidRDefault="00F37091" w:rsidP="00F37091">
      <w:pPr>
        <w:pStyle w:val="FootnoteText"/>
      </w:pPr>
      <w:r w:rsidRPr="00334C57">
        <w:rPr>
          <w:rStyle w:val="FootnoteReference"/>
        </w:rPr>
        <w:footnoteRef/>
      </w:r>
      <w:r w:rsidRPr="00334C57">
        <w:t xml:space="preserve"> </w:t>
      </w:r>
      <w:r w:rsidRPr="00334C57">
        <w:tab/>
        <w:t xml:space="preserve">Evidence (National Uniform Legislation) Act 2011 (NT), s 81 (under which “admissions” and associated statements are admissible as an exception to the hearsay rule); </w:t>
      </w:r>
      <w:r w:rsidRPr="00334C57">
        <w:rPr>
          <w:i/>
        </w:rPr>
        <w:t>Nguyen v R</w:t>
      </w:r>
      <w:r w:rsidRPr="00334C57">
        <w:t xml:space="preserve"> [2020] HCA 23 at [22], [25] and [42].</w:t>
      </w:r>
    </w:p>
  </w:footnote>
  <w:footnote w:id="283">
    <w:p w14:paraId="649FAD9C"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Nguyen v R</w:t>
      </w:r>
      <w:r w:rsidRPr="00334C57">
        <w:t xml:space="preserve"> [2020] HCA 23 at [39]–[40].</w:t>
      </w:r>
    </w:p>
  </w:footnote>
  <w:footnote w:id="284">
    <w:p w14:paraId="5CD413CF"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Nguyen v R</w:t>
      </w:r>
      <w:r w:rsidRPr="00334C57">
        <w:t xml:space="preserve"> [2020] HCA 23 at [41].</w:t>
      </w:r>
    </w:p>
  </w:footnote>
  <w:footnote w:id="285">
    <w:p w14:paraId="4F08D9BE"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Nguyen v R</w:t>
      </w:r>
      <w:r w:rsidRPr="00334C57">
        <w:t xml:space="preserve"> [2020] HCA 23 at [44].</w:t>
      </w:r>
    </w:p>
  </w:footnote>
  <w:footnote w:id="286">
    <w:p w14:paraId="21963D4B"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Nguyen v R</w:t>
      </w:r>
      <w:r w:rsidRPr="00334C57">
        <w:t xml:space="preserve"> [2020] HCA 23 at [45].</w:t>
      </w:r>
    </w:p>
  </w:footnote>
  <w:footnote w:id="287">
    <w:p w14:paraId="1BBA35F9"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Nguyen v R</w:t>
      </w:r>
      <w:r w:rsidRPr="00334C57">
        <w:t xml:space="preserve"> [2020] HCA 23 at [36].</w:t>
      </w:r>
    </w:p>
  </w:footnote>
  <w:footnote w:id="288">
    <w:p w14:paraId="51B54F1F"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Nguyen v R</w:t>
      </w:r>
      <w:r w:rsidRPr="00334C57">
        <w:t xml:space="preserve"> [2020] HCA 23 at [39]–[40].</w:t>
      </w:r>
    </w:p>
  </w:footnote>
  <w:footnote w:id="289">
    <w:p w14:paraId="33A944E9" w14:textId="736C74AB" w:rsidR="00F37091" w:rsidRPr="00334C57" w:rsidRDefault="00F37091" w:rsidP="00F37091">
      <w:pPr>
        <w:pStyle w:val="FootnoteText"/>
      </w:pPr>
      <w:r w:rsidRPr="00334C57">
        <w:rPr>
          <w:rStyle w:val="FootnoteReference"/>
        </w:rPr>
        <w:footnoteRef/>
      </w:r>
      <w:r w:rsidRPr="00334C57">
        <w:t xml:space="preserve"> </w:t>
      </w:r>
      <w:r w:rsidRPr="00334C57">
        <w:tab/>
        <w:t>Similarly, although the issue has not been addressed by the higher courts, in principle</w:t>
      </w:r>
      <w:r w:rsidR="00890145">
        <w:t>,</w:t>
      </w:r>
      <w:r w:rsidRPr="00334C57">
        <w:t xml:space="preserve"> it appears to us that mixed statements the prosecution does not wish to rely on should be treated the same as wholly exculpatory statements.</w:t>
      </w:r>
    </w:p>
  </w:footnote>
  <w:footnote w:id="290">
    <w:p w14:paraId="7FC560A7" w14:textId="77777777" w:rsidR="00F37091" w:rsidRPr="00334C57" w:rsidRDefault="00F37091" w:rsidP="00F37091">
      <w:pPr>
        <w:pStyle w:val="FootnoteText"/>
      </w:pPr>
      <w:r w:rsidRPr="00334C57">
        <w:rPr>
          <w:rStyle w:val="FootnoteReference"/>
        </w:rPr>
        <w:footnoteRef/>
      </w:r>
      <w:r w:rsidRPr="00334C57">
        <w:t xml:space="preserve"> </w:t>
      </w:r>
      <w:r w:rsidRPr="00334C57">
        <w:tab/>
        <w:t>Bernard Robertson “Evidence section” [2020] NZLJ 360 at 363.</w:t>
      </w:r>
    </w:p>
  </w:footnote>
  <w:footnote w:id="291">
    <w:p w14:paraId="5219E7D8" w14:textId="77777777" w:rsidR="00F37091" w:rsidRPr="00334C57" w:rsidRDefault="00F37091" w:rsidP="00F37091">
      <w:pPr>
        <w:pStyle w:val="FootnoteText"/>
      </w:pPr>
      <w:r w:rsidRPr="00334C57">
        <w:rPr>
          <w:rStyle w:val="FootnoteReference"/>
        </w:rPr>
        <w:footnoteRef/>
      </w:r>
      <w:r w:rsidRPr="00334C57">
        <w:t xml:space="preserve"> </w:t>
      </w:r>
      <w:r w:rsidRPr="00334C57">
        <w:tab/>
        <w:t xml:space="preserve">See </w:t>
      </w:r>
      <w:r w:rsidRPr="00334C57">
        <w:rPr>
          <w:i/>
          <w:iCs/>
          <w:lang w:val="en-GB"/>
        </w:rPr>
        <w:t>Foster v R</w:t>
      </w:r>
      <w:r w:rsidRPr="00334C57">
        <w:rPr>
          <w:lang w:val="en-GB"/>
        </w:rPr>
        <w:t xml:space="preserve"> [2021] NZSC 90 at [16]; </w:t>
      </w:r>
      <w:r w:rsidRPr="00334C57">
        <w:rPr>
          <w:i/>
        </w:rPr>
        <w:t>Frew v Police</w:t>
      </w:r>
      <w:r w:rsidRPr="00334C57">
        <w:t xml:space="preserve"> [2022] NZHC at [39];</w:t>
      </w:r>
      <w:r w:rsidRPr="00334C57">
        <w:rPr>
          <w:lang w:val="en-GB"/>
        </w:rPr>
        <w:t xml:space="preserve"> </w:t>
      </w:r>
      <w:r w:rsidRPr="00334C57">
        <w:rPr>
          <w:i/>
        </w:rPr>
        <w:t>R v Felise (No 3)</w:t>
      </w:r>
      <w:r w:rsidRPr="00334C57">
        <w:t xml:space="preserve"> (2010) 24 CRNZ 533 (HC)</w:t>
      </w:r>
      <w:r w:rsidRPr="00334C57">
        <w:rPr>
          <w:i/>
        </w:rPr>
        <w:t xml:space="preserve"> </w:t>
      </w:r>
      <w:r w:rsidRPr="00334C57">
        <w:t xml:space="preserve">at [13]; and </w:t>
      </w:r>
      <w:r w:rsidRPr="00334C57">
        <w:rPr>
          <w:i/>
        </w:rPr>
        <w:t xml:space="preserve">Boyd v Police </w:t>
      </w:r>
      <w:r w:rsidRPr="00334C57">
        <w:t>[2012] NZHC 713</w:t>
      </w:r>
      <w:r w:rsidRPr="00334C57">
        <w:rPr>
          <w:i/>
          <w:iCs/>
        </w:rPr>
        <w:t xml:space="preserve"> </w:t>
      </w:r>
      <w:r w:rsidRPr="00334C57">
        <w:t>at [23].</w:t>
      </w:r>
    </w:p>
  </w:footnote>
  <w:footnote w:id="292">
    <w:p w14:paraId="46E02901" w14:textId="33E1F3E1" w:rsidR="00F37091" w:rsidRPr="00334C57" w:rsidRDefault="00F37091" w:rsidP="00F37091">
      <w:pPr>
        <w:pStyle w:val="FootnoteText"/>
      </w:pPr>
      <w:r w:rsidRPr="00334C57">
        <w:rPr>
          <w:rStyle w:val="FootnoteReference"/>
        </w:rPr>
        <w:footnoteRef/>
      </w:r>
      <w:r w:rsidRPr="00334C57">
        <w:t xml:space="preserve"> </w:t>
      </w:r>
      <w:r w:rsidRPr="00334C57">
        <w:tab/>
        <w:t>While s 32 of the Evidence Act 2006 prevents any person from inviting the fact</w:t>
      </w:r>
      <w:r w:rsidR="00B03141">
        <w:t>-</w:t>
      </w:r>
      <w:r w:rsidRPr="00334C57">
        <w:t>finder to draw such an inference and requires the court to direct a jury not to do so, there remains a risk that the jury’s perception will be affected in practice. We note defence counsel may be able to ask the relevant police witness in cross-examination whether the defendant made a statement (without referring to its content), which would mitigate the risk of adverse inferences being drawn from the defendant’s presumed failure to make a statement at all. The jury would, however, remain unaware of the nature of the statement.</w:t>
      </w:r>
    </w:p>
  </w:footnote>
  <w:footnote w:id="293">
    <w:p w14:paraId="2091D58B" w14:textId="77777777" w:rsidR="00F37091" w:rsidRPr="00334C57" w:rsidRDefault="00F37091" w:rsidP="00F37091">
      <w:pPr>
        <w:pStyle w:val="FootnoteText"/>
      </w:pPr>
      <w:r w:rsidRPr="00334C57">
        <w:rPr>
          <w:rStyle w:val="FootnoteReference"/>
        </w:rPr>
        <w:footnoteRef/>
      </w:r>
      <w:r w:rsidRPr="00334C57">
        <w:t xml:space="preserve"> </w:t>
      </w:r>
      <w:r w:rsidRPr="00334C57">
        <w:tab/>
        <w:t>Currently, the prosecution can only offer evidence about the defendant’s veracity if “the defendant has, in court, given oral evidence about his or her veracity or challenged the veracity of a prosecution witness by reference to matters other than the facts in issue”: Evidence Act 2006, s 38(2)(a).</w:t>
      </w:r>
    </w:p>
  </w:footnote>
  <w:footnote w:id="294">
    <w:p w14:paraId="15BA0898" w14:textId="77777777" w:rsidR="00F37091" w:rsidRPr="00334C57" w:rsidRDefault="00F37091" w:rsidP="00F37091">
      <w:pPr>
        <w:pStyle w:val="FootnoteText"/>
      </w:pPr>
      <w:r w:rsidRPr="00334C57">
        <w:rPr>
          <w:rStyle w:val="FootnoteReference"/>
        </w:rPr>
        <w:footnoteRef/>
      </w:r>
      <w:r w:rsidRPr="00334C57">
        <w:t xml:space="preserve"> </w:t>
      </w:r>
      <w:r w:rsidRPr="00334C57">
        <w:tab/>
        <w:t xml:space="preserve">Evidence Act 2006, s 18(1)(a). </w:t>
      </w:r>
    </w:p>
  </w:footnote>
  <w:footnote w:id="295">
    <w:p w14:paraId="1CE8738E"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W </w:t>
      </w:r>
      <w:r w:rsidRPr="00334C57">
        <w:t>[2018] NZHC 2457 at [19].</w:t>
      </w:r>
    </w:p>
  </w:footnote>
  <w:footnote w:id="296">
    <w:p w14:paraId="1CA5DB3D"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W </w:t>
      </w:r>
      <w:r w:rsidRPr="00334C57">
        <w:t>[2018] NZHC 2457 at [21].</w:t>
      </w:r>
    </w:p>
  </w:footnote>
  <w:footnote w:id="297">
    <w:p w14:paraId="21D88608"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W </w:t>
      </w:r>
      <w:r w:rsidRPr="00334C57">
        <w:t>[2018] NZHC 2457 at [39], [48] and [67].</w:t>
      </w:r>
    </w:p>
  </w:footnote>
  <w:footnote w:id="298">
    <w:p w14:paraId="0A9AB6B4"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Hoggart </w:t>
      </w:r>
      <w:r w:rsidRPr="00334C57">
        <w:t>[2019] NZCA 89 at [50].</w:t>
      </w:r>
    </w:p>
  </w:footnote>
  <w:footnote w:id="299">
    <w:p w14:paraId="6C5FCA0A" w14:textId="52072DCF"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Hoggart </w:t>
      </w:r>
      <w:r w:rsidRPr="00334C57">
        <w:t>[2019] NZCA 89 at [50]. This issue was not revisited by the Supreme Court on appeal</w:t>
      </w:r>
      <w:r w:rsidR="00C22AF7">
        <w:t>. H</w:t>
      </w:r>
      <w:r w:rsidRPr="00334C57">
        <w:t>owever</w:t>
      </w:r>
      <w:r w:rsidR="00C22AF7">
        <w:t>,</w:t>
      </w:r>
      <w:r w:rsidRPr="00334C57">
        <w:t xml:space="preserve"> the Court did appear to endorse this approach when discussing what future steps would need to be taken to establish the admissibility of statements of two other potential witnesses (which included statements allegedly made by the defendant to them) who had died before the Court issued its decision: </w:t>
      </w:r>
      <w:r w:rsidRPr="00334C57">
        <w:rPr>
          <w:i/>
          <w:iCs/>
        </w:rPr>
        <w:t>W (SC 38/2019) v R</w:t>
      </w:r>
      <w:r w:rsidRPr="00334C57">
        <w:t xml:space="preserve"> [2020] NZSC 93, [2020] 1 NZLR 382 at [139], [160], [327] and [386].</w:t>
      </w:r>
    </w:p>
  </w:footnote>
  <w:footnote w:id="300">
    <w:p w14:paraId="31D6D9BE" w14:textId="77777777" w:rsidR="00F37091" w:rsidRPr="00334C57" w:rsidRDefault="00F37091" w:rsidP="00F37091">
      <w:pPr>
        <w:pStyle w:val="FootnoteText"/>
      </w:pPr>
      <w:r w:rsidRPr="00334C57">
        <w:rPr>
          <w:rStyle w:val="FootnoteReference"/>
        </w:rPr>
        <w:footnoteRef/>
      </w:r>
      <w:r w:rsidRPr="00334C57">
        <w:t xml:space="preserve"> </w:t>
      </w:r>
      <w:r w:rsidRPr="00334C57">
        <w:tab/>
        <w:t xml:space="preserve">Anna High “The Red Fox Tavern trial and the Evidence Act” [2020] NZLJ 69 at 70 and Bernard Robertson “Student Companion – Evidence” [2019] NZLJ 157 at 157. </w:t>
      </w:r>
    </w:p>
  </w:footnote>
  <w:footnote w:id="301">
    <w:p w14:paraId="1A6C2E75" w14:textId="49889A9C"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val="mi-NZ"/>
        </w:rPr>
        <w:t xml:space="preserve">Te Aka Matua o te Ture | Law Commission </w:t>
      </w:r>
      <w:r w:rsidRPr="00334C57">
        <w:rPr>
          <w:i/>
          <w:iCs/>
          <w:lang w:val="mi-NZ"/>
        </w:rPr>
        <w:t xml:space="preserve">Hearsay Evidence </w:t>
      </w:r>
      <w:r w:rsidRPr="00334C57">
        <w:rPr>
          <w:lang w:val="mi-NZ"/>
        </w:rPr>
        <w:t xml:space="preserve">(NZLC PP10, 1989) at </w:t>
      </w:r>
      <w:r w:rsidRPr="00334C57">
        <w:t xml:space="preserve">[61]. While some jurisdictions distinguish between first-hand and second-hand hearsay, the Commission’s preferred approach was to make all hearsay statements subject to the same rules, with the nature of the statement being relevant instead to the assessment of its reliability under </w:t>
      </w:r>
      <w:r w:rsidR="00D8628A">
        <w:t>s</w:t>
      </w:r>
      <w:r w:rsidRPr="00334C57">
        <w:t xml:space="preserve"> 18: Te Aka Matua o te Ture | Law Commission </w:t>
      </w:r>
      <w:r w:rsidRPr="00334C57">
        <w:rPr>
          <w:i/>
        </w:rPr>
        <w:t xml:space="preserve">Evidence: Reform of the Law </w:t>
      </w:r>
      <w:r w:rsidRPr="00334C57">
        <w:t xml:space="preserve">(NZLC R55 Vol 1, 1999) at [69] and Te Aka Matua o te Ture | Law Commission </w:t>
      </w:r>
      <w:r w:rsidRPr="00334C57">
        <w:rPr>
          <w:i/>
        </w:rPr>
        <w:t xml:space="preserve">Evidence: Evidence Code and Commentary </w:t>
      </w:r>
      <w:r w:rsidRPr="00334C57">
        <w:t>(NZLC R55 Vol 2, 1999) at [C21] and [C76].</w:t>
      </w:r>
    </w:p>
  </w:footnote>
  <w:footnote w:id="302">
    <w:p w14:paraId="433F0F94"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iCs/>
        </w:rPr>
        <w:t>Zespri Group Ltd v Gao</w:t>
      </w:r>
      <w:r w:rsidRPr="00334C57">
        <w:t xml:space="preserve"> [2020] NZHC 109, Schedule - Hearsay Rulings at [24]; </w:t>
      </w:r>
      <w:r w:rsidRPr="00334C57">
        <w:rPr>
          <w:i/>
          <w:iCs/>
        </w:rPr>
        <w:t xml:space="preserve">Key v R </w:t>
      </w:r>
      <w:r w:rsidRPr="00334C57">
        <w:t>[2010] NZCA 115 at [26].</w:t>
      </w:r>
    </w:p>
  </w:footnote>
  <w:footnote w:id="303">
    <w:p w14:paraId="654568C5" w14:textId="77777777" w:rsidR="00F37091" w:rsidRPr="00334C57" w:rsidRDefault="00F37091" w:rsidP="00F37091">
      <w:pPr>
        <w:pStyle w:val="FootnoteText"/>
        <w:rPr>
          <w:lang w:val="mi-NZ"/>
        </w:rPr>
      </w:pPr>
      <w:r w:rsidRPr="00334C57">
        <w:rPr>
          <w:rStyle w:val="FootnoteReference"/>
        </w:rPr>
        <w:footnoteRef/>
      </w:r>
      <w:r w:rsidRPr="00334C57">
        <w:t xml:space="preserve"> </w:t>
      </w:r>
      <w:r w:rsidRPr="00334C57">
        <w:rPr>
          <w:lang w:val="mi-NZ"/>
        </w:rPr>
        <w:tab/>
        <w:t>Including under the New Zealand Bill of Rights Act 1990, s 25(f).</w:t>
      </w:r>
    </w:p>
  </w:footnote>
  <w:footnote w:id="304">
    <w:p w14:paraId="32D13CC3"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val="mi-NZ"/>
        </w:rPr>
        <w:t xml:space="preserve">Te Aka Matua o te Ture | Law Commission </w:t>
      </w:r>
      <w:r w:rsidRPr="00334C57">
        <w:rPr>
          <w:i/>
          <w:iCs/>
          <w:lang w:val="mi-NZ"/>
        </w:rPr>
        <w:t xml:space="preserve">Hearsay Evidence </w:t>
      </w:r>
      <w:r w:rsidRPr="00334C57">
        <w:rPr>
          <w:lang w:val="mi-NZ"/>
        </w:rPr>
        <w:t xml:space="preserve">(NZLC PP10, 1989) </w:t>
      </w:r>
      <w:r w:rsidRPr="00334C57">
        <w:t>at [7].</w:t>
      </w:r>
    </w:p>
  </w:footnote>
  <w:footnote w:id="305">
    <w:p w14:paraId="2014CD99"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val="mi-NZ"/>
        </w:rPr>
        <w:t xml:space="preserve">Te Aka Matua o te Ture | Law Commission </w:t>
      </w:r>
      <w:r w:rsidRPr="00334C57">
        <w:rPr>
          <w:i/>
          <w:iCs/>
          <w:lang w:val="mi-NZ"/>
        </w:rPr>
        <w:t xml:space="preserve">Hearsay Evidence </w:t>
      </w:r>
      <w:r w:rsidRPr="00334C57">
        <w:rPr>
          <w:lang w:val="mi-NZ"/>
        </w:rPr>
        <w:t xml:space="preserve">(NZLC PP10, 1989) </w:t>
      </w:r>
      <w:r w:rsidRPr="00334C57">
        <w:t xml:space="preserve">at [7] citing Law Reform Commission of Canada </w:t>
      </w:r>
      <w:r w:rsidRPr="00334C57">
        <w:rPr>
          <w:i/>
        </w:rPr>
        <w:t xml:space="preserve">Study Paper on Hearsay </w:t>
      </w:r>
      <w:r w:rsidRPr="00334C57">
        <w:t xml:space="preserve">(Toronto, 1974). </w:t>
      </w:r>
    </w:p>
  </w:footnote>
  <w:footnote w:id="306">
    <w:p w14:paraId="5920285E" w14:textId="2EBCC9B8" w:rsidR="00F37091" w:rsidRPr="00334C57" w:rsidRDefault="00F37091" w:rsidP="00F37091">
      <w:pPr>
        <w:pStyle w:val="FootnoteText"/>
      </w:pPr>
      <w:r w:rsidRPr="00334C57">
        <w:rPr>
          <w:rStyle w:val="FootnoteReference"/>
        </w:rPr>
        <w:footnoteRef/>
      </w:r>
      <w:r w:rsidRPr="00334C57">
        <w:t xml:space="preserve"> </w:t>
      </w:r>
      <w:r w:rsidRPr="00334C57">
        <w:tab/>
        <w:t xml:space="preserve">It is the hearsay provisions </w:t>
      </w:r>
      <w:r w:rsidR="00BE601C">
        <w:t>that</w:t>
      </w:r>
      <w:r w:rsidRPr="00334C57">
        <w:t xml:space="preserve"> provide that statements made by a person who is not a witness are generally inadmissible in court (s 17), unless one of the exceptions applies (such as s 18). If the hearsay provisions do not apply to a defendant’s statement contained within a third-party statement, then</w:t>
      </w:r>
      <w:r w:rsidR="005B555A">
        <w:t xml:space="preserve"> </w:t>
      </w:r>
      <w:r w:rsidRPr="00334C57">
        <w:t>the rule against hearsay would also not apply.</w:t>
      </w:r>
    </w:p>
  </w:footnote>
  <w:footnote w:id="307">
    <w:p w14:paraId="41B98A6C" w14:textId="57AC37B4" w:rsidR="00F37091" w:rsidRPr="00334C57" w:rsidRDefault="00F37091" w:rsidP="00F37091">
      <w:pPr>
        <w:pStyle w:val="FootnoteText"/>
      </w:pPr>
      <w:r w:rsidRPr="00334C57">
        <w:rPr>
          <w:rStyle w:val="FootnoteReference"/>
        </w:rPr>
        <w:footnoteRef/>
      </w:r>
      <w:r w:rsidRPr="00334C57">
        <w:t xml:space="preserve"> </w:t>
      </w:r>
      <w:r w:rsidRPr="00334C57">
        <w:tab/>
        <w:t xml:space="preserve">Te Aka Matua o te Ture | Law Commission </w:t>
      </w:r>
      <w:r w:rsidRPr="00334C57">
        <w:rPr>
          <w:i/>
        </w:rPr>
        <w:t xml:space="preserve">Evidence: Reform of the Law </w:t>
      </w:r>
      <w:r w:rsidRPr="00334C57">
        <w:t xml:space="preserve">(NZLC R55 Vol 1, 1999) at [18] and [385]. </w:t>
      </w:r>
      <w:r w:rsidR="00C125ED">
        <w:t>See also</w:t>
      </w:r>
      <w:r w:rsidRPr="00334C57">
        <w:t xml:space="preserve"> discussion of the importance of cross-examination at [50] and [61]. </w:t>
      </w:r>
    </w:p>
  </w:footnote>
  <w:footnote w:id="308">
    <w:p w14:paraId="060016C6" w14:textId="77777777" w:rsidR="00F37091" w:rsidRPr="00334C57" w:rsidRDefault="00F37091" w:rsidP="00F37091">
      <w:pPr>
        <w:pStyle w:val="FootnoteText"/>
      </w:pPr>
      <w:r w:rsidRPr="00334C57">
        <w:rPr>
          <w:rStyle w:val="FootnoteReference"/>
        </w:rPr>
        <w:footnoteRef/>
      </w:r>
      <w:r w:rsidRPr="00334C57">
        <w:t xml:space="preserve"> </w:t>
      </w:r>
      <w:r w:rsidRPr="00334C57">
        <w:tab/>
        <w:t>Bernard Robertson “Student Companion – Evidence” [2019] NZLJ 157 at 157.</w:t>
      </w:r>
    </w:p>
  </w:footnote>
  <w:footnote w:id="309">
    <w:p w14:paraId="4C764C9F" w14:textId="561A3544" w:rsidR="00F37091" w:rsidRPr="00334C57" w:rsidRDefault="00F37091" w:rsidP="00F37091">
      <w:pPr>
        <w:pStyle w:val="FootnoteText"/>
        <w:rPr>
          <w:lang w:val="mi-NZ"/>
        </w:rPr>
      </w:pPr>
      <w:r w:rsidRPr="00334C57">
        <w:rPr>
          <w:rStyle w:val="FootnoteReference"/>
        </w:rPr>
        <w:footnoteRef/>
      </w:r>
      <w:r w:rsidRPr="00334C57">
        <w:t xml:space="preserve"> </w:t>
      </w:r>
      <w:r w:rsidRPr="00334C57">
        <w:rPr>
          <w:lang w:val="mi-NZ"/>
        </w:rPr>
        <w:tab/>
        <w:t xml:space="preserve">This issue is not directly addressed in the Commission’s previous publications on hearsay or confessions. In </w:t>
      </w:r>
      <w:r w:rsidRPr="00334C57">
        <w:t xml:space="preserve">Te Aka Matua o te Ture | Law Commission </w:t>
      </w:r>
      <w:r w:rsidRPr="00334C57">
        <w:rPr>
          <w:i/>
          <w:iCs/>
        </w:rPr>
        <w:t xml:space="preserve">Criminal Evidence: Police Questioning </w:t>
      </w:r>
      <w:r w:rsidRPr="00334C57">
        <w:t xml:space="preserve">(NZLC PP21, 1992) at 227, the Commission’s commentary on the draft provision which stated that the hearsay provisions do not apply to defendants’ statements (subsequently included in what became s 27(3)) explained that: “To dispel any possible confusion that might arise, </w:t>
      </w:r>
      <w:r w:rsidR="00D8628A">
        <w:t>s</w:t>
      </w:r>
      <w:r w:rsidRPr="00334C57">
        <w:t xml:space="preserve"> 2(2) declares that the hearsay provisions of the Evidence Code do not apply to those defendants' statements to which Division 3 applies. This means that the rules in Division 3 will operate as a self-contained regime and not by way of exception to the hearsay rule. (Technically, this declaration may not be necessary)”</w:t>
      </w:r>
      <w:r w:rsidR="009814C3">
        <w:t>.</w:t>
      </w:r>
      <w:r w:rsidRPr="00334C57">
        <w:t xml:space="preserve"> This does not suggest that, when a defendant’s statement is itself contained within a hearsay statement, the hearsay provisions would not also apply to that statement. </w:t>
      </w:r>
    </w:p>
  </w:footnote>
  <w:footnote w:id="310">
    <w:p w14:paraId="71664D6B" w14:textId="77777777" w:rsidR="00F37091" w:rsidRPr="00334C57" w:rsidRDefault="00F37091" w:rsidP="00F37091">
      <w:pPr>
        <w:pStyle w:val="FootnoteText"/>
      </w:pPr>
      <w:r w:rsidRPr="00334C57">
        <w:rPr>
          <w:rStyle w:val="FootnoteReference"/>
        </w:rPr>
        <w:footnoteRef/>
      </w:r>
      <w:r w:rsidRPr="00334C57">
        <w:t xml:space="preserve"> </w:t>
      </w:r>
      <w:r w:rsidRPr="00334C57">
        <w:tab/>
        <w:t>Evidence Act 2006, s 4 (definition of “hearsay statement”).</w:t>
      </w:r>
    </w:p>
  </w:footnote>
  <w:footnote w:id="311">
    <w:p w14:paraId="7CB50405"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iCs/>
        </w:rPr>
        <w:t xml:space="preserve">Winter v R </w:t>
      </w:r>
      <w:r w:rsidRPr="00334C57">
        <w:t>[2019] NZSC 98 at [62].</w:t>
      </w:r>
    </w:p>
  </w:footnote>
  <w:footnote w:id="312">
    <w:p w14:paraId="47682149" w14:textId="5EF86AEA" w:rsidR="00F37091" w:rsidRPr="00334C57" w:rsidRDefault="00F37091" w:rsidP="00F37091">
      <w:pPr>
        <w:pStyle w:val="FootnoteText"/>
        <w:rPr>
          <w:lang w:val="mi-NZ"/>
        </w:rPr>
      </w:pPr>
      <w:r w:rsidRPr="00334C57">
        <w:rPr>
          <w:rStyle w:val="FootnoteReference"/>
        </w:rPr>
        <w:footnoteRef/>
      </w:r>
      <w:r w:rsidRPr="00334C57">
        <w:t xml:space="preserve"> </w:t>
      </w:r>
      <w:r w:rsidRPr="00334C57">
        <w:tab/>
        <w:t xml:space="preserve">For a discussion of the legislative history to the current wording of </w:t>
      </w:r>
      <w:r w:rsidR="00D8628A">
        <w:t>s</w:t>
      </w:r>
      <w:r w:rsidRPr="00334C57">
        <w:t xml:space="preserve">s 22A and 27(1), see </w:t>
      </w:r>
      <w:r w:rsidRPr="00334C57">
        <w:rPr>
          <w:lang w:val="mi-NZ"/>
        </w:rPr>
        <w:t xml:space="preserve">Te Aka Matua o te Ture | Law Commission </w:t>
      </w:r>
      <w:r w:rsidRPr="00334C57">
        <w:rPr>
          <w:i/>
          <w:iCs/>
          <w:lang w:val="mi-NZ"/>
        </w:rPr>
        <w:t xml:space="preserve">Second Review of the Evidence Act 2006 </w:t>
      </w:r>
      <w:r w:rsidRPr="00334C57">
        <w:rPr>
          <w:lang w:val="mi-NZ"/>
        </w:rPr>
        <w:t xml:space="preserve">| </w:t>
      </w:r>
      <w:r w:rsidRPr="00334C57">
        <w:rPr>
          <w:i/>
          <w:iCs/>
          <w:lang w:val="mi-NZ"/>
        </w:rPr>
        <w:t>Te Arotake Tuarua i te Evidence Act 2006</w:t>
      </w:r>
      <w:r w:rsidRPr="00334C57">
        <w:rPr>
          <w:lang w:val="mi-NZ"/>
        </w:rPr>
        <w:t xml:space="preserve"> (NZLC IP42, 2018) at [14.2]–[14.9]. </w:t>
      </w:r>
    </w:p>
  </w:footnote>
  <w:footnote w:id="313">
    <w:p w14:paraId="00D1D5E6"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val="mi-NZ"/>
        </w:rPr>
        <w:t xml:space="preserve">Te Aka Matua o te Ture | Law Commission </w:t>
      </w:r>
      <w:r w:rsidRPr="00334C57">
        <w:rPr>
          <w:i/>
          <w:iCs/>
          <w:lang w:val="mi-NZ"/>
        </w:rPr>
        <w:t xml:space="preserve">The Second Review of the Evidence Act 2006 </w:t>
      </w:r>
      <w:r w:rsidRPr="00334C57">
        <w:rPr>
          <w:lang w:val="mi-NZ"/>
        </w:rPr>
        <w:t xml:space="preserve">| </w:t>
      </w:r>
      <w:r w:rsidRPr="00334C57">
        <w:rPr>
          <w:i/>
          <w:iCs/>
          <w:lang w:val="mi-NZ"/>
        </w:rPr>
        <w:t xml:space="preserve">Te Arotake Tuarua i te Evidence Act 2006 </w:t>
      </w:r>
      <w:r w:rsidRPr="00334C57">
        <w:rPr>
          <w:lang w:val="mi-NZ"/>
        </w:rPr>
        <w:t>(NZLC R142, 2019) at [15.11].</w:t>
      </w:r>
    </w:p>
  </w:footnote>
  <w:footnote w:id="314">
    <w:p w14:paraId="0D078D02"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val="mi-NZ"/>
        </w:rPr>
        <w:t xml:space="preserve">Te Aka Matua o te Ture | Law Commission </w:t>
      </w:r>
      <w:r w:rsidRPr="00334C57">
        <w:rPr>
          <w:i/>
          <w:iCs/>
          <w:lang w:val="mi-NZ"/>
        </w:rPr>
        <w:t xml:space="preserve">The Second Review of the Evidence Act 2006 </w:t>
      </w:r>
      <w:r w:rsidRPr="00334C57">
        <w:rPr>
          <w:lang w:val="mi-NZ"/>
        </w:rPr>
        <w:t xml:space="preserve">| </w:t>
      </w:r>
      <w:r w:rsidRPr="00334C57">
        <w:rPr>
          <w:i/>
          <w:iCs/>
          <w:lang w:val="mi-NZ"/>
        </w:rPr>
        <w:t xml:space="preserve">Te Arotake Tuarua i te Evidence Act 2006 </w:t>
      </w:r>
      <w:r w:rsidRPr="00334C57">
        <w:rPr>
          <w:lang w:val="mi-NZ"/>
        </w:rPr>
        <w:t>(NZLC R142, 2019) at [15.8].</w:t>
      </w:r>
    </w:p>
  </w:footnote>
  <w:footnote w:id="315">
    <w:p w14:paraId="75B93EE5" w14:textId="77777777" w:rsidR="00F37091" w:rsidRPr="00334C57" w:rsidRDefault="00F37091" w:rsidP="00F37091">
      <w:pPr>
        <w:pStyle w:val="FootnoteText"/>
      </w:pPr>
      <w:r w:rsidRPr="00334C57">
        <w:rPr>
          <w:rStyle w:val="FootnoteReference"/>
        </w:rPr>
        <w:footnoteRef/>
      </w:r>
      <w:r w:rsidRPr="00334C57">
        <w:t xml:space="preserve"> </w:t>
      </w:r>
      <w:r w:rsidRPr="00334C57">
        <w:tab/>
        <w:t xml:space="preserve">See the discussion in </w:t>
      </w:r>
      <w:r w:rsidRPr="00334C57">
        <w:rPr>
          <w:i/>
          <w:iCs/>
        </w:rPr>
        <w:t>Fa’avae v R</w:t>
      </w:r>
      <w:r w:rsidRPr="00334C57">
        <w:t xml:space="preserve"> [2012] NZCA 528, [2013] 1 NZLR 311 at [42].</w:t>
      </w:r>
    </w:p>
  </w:footnote>
  <w:footnote w:id="316">
    <w:p w14:paraId="5EAED33C" w14:textId="6C03796A"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val="mi-NZ"/>
        </w:rPr>
        <w:t xml:space="preserve">Te Aka Matua o te Ture | Law Commission </w:t>
      </w:r>
      <w:r w:rsidRPr="00334C57">
        <w:rPr>
          <w:i/>
          <w:iCs/>
          <w:lang w:val="mi-NZ"/>
        </w:rPr>
        <w:t xml:space="preserve">The Second Review of the Evidence Act 2006 </w:t>
      </w:r>
      <w:r w:rsidRPr="00334C57">
        <w:rPr>
          <w:lang w:val="mi-NZ"/>
        </w:rPr>
        <w:t xml:space="preserve">| </w:t>
      </w:r>
      <w:r w:rsidRPr="00334C57">
        <w:rPr>
          <w:i/>
          <w:iCs/>
          <w:lang w:val="mi-NZ"/>
        </w:rPr>
        <w:t xml:space="preserve">Te Arotake Tuarua i te Evidence Act 2006 </w:t>
      </w:r>
      <w:r w:rsidRPr="00334C57">
        <w:rPr>
          <w:lang w:val="mi-NZ"/>
        </w:rPr>
        <w:t>(NZLC R142, 2019) at [15.10]. This is because the common law defined all out</w:t>
      </w:r>
      <w:r w:rsidR="00EC213E">
        <w:rPr>
          <w:lang w:val="mi-NZ"/>
        </w:rPr>
        <w:t>-</w:t>
      </w:r>
      <w:r w:rsidRPr="00334C57">
        <w:rPr>
          <w:lang w:val="mi-NZ"/>
        </w:rPr>
        <w:t>of</w:t>
      </w:r>
      <w:r w:rsidR="00EC213E">
        <w:rPr>
          <w:lang w:val="mi-NZ"/>
        </w:rPr>
        <w:t>-</w:t>
      </w:r>
      <w:r w:rsidRPr="00334C57">
        <w:rPr>
          <w:lang w:val="mi-NZ"/>
        </w:rPr>
        <w:t xml:space="preserve">court statements as hearsay regardless of whether the maker of the statement gave evidence. As a result, the co-conspirators rule, which operated as an exception to the rule against hearsay, would apply regardless of whether defendant gave evidence in court. See discussion of the operation of the common law hearsay rule in Te Aka Matua o te Ture | Law Commission </w:t>
      </w:r>
      <w:r w:rsidRPr="00334C57">
        <w:rPr>
          <w:i/>
          <w:iCs/>
          <w:lang w:val="mi-NZ"/>
        </w:rPr>
        <w:t xml:space="preserve">Evidence Law: Principles for Reform </w:t>
      </w:r>
      <w:r w:rsidRPr="00334C57">
        <w:rPr>
          <w:lang w:val="mi-NZ"/>
        </w:rPr>
        <w:t xml:space="preserve">(NZLC PP13, 1991) at [58] and Te Aka Matua o te Ture | Law Commission </w:t>
      </w:r>
      <w:r w:rsidRPr="00334C57">
        <w:rPr>
          <w:i/>
          <w:iCs/>
          <w:lang w:val="mi-NZ"/>
        </w:rPr>
        <w:t xml:space="preserve">Hearsay Evidence </w:t>
      </w:r>
      <w:r w:rsidRPr="00334C57">
        <w:rPr>
          <w:lang w:val="mi-NZ"/>
        </w:rPr>
        <w:t>(NZLC PP10, 1989) at [5]–[6].</w:t>
      </w:r>
    </w:p>
  </w:footnote>
  <w:footnote w:id="317">
    <w:p w14:paraId="73EA8693" w14:textId="6EC55882"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val="mi-NZ"/>
        </w:rPr>
        <w:t xml:space="preserve">Te Aka Matua o te Ture | Law Commission </w:t>
      </w:r>
      <w:r w:rsidRPr="00334C57">
        <w:rPr>
          <w:i/>
          <w:iCs/>
          <w:lang w:val="mi-NZ"/>
        </w:rPr>
        <w:t xml:space="preserve">The Second Review of the Evidence Act 2006 </w:t>
      </w:r>
      <w:r w:rsidRPr="00334C57">
        <w:rPr>
          <w:lang w:val="mi-NZ"/>
        </w:rPr>
        <w:t xml:space="preserve">| </w:t>
      </w:r>
      <w:r w:rsidRPr="00334C57">
        <w:rPr>
          <w:i/>
          <w:iCs/>
          <w:lang w:val="mi-NZ"/>
        </w:rPr>
        <w:t xml:space="preserve">Te Arotake Tuarua i te Evidence Act 2006 </w:t>
      </w:r>
      <w:r w:rsidRPr="00334C57">
        <w:rPr>
          <w:lang w:val="mi-NZ"/>
        </w:rPr>
        <w:t xml:space="preserve">(NZLC R142, 2019) at [15.10]. </w:t>
      </w:r>
      <w:r w:rsidRPr="00334C57">
        <w:t xml:space="preserve">This is because a statement </w:t>
      </w:r>
      <w:r w:rsidR="004E2143">
        <w:t>that</w:t>
      </w:r>
      <w:r w:rsidRPr="00334C57">
        <w:t xml:space="preserve"> is not admitted to prove the truth of its contents was not hearsay under the common law: Te Aka Matua o te Ture | Law Commission </w:t>
      </w:r>
      <w:r w:rsidRPr="00334C57">
        <w:rPr>
          <w:i/>
          <w:iCs/>
        </w:rPr>
        <w:t xml:space="preserve">Evidence Law: Hearsay </w:t>
      </w:r>
      <w:r w:rsidRPr="00334C57">
        <w:t xml:space="preserve">(NZLC PP15, 1991) at 3; </w:t>
      </w:r>
      <w:r w:rsidRPr="00334C57">
        <w:rPr>
          <w:lang w:val="mi-NZ"/>
        </w:rPr>
        <w:t xml:space="preserve">Te Aka Matua o te Ture | Law Commission </w:t>
      </w:r>
      <w:r w:rsidRPr="00334C57">
        <w:rPr>
          <w:i/>
          <w:iCs/>
          <w:lang w:val="mi-NZ"/>
        </w:rPr>
        <w:t xml:space="preserve">Hearsay Evidence </w:t>
      </w:r>
      <w:r w:rsidRPr="00334C57">
        <w:rPr>
          <w:lang w:val="mi-NZ"/>
        </w:rPr>
        <w:t>(NZLC PP10, 1989) at [27]</w:t>
      </w:r>
      <w:r w:rsidRPr="00334C57">
        <w:t xml:space="preserve">; and Te Aka Matua o te Ture | Law Commission </w:t>
      </w:r>
      <w:r w:rsidRPr="00334C57">
        <w:rPr>
          <w:i/>
          <w:iCs/>
        </w:rPr>
        <w:t xml:space="preserve">Criminal Evidence: Police Questioning </w:t>
      </w:r>
      <w:r w:rsidRPr="00334C57">
        <w:t>(NZLC PP21, 1992) at 75.</w:t>
      </w:r>
    </w:p>
  </w:footnote>
  <w:footnote w:id="318">
    <w:p w14:paraId="0739B72F"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val="mi-NZ"/>
        </w:rPr>
        <w:t xml:space="preserve">Te Aka Matua o te Ture | Law Commission </w:t>
      </w:r>
      <w:r w:rsidRPr="00334C57">
        <w:rPr>
          <w:i/>
          <w:iCs/>
          <w:lang w:val="mi-NZ"/>
        </w:rPr>
        <w:t xml:space="preserve">The Second Review of the Evidence Act 2006 </w:t>
      </w:r>
      <w:r w:rsidRPr="00334C57">
        <w:rPr>
          <w:lang w:val="mi-NZ"/>
        </w:rPr>
        <w:t xml:space="preserve">| </w:t>
      </w:r>
      <w:r w:rsidRPr="00334C57">
        <w:rPr>
          <w:i/>
          <w:iCs/>
          <w:lang w:val="mi-NZ"/>
        </w:rPr>
        <w:t xml:space="preserve">Te Arotake Tuarua i te Evidence Act 2006 </w:t>
      </w:r>
      <w:r w:rsidRPr="00334C57">
        <w:rPr>
          <w:lang w:val="mi-NZ"/>
        </w:rPr>
        <w:t>(NZLC R142, 2019) at R26, [15.18] and Appendix 1.</w:t>
      </w:r>
    </w:p>
  </w:footnote>
  <w:footnote w:id="319">
    <w:p w14:paraId="4C352A44"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val="mi-NZ"/>
        </w:rPr>
        <w:t xml:space="preserve">Te Aka Matua o te Ture | Law Commission </w:t>
      </w:r>
      <w:r w:rsidRPr="00334C57">
        <w:rPr>
          <w:i/>
          <w:iCs/>
          <w:lang w:val="mi-NZ"/>
        </w:rPr>
        <w:t xml:space="preserve">The Second Review of the Evidence Act 2006 </w:t>
      </w:r>
      <w:r w:rsidRPr="00334C57">
        <w:rPr>
          <w:lang w:val="mi-NZ"/>
        </w:rPr>
        <w:t xml:space="preserve">| </w:t>
      </w:r>
      <w:r w:rsidRPr="00334C57">
        <w:rPr>
          <w:i/>
          <w:iCs/>
          <w:lang w:val="mi-NZ"/>
        </w:rPr>
        <w:t xml:space="preserve">Te Arotake Tuarua i te Evidence Act 2006 </w:t>
      </w:r>
      <w:r w:rsidRPr="00334C57">
        <w:rPr>
          <w:lang w:val="mi-NZ"/>
        </w:rPr>
        <w:t>(NZLC R142, 2019)</w:t>
      </w:r>
      <w:r w:rsidRPr="00334C57">
        <w:t xml:space="preserve"> at [15.4] and [15.23]–[15.26]. </w:t>
      </w:r>
    </w:p>
  </w:footnote>
  <w:footnote w:id="320">
    <w:p w14:paraId="2EA34247"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iCs/>
        </w:rPr>
        <w:t xml:space="preserve">Winter v R </w:t>
      </w:r>
      <w:r w:rsidRPr="00334C57">
        <w:t xml:space="preserve">[2019] NZSC 98 at [60]–[63]. </w:t>
      </w:r>
    </w:p>
  </w:footnote>
  <w:footnote w:id="321">
    <w:p w14:paraId="483273E3"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iCs/>
        </w:rPr>
        <w:t xml:space="preserve">Winter v R </w:t>
      </w:r>
      <w:r w:rsidRPr="00334C57">
        <w:t>[2019] NZSC 98 at [20].</w:t>
      </w:r>
    </w:p>
  </w:footnote>
  <w:footnote w:id="322">
    <w:p w14:paraId="529499FD"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iCs/>
        </w:rPr>
        <w:t xml:space="preserve">Winter v R </w:t>
      </w:r>
      <w:r w:rsidRPr="00334C57">
        <w:t>[2019] NZSC 98 at [63].</w:t>
      </w:r>
    </w:p>
  </w:footnote>
  <w:footnote w:id="323">
    <w:p w14:paraId="29E4668A" w14:textId="30E33E5B" w:rsidR="00F37091" w:rsidRPr="00334C57" w:rsidRDefault="00F37091" w:rsidP="00F37091">
      <w:pPr>
        <w:pStyle w:val="FootnoteText"/>
        <w:rPr>
          <w:i/>
          <w:iCs/>
        </w:rPr>
      </w:pPr>
      <w:r w:rsidRPr="00334C57">
        <w:rPr>
          <w:rStyle w:val="FootnoteReference"/>
        </w:rPr>
        <w:footnoteRef/>
      </w:r>
      <w:r w:rsidRPr="00334C57">
        <w:t xml:space="preserve"> </w:t>
      </w:r>
      <w:r w:rsidRPr="00334C57">
        <w:tab/>
      </w:r>
      <w:r w:rsidRPr="00334C57">
        <w:rPr>
          <w:i/>
          <w:iCs/>
        </w:rPr>
        <w:t>R v Messenger</w:t>
      </w:r>
      <w:r w:rsidRPr="00334C57">
        <w:t xml:space="preserve"> [2008] NZCA 13, [2011] 3 NZLR 779 at [13]. S</w:t>
      </w:r>
      <w:r w:rsidR="00F23D77">
        <w:t>ection</w:t>
      </w:r>
      <w:r w:rsidRPr="00334C57">
        <w:t xml:space="preserve"> 22A was introduced following the Commission’s recommendations in Te Aka Matua o te Ture | Law Commission </w:t>
      </w:r>
      <w:r w:rsidRPr="00334C57">
        <w:rPr>
          <w:i/>
        </w:rPr>
        <w:t>The 2013 Review of the Evidence Act 2006</w:t>
      </w:r>
      <w:r w:rsidRPr="00334C57">
        <w:t xml:space="preserve"> (NZLC R127, 2013). There</w:t>
      </w:r>
      <w:r w:rsidR="00C44133">
        <w:t>,</w:t>
      </w:r>
      <w:r w:rsidRPr="00334C57">
        <w:t xml:space="preserve"> the Commission explained that its intention was to codify the threshold issues for the common law co-conspirators’ rule as set out in </w:t>
      </w:r>
      <w:r w:rsidRPr="00334C57">
        <w:rPr>
          <w:i/>
          <w:iCs/>
        </w:rPr>
        <w:t>Messenger</w:t>
      </w:r>
      <w:r w:rsidR="001E7DF1">
        <w:rPr>
          <w:i/>
          <w:iCs/>
        </w:rPr>
        <w:t xml:space="preserve"> </w:t>
      </w:r>
      <w:r w:rsidR="001E7DF1">
        <w:t>(</w:t>
      </w:r>
      <w:r w:rsidR="001E7DF1" w:rsidRPr="00334C57">
        <w:t>at [3.111]–[3.112]</w:t>
      </w:r>
      <w:r w:rsidR="001E7DF1">
        <w:t>)</w:t>
      </w:r>
      <w:r w:rsidRPr="00334C57">
        <w:rPr>
          <w:i/>
          <w:iCs/>
        </w:rPr>
        <w:t>.</w:t>
      </w:r>
    </w:p>
  </w:footnote>
  <w:footnote w:id="324">
    <w:p w14:paraId="3A3E77A0" w14:textId="797BD373" w:rsidR="00F37091" w:rsidRPr="00334C57" w:rsidRDefault="00F37091" w:rsidP="00F37091">
      <w:pPr>
        <w:pStyle w:val="FootnoteText"/>
      </w:pPr>
      <w:r w:rsidRPr="00334C57">
        <w:rPr>
          <w:rStyle w:val="FootnoteReference"/>
        </w:rPr>
        <w:footnoteRef/>
      </w:r>
      <w:r w:rsidRPr="00334C57">
        <w:t xml:space="preserve"> </w:t>
      </w:r>
      <w:r w:rsidRPr="00334C57">
        <w:tab/>
      </w:r>
      <w:r w:rsidR="00C125ED">
        <w:t>See also</w:t>
      </w:r>
      <w:r w:rsidRPr="00334C57">
        <w:t xml:space="preserve"> </w:t>
      </w:r>
      <w:r w:rsidRPr="00334C57">
        <w:rPr>
          <w:i/>
          <w:iCs/>
        </w:rPr>
        <w:t>R v Liev</w:t>
      </w:r>
      <w:r w:rsidRPr="00334C57">
        <w:t xml:space="preserve"> [2017] NZHC 830 at [14], where Palmer J suggested that the drafting of s 27(1) was not consistent with the nature of the co-conspirators’ rule being an exception to inadmissibility only on the basis of hearsay.</w:t>
      </w:r>
    </w:p>
  </w:footnote>
  <w:footnote w:id="325">
    <w:p w14:paraId="09801782" w14:textId="0F2DE482" w:rsidR="00F37091" w:rsidRPr="00334C57" w:rsidRDefault="00F37091" w:rsidP="00F37091">
      <w:pPr>
        <w:pStyle w:val="FootnoteText"/>
      </w:pPr>
      <w:r w:rsidRPr="00334C57">
        <w:rPr>
          <w:rStyle w:val="FootnoteReference"/>
        </w:rPr>
        <w:footnoteRef/>
      </w:r>
      <w:r w:rsidRPr="00334C57">
        <w:t xml:space="preserve"> </w:t>
      </w:r>
      <w:r w:rsidRPr="00334C57">
        <w:tab/>
        <w:t xml:space="preserve">Te Aka Matua o te Ture | Law Commission </w:t>
      </w:r>
      <w:r w:rsidRPr="00334C57">
        <w:rPr>
          <w:i/>
        </w:rPr>
        <w:t xml:space="preserve">The 2013 </w:t>
      </w:r>
      <w:r w:rsidR="0058656E">
        <w:rPr>
          <w:i/>
        </w:rPr>
        <w:t>R</w:t>
      </w:r>
      <w:r w:rsidRPr="00334C57">
        <w:rPr>
          <w:i/>
        </w:rPr>
        <w:t>eview of the Evidence Act 2006</w:t>
      </w:r>
      <w:r w:rsidRPr="00334C57">
        <w:t xml:space="preserve"> (NZLC R127, 2013) at [3.91]. </w:t>
      </w:r>
      <w:r w:rsidR="00C125ED">
        <w:t xml:space="preserve">See also </w:t>
      </w:r>
      <w:r w:rsidRPr="00334C57">
        <w:t>Evidence Bill 2005 (256-2) (select committee report) at 4</w:t>
      </w:r>
      <w:r w:rsidR="001437C7">
        <w:t>,</w:t>
      </w:r>
      <w:r w:rsidRPr="00334C57">
        <w:t xml:space="preserve"> which states that the Committee’s view was that the Act would “maintain the current law relating to statements by co-defendants”.</w:t>
      </w:r>
    </w:p>
  </w:footnote>
  <w:footnote w:id="326">
    <w:p w14:paraId="12129CAA" w14:textId="77777777" w:rsidR="00F37091" w:rsidRPr="00334C57" w:rsidRDefault="00F37091" w:rsidP="00F37091">
      <w:pPr>
        <w:pStyle w:val="FootnoteText"/>
      </w:pPr>
      <w:r w:rsidRPr="00334C57">
        <w:rPr>
          <w:rStyle w:val="FootnoteReference"/>
        </w:rPr>
        <w:footnoteRef/>
      </w:r>
      <w:r w:rsidRPr="00334C57">
        <w:t xml:space="preserve"> </w:t>
      </w:r>
      <w:r w:rsidRPr="00334C57">
        <w:tab/>
        <w:t xml:space="preserve">As recognised in </w:t>
      </w:r>
      <w:r w:rsidRPr="00334C57">
        <w:rPr>
          <w:i/>
          <w:iCs/>
        </w:rPr>
        <w:t xml:space="preserve">Winter v R </w:t>
      </w:r>
      <w:r w:rsidRPr="00334C57">
        <w:t xml:space="preserve">[2019] NZSC 98 at [40]. </w:t>
      </w:r>
    </w:p>
  </w:footnote>
  <w:footnote w:id="327">
    <w:p w14:paraId="6F10CF57" w14:textId="75814619"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iCs/>
        </w:rPr>
        <w:t xml:space="preserve">R v Wellington </w:t>
      </w:r>
      <w:r w:rsidRPr="00334C57">
        <w:t xml:space="preserve">[2018] NZHC 2080 at [66] and </w:t>
      </w:r>
      <w:r w:rsidRPr="00334C57">
        <w:rPr>
          <w:i/>
          <w:iCs/>
        </w:rPr>
        <w:t xml:space="preserve">R v Pearce </w:t>
      </w:r>
      <w:r w:rsidRPr="00334C57">
        <w:t xml:space="preserve">[2007] NZCA 40 at [26]. </w:t>
      </w:r>
      <w:r w:rsidR="00C125ED">
        <w:t>See also</w:t>
      </w:r>
      <w:r w:rsidRPr="00334C57">
        <w:t xml:space="preserve"> Evidence Bill 2005 (256-2) (select committee report) at 4.</w:t>
      </w:r>
    </w:p>
  </w:footnote>
  <w:footnote w:id="328">
    <w:p w14:paraId="72EF3589"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lang w:val="mi-NZ"/>
        </w:rPr>
        <w:t xml:space="preserve">Te Aka Matua o te Ture | Law Commission </w:t>
      </w:r>
      <w:r w:rsidRPr="00334C57">
        <w:rPr>
          <w:i/>
          <w:iCs/>
          <w:lang w:val="mi-NZ"/>
        </w:rPr>
        <w:t xml:space="preserve">The Second Review of the Evidence Act 2006 </w:t>
      </w:r>
      <w:r w:rsidRPr="00334C57">
        <w:rPr>
          <w:lang w:val="mi-NZ"/>
        </w:rPr>
        <w:t xml:space="preserve">| </w:t>
      </w:r>
      <w:r w:rsidRPr="00334C57">
        <w:rPr>
          <w:i/>
          <w:iCs/>
          <w:lang w:val="mi-NZ"/>
        </w:rPr>
        <w:t xml:space="preserve">Te Arotake Tuarua i te Evidence Act 2006 </w:t>
      </w:r>
      <w:r w:rsidRPr="00334C57">
        <w:rPr>
          <w:lang w:val="mi-NZ"/>
        </w:rPr>
        <w:t>(NZLC R142, 2019) at [15.20].</w:t>
      </w:r>
    </w:p>
  </w:footnote>
  <w:footnote w:id="329">
    <w:p w14:paraId="5DE5CF90" w14:textId="77777777" w:rsidR="00F37091" w:rsidRPr="00334C57" w:rsidRDefault="00F37091" w:rsidP="00F37091">
      <w:pPr>
        <w:pStyle w:val="FootnoteText"/>
        <w:rPr>
          <w:i/>
          <w:iCs/>
          <w:lang w:val="mi-NZ"/>
        </w:rPr>
      </w:pPr>
      <w:r w:rsidRPr="00334C57">
        <w:rPr>
          <w:rStyle w:val="FootnoteReference"/>
        </w:rPr>
        <w:footnoteRef/>
      </w:r>
      <w:r w:rsidRPr="00334C57">
        <w:t xml:space="preserve"> </w:t>
      </w:r>
      <w:r w:rsidRPr="00334C57">
        <w:rPr>
          <w:lang w:val="mi-NZ"/>
        </w:rPr>
        <w:tab/>
        <w:t xml:space="preserve">See, for example, </w:t>
      </w:r>
      <w:r w:rsidRPr="00334C57">
        <w:rPr>
          <w:i/>
          <w:iCs/>
          <w:lang w:val="mi-NZ"/>
        </w:rPr>
        <w:t xml:space="preserve">Singh v R </w:t>
      </w:r>
      <w:r w:rsidRPr="00334C57">
        <w:rPr>
          <w:lang w:val="mi-NZ"/>
        </w:rPr>
        <w:t xml:space="preserve">[2017] NZCA 136 at [90]–[91]; and </w:t>
      </w:r>
      <w:r w:rsidRPr="00334C57">
        <w:rPr>
          <w:i/>
          <w:iCs/>
          <w:lang w:val="mi-NZ"/>
        </w:rPr>
        <w:t xml:space="preserve">R v Ali </w:t>
      </w:r>
      <w:r w:rsidRPr="00334C57">
        <w:rPr>
          <w:lang w:val="mi-NZ"/>
        </w:rPr>
        <w:t xml:space="preserve">[2016] NZHC 2223 at [46]–[47]. </w:t>
      </w:r>
    </w:p>
  </w:footnote>
  <w:footnote w:id="330">
    <w:p w14:paraId="5458BED2" w14:textId="77777777" w:rsidR="00F37091" w:rsidRPr="00334C57" w:rsidRDefault="00F37091" w:rsidP="00F37091">
      <w:pPr>
        <w:pStyle w:val="FootnoteText"/>
      </w:pPr>
      <w:r w:rsidRPr="00334C57">
        <w:rPr>
          <w:rStyle w:val="FootnoteReference"/>
        </w:rPr>
        <w:footnoteRef/>
      </w:r>
      <w:r w:rsidRPr="00334C57">
        <w:t xml:space="preserve"> </w:t>
      </w:r>
      <w:r w:rsidRPr="00334C57">
        <w:tab/>
      </w:r>
      <w:r w:rsidRPr="00334C57">
        <w:rPr>
          <w:i/>
        </w:rPr>
        <w:t xml:space="preserve">R v Wellington </w:t>
      </w:r>
      <w:r w:rsidRPr="00334C57">
        <w:t>[2018] NZHC 2080 at [64].</w:t>
      </w:r>
    </w:p>
  </w:footnote>
  <w:footnote w:id="331">
    <w:p w14:paraId="6B9D73A0" w14:textId="7924BC15" w:rsidR="00F37091" w:rsidRPr="00334C57" w:rsidRDefault="00F37091" w:rsidP="00F37091">
      <w:pPr>
        <w:pStyle w:val="FootnoteText"/>
        <w:rPr>
          <w:i/>
          <w:iCs/>
          <w:lang w:val="mi-NZ"/>
        </w:rPr>
      </w:pPr>
      <w:r w:rsidRPr="00334C57">
        <w:rPr>
          <w:rStyle w:val="FootnoteReference"/>
        </w:rPr>
        <w:footnoteRef/>
      </w:r>
      <w:r w:rsidRPr="00334C57">
        <w:t xml:space="preserve"> </w:t>
      </w:r>
      <w:r w:rsidRPr="00334C57">
        <w:rPr>
          <w:lang w:val="mi-NZ"/>
        </w:rPr>
        <w:tab/>
      </w:r>
      <w:r w:rsidRPr="00334C57">
        <w:t xml:space="preserve"> </w:t>
      </w:r>
      <w:r w:rsidRPr="00334C57">
        <w:rPr>
          <w:i/>
          <w:lang w:val="mi-NZ"/>
        </w:rPr>
        <w:t xml:space="preserve">Goffe v R </w:t>
      </w:r>
      <w:r w:rsidRPr="00334C57">
        <w:rPr>
          <w:lang w:val="mi-NZ"/>
        </w:rPr>
        <w:t>[2</w:t>
      </w:r>
      <w:r w:rsidRPr="00334C57">
        <w:t xml:space="preserve">011] NZCA 186, [2011] 2 NZLR at [45]. See also </w:t>
      </w:r>
      <w:r w:rsidRPr="00334C57">
        <w:rPr>
          <w:i/>
        </w:rPr>
        <w:t xml:space="preserve">McKenzie v R </w:t>
      </w:r>
      <w:r w:rsidRPr="00334C57">
        <w:t>[2013] NZCA 378 at [24]–[26].</w:t>
      </w:r>
    </w:p>
  </w:footnote>
  <w:footnote w:id="332">
    <w:p w14:paraId="1269AC33" w14:textId="0925AE57" w:rsidR="00F37091" w:rsidRDefault="00F37091" w:rsidP="00F37091">
      <w:pPr>
        <w:pStyle w:val="FootnoteText"/>
      </w:pPr>
      <w:r w:rsidRPr="00334C57">
        <w:rPr>
          <w:rStyle w:val="FootnoteReference"/>
        </w:rPr>
        <w:footnoteRef/>
      </w:r>
      <w:r w:rsidRPr="00334C57">
        <w:t xml:space="preserve"> </w:t>
      </w:r>
      <w:r w:rsidRPr="00334C57">
        <w:tab/>
        <w:t>“On co-defendants’ statements and admissibility” (23 December 2019) Strictly Obiter &lt;</w:t>
      </w:r>
      <w:r w:rsidR="00673D87">
        <w:t>www.</w:t>
      </w:r>
      <w:r w:rsidR="00673D87" w:rsidRPr="00673D87">
        <w:t>strictlyobiter.com</w:t>
      </w:r>
      <w:r w:rsidRPr="00334C57">
        <w:t>&gt;.</w:t>
      </w:r>
    </w:p>
  </w:footnote>
  <w:footnote w:id="333">
    <w:p w14:paraId="448B0CAE" w14:textId="78A1E690" w:rsidR="00116092" w:rsidRPr="00984EC8" w:rsidRDefault="00116092" w:rsidP="00116092">
      <w:pPr>
        <w:pStyle w:val="FootnoteText"/>
      </w:pPr>
      <w:r>
        <w:rPr>
          <w:rStyle w:val="FootnoteReference"/>
        </w:rPr>
        <w:footnoteRef/>
      </w:r>
      <w:r>
        <w:t xml:space="preserve"> </w:t>
      </w:r>
      <w:r>
        <w:tab/>
        <w:t xml:space="preserve">Other examples </w:t>
      </w:r>
      <w:r w:rsidRPr="00984EC8">
        <w:t xml:space="preserve">include </w:t>
      </w:r>
      <w:r w:rsidRPr="00984EC8">
        <w:rPr>
          <w:lang w:eastAsia="en-AU"/>
        </w:rPr>
        <w:t>hearsay evidence (</w:t>
      </w:r>
      <w:r w:rsidR="005400C9">
        <w:rPr>
          <w:lang w:eastAsia="en-AU"/>
        </w:rPr>
        <w:t>Evidence Act 2006, s</w:t>
      </w:r>
      <w:r w:rsidRPr="00984EC8">
        <w:rPr>
          <w:lang w:eastAsia="en-AU"/>
        </w:rPr>
        <w:t xml:space="preserve"> 18(1)(a)) and visual and voice identification evidence (s</w:t>
      </w:r>
      <w:r w:rsidR="005400C9">
        <w:rPr>
          <w:lang w:eastAsia="en-AU"/>
        </w:rPr>
        <w:t>s</w:t>
      </w:r>
      <w:r w:rsidRPr="00984EC8">
        <w:rPr>
          <w:lang w:eastAsia="en-AU"/>
        </w:rPr>
        <w:t xml:space="preserve"> 45(2) and 46). The Supreme Court has recently confirmed that indications of actual reliability can also be considered when assessing the probative value of evidence under </w:t>
      </w:r>
      <w:r w:rsidR="00D8628A">
        <w:rPr>
          <w:lang w:eastAsia="en-AU"/>
        </w:rPr>
        <w:t>s</w:t>
      </w:r>
      <w:r w:rsidRPr="00984EC8">
        <w:rPr>
          <w:lang w:eastAsia="en-AU"/>
        </w:rPr>
        <w:t xml:space="preserve"> 8 (general exclusion): </w:t>
      </w:r>
      <w:r w:rsidRPr="00984EC8">
        <w:rPr>
          <w:i/>
          <w:iCs/>
          <w:lang w:eastAsia="en-AU"/>
        </w:rPr>
        <w:t>W (SC 38/2019) v R</w:t>
      </w:r>
      <w:r w:rsidRPr="00984EC8">
        <w:rPr>
          <w:lang w:eastAsia="en-AU"/>
        </w:rPr>
        <w:t xml:space="preserve"> [2020] NZSC 93, [2020] 1 NZLR 382 at [69</w:t>
      </w:r>
      <w:r w:rsidR="00F22581">
        <w:rPr>
          <w:lang w:eastAsia="en-AU"/>
        </w:rPr>
        <w:t>]–</w:t>
      </w:r>
      <w:r w:rsidRPr="00984EC8">
        <w:rPr>
          <w:lang w:eastAsia="en-AU"/>
        </w:rPr>
        <w:t xml:space="preserve">[70]. The Court found that reliability could affect the relevance assessment under </w:t>
      </w:r>
      <w:r w:rsidR="00D8628A">
        <w:rPr>
          <w:lang w:eastAsia="en-AU"/>
        </w:rPr>
        <w:t>s</w:t>
      </w:r>
      <w:r w:rsidRPr="00984EC8">
        <w:rPr>
          <w:lang w:eastAsia="en-AU"/>
        </w:rPr>
        <w:t xml:space="preserve"> 7 as well, but evidence would only fail the relevance test due to reliability concerns if it was “so unreliable that it could not be accepted or given any weight at all by a reasonable jury or a judge in a judge-alone trial” (at [41] and fn 199).</w:t>
      </w:r>
    </w:p>
  </w:footnote>
  <w:footnote w:id="334">
    <w:p w14:paraId="25723918"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iCs/>
        </w:rPr>
        <w:t>R v Wichman</w:t>
      </w:r>
      <w:r w:rsidRPr="00984EC8">
        <w:t xml:space="preserve"> [2015] NZSC 198, [2016] 1 NZLR 753 at [282].</w:t>
      </w:r>
    </w:p>
  </w:footnote>
  <w:footnote w:id="335">
    <w:p w14:paraId="2A0504F1" w14:textId="7DEC28A9" w:rsidR="00116092" w:rsidRPr="00984EC8" w:rsidRDefault="00116092" w:rsidP="00116092">
      <w:pPr>
        <w:pStyle w:val="FootnoteText"/>
      </w:pPr>
      <w:r w:rsidRPr="00984EC8">
        <w:rPr>
          <w:rStyle w:val="FootnoteReference"/>
        </w:rPr>
        <w:footnoteRef/>
      </w:r>
      <w:r w:rsidRPr="00984EC8">
        <w:t xml:space="preserve"> </w:t>
      </w:r>
      <w:r w:rsidRPr="00984EC8">
        <w:tab/>
      </w:r>
      <w:r w:rsidR="005400C9">
        <w:t>Evidence Act 2006, s</w:t>
      </w:r>
      <w:r w:rsidRPr="00984EC8">
        <w:t xml:space="preserve"> 28(1)(a).</w:t>
      </w:r>
    </w:p>
  </w:footnote>
  <w:footnote w:id="336">
    <w:p w14:paraId="1D9B665F" w14:textId="36896306" w:rsidR="00116092" w:rsidRPr="00984EC8" w:rsidRDefault="00116092" w:rsidP="00116092">
      <w:pPr>
        <w:pStyle w:val="FootnoteText"/>
      </w:pPr>
      <w:r w:rsidRPr="00984EC8">
        <w:rPr>
          <w:rStyle w:val="FootnoteReference"/>
        </w:rPr>
        <w:footnoteRef/>
      </w:r>
      <w:r w:rsidRPr="00984EC8">
        <w:t xml:space="preserve"> </w:t>
      </w:r>
      <w:r w:rsidRPr="00984EC8">
        <w:tab/>
      </w:r>
      <w:r w:rsidR="005400C9">
        <w:t>Evidence Act 2006, s</w:t>
      </w:r>
      <w:r w:rsidRPr="00984EC8">
        <w:t xml:space="preserve"> 28(1)(b).</w:t>
      </w:r>
    </w:p>
  </w:footnote>
  <w:footnote w:id="337">
    <w:p w14:paraId="6DB315AA" w14:textId="7082B479" w:rsidR="00116092" w:rsidRPr="00984EC8" w:rsidRDefault="00116092" w:rsidP="00116092">
      <w:pPr>
        <w:pStyle w:val="FootnoteText"/>
      </w:pPr>
      <w:r w:rsidRPr="00984EC8">
        <w:rPr>
          <w:rStyle w:val="FootnoteReference"/>
        </w:rPr>
        <w:footnoteRef/>
      </w:r>
      <w:r w:rsidRPr="00984EC8">
        <w:t xml:space="preserve"> </w:t>
      </w:r>
      <w:r w:rsidRPr="00984EC8">
        <w:tab/>
      </w:r>
      <w:r w:rsidR="005400C9">
        <w:t xml:space="preserve">Evidence Act 2006, s </w:t>
      </w:r>
      <w:r w:rsidRPr="00984EC8">
        <w:t xml:space="preserve">28(2). The section does not limit the factors that may be taken into account when assessing the reliability of a statement, but </w:t>
      </w:r>
      <w:r w:rsidR="00D8628A">
        <w:t>s</w:t>
      </w:r>
      <w:r w:rsidRPr="00984EC8">
        <w:t xml:space="preserve"> 28(4) does list four mandatory considerations. These include the defendants physical, mental or psychological condition, their characteristics (including any mental, intellectual or physical disabilities), the nature of any questions put to the defendant and the nature of any threat, promise or representation made.</w:t>
      </w:r>
    </w:p>
  </w:footnote>
  <w:footnote w:id="338">
    <w:p w14:paraId="0A52FBB8" w14:textId="2A6F54C9" w:rsidR="00116092" w:rsidRPr="00984EC8" w:rsidRDefault="00116092" w:rsidP="00116092">
      <w:pPr>
        <w:pStyle w:val="FootnoteText"/>
        <w:rPr>
          <w:lang w:val="mi-NZ"/>
        </w:rPr>
      </w:pPr>
      <w:r w:rsidRPr="00984EC8">
        <w:rPr>
          <w:rStyle w:val="FootnoteReference"/>
        </w:rPr>
        <w:footnoteRef/>
      </w:r>
      <w:r w:rsidRPr="00984EC8">
        <w:t xml:space="preserve"> </w:t>
      </w:r>
      <w:r w:rsidRPr="00984EC8">
        <w:tab/>
        <w:t>In 2013, the Commission recommended amendment to clarify that indications of actual reliability should not be considered under</w:t>
      </w:r>
      <w:r w:rsidR="005400C9">
        <w:t xml:space="preserve"> s</w:t>
      </w:r>
      <w:r w:rsidRPr="00984EC8">
        <w:t xml:space="preserve"> 28, due in part to concerns that this would divert the court’s attention from questions of improper police conduct to large volumes of corroborating evidence: Te Aka Matua o Te Ture | Law Commission </w:t>
      </w:r>
      <w:r w:rsidRPr="00984EC8">
        <w:rPr>
          <w:i/>
          <w:iCs/>
        </w:rPr>
        <w:t xml:space="preserve">The 2013 </w:t>
      </w:r>
      <w:r w:rsidR="000774FC">
        <w:rPr>
          <w:i/>
          <w:iCs/>
        </w:rPr>
        <w:t>R</w:t>
      </w:r>
      <w:r w:rsidRPr="00984EC8">
        <w:rPr>
          <w:i/>
          <w:iCs/>
        </w:rPr>
        <w:t>eview of the Evidence Act 2006</w:t>
      </w:r>
      <w:r w:rsidRPr="00984EC8">
        <w:t xml:space="preserve"> (NZLC R127, 2013), R5 and at [3.85</w:t>
      </w:r>
      <w:r w:rsidR="00F22581">
        <w:t>]–</w:t>
      </w:r>
      <w:r w:rsidRPr="00984EC8">
        <w:t xml:space="preserve">[3.87]. This recommendation was rejected on the basis that a blanket rule would be too restrictive: Nora Burghart </w:t>
      </w:r>
      <w:r w:rsidRPr="00984EC8">
        <w:rPr>
          <w:i/>
          <w:iCs/>
        </w:rPr>
        <w:t>Evidence Amendment Bill – Initial briefing</w:t>
      </w:r>
      <w:r w:rsidRPr="00984EC8">
        <w:t xml:space="preserve"> (Ministry of Justice, 8 September 2015) at [11]–[12]. In the Second Review the Commission revisited the issue and considered whether a different approach was necessary to discourage improper police practices but did not recommend reform: </w:t>
      </w:r>
      <w:r w:rsidRPr="00984EC8">
        <w:rPr>
          <w:lang w:val="mi-NZ"/>
        </w:rPr>
        <w:t xml:space="preserve">Te Aka Matua o te Ture | Law Commission </w:t>
      </w:r>
      <w:r w:rsidRPr="00984EC8">
        <w:rPr>
          <w:i/>
          <w:iCs/>
          <w:lang w:val="mi-NZ"/>
        </w:rPr>
        <w:t xml:space="preserve">The Second Review of the Evidence Act 2006 </w:t>
      </w:r>
      <w:r w:rsidRPr="00984EC8">
        <w:rPr>
          <w:lang w:val="mi-NZ"/>
        </w:rPr>
        <w:t xml:space="preserve">| </w:t>
      </w:r>
      <w:r w:rsidRPr="00984EC8">
        <w:rPr>
          <w:i/>
          <w:iCs/>
          <w:lang w:val="mi-NZ"/>
        </w:rPr>
        <w:t xml:space="preserve">Te Arotake Tuarua i te Evidence Act 2006 </w:t>
      </w:r>
      <w:r w:rsidRPr="00984EC8">
        <w:rPr>
          <w:lang w:val="mi-NZ"/>
        </w:rPr>
        <w:t xml:space="preserve">(NZLC R142, 2019) </w:t>
      </w:r>
      <w:r w:rsidRPr="00984EC8">
        <w:t>at [6.7</w:t>
      </w:r>
      <w:r w:rsidR="00F22581">
        <w:t>]–</w:t>
      </w:r>
      <w:r w:rsidRPr="00984EC8">
        <w:t xml:space="preserve">[6.23]. </w:t>
      </w:r>
    </w:p>
  </w:footnote>
  <w:footnote w:id="339">
    <w:p w14:paraId="2C8F771F"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iCs/>
        </w:rPr>
        <w:t>R v Wichman</w:t>
      </w:r>
      <w:r w:rsidRPr="00984EC8">
        <w:t xml:space="preserve"> [2015] NZSC 198, [2016] 1 NZLR 753 at [79]–[84]. This case is discussed in more detail in Chapter 6. </w:t>
      </w:r>
    </w:p>
  </w:footnote>
  <w:footnote w:id="340">
    <w:p w14:paraId="16D9995C"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Te Aka Matua o te Ture | Law Commission </w:t>
      </w:r>
      <w:r w:rsidRPr="00984EC8">
        <w:rPr>
          <w:i/>
          <w:iCs/>
        </w:rPr>
        <w:t xml:space="preserve">Evidence: Evidence Code and Commentary </w:t>
      </w:r>
      <w:r w:rsidRPr="00984EC8">
        <w:t xml:space="preserve">(NZLC R55 Vol 2, 1999) at 78 and 80. See also Te Aka Matua o te Ture | Law Commission </w:t>
      </w:r>
      <w:r w:rsidRPr="00984EC8">
        <w:rPr>
          <w:i/>
          <w:iCs/>
        </w:rPr>
        <w:t>Criminal Evidence: Police Questioning</w:t>
      </w:r>
      <w:r w:rsidRPr="00984EC8">
        <w:t xml:space="preserve"> (NZLC PP21, 1992), Part IV Proposals For Reform at [120].</w:t>
      </w:r>
    </w:p>
  </w:footnote>
  <w:footnote w:id="341">
    <w:p w14:paraId="34DD21A2"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iCs/>
        </w:rPr>
        <w:t>Naniseni v The Queen</w:t>
      </w:r>
      <w:r w:rsidRPr="00984EC8">
        <w:t xml:space="preserve"> [1971] NZLR 269 (CA) at 271–274 and 276–277;</w:t>
      </w:r>
      <w:r w:rsidRPr="00984EC8">
        <w:rPr>
          <w:i/>
          <w:iCs/>
        </w:rPr>
        <w:t xml:space="preserve"> </w:t>
      </w:r>
      <w:r w:rsidRPr="00984EC8">
        <w:t xml:space="preserve">Te Aka Matua o Te Ture | Law Commission </w:t>
      </w:r>
      <w:r w:rsidRPr="00984EC8">
        <w:rPr>
          <w:i/>
          <w:iCs/>
        </w:rPr>
        <w:t>Criminal Evidence: Police Questioning</w:t>
      </w:r>
      <w:r w:rsidRPr="00984EC8">
        <w:t xml:space="preserve"> (NZLC PP21, 1992), Part II: Confessions and Improperly Obtained Evidence at [21]–[22].</w:t>
      </w:r>
    </w:p>
  </w:footnote>
  <w:footnote w:id="342">
    <w:p w14:paraId="22601B12" w14:textId="77777777" w:rsidR="00116092" w:rsidRPr="00984EC8" w:rsidRDefault="00116092" w:rsidP="00116092">
      <w:pPr>
        <w:pStyle w:val="FootnoteText"/>
      </w:pPr>
      <w:r w:rsidRPr="00984EC8">
        <w:rPr>
          <w:rStyle w:val="FootnoteReference"/>
        </w:rPr>
        <w:footnoteRef/>
      </w:r>
      <w:r w:rsidRPr="00984EC8">
        <w:t xml:space="preserve"> </w:t>
      </w:r>
      <w:r w:rsidRPr="00984EC8">
        <w:tab/>
        <w:t>This exception to the voluntariness rule was codified in the Evidence Act 1908, s 20. A version of this exception was first introduced by the Evidence Further Amendment Act 1895, s 17.</w:t>
      </w:r>
    </w:p>
  </w:footnote>
  <w:footnote w:id="343">
    <w:p w14:paraId="5BFB457F" w14:textId="77777777" w:rsidR="00116092" w:rsidRPr="00984EC8" w:rsidRDefault="00116092" w:rsidP="00116092">
      <w:pPr>
        <w:pStyle w:val="FootnoteText"/>
        <w:rPr>
          <w:i/>
          <w:iCs/>
        </w:rPr>
      </w:pPr>
      <w:r w:rsidRPr="00984EC8">
        <w:rPr>
          <w:rStyle w:val="FootnoteReference"/>
        </w:rPr>
        <w:footnoteRef/>
      </w:r>
      <w:r w:rsidRPr="00984EC8">
        <w:t xml:space="preserve"> </w:t>
      </w:r>
      <w:r w:rsidRPr="00984EC8">
        <w:tab/>
      </w:r>
      <w:r w:rsidRPr="00984EC8">
        <w:rPr>
          <w:i/>
          <w:iCs/>
        </w:rPr>
        <w:t xml:space="preserve">R v Fatu </w:t>
      </w:r>
      <w:r w:rsidRPr="00984EC8">
        <w:t xml:space="preserve">[1989] 3 NZLR 419 (CA) at 430. See also </w:t>
      </w:r>
      <w:r w:rsidRPr="00984EC8">
        <w:rPr>
          <w:i/>
          <w:iCs/>
        </w:rPr>
        <w:t>R v McCuin</w:t>
      </w:r>
      <w:r w:rsidRPr="00984EC8">
        <w:t xml:space="preserve"> [1982] 1 NZLR 13 (CA) at 15.</w:t>
      </w:r>
    </w:p>
  </w:footnote>
  <w:footnote w:id="344">
    <w:p w14:paraId="51A60FAC" w14:textId="77777777" w:rsidR="00116092" w:rsidRPr="00984EC8" w:rsidRDefault="00116092" w:rsidP="00116092">
      <w:pPr>
        <w:pStyle w:val="FootnoteText"/>
      </w:pPr>
      <w:r w:rsidRPr="00984EC8">
        <w:rPr>
          <w:rStyle w:val="FootnoteReference"/>
        </w:rPr>
        <w:footnoteRef/>
      </w:r>
      <w:r w:rsidRPr="00984EC8">
        <w:t xml:space="preserve"> </w:t>
      </w:r>
      <w:r w:rsidRPr="00984EC8">
        <w:tab/>
        <w:t>Factors internal to the defendant could not render a confession involuntary:</w:t>
      </w:r>
      <w:r w:rsidRPr="00984EC8">
        <w:rPr>
          <w:i/>
          <w:iCs/>
        </w:rPr>
        <w:t xml:space="preserve"> Naniseni v The Queen</w:t>
      </w:r>
      <w:r w:rsidRPr="00984EC8">
        <w:t xml:space="preserve"> [1971] NZLR 269 (CA) at 274–275.</w:t>
      </w:r>
    </w:p>
  </w:footnote>
  <w:footnote w:id="345">
    <w:p w14:paraId="6AB420F5"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See the discussion in </w:t>
      </w:r>
      <w:r w:rsidRPr="00984EC8">
        <w:rPr>
          <w:i/>
          <w:iCs/>
        </w:rPr>
        <w:t>Gebhardt v R</w:t>
      </w:r>
      <w:r w:rsidRPr="00984EC8">
        <w:t xml:space="preserve"> [2022] NZCA 54 at [65]–[70].</w:t>
      </w:r>
    </w:p>
  </w:footnote>
  <w:footnote w:id="346">
    <w:p w14:paraId="1B61514A"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Te Aka Matua o te Ture | Law Commission </w:t>
      </w:r>
      <w:r w:rsidRPr="00984EC8">
        <w:rPr>
          <w:i/>
          <w:iCs/>
        </w:rPr>
        <w:t xml:space="preserve">Evidence: Evidence Code and Commentary </w:t>
      </w:r>
      <w:r w:rsidRPr="00984EC8">
        <w:t>(NZLC R55 Vol 2, 1999) at [C144].</w:t>
      </w:r>
    </w:p>
  </w:footnote>
  <w:footnote w:id="347">
    <w:p w14:paraId="7F784824"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Te Aka Matua o te Ture | Law Commission </w:t>
      </w:r>
      <w:r w:rsidRPr="00984EC8">
        <w:rPr>
          <w:i/>
        </w:rPr>
        <w:t xml:space="preserve">Police Questioning </w:t>
      </w:r>
      <w:r w:rsidRPr="00984EC8">
        <w:t>(NZLC PP21, 1992), Part II: Confessions and Improperly Obtained Evidence at [123], [130] and [134].</w:t>
      </w:r>
    </w:p>
  </w:footnote>
  <w:footnote w:id="348">
    <w:p w14:paraId="44747920"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Te Aka Matua o te Ture | Law Commission </w:t>
      </w:r>
      <w:r w:rsidRPr="00984EC8">
        <w:rPr>
          <w:i/>
        </w:rPr>
        <w:t>Criminal Evidence: Police Questioning</w:t>
      </w:r>
      <w:r w:rsidRPr="00984EC8">
        <w:t xml:space="preserve"> (NZLC PP21, 1992), Part II: Confessions and Improperly Obtained Evidence at [127].</w:t>
      </w:r>
    </w:p>
  </w:footnote>
  <w:footnote w:id="349">
    <w:p w14:paraId="435797C4"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Te Aka Matua o te Ture | Law Commission </w:t>
      </w:r>
      <w:r w:rsidRPr="00984EC8">
        <w:rPr>
          <w:i/>
        </w:rPr>
        <w:t>Criminal Evidence: Police Questioning</w:t>
      </w:r>
      <w:r w:rsidRPr="00984EC8">
        <w:t xml:space="preserve"> (NZLC PP21, 1992), Part II: Confessions and Improperly Obtained Evidence at [131].</w:t>
      </w:r>
    </w:p>
  </w:footnote>
  <w:footnote w:id="350">
    <w:p w14:paraId="12661D90" w14:textId="77777777" w:rsidR="00116092" w:rsidRPr="00984EC8" w:rsidRDefault="00116092" w:rsidP="00116092">
      <w:pPr>
        <w:pStyle w:val="FootnoteText"/>
        <w:rPr>
          <w:i/>
          <w:iCs/>
        </w:rPr>
      </w:pPr>
      <w:r w:rsidRPr="00984EC8">
        <w:rPr>
          <w:rStyle w:val="FootnoteReference"/>
        </w:rPr>
        <w:footnoteRef/>
      </w:r>
      <w:r w:rsidRPr="00984EC8">
        <w:t xml:space="preserve"> </w:t>
      </w:r>
      <w:r w:rsidRPr="00984EC8">
        <w:tab/>
        <w:t>Te Aka Matua o te Ture | Law Commission</w:t>
      </w:r>
      <w:r w:rsidRPr="00984EC8">
        <w:rPr>
          <w:i/>
        </w:rPr>
        <w:t xml:space="preserve"> Evidence: Reform of the Law </w:t>
      </w:r>
      <w:r w:rsidRPr="00984EC8">
        <w:t>(NZLC R55 Vol 1, 1999)</w:t>
      </w:r>
      <w:r w:rsidRPr="00984EC8">
        <w:rPr>
          <w:i/>
        </w:rPr>
        <w:t xml:space="preserve"> </w:t>
      </w:r>
      <w:r w:rsidRPr="00984EC8">
        <w:t xml:space="preserve">at [109]. See also Te Aka Matua o te Ture | Law Commission </w:t>
      </w:r>
      <w:r w:rsidRPr="00984EC8">
        <w:rPr>
          <w:i/>
        </w:rPr>
        <w:t>Criminal Evidence: Police Questioning</w:t>
      </w:r>
      <w:r w:rsidRPr="00984EC8">
        <w:t xml:space="preserve"> (NZLC PP21, 1992), Part II: Confessions and Improperly Obtained Evidence at [127] and [136].</w:t>
      </w:r>
    </w:p>
  </w:footnote>
  <w:footnote w:id="351">
    <w:p w14:paraId="7288CB3E" w14:textId="726994B8" w:rsidR="00116092" w:rsidRPr="00984EC8" w:rsidRDefault="00116092" w:rsidP="00116092">
      <w:pPr>
        <w:pStyle w:val="FootnoteText"/>
      </w:pPr>
      <w:r w:rsidRPr="00984EC8">
        <w:rPr>
          <w:rStyle w:val="FootnoteReference"/>
        </w:rPr>
        <w:footnoteRef/>
      </w:r>
      <w:r w:rsidRPr="00984EC8">
        <w:t xml:space="preserve"> </w:t>
      </w:r>
      <w:r w:rsidRPr="00984EC8">
        <w:tab/>
        <w:t xml:space="preserve">Te Aka Matua o te Ture | Law Commission </w:t>
      </w:r>
      <w:r w:rsidRPr="00984EC8">
        <w:rPr>
          <w:i/>
          <w:iCs/>
        </w:rPr>
        <w:t xml:space="preserve">Evidence: Evidence Code and Commentary </w:t>
      </w:r>
      <w:r w:rsidRPr="00984EC8">
        <w:t>(NZLC R55 Vol 2, 1999) at 88. See also at [C155]: “subsequently discovered real evidence may not be offered at a hearing to determine the admissibility of a defendant’s statement, if the only purpose of that evidence is to confirm the truth of the statement</w:t>
      </w:r>
      <w:r w:rsidR="00EE486A">
        <w:t>”.</w:t>
      </w:r>
      <w:r w:rsidRPr="00984EC8">
        <w:t xml:space="preserve"> Section 31 of the </w:t>
      </w:r>
      <w:r w:rsidR="000D77F3">
        <w:t xml:space="preserve">Evidence </w:t>
      </w:r>
      <w:r w:rsidRPr="00984EC8">
        <w:t>Code would also have applied when determining the admissibility of a defendant’s statement under the oppression and improperly obtained evidence provisions.</w:t>
      </w:r>
    </w:p>
  </w:footnote>
  <w:footnote w:id="352">
    <w:p w14:paraId="04E9F0A1"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Crime Prevention and Criminal Justice Group </w:t>
      </w:r>
      <w:r w:rsidRPr="00984EC8">
        <w:rPr>
          <w:i/>
          <w:iCs/>
        </w:rPr>
        <w:t>Evidence Bill: Part 2 – Admissibility Rules, Privilege, and Confidentiality</w:t>
      </w:r>
      <w:r w:rsidRPr="00984EC8">
        <w:t xml:space="preserve"> (Ministry of Justice, June 2006) at 14.</w:t>
      </w:r>
    </w:p>
  </w:footnote>
  <w:footnote w:id="353">
    <w:p w14:paraId="1DC10192" w14:textId="77777777" w:rsidR="00116092" w:rsidRPr="00984EC8" w:rsidRDefault="00116092" w:rsidP="00116092">
      <w:pPr>
        <w:pStyle w:val="FootnoteText"/>
      </w:pPr>
      <w:r w:rsidRPr="00984EC8">
        <w:rPr>
          <w:rStyle w:val="FootnoteReference"/>
        </w:rPr>
        <w:footnoteRef/>
      </w:r>
      <w:r w:rsidRPr="00984EC8">
        <w:t xml:space="preserve"> </w:t>
      </w:r>
      <w:r w:rsidRPr="00984EC8">
        <w:tab/>
        <w:t>Evidence Bill 2005 (256-1), cl 24(2)(b).</w:t>
      </w:r>
    </w:p>
  </w:footnote>
  <w:footnote w:id="354">
    <w:p w14:paraId="1065F08B" w14:textId="7724B861" w:rsidR="00116092" w:rsidRPr="00984EC8" w:rsidRDefault="00116092" w:rsidP="00116092">
      <w:pPr>
        <w:pStyle w:val="FootnoteText"/>
      </w:pPr>
      <w:r w:rsidRPr="00984EC8">
        <w:rPr>
          <w:rStyle w:val="FootnoteReference"/>
        </w:rPr>
        <w:footnoteRef/>
      </w:r>
      <w:r w:rsidRPr="00984EC8">
        <w:t xml:space="preserve"> </w:t>
      </w:r>
      <w:r w:rsidRPr="00984EC8">
        <w:tab/>
      </w:r>
      <w:r w:rsidR="000A0FC2">
        <w:t>Evidence Bill 2005 (256-2) (select committee report)</w:t>
      </w:r>
      <w:r w:rsidRPr="00984EC8">
        <w:t xml:space="preserve"> at 4.</w:t>
      </w:r>
    </w:p>
  </w:footnote>
  <w:footnote w:id="355">
    <w:p w14:paraId="31C9C84F" w14:textId="21EF146B" w:rsidR="00116092" w:rsidRPr="00984EC8" w:rsidRDefault="00116092" w:rsidP="00116092">
      <w:pPr>
        <w:pStyle w:val="FootnoteText"/>
      </w:pPr>
      <w:r w:rsidRPr="00984EC8">
        <w:rPr>
          <w:rStyle w:val="FootnoteReference"/>
        </w:rPr>
        <w:footnoteRef/>
      </w:r>
      <w:r w:rsidRPr="00984EC8">
        <w:t xml:space="preserve"> </w:t>
      </w:r>
      <w:r w:rsidRPr="00984EC8">
        <w:tab/>
        <w:t xml:space="preserve">This is in contrast to </w:t>
      </w:r>
      <w:r w:rsidR="005400C9">
        <w:t>Evidence Act 2006, s</w:t>
      </w:r>
      <w:r w:rsidRPr="00984EC8">
        <w:t xml:space="preserve"> 29(3), which states “[f]or the purpose of applying this section, it is irrelevant whether or not the statement is true”.</w:t>
      </w:r>
    </w:p>
  </w:footnote>
  <w:footnote w:id="356">
    <w:p w14:paraId="251640F0" w14:textId="4B9C801D" w:rsidR="00116092" w:rsidRPr="00984EC8" w:rsidRDefault="00116092" w:rsidP="00116092">
      <w:pPr>
        <w:pStyle w:val="FootnoteText"/>
      </w:pPr>
      <w:r w:rsidRPr="00984EC8">
        <w:rPr>
          <w:rStyle w:val="FootnoteReference"/>
          <w:color w:val="0D0D0D" w:themeColor="text1" w:themeTint="F2"/>
          <w:sz w:val="15"/>
        </w:rPr>
        <w:footnoteRef/>
      </w:r>
      <w:r w:rsidRPr="00984EC8">
        <w:rPr>
          <w:vertAlign w:val="superscript"/>
        </w:rPr>
        <w:t xml:space="preserve"> </w:t>
      </w:r>
      <w:r w:rsidRPr="00984EC8">
        <w:tab/>
        <w:t xml:space="preserve">Te Aka Matua o Te Ture | Law Commission </w:t>
      </w:r>
      <w:r w:rsidRPr="00984EC8">
        <w:rPr>
          <w:i/>
        </w:rPr>
        <w:t xml:space="preserve">The 2013 </w:t>
      </w:r>
      <w:r w:rsidR="000774FC">
        <w:rPr>
          <w:i/>
        </w:rPr>
        <w:t>R</w:t>
      </w:r>
      <w:r w:rsidRPr="00984EC8">
        <w:rPr>
          <w:i/>
        </w:rPr>
        <w:t>eview of the Evidence Act 2006</w:t>
      </w:r>
      <w:r w:rsidRPr="00984EC8">
        <w:t xml:space="preserve"> (NZLC R127, 2013) at [3.87</w:t>
      </w:r>
      <w:r w:rsidR="00F22581">
        <w:t>]–</w:t>
      </w:r>
      <w:r w:rsidRPr="00984EC8">
        <w:t xml:space="preserve">[3.89]. This was consistent with the select committee’s recommendation and the approach in </w:t>
      </w:r>
      <w:r w:rsidR="005400C9">
        <w:t>Evidence Act 2006, s</w:t>
      </w:r>
      <w:r w:rsidRPr="00984EC8">
        <w:t xml:space="preserve"> 29(3).</w:t>
      </w:r>
    </w:p>
  </w:footnote>
  <w:footnote w:id="357">
    <w:p w14:paraId="61C6008A" w14:textId="77777777" w:rsidR="00116092" w:rsidRPr="00984EC8" w:rsidRDefault="00116092" w:rsidP="00116092">
      <w:pPr>
        <w:pStyle w:val="FootnoteText"/>
      </w:pPr>
      <w:r w:rsidRPr="00984EC8">
        <w:rPr>
          <w:rStyle w:val="FootnoteReference"/>
          <w:color w:val="0D0D0D" w:themeColor="text1" w:themeTint="F2"/>
          <w:sz w:val="15"/>
        </w:rPr>
        <w:footnoteRef/>
      </w:r>
      <w:r w:rsidRPr="00984EC8">
        <w:rPr>
          <w:vertAlign w:val="superscript"/>
        </w:rPr>
        <w:t xml:space="preserve"> </w:t>
      </w:r>
      <w:r w:rsidRPr="00984EC8">
        <w:tab/>
        <w:t xml:space="preserve">Nora Burghart </w:t>
      </w:r>
      <w:r w:rsidRPr="00984EC8">
        <w:rPr>
          <w:i/>
        </w:rPr>
        <w:t>Evidence Amendment Bill – Initial briefing</w:t>
      </w:r>
      <w:r w:rsidRPr="00984EC8">
        <w:t xml:space="preserve"> (Ministry of Justice, 8 September 2015) at [11]–[12].</w:t>
      </w:r>
    </w:p>
  </w:footnote>
  <w:footnote w:id="358">
    <w:p w14:paraId="040FA7AC" w14:textId="77777777" w:rsidR="00116092" w:rsidRPr="00984EC8" w:rsidRDefault="00116092" w:rsidP="00116092">
      <w:pPr>
        <w:pStyle w:val="FootnoteText"/>
      </w:pPr>
      <w:r w:rsidRPr="00984EC8">
        <w:rPr>
          <w:rStyle w:val="FootnoteReference"/>
          <w:color w:val="0D0D0D" w:themeColor="text1" w:themeTint="F2"/>
          <w:sz w:val="15"/>
        </w:rPr>
        <w:footnoteRef/>
      </w:r>
      <w:r w:rsidRPr="00984EC8">
        <w:rPr>
          <w:vertAlign w:val="superscript"/>
        </w:rPr>
        <w:t xml:space="preserve"> </w:t>
      </w:r>
      <w:r w:rsidRPr="00984EC8">
        <w:tab/>
        <w:t xml:space="preserve">Nora Burghart </w:t>
      </w:r>
      <w:r w:rsidRPr="00984EC8">
        <w:rPr>
          <w:i/>
        </w:rPr>
        <w:t>Evidence Amendment Bill – Initial briefing</w:t>
      </w:r>
      <w:r w:rsidRPr="00984EC8">
        <w:t xml:space="preserve"> (Ministry of Justice, 8 September 2015) at [12].</w:t>
      </w:r>
    </w:p>
  </w:footnote>
  <w:footnote w:id="359">
    <w:p w14:paraId="67A0166C" w14:textId="77777777" w:rsidR="00116092" w:rsidRPr="00984EC8" w:rsidRDefault="00116092" w:rsidP="00116092">
      <w:pPr>
        <w:pStyle w:val="FootnoteText"/>
      </w:pPr>
      <w:r w:rsidRPr="00984EC8">
        <w:rPr>
          <w:rStyle w:val="FootnoteReference"/>
          <w:color w:val="0D0D0D" w:themeColor="text1" w:themeTint="F2"/>
          <w:sz w:val="15"/>
        </w:rPr>
        <w:footnoteRef/>
      </w:r>
      <w:r w:rsidRPr="00984EC8">
        <w:rPr>
          <w:vertAlign w:val="superscript"/>
        </w:rPr>
        <w:t xml:space="preserve"> </w:t>
      </w:r>
      <w:r w:rsidRPr="00984EC8">
        <w:tab/>
      </w:r>
      <w:r w:rsidRPr="00984EC8">
        <w:rPr>
          <w:i/>
        </w:rPr>
        <w:t>R v Wichman</w:t>
      </w:r>
      <w:r w:rsidRPr="00984EC8">
        <w:t xml:space="preserve"> [2015] NZSC 198, [2016] 1 NZLR 753.</w:t>
      </w:r>
    </w:p>
  </w:footnote>
  <w:footnote w:id="360">
    <w:p w14:paraId="03891C22" w14:textId="0419395A" w:rsidR="00116092" w:rsidRPr="00984EC8" w:rsidRDefault="00116092" w:rsidP="00116092">
      <w:pPr>
        <w:pStyle w:val="FootnoteText"/>
      </w:pPr>
      <w:r w:rsidRPr="00984EC8">
        <w:rPr>
          <w:rStyle w:val="FootnoteReference"/>
          <w:color w:val="0D0D0D" w:themeColor="text1" w:themeTint="F2"/>
          <w:sz w:val="15"/>
        </w:rPr>
        <w:footnoteRef/>
      </w:r>
      <w:r w:rsidRPr="00984EC8">
        <w:rPr>
          <w:vertAlign w:val="superscript"/>
        </w:rPr>
        <w:t xml:space="preserve"> </w:t>
      </w:r>
      <w:r w:rsidRPr="00984EC8">
        <w:tab/>
      </w:r>
      <w:r w:rsidRPr="00984EC8">
        <w:rPr>
          <w:i/>
        </w:rPr>
        <w:t xml:space="preserve">R v Wichman </w:t>
      </w:r>
      <w:r w:rsidRPr="00984EC8">
        <w:t>[2015] NZSC 198, [2016] 1 NZLR 753 at [83]–[84] per Young, Arnold and O’Regan JJ</w:t>
      </w:r>
      <w:r w:rsidR="00084517">
        <w:t>,</w:t>
      </w:r>
      <w:r w:rsidRPr="00984EC8">
        <w:t xml:space="preserve"> and [433]–[438] per Glazebrook J.</w:t>
      </w:r>
    </w:p>
  </w:footnote>
  <w:footnote w:id="361">
    <w:p w14:paraId="3E08F13C" w14:textId="77777777" w:rsidR="00116092" w:rsidRPr="00984EC8" w:rsidRDefault="00116092" w:rsidP="00116092">
      <w:pPr>
        <w:pStyle w:val="FootnoteText"/>
      </w:pPr>
      <w:r w:rsidRPr="00984EC8">
        <w:rPr>
          <w:rStyle w:val="FootnoteReference"/>
          <w:color w:val="0D0D0D" w:themeColor="text1" w:themeTint="F2"/>
          <w:sz w:val="15"/>
        </w:rPr>
        <w:footnoteRef/>
      </w:r>
      <w:r w:rsidRPr="00984EC8">
        <w:rPr>
          <w:vertAlign w:val="superscript"/>
        </w:rPr>
        <w:t xml:space="preserve"> </w:t>
      </w:r>
      <w:r w:rsidRPr="00984EC8">
        <w:tab/>
        <w:t xml:space="preserve">Te Aka Matua o te Ture | Law Commission </w:t>
      </w:r>
      <w:r w:rsidRPr="00984EC8">
        <w:rPr>
          <w:i/>
          <w:iCs/>
        </w:rPr>
        <w:t xml:space="preserve">The </w:t>
      </w:r>
      <w:r w:rsidRPr="00984EC8">
        <w:rPr>
          <w:i/>
        </w:rPr>
        <w:t xml:space="preserve">Second Review of the Evidence Act </w:t>
      </w:r>
      <w:r w:rsidRPr="00984EC8">
        <w:rPr>
          <w:i/>
          <w:iCs/>
        </w:rPr>
        <w:t>2006 | Te Arotake Tuarua i te Evidence Act 2006</w:t>
      </w:r>
      <w:r w:rsidRPr="00984EC8">
        <w:t xml:space="preserve"> (NZLC R142, 2019) at [6.19].</w:t>
      </w:r>
    </w:p>
  </w:footnote>
  <w:footnote w:id="362">
    <w:p w14:paraId="781B5D11" w14:textId="77777777" w:rsidR="00116092" w:rsidRPr="00984EC8" w:rsidRDefault="00116092" w:rsidP="00116092">
      <w:pPr>
        <w:pStyle w:val="FootnoteText"/>
      </w:pPr>
      <w:r w:rsidRPr="00984EC8">
        <w:rPr>
          <w:rStyle w:val="FootnoteReference"/>
          <w:color w:val="0D0D0D" w:themeColor="text1" w:themeTint="F2"/>
          <w:sz w:val="15"/>
        </w:rPr>
        <w:footnoteRef/>
      </w:r>
      <w:r w:rsidRPr="00984EC8">
        <w:t xml:space="preserve"> </w:t>
      </w:r>
      <w:r w:rsidRPr="00984EC8">
        <w:tab/>
        <w:t xml:space="preserve">Te Aka Matua o te Ture | Law Commission </w:t>
      </w:r>
      <w:r w:rsidRPr="00984EC8">
        <w:rPr>
          <w:i/>
          <w:iCs/>
        </w:rPr>
        <w:t xml:space="preserve">The </w:t>
      </w:r>
      <w:r w:rsidRPr="00984EC8">
        <w:rPr>
          <w:i/>
        </w:rPr>
        <w:t xml:space="preserve">Second Review of the Evidence Act </w:t>
      </w:r>
      <w:r w:rsidRPr="00984EC8">
        <w:rPr>
          <w:i/>
          <w:iCs/>
        </w:rPr>
        <w:t>2006 | Te Arotake Tuarua i te Evidence Act 2006</w:t>
      </w:r>
      <w:r w:rsidRPr="00984EC8">
        <w:t xml:space="preserve"> (NZLC R142, 2019) at [6.14] and [6.19].</w:t>
      </w:r>
    </w:p>
  </w:footnote>
  <w:footnote w:id="363">
    <w:p w14:paraId="4CCE3FF3" w14:textId="77777777" w:rsidR="00116092" w:rsidRPr="00984EC8" w:rsidRDefault="00116092" w:rsidP="00116092">
      <w:pPr>
        <w:pStyle w:val="FootnoteText"/>
      </w:pPr>
      <w:r w:rsidRPr="00984EC8">
        <w:rPr>
          <w:rStyle w:val="FootnoteReference"/>
          <w:color w:val="0D0D0D" w:themeColor="text1" w:themeTint="F2"/>
          <w:sz w:val="15"/>
        </w:rPr>
        <w:footnoteRef/>
      </w:r>
      <w:r w:rsidRPr="00984EC8">
        <w:t xml:space="preserve"> </w:t>
      </w:r>
      <w:r w:rsidRPr="00984EC8">
        <w:tab/>
        <w:t xml:space="preserve">Te Aka Matua o te Ture | Law Commission </w:t>
      </w:r>
      <w:r w:rsidRPr="00984EC8">
        <w:rPr>
          <w:i/>
          <w:iCs/>
        </w:rPr>
        <w:t xml:space="preserve">The </w:t>
      </w:r>
      <w:r w:rsidRPr="00984EC8">
        <w:rPr>
          <w:i/>
        </w:rPr>
        <w:t xml:space="preserve">Second Review of the Evidence Act </w:t>
      </w:r>
      <w:r w:rsidRPr="00984EC8">
        <w:rPr>
          <w:i/>
          <w:iCs/>
        </w:rPr>
        <w:t>2006 | Te Arotake Tuarua i te Evidence Act 2006</w:t>
      </w:r>
      <w:r w:rsidRPr="00984EC8">
        <w:t xml:space="preserve"> (NZLC R142, 2019) at [6.15].</w:t>
      </w:r>
    </w:p>
  </w:footnote>
  <w:footnote w:id="364">
    <w:p w14:paraId="1F7820F9"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Te Aka Matua o te Ture | Law Commission </w:t>
      </w:r>
      <w:r w:rsidRPr="00984EC8">
        <w:rPr>
          <w:i/>
          <w:iCs/>
        </w:rPr>
        <w:t xml:space="preserve">The </w:t>
      </w:r>
      <w:r w:rsidRPr="00984EC8">
        <w:rPr>
          <w:i/>
        </w:rPr>
        <w:t xml:space="preserve">Second Review of the Evidence Act </w:t>
      </w:r>
      <w:r w:rsidRPr="00984EC8">
        <w:rPr>
          <w:i/>
          <w:iCs/>
        </w:rPr>
        <w:t>2006 | Te Arotake Tuarua i te Evidence Act 2006</w:t>
      </w:r>
      <w:r w:rsidRPr="00984EC8">
        <w:t xml:space="preserve"> (NZLC R142, 2019) at [6.18].</w:t>
      </w:r>
    </w:p>
  </w:footnote>
  <w:footnote w:id="365">
    <w:p w14:paraId="5E95C62C"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Te Aka Matua o te Ture | Law Commission </w:t>
      </w:r>
      <w:r w:rsidRPr="00984EC8">
        <w:rPr>
          <w:i/>
          <w:iCs/>
        </w:rPr>
        <w:t xml:space="preserve">The </w:t>
      </w:r>
      <w:r w:rsidRPr="00984EC8">
        <w:rPr>
          <w:i/>
        </w:rPr>
        <w:t xml:space="preserve">Second Review of the Evidence Act </w:t>
      </w:r>
      <w:r w:rsidRPr="00984EC8">
        <w:rPr>
          <w:i/>
          <w:iCs/>
        </w:rPr>
        <w:t>2006 | Te Arotake Tuarua i te Evidence Act 2006</w:t>
      </w:r>
      <w:r w:rsidRPr="00984EC8">
        <w:t xml:space="preserve"> (NZLC R142, 2019) at [6.23].</w:t>
      </w:r>
    </w:p>
  </w:footnote>
  <w:footnote w:id="366">
    <w:p w14:paraId="32E07E65" w14:textId="74AD056A" w:rsidR="00116092" w:rsidRPr="00984EC8" w:rsidRDefault="00116092" w:rsidP="00116092">
      <w:pPr>
        <w:pStyle w:val="FootnoteText"/>
        <w:rPr>
          <w:i/>
          <w:iCs/>
        </w:rPr>
      </w:pPr>
      <w:r w:rsidRPr="00984EC8">
        <w:rPr>
          <w:rStyle w:val="FootnoteReference"/>
        </w:rPr>
        <w:footnoteRef/>
      </w:r>
      <w:r w:rsidRPr="00984EC8">
        <w:t xml:space="preserve"> </w:t>
      </w:r>
      <w:r w:rsidRPr="00984EC8">
        <w:tab/>
        <w:t xml:space="preserve">Bernard Robertson “Evidence section” [2019] NZLJ 198 at 200; Bernard Robertson “Student Companion </w:t>
      </w:r>
      <w:r w:rsidR="005D7B10">
        <w:t>-</w:t>
      </w:r>
      <w:r w:rsidRPr="00984EC8">
        <w:t xml:space="preserve"> Criminal Justice/Evidence” [2021] NZLJ 166 at 166.</w:t>
      </w:r>
    </w:p>
  </w:footnote>
  <w:footnote w:id="367">
    <w:p w14:paraId="695DBE8F"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R v Wichman</w:t>
      </w:r>
      <w:r w:rsidRPr="00984EC8">
        <w:t xml:space="preserve"> [2015] NZSC 198, [2016] 1 NZLR 753 at [82].</w:t>
      </w:r>
    </w:p>
  </w:footnote>
  <w:footnote w:id="368">
    <w:p w14:paraId="4C6453EF" w14:textId="6DA5D93B" w:rsidR="00116092" w:rsidRPr="00984EC8" w:rsidRDefault="00116092" w:rsidP="00116092">
      <w:pPr>
        <w:pStyle w:val="FootnoteText"/>
      </w:pPr>
      <w:r w:rsidRPr="00984EC8">
        <w:rPr>
          <w:rStyle w:val="FootnoteReference"/>
        </w:rPr>
        <w:footnoteRef/>
      </w:r>
      <w:r w:rsidRPr="00984EC8">
        <w:t xml:space="preserve"> </w:t>
      </w:r>
      <w:r w:rsidRPr="00984EC8">
        <w:tab/>
        <w:t xml:space="preserve">We note the wording of </w:t>
      </w:r>
      <w:r w:rsidR="00D8628A">
        <w:t>s</w:t>
      </w:r>
      <w:r w:rsidRPr="00984EC8">
        <w:t xml:space="preserve"> 28 draws on its predecessor, </w:t>
      </w:r>
      <w:r w:rsidR="00D8628A">
        <w:t>s</w:t>
      </w:r>
      <w:r w:rsidRPr="00984EC8">
        <w:t xml:space="preserve"> 20 of the Evidence Act 1908, under which the truth or otherwise of the statement was disregarded (see </w:t>
      </w:r>
      <w:r w:rsidRPr="00984EC8">
        <w:rPr>
          <w:i/>
        </w:rPr>
        <w:t xml:space="preserve">R v Fatu </w:t>
      </w:r>
      <w:r w:rsidRPr="00984EC8">
        <w:t xml:space="preserve">[1989] 3 NZLR 419 (CA) at 430 and </w:t>
      </w:r>
      <w:r w:rsidRPr="00984EC8">
        <w:rPr>
          <w:i/>
        </w:rPr>
        <w:t>R v McCuin</w:t>
      </w:r>
      <w:r w:rsidRPr="00984EC8">
        <w:t xml:space="preserve"> [1982] 1 NZLR 13 (CA) at 15). Section 20 operated alongside the voluntariness rule and allowed a confession to be admitted if the means by which it was obtained were not likely to cause a false confession.</w:t>
      </w:r>
    </w:p>
  </w:footnote>
  <w:footnote w:id="369">
    <w:p w14:paraId="3FF4C573"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R v Wichman</w:t>
      </w:r>
      <w:r w:rsidRPr="00984EC8">
        <w:t xml:space="preserve"> [2015] NZSC 198, [2016] 1 NZLR 753 at [84].</w:t>
      </w:r>
    </w:p>
  </w:footnote>
  <w:footnote w:id="370">
    <w:p w14:paraId="2C47AD83" w14:textId="4ECFE588"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R v Wichman</w:t>
      </w:r>
      <w:r w:rsidRPr="00984EC8">
        <w:t xml:space="preserve"> [2015] NZSC 198, [2016] 1 NZLR 753 at [80]. For further discussion</w:t>
      </w:r>
      <w:r w:rsidR="007B7F2A">
        <w:t>,</w:t>
      </w:r>
      <w:r w:rsidRPr="00984EC8">
        <w:t xml:space="preserve"> see Te Aka Matua o Te Ture | Law Commission </w:t>
      </w:r>
      <w:r w:rsidRPr="00984EC8">
        <w:rPr>
          <w:i/>
        </w:rPr>
        <w:t>Criminal Evidence: Police Questioning</w:t>
      </w:r>
      <w:r w:rsidRPr="00984EC8">
        <w:t xml:space="preserve"> (NZLC PP21, 1992), Part II: Confessions and Improperly Obtained Evidence at [130].</w:t>
      </w:r>
    </w:p>
  </w:footnote>
  <w:footnote w:id="371">
    <w:p w14:paraId="54D8412C" w14:textId="42700583" w:rsidR="00116092" w:rsidRPr="00984EC8" w:rsidRDefault="00116092" w:rsidP="00116092">
      <w:pPr>
        <w:pStyle w:val="FootnoteText"/>
      </w:pPr>
      <w:r w:rsidRPr="00984EC8">
        <w:rPr>
          <w:rStyle w:val="FootnoteReference"/>
        </w:rPr>
        <w:footnoteRef/>
      </w:r>
      <w:r w:rsidRPr="00984EC8">
        <w:t xml:space="preserve"> </w:t>
      </w:r>
      <w:r w:rsidRPr="00984EC8">
        <w:tab/>
        <w:t xml:space="preserve">Or </w:t>
      </w:r>
      <w:r w:rsidR="005400C9">
        <w:t>Evidence Act 2006, s</w:t>
      </w:r>
      <w:r w:rsidRPr="00984EC8">
        <w:t xml:space="preserve"> 29 </w:t>
      </w:r>
      <w:r w:rsidRPr="00984EC8">
        <w:rPr>
          <w:color w:val="000000" w:themeColor="text1"/>
          <w:lang w:val="en-GB"/>
        </w:rPr>
        <w:t>(statements influenced by oppression) in the limited circumstances when it applies.</w:t>
      </w:r>
    </w:p>
  </w:footnote>
  <w:footnote w:id="372">
    <w:p w14:paraId="074912E0" w14:textId="1B363894" w:rsidR="00116092" w:rsidRPr="00984EC8" w:rsidRDefault="00116092" w:rsidP="00116092">
      <w:pPr>
        <w:pStyle w:val="FootnoteText"/>
        <w:rPr>
          <w:i/>
          <w:iCs/>
        </w:rPr>
      </w:pPr>
      <w:r w:rsidRPr="00984EC8">
        <w:rPr>
          <w:rStyle w:val="FootnoteReference"/>
        </w:rPr>
        <w:footnoteRef/>
      </w:r>
      <w:r w:rsidRPr="00984EC8">
        <w:t xml:space="preserve"> </w:t>
      </w:r>
      <w:r w:rsidRPr="00984EC8">
        <w:tab/>
      </w:r>
      <w:r w:rsidRPr="00984EC8">
        <w:rPr>
          <w:i/>
        </w:rPr>
        <w:t xml:space="preserve">Lyttle v R </w:t>
      </w:r>
      <w:r w:rsidRPr="00984EC8">
        <w:t xml:space="preserve">[2021] NZCA 46 at [178]–[208]; </w:t>
      </w:r>
      <w:r w:rsidRPr="00984EC8">
        <w:rPr>
          <w:i/>
        </w:rPr>
        <w:t>R v Fawcett</w:t>
      </w:r>
      <w:r w:rsidRPr="00984EC8">
        <w:t xml:space="preserve"> [2021] NZHC 2406 at [226] and [291]–[293]; </w:t>
      </w:r>
      <w:r w:rsidRPr="00984EC8">
        <w:rPr>
          <w:i/>
        </w:rPr>
        <w:t>Gebhardt v R</w:t>
      </w:r>
      <w:r w:rsidRPr="00984EC8">
        <w:t xml:space="preserve"> [2022] NZCA 54 at [78</w:t>
      </w:r>
      <w:r w:rsidR="00F22581">
        <w:t>]–</w:t>
      </w:r>
      <w:r w:rsidRPr="00984EC8">
        <w:t xml:space="preserve">[84]. The fourth case remains subject to publication restrictions until final disposition of trial. </w:t>
      </w:r>
    </w:p>
  </w:footnote>
  <w:footnote w:id="373">
    <w:p w14:paraId="1965BF58" w14:textId="172F4B31"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 xml:space="preserve">Lyttle v R </w:t>
      </w:r>
      <w:r w:rsidRPr="00984EC8">
        <w:t>[2021] NZCA 46 at [201</w:t>
      </w:r>
      <w:r w:rsidR="00F22581">
        <w:t>]–</w:t>
      </w:r>
      <w:r w:rsidRPr="00984EC8">
        <w:t xml:space="preserve">[208]; </w:t>
      </w:r>
      <w:r w:rsidRPr="00984EC8">
        <w:rPr>
          <w:i/>
        </w:rPr>
        <w:t>R v Fawcett</w:t>
      </w:r>
      <w:r w:rsidRPr="00984EC8">
        <w:t xml:space="preserve"> [2021] NZHC 2406 at [290]–[293] and [298]; </w:t>
      </w:r>
      <w:r w:rsidRPr="00984EC8">
        <w:rPr>
          <w:i/>
        </w:rPr>
        <w:t>Gebhardt v R</w:t>
      </w:r>
      <w:r w:rsidRPr="00984EC8">
        <w:t xml:space="preserve"> [2022] NZCA 54 at [79]</w:t>
      </w:r>
      <w:r w:rsidR="00A47B14">
        <w:t xml:space="preserve">. </w:t>
      </w:r>
      <w:r w:rsidR="00A47B14">
        <w:rPr>
          <w:lang w:val="en-GB"/>
        </w:rPr>
        <w:t>T</w:t>
      </w:r>
      <w:r w:rsidRPr="00984EC8">
        <w:rPr>
          <w:lang w:val="en-GB"/>
        </w:rPr>
        <w:t>he courts treated inconsistencies with other evidence or the general implausibility of the statement as indicative of unreliability.</w:t>
      </w:r>
    </w:p>
  </w:footnote>
  <w:footnote w:id="374">
    <w:p w14:paraId="6F6A4DA3" w14:textId="64685B27" w:rsidR="00116092" w:rsidRPr="00984EC8" w:rsidRDefault="00116092" w:rsidP="00116092">
      <w:pPr>
        <w:pStyle w:val="FootnoteText"/>
      </w:pPr>
      <w:r w:rsidRPr="00984EC8">
        <w:rPr>
          <w:rStyle w:val="FootnoteReference"/>
        </w:rPr>
        <w:footnoteRef/>
      </w:r>
      <w:r w:rsidRPr="00984EC8">
        <w:t xml:space="preserve"> </w:t>
      </w:r>
      <w:r w:rsidRPr="00984EC8">
        <w:tab/>
        <w:t xml:space="preserve">See, for example, </w:t>
      </w:r>
      <w:r w:rsidRPr="00984EC8">
        <w:rPr>
          <w:i/>
        </w:rPr>
        <w:t>R v Wichman</w:t>
      </w:r>
      <w:r w:rsidRPr="00984EC8">
        <w:t xml:space="preserve"> [2015] NZSC 198, [2016] 1 NZLR 753 at [84] per </w:t>
      </w:r>
      <w:r w:rsidR="004E1A72">
        <w:t xml:space="preserve">William </w:t>
      </w:r>
      <w:r w:rsidRPr="00984EC8">
        <w:t>Young J and at [434]–[438] per Glazebrook J.</w:t>
      </w:r>
    </w:p>
  </w:footnote>
  <w:footnote w:id="375">
    <w:p w14:paraId="5C3148AB" w14:textId="68BB32E0" w:rsidR="00116092" w:rsidRPr="00984EC8" w:rsidRDefault="00116092" w:rsidP="00116092">
      <w:pPr>
        <w:pStyle w:val="FootnoteText"/>
      </w:pPr>
      <w:r w:rsidRPr="00984EC8">
        <w:rPr>
          <w:rStyle w:val="FootnoteReference"/>
        </w:rPr>
        <w:footnoteRef/>
      </w:r>
      <w:r w:rsidRPr="00984EC8">
        <w:t xml:space="preserve"> </w:t>
      </w:r>
      <w:r w:rsidRPr="00984EC8">
        <w:tab/>
        <w:t xml:space="preserve">See </w:t>
      </w:r>
      <w:r w:rsidRPr="00984EC8">
        <w:rPr>
          <w:i/>
        </w:rPr>
        <w:t>R v Fawcett</w:t>
      </w:r>
      <w:r w:rsidRPr="00984EC8">
        <w:t xml:space="preserve"> [2021] NZHC 2406 at [277]</w:t>
      </w:r>
      <w:r w:rsidR="00585385">
        <w:t xml:space="preserve">, </w:t>
      </w:r>
      <w:r w:rsidRPr="00984EC8">
        <w:t>noting that the fact a statement contains lies will not on its own engage s</w:t>
      </w:r>
      <w:r w:rsidRPr="00984EC8">
        <w:rPr>
          <w:rFonts w:ascii="Calibri" w:hAnsi="Calibri" w:cs="Calibri"/>
        </w:rPr>
        <w:t> </w:t>
      </w:r>
      <w:r w:rsidRPr="00984EC8">
        <w:t>28.</w:t>
      </w:r>
    </w:p>
  </w:footnote>
  <w:footnote w:id="376">
    <w:p w14:paraId="69BDBC08"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See, for example, </w:t>
      </w:r>
      <w:r w:rsidRPr="00984EC8">
        <w:rPr>
          <w:i/>
        </w:rPr>
        <w:t>R v Fawcett</w:t>
      </w:r>
      <w:r w:rsidRPr="00984EC8">
        <w:t xml:space="preserve"> [2021] NZHC 2406 at [239] and [290]–[301].</w:t>
      </w:r>
    </w:p>
  </w:footnote>
  <w:footnote w:id="377">
    <w:p w14:paraId="2EE37F09"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R v Wichman</w:t>
      </w:r>
      <w:r w:rsidRPr="00984EC8">
        <w:t xml:space="preserve"> [2015] NZSC 198, [2016] 1 NZLR 753 at [282].</w:t>
      </w:r>
    </w:p>
  </w:footnote>
  <w:footnote w:id="378">
    <w:p w14:paraId="688D46F9" w14:textId="628E7596" w:rsidR="00116092" w:rsidRPr="00984EC8" w:rsidRDefault="00116092" w:rsidP="00116092">
      <w:pPr>
        <w:pStyle w:val="FootnoteText"/>
      </w:pPr>
      <w:r w:rsidRPr="00984EC8">
        <w:rPr>
          <w:rStyle w:val="FootnoteReference"/>
        </w:rPr>
        <w:footnoteRef/>
      </w:r>
      <w:r w:rsidRPr="00984EC8">
        <w:t xml:space="preserve"> </w:t>
      </w:r>
      <w:r w:rsidRPr="00984EC8">
        <w:tab/>
      </w:r>
      <w:r w:rsidR="005400C9">
        <w:t xml:space="preserve">Evidence Act 2006, s </w:t>
      </w:r>
      <w:r w:rsidRPr="00984EC8">
        <w:t>28(2).</w:t>
      </w:r>
    </w:p>
  </w:footnote>
  <w:footnote w:id="379">
    <w:p w14:paraId="0EE89BF9"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Te Aka Matua o te Ture | Law Commission </w:t>
      </w:r>
      <w:r w:rsidRPr="00984EC8">
        <w:rPr>
          <w:i/>
        </w:rPr>
        <w:t xml:space="preserve">Evidence: Evidence Code and Commentary </w:t>
      </w:r>
      <w:r w:rsidRPr="00984EC8">
        <w:t>(NZLC R55 Vol 2, 1999) at 78.</w:t>
      </w:r>
    </w:p>
  </w:footnote>
  <w:footnote w:id="380">
    <w:p w14:paraId="0CB446F3"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R v McCuin</w:t>
      </w:r>
      <w:r w:rsidRPr="00984EC8">
        <w:t xml:space="preserve"> [1982] 1 NZLR 13 (CA) at 15.</w:t>
      </w:r>
    </w:p>
  </w:footnote>
  <w:footnote w:id="381">
    <w:p w14:paraId="7B12812F" w14:textId="50563C0A" w:rsidR="00116092" w:rsidRPr="00984EC8" w:rsidRDefault="00116092" w:rsidP="00116092">
      <w:pPr>
        <w:pStyle w:val="FootnoteText"/>
      </w:pPr>
      <w:r w:rsidRPr="00984EC8">
        <w:rPr>
          <w:rStyle w:val="FootnoteReference"/>
        </w:rPr>
        <w:footnoteRef/>
      </w:r>
      <w:r w:rsidRPr="00984EC8">
        <w:t xml:space="preserve"> </w:t>
      </w:r>
      <w:r w:rsidRPr="00984EC8">
        <w:tab/>
      </w:r>
      <w:r w:rsidR="00960571" w:rsidRPr="00AA09E2">
        <w:t xml:space="preserve">Cabinet Paper "Evidence Bill: Paper 2: Admissibility of Evidence" </w:t>
      </w:r>
      <w:r w:rsidR="00960571" w:rsidRPr="003D01D2">
        <w:t>(</w:t>
      </w:r>
      <w:r w:rsidR="003D01D2" w:rsidRPr="003D01D2">
        <w:t>4 December 2002</w:t>
      </w:r>
      <w:r w:rsidR="00960571" w:rsidRPr="003D01D2">
        <w:t xml:space="preserve">) </w:t>
      </w:r>
      <w:r w:rsidRPr="003D01D2">
        <w:t>at</w:t>
      </w:r>
      <w:r w:rsidRPr="00984EC8">
        <w:t xml:space="preserve"> [27].</w:t>
      </w:r>
    </w:p>
  </w:footnote>
  <w:footnote w:id="382">
    <w:p w14:paraId="0FF2EF06" w14:textId="6D047BD7" w:rsidR="00116092" w:rsidRPr="00984EC8" w:rsidRDefault="00116092" w:rsidP="00116092">
      <w:pPr>
        <w:pStyle w:val="FootnoteText"/>
      </w:pPr>
      <w:r w:rsidRPr="00984EC8">
        <w:rPr>
          <w:rStyle w:val="FootnoteReference"/>
        </w:rPr>
        <w:footnoteRef/>
      </w:r>
      <w:r w:rsidRPr="00984EC8">
        <w:t xml:space="preserve"> </w:t>
      </w:r>
      <w:r w:rsidRPr="00984EC8">
        <w:tab/>
        <w:t>A “Mr Big” operation involves undercover officers inducting the suspect into a bogus criminal organisation. In the New Zealand examples, values such as honesty and loyalty are emphasised throughout the operation as well as the benefits (financial and otherwise) that the suspect will obtain by securing admission as a member. At the conclusion of the operation, the suspect is interviewed by “Mr Big” – the boss of the organisation – to determine whether they will be allowed to join the organisation. The suspect is encouraged to confess to any previous wrongdoing that could be used against them. They may be confronted with information – allegedly from police contacts – that they were involved in the crime police are investigating, and assured that</w:t>
      </w:r>
      <w:r w:rsidR="00E729FB">
        <w:t>,</w:t>
      </w:r>
      <w:r w:rsidRPr="00984EC8">
        <w:t xml:space="preserve"> if they confess</w:t>
      </w:r>
      <w:r w:rsidR="00E729FB">
        <w:t>,</w:t>
      </w:r>
      <w:r w:rsidRPr="00984EC8">
        <w:t xml:space="preserve"> any problems with police will be taken care of. Cases discussing the use of this technique include </w:t>
      </w:r>
      <w:r w:rsidRPr="00984EC8">
        <w:rPr>
          <w:i/>
        </w:rPr>
        <w:t>R v Wichman</w:t>
      </w:r>
      <w:r w:rsidRPr="00984EC8">
        <w:t xml:space="preserve"> [2015] NZSC 198, [2016] 1 NZLR 753 and </w:t>
      </w:r>
      <w:r w:rsidRPr="00984EC8">
        <w:rPr>
          <w:i/>
        </w:rPr>
        <w:t xml:space="preserve">Lyttle v R </w:t>
      </w:r>
      <w:r w:rsidRPr="00984EC8">
        <w:t>[2021] NZCA 46.</w:t>
      </w:r>
    </w:p>
  </w:footnote>
  <w:footnote w:id="383">
    <w:p w14:paraId="75C871E6" w14:textId="317EAE8B" w:rsidR="00116092" w:rsidRPr="00984EC8" w:rsidRDefault="00116092" w:rsidP="00116092">
      <w:pPr>
        <w:pStyle w:val="FootnoteText"/>
      </w:pPr>
      <w:r w:rsidRPr="00984EC8">
        <w:rPr>
          <w:rStyle w:val="FootnoteReference"/>
        </w:rPr>
        <w:footnoteRef/>
      </w:r>
      <w:r w:rsidRPr="00984EC8">
        <w:t xml:space="preserve"> </w:t>
      </w:r>
      <w:r w:rsidRPr="00984EC8">
        <w:tab/>
        <w:t xml:space="preserve">CIPEM is an interview technique that uses a relaxed, conversational style to build rapport with the suspect or witness. The interviewers seek to get the suspect or witness talking by reframing the narrative, which can include introducing a “softer” accusation or rationalising, minimising and justifying the alleged offending. The use of the technique was discussed in </w:t>
      </w:r>
      <w:r w:rsidRPr="00984EC8">
        <w:rPr>
          <w:i/>
        </w:rPr>
        <w:t>R v X</w:t>
      </w:r>
      <w:r w:rsidRPr="00984EC8">
        <w:t xml:space="preserve"> [2021] NZHC 2444. In that case there were multiple interactions with the suspect over several days and some parts of the discussions were not recorded. While the decision only considered exclusion of the defendant’s statement under </w:t>
      </w:r>
      <w:r w:rsidR="00D8628A">
        <w:t>s</w:t>
      </w:r>
      <w:r w:rsidRPr="00984EC8">
        <w:t xml:space="preserve"> 30, not </w:t>
      </w:r>
      <w:r w:rsidR="00D8628A">
        <w:t>s</w:t>
      </w:r>
      <w:r w:rsidRPr="00984EC8">
        <w:t xml:space="preserve"> 28, it found that the use of CIPEM in that case involved “excessive manipulation of the defendant” (at [121</w:t>
      </w:r>
      <w:r w:rsidR="00834A42">
        <w:t>(</w:t>
      </w:r>
      <w:r w:rsidRPr="00984EC8">
        <w:t>d)</w:t>
      </w:r>
      <w:r w:rsidR="00834A42">
        <w:t>]</w:t>
      </w:r>
      <w:r w:rsidRPr="00984EC8">
        <w:t xml:space="preserve">) and resulted in admissions that were “very flawed” and “not credible” (at [174]–[177]). This suggests the use of the technique also has the potential to raise </w:t>
      </w:r>
      <w:r w:rsidR="00D8628A">
        <w:t>s</w:t>
      </w:r>
      <w:r w:rsidRPr="00984EC8">
        <w:t xml:space="preserve"> 28 issues in future. </w:t>
      </w:r>
    </w:p>
  </w:footnote>
  <w:footnote w:id="384">
    <w:p w14:paraId="25C671A7" w14:textId="7F3B4502"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lang w:eastAsia="en-AU"/>
        </w:rPr>
        <w:t>See, for example,</w:t>
      </w:r>
      <w:r w:rsidRPr="00984EC8">
        <w:t xml:space="preserve"> Blair Ensor and Mike White “Country's top cop becomes involved in controversy over interviewing technique” (7 April 2023) Stuff &lt;www.stuff.co.nz&gt;; Mike White “Police guilty of manipulation, serious breaches, and 'nonsense' in failed Lois Tolley investigation” (26 February 2022) Stuff &lt;www.stuff.co.nz&gt;; Mike White “'An abomination of an investigation': How the Lois Tolley murder case collapsed” (19 March 2022) Stuff &lt;www.stuff.co.nz&gt;; Blair Ensor and Mike White “Top cop intimately involved in interviews that led to false murder confession” (21 May 2022) Stuff &lt;www.stuff.co.nz&gt;; Mike White “Framed for murder, part three: The trouble with 'Mr Big'” (28 March 2022) Stuff &lt;www.stuff.co.nz&gt;; Mike White “'I reckon we just f.....g lie': Cops caught planning to deceive during murder investigation” (8 June 2022) Stuff &lt;www.stuff.co.nz&gt;; Mike White “The tragic and terrible case of Mauha Fawcett's wrongful conviction” (11 June 2022) Stuff &lt;www.stuff.co.nz&gt;; Ruth Hill “'Unfair' interview process forced false confession, says judge” (5 September 2022) RNZ &lt;www.rnz.co.nz&gt;; Emile Donovan “How a murder case was unravelled by a police interview” (podcast, 30 October 2022) The Detail &lt;www.rnz.co.nz&gt;; Mike White and Blair Ensor “The 'strategic hunters', and the controversial police approach to solving cold cases” (3 December 2022) Stuff &lt;www.stuff.co.nz&gt;.</w:t>
      </w:r>
    </w:p>
  </w:footnote>
  <w:footnote w:id="385">
    <w:p w14:paraId="4902D920" w14:textId="588C4688"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Lyttle v R</w:t>
      </w:r>
      <w:r w:rsidRPr="00984EC8">
        <w:t xml:space="preserve"> [2021] NZCA 46 at [175]–[176] and [207]–[208]; </w:t>
      </w:r>
      <w:r w:rsidRPr="00984EC8">
        <w:rPr>
          <w:i/>
        </w:rPr>
        <w:t>R v X</w:t>
      </w:r>
      <w:r w:rsidRPr="00984EC8">
        <w:t xml:space="preserve"> [2021] NZHC 2444 at [174]–[177]</w:t>
      </w:r>
      <w:r w:rsidR="0073638B">
        <w:t xml:space="preserve">, </w:t>
      </w:r>
      <w:r w:rsidRPr="00984EC8">
        <w:t xml:space="preserve">although the statement was excluded under </w:t>
      </w:r>
      <w:r w:rsidR="00D8628A">
        <w:t>s</w:t>
      </w:r>
      <w:r w:rsidRPr="00984EC8">
        <w:t xml:space="preserve"> 30 rather than </w:t>
      </w:r>
      <w:r w:rsidR="00D8628A">
        <w:t>s</w:t>
      </w:r>
      <w:r w:rsidRPr="00984EC8">
        <w:t xml:space="preserve"> 28.</w:t>
      </w:r>
    </w:p>
  </w:footnote>
  <w:footnote w:id="386">
    <w:p w14:paraId="0D508914" w14:textId="77777777" w:rsidR="00116092" w:rsidRPr="00984EC8" w:rsidRDefault="00116092" w:rsidP="00116092">
      <w:pPr>
        <w:pStyle w:val="FootnoteText"/>
      </w:pPr>
      <w:r w:rsidRPr="00984EC8">
        <w:rPr>
          <w:rStyle w:val="FootnoteReference"/>
        </w:rPr>
        <w:footnoteRef/>
      </w:r>
      <w:r w:rsidRPr="00984EC8">
        <w:t xml:space="preserve"> </w:t>
      </w:r>
      <w:r w:rsidRPr="00984EC8">
        <w:tab/>
        <w:t>Blair Ensor and Mike White “Police watchdog launches investigation into complaints about controversial interviewing method” (6 December 2022) Stuff &lt;www.stuff.co.nz&gt;.</w:t>
      </w:r>
    </w:p>
  </w:footnote>
  <w:footnote w:id="387">
    <w:p w14:paraId="65A77FAF"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Lyttle v R</w:t>
      </w:r>
      <w:r w:rsidRPr="00984EC8">
        <w:t xml:space="preserve"> [2021] NZCA 46.</w:t>
      </w:r>
    </w:p>
  </w:footnote>
  <w:footnote w:id="388">
    <w:p w14:paraId="65DA37FC"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Gebhardt v R</w:t>
      </w:r>
      <w:r w:rsidRPr="00984EC8">
        <w:t xml:space="preserve"> [2022] NZCA 54.</w:t>
      </w:r>
    </w:p>
  </w:footnote>
  <w:footnote w:id="389">
    <w:p w14:paraId="7FA2AF76"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Lyttle v R</w:t>
      </w:r>
      <w:r w:rsidRPr="00984EC8">
        <w:t xml:space="preserve"> [2021] NZCA 46 at [203]–[207]; </w:t>
      </w:r>
      <w:r w:rsidRPr="00984EC8">
        <w:rPr>
          <w:i/>
        </w:rPr>
        <w:t>Gebhardt v R</w:t>
      </w:r>
      <w:r w:rsidRPr="00984EC8">
        <w:t xml:space="preserve"> [2022] NZCA 54 at [79].</w:t>
      </w:r>
    </w:p>
  </w:footnote>
  <w:footnote w:id="390">
    <w:p w14:paraId="1F3237CF"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Pora v R</w:t>
      </w:r>
      <w:r w:rsidRPr="00984EC8">
        <w:t xml:space="preserve"> [2015] UKPC 9, [2016] 1 NZLR 277.</w:t>
      </w:r>
    </w:p>
  </w:footnote>
  <w:footnote w:id="391">
    <w:p w14:paraId="6493B014"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Fawcett v R</w:t>
      </w:r>
      <w:r w:rsidRPr="00984EC8">
        <w:t xml:space="preserve"> [2017] NZCA 597 at [22]–[24] (evidence excluded at retrial in </w:t>
      </w:r>
      <w:r w:rsidRPr="00984EC8">
        <w:rPr>
          <w:i/>
        </w:rPr>
        <w:t>R v Fawcett</w:t>
      </w:r>
      <w:r w:rsidRPr="00984EC8">
        <w:t xml:space="preserve"> [2021] NZHC 2406 and charge dismissed in </w:t>
      </w:r>
      <w:r w:rsidRPr="00984EC8">
        <w:rPr>
          <w:i/>
        </w:rPr>
        <w:t>R v Fawcett</w:t>
      </w:r>
      <w:r w:rsidRPr="00984EC8">
        <w:t xml:space="preserve"> [2021] NZHC 2969).</w:t>
      </w:r>
    </w:p>
  </w:footnote>
  <w:footnote w:id="392">
    <w:p w14:paraId="10D6CBBB" w14:textId="77777777" w:rsidR="00116092" w:rsidRPr="00984EC8" w:rsidRDefault="00116092" w:rsidP="00116092">
      <w:pPr>
        <w:pStyle w:val="FootnoteText"/>
      </w:pPr>
      <w:r w:rsidRPr="00984EC8">
        <w:rPr>
          <w:rStyle w:val="FootnoteReference"/>
        </w:rPr>
        <w:footnoteRef/>
      </w:r>
      <w:r w:rsidRPr="00984EC8">
        <w:t xml:space="preserve"> </w:t>
      </w:r>
      <w:r w:rsidRPr="00984EC8">
        <w:tab/>
        <w:t xml:space="preserve">See, for example, </w:t>
      </w:r>
      <w:r w:rsidRPr="00984EC8">
        <w:rPr>
          <w:i/>
        </w:rPr>
        <w:t>Gebhardt v R</w:t>
      </w:r>
      <w:r w:rsidRPr="00984EC8">
        <w:t xml:space="preserve"> [2022] NZCA 54 at [71]; </w:t>
      </w:r>
      <w:r w:rsidRPr="00984EC8">
        <w:rPr>
          <w:i/>
        </w:rPr>
        <w:t>R v Wichman</w:t>
      </w:r>
      <w:r w:rsidRPr="00984EC8">
        <w:t xml:space="preserve"> [2015] NZSC 198, [2016] 1 NZLR 753 at [394]–[396] and [401] per Glazebrook J; Susan Glazebrook “Mr Big Operations - Innovative Investigative Technique or Threat to Justice?” (paper presented to the Judicial Colloquium 2015, Hong Kong, September 2015) at 11; Joshua Stewart and others “The prevalence of false confessions in experimental laboratory simulations: A meta-analysis” (2018) 36 Behav Sci &amp; L 12; Amelia Mindthoff and others “A Survey of Potential Jurors' Perceptions of Interrogations and Confessions” (2018) 24 Psychol Pub Pol'y &amp; L 430 at 442. </w:t>
      </w:r>
    </w:p>
  </w:footnote>
  <w:footnote w:id="393">
    <w:p w14:paraId="1B527DF5" w14:textId="111548F9" w:rsidR="00116092" w:rsidRPr="00984EC8" w:rsidRDefault="00116092" w:rsidP="00116092">
      <w:pPr>
        <w:pStyle w:val="FootnoteText"/>
      </w:pPr>
      <w:r w:rsidRPr="00984EC8">
        <w:rPr>
          <w:rStyle w:val="FootnoteReference"/>
        </w:rPr>
        <w:footnoteRef/>
      </w:r>
      <w:r w:rsidRPr="00984EC8">
        <w:t xml:space="preserve"> </w:t>
      </w:r>
      <w:r w:rsidRPr="00984EC8">
        <w:tab/>
        <w:t xml:space="preserve">See the discussion in </w:t>
      </w:r>
      <w:r w:rsidRPr="00984EC8">
        <w:rPr>
          <w:i/>
        </w:rPr>
        <w:t>R v Wichman</w:t>
      </w:r>
      <w:r w:rsidRPr="00984EC8">
        <w:t xml:space="preserve"> [2015] NZSC 198, [2016] 1 NZLR 753 at [394]–[402] per Glazebrook J; Susan Glazebrook “Mr Big Operations - Innovative Investigative Technique or Threat to Justice?” (paper presented to the Judicial Colloquium 2015, Hong Kong, September 2015) at 11; Joshua Stewart and others “The prevalence of false confessions in experimental laboratory simulations: A meta-analysis” (2018) 36 Behav Sci &amp; L 12. </w:t>
      </w:r>
    </w:p>
  </w:footnote>
  <w:footnote w:id="394">
    <w:p w14:paraId="46B6DC3F" w14:textId="77777777" w:rsidR="00116092" w:rsidRPr="00984EC8" w:rsidRDefault="00116092" w:rsidP="00116092">
      <w:pPr>
        <w:pStyle w:val="FootnoteText"/>
      </w:pPr>
      <w:r w:rsidRPr="00984EC8">
        <w:rPr>
          <w:rStyle w:val="FootnoteReference"/>
        </w:rPr>
        <w:footnoteRef/>
      </w:r>
      <w:r w:rsidRPr="00984EC8">
        <w:t xml:space="preserve"> </w:t>
      </w:r>
      <w:r w:rsidRPr="00984EC8">
        <w:tab/>
        <w:t>For example, Mahua Fawcett and Teina Pora.</w:t>
      </w:r>
    </w:p>
  </w:footnote>
  <w:footnote w:id="395">
    <w:p w14:paraId="702C3839" w14:textId="77777777" w:rsidR="00116092" w:rsidRPr="00984EC8" w:rsidRDefault="00116092" w:rsidP="00116092">
      <w:pPr>
        <w:pStyle w:val="FootnoteText"/>
      </w:pPr>
      <w:r w:rsidRPr="00984EC8">
        <w:rPr>
          <w:rStyle w:val="FootnoteReference"/>
        </w:rPr>
        <w:footnoteRef/>
      </w:r>
      <w:r w:rsidRPr="00984EC8">
        <w:t xml:space="preserve"> </w:t>
      </w:r>
      <w:r w:rsidRPr="00984EC8">
        <w:tab/>
        <w:t>Jennifer Lackey “False Confessions and Testimonial Injustice” (2020) 110 J Crim L &amp; Criminology 43.</w:t>
      </w:r>
    </w:p>
  </w:footnote>
  <w:footnote w:id="396">
    <w:p w14:paraId="6B75CCA7"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R v Chetty</w:t>
      </w:r>
      <w:r w:rsidRPr="00984EC8">
        <w:t xml:space="preserve"> [2016] NZSC 68, [2018] 1 NZLR 26 at [28]–[29]; </w:t>
      </w:r>
      <w:r w:rsidRPr="00984EC8">
        <w:rPr>
          <w:i/>
        </w:rPr>
        <w:t>R v Wichman</w:t>
      </w:r>
      <w:r w:rsidRPr="00984EC8">
        <w:rPr>
          <w:i/>
          <w:iCs/>
        </w:rPr>
        <w:t xml:space="preserve"> </w:t>
      </w:r>
      <w:r w:rsidRPr="00984EC8">
        <w:t xml:space="preserve">[2015] NZSC 198, [2016] 1 NZLR 753 at [436] per Glazebrook J ; Saul Kassin “The Social Psychology of False Confessions” (2015) 9 Social Issues and Policy Review 25 at 39. </w:t>
      </w:r>
    </w:p>
  </w:footnote>
  <w:footnote w:id="397">
    <w:p w14:paraId="21391CE1" w14:textId="34C7BB76" w:rsidR="00116092" w:rsidRPr="00984EC8" w:rsidRDefault="00116092" w:rsidP="00116092">
      <w:pPr>
        <w:pStyle w:val="FootnoteText"/>
      </w:pPr>
      <w:r w:rsidRPr="00984EC8">
        <w:rPr>
          <w:rStyle w:val="FootnoteReference"/>
        </w:rPr>
        <w:footnoteRef/>
      </w:r>
      <w:r w:rsidRPr="00984EC8">
        <w:t xml:space="preserve"> </w:t>
      </w:r>
      <w:r w:rsidRPr="00984EC8">
        <w:tab/>
        <w:t>Fabiana Alceste, Kristyn Jones, and Saul Kassin “Facts only the perpetrator could have known? A study of contamination in mock crime interrogations” (2020) 44 Law &amp; Hum Behav 128</w:t>
      </w:r>
      <w:r w:rsidR="00153F9C">
        <w:t>.</w:t>
      </w:r>
      <w:r w:rsidRPr="00984EC8">
        <w:t xml:space="preserve"> </w:t>
      </w:r>
    </w:p>
  </w:footnote>
  <w:footnote w:id="398">
    <w:p w14:paraId="2715A11B" w14:textId="77777777" w:rsidR="00116092" w:rsidRPr="00984EC8" w:rsidRDefault="00116092" w:rsidP="00116092">
      <w:pPr>
        <w:pStyle w:val="FootnoteText"/>
      </w:pPr>
      <w:r w:rsidRPr="00984EC8">
        <w:rPr>
          <w:rStyle w:val="FootnoteReference"/>
        </w:rPr>
        <w:footnoteRef/>
      </w:r>
      <w:r w:rsidRPr="00984EC8">
        <w:t xml:space="preserve"> </w:t>
      </w:r>
      <w:r w:rsidRPr="00984EC8">
        <w:tab/>
        <w:t>See, for example, Saul Kassin and others “’I'd Know a False Confession If I Saw One’: A Comparative Study of College Students and Police Investigators” (2005) 29 Law &amp; Hum Behav 211.</w:t>
      </w:r>
    </w:p>
  </w:footnote>
  <w:footnote w:id="399">
    <w:p w14:paraId="03D25996" w14:textId="77777777"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Gebhardt v R</w:t>
      </w:r>
      <w:r w:rsidRPr="00984EC8">
        <w:t xml:space="preserve"> [2022] NZCA 54 at [71]; </w:t>
      </w:r>
      <w:r w:rsidRPr="00984EC8">
        <w:rPr>
          <w:i/>
        </w:rPr>
        <w:t>R v Wichman</w:t>
      </w:r>
      <w:r w:rsidRPr="00984EC8">
        <w:rPr>
          <w:i/>
          <w:iCs/>
        </w:rPr>
        <w:t xml:space="preserve"> </w:t>
      </w:r>
      <w:r w:rsidRPr="00984EC8">
        <w:t>[2015] NZSC 198, [2016] 1 NZLR 753</w:t>
      </w:r>
      <w:r w:rsidRPr="00984EC8">
        <w:rPr>
          <w:i/>
          <w:iCs/>
        </w:rPr>
        <w:t xml:space="preserve"> </w:t>
      </w:r>
      <w:r w:rsidRPr="00984EC8">
        <w:t>at [401] per Glazebrook J; Amelia Mindthoff and others “A Survey of Potential Jurors' Perceptions of Interrogations and Confessions” (2018) 24 Psychol Pub Pol'y &amp; L 430 at 442 (this study found that while potential jurors were more accepting than they once were of the idea that a person might falsely confess, they continued to treat confessions as relatively strong indicators of guilt).</w:t>
      </w:r>
    </w:p>
  </w:footnote>
  <w:footnote w:id="400">
    <w:p w14:paraId="37C37BA0" w14:textId="3798A695" w:rsidR="00116092" w:rsidRPr="00984EC8" w:rsidRDefault="00116092" w:rsidP="00116092">
      <w:pPr>
        <w:pStyle w:val="FootnoteText"/>
        <w:rPr>
          <w:i/>
          <w:iCs/>
        </w:rPr>
      </w:pPr>
      <w:r w:rsidRPr="00984EC8">
        <w:rPr>
          <w:rStyle w:val="FootnoteReference"/>
        </w:rPr>
        <w:footnoteRef/>
      </w:r>
      <w:r w:rsidRPr="00984EC8">
        <w:t xml:space="preserve"> </w:t>
      </w:r>
      <w:r w:rsidRPr="00984EC8">
        <w:tab/>
        <w:t xml:space="preserve">See, for example, </w:t>
      </w:r>
      <w:r w:rsidRPr="00984EC8">
        <w:rPr>
          <w:i/>
        </w:rPr>
        <w:t>R v X</w:t>
      </w:r>
      <w:r w:rsidRPr="00984EC8">
        <w:t xml:space="preserve"> [2021] NZHC 2444 at [59]–[75]. Failing to record interactions with a suspect may amount to a breach of the Chief Justice’s Practice Note on Police Questioning</w:t>
      </w:r>
      <w:r w:rsidRPr="00984EC8">
        <w:rPr>
          <w:i/>
          <w:iCs/>
        </w:rPr>
        <w:t xml:space="preserve"> </w:t>
      </w:r>
      <w:r w:rsidRPr="00984EC8">
        <w:t xml:space="preserve">so as to engage </w:t>
      </w:r>
      <w:r w:rsidR="00D8628A">
        <w:t>s</w:t>
      </w:r>
      <w:r w:rsidRPr="00984EC8">
        <w:t xml:space="preserve"> 30 (</w:t>
      </w:r>
      <w:r w:rsidRPr="00984EC8">
        <w:rPr>
          <w:i/>
          <w:iCs/>
        </w:rPr>
        <w:t xml:space="preserve">Practice Note on Police Questioning </w:t>
      </w:r>
      <w:r w:rsidRPr="00984EC8">
        <w:rPr>
          <w:i/>
        </w:rPr>
        <w:t>(s 30(6) Evidence Act 2006)</w:t>
      </w:r>
      <w:r w:rsidRPr="00984EC8">
        <w:t xml:space="preserve"> [2007] 3 NZLR 297), but that will not always be the case. The Practice Note does not apply, for example, to undercover operations (</w:t>
      </w:r>
      <w:r w:rsidRPr="00984EC8">
        <w:rPr>
          <w:i/>
          <w:szCs w:val="15"/>
          <w:lang w:val="en-GB"/>
        </w:rPr>
        <w:t>R v Wichman</w:t>
      </w:r>
      <w:r w:rsidRPr="00984EC8">
        <w:rPr>
          <w:szCs w:val="15"/>
          <w:lang w:val="en-GB"/>
        </w:rPr>
        <w:t xml:space="preserve"> [2015] NZSC 198, [2016] 1 NZLR 753 </w:t>
      </w:r>
      <w:r w:rsidRPr="00984EC8">
        <w:t>at [106]). Additionally, most of its requirements only apply when the person being questioned is in custody or there is sufficient evidence to lay a charge against them.</w:t>
      </w:r>
    </w:p>
  </w:footnote>
  <w:footnote w:id="401">
    <w:p w14:paraId="616A8270" w14:textId="36DF3105" w:rsidR="00116092" w:rsidRPr="00984EC8" w:rsidRDefault="00116092" w:rsidP="00116092">
      <w:pPr>
        <w:pStyle w:val="FootnoteText"/>
      </w:pPr>
      <w:r w:rsidRPr="00984EC8">
        <w:rPr>
          <w:rStyle w:val="FootnoteReference"/>
        </w:rPr>
        <w:footnoteRef/>
      </w:r>
      <w:r w:rsidRPr="00984EC8">
        <w:t xml:space="preserve"> </w:t>
      </w:r>
      <w:r w:rsidRPr="00984EC8">
        <w:tab/>
      </w:r>
      <w:r w:rsidRPr="00984EC8">
        <w:rPr>
          <w:i/>
        </w:rPr>
        <w:t>R v Wichman</w:t>
      </w:r>
      <w:r w:rsidRPr="00984EC8">
        <w:t xml:space="preserve"> [2015] NZSC 198, [2016] 1 NZLR 753 at [86] per </w:t>
      </w:r>
      <w:r w:rsidR="004E1A72">
        <w:t xml:space="preserve">William </w:t>
      </w:r>
      <w:r w:rsidRPr="00984EC8">
        <w:t>Young J for the majority, [318] per Elias CJ and [451] per Glazebrook J.</w:t>
      </w:r>
    </w:p>
  </w:footnote>
  <w:footnote w:id="402">
    <w:p w14:paraId="4E1AF04F" w14:textId="1093392E" w:rsidR="00116092" w:rsidRDefault="00116092" w:rsidP="00116092">
      <w:pPr>
        <w:pStyle w:val="FootnoteText"/>
      </w:pPr>
      <w:r w:rsidRPr="00984EC8">
        <w:rPr>
          <w:rStyle w:val="FootnoteReference"/>
        </w:rPr>
        <w:footnoteRef/>
      </w:r>
      <w:r w:rsidRPr="00984EC8">
        <w:t xml:space="preserve"> </w:t>
      </w:r>
      <w:r w:rsidRPr="00984EC8">
        <w:tab/>
      </w:r>
      <w:r w:rsidR="005400C9">
        <w:t xml:space="preserve">Evidence Act 2006, s </w:t>
      </w:r>
      <w:r w:rsidRPr="00984EC8">
        <w:t>45(2).</w:t>
      </w:r>
    </w:p>
  </w:footnote>
  <w:footnote w:id="403">
    <w:p w14:paraId="7B6B4C72"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These rules are discussed in Chapter 5. For a broader discussion of these common law rules see Te Aka Matua o Te Ture | Law Commission </w:t>
      </w:r>
      <w:r w:rsidRPr="008C02E7">
        <w:rPr>
          <w:i/>
        </w:rPr>
        <w:t>Criminal Evidence: Police Questioning</w:t>
      </w:r>
      <w:r w:rsidRPr="008C02E7">
        <w:t xml:space="preserve"> (NZLC PP21, 1992) Part II: Confessions and Improperly Obtained Evidence. </w:t>
      </w:r>
    </w:p>
  </w:footnote>
  <w:footnote w:id="404">
    <w:p w14:paraId="5E60A387"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szCs w:val="15"/>
          <w:lang w:val="en-GB"/>
        </w:rPr>
        <w:t>R v Wichman</w:t>
      </w:r>
      <w:r w:rsidRPr="008C02E7">
        <w:rPr>
          <w:szCs w:val="15"/>
          <w:lang w:val="en-GB"/>
        </w:rPr>
        <w:t xml:space="preserve"> [2015] NZSC 198, [2016] 1 NZLR 753. This case is discussed below.</w:t>
      </w:r>
    </w:p>
  </w:footnote>
  <w:footnote w:id="405">
    <w:p w14:paraId="3C6E6476"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Te Aka Matua o te Ture | Law Commission </w:t>
      </w:r>
      <w:r w:rsidRPr="008C02E7">
        <w:rPr>
          <w:i/>
        </w:rPr>
        <w:t>Criminal Evidence: Police Questioning</w:t>
      </w:r>
      <w:r w:rsidRPr="008C02E7">
        <w:t xml:space="preserve"> (NZLC PP21, 1992), Part II: Confessions and Improperly Obtained Evidence at [142]; Te Aka Matua o te Ture | Law Commission </w:t>
      </w:r>
      <w:r w:rsidRPr="008C02E7">
        <w:rPr>
          <w:i/>
        </w:rPr>
        <w:t xml:space="preserve">Evidence: Evidence Code and Commentary </w:t>
      </w:r>
      <w:r w:rsidRPr="008C02E7">
        <w:t>(NZLC R55 Vol 2, 1999) at [C138].</w:t>
      </w:r>
    </w:p>
  </w:footnote>
  <w:footnote w:id="406">
    <w:p w14:paraId="7210C45A"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Te Aka Matua o te Ture | Law Commission </w:t>
      </w:r>
      <w:r w:rsidRPr="008C02E7">
        <w:rPr>
          <w:i/>
        </w:rPr>
        <w:t>Criminal Evidence: Police Questioning</w:t>
      </w:r>
      <w:r w:rsidRPr="008C02E7">
        <w:t xml:space="preserve"> (NZLC PP21, 1992), Part II: Confessions and Improperly Obtained Evidence at [143].</w:t>
      </w:r>
    </w:p>
  </w:footnote>
  <w:footnote w:id="407">
    <w:p w14:paraId="0849A776"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Te Aka Matua o te Ture | Law Commission </w:t>
      </w:r>
      <w:r w:rsidRPr="008C02E7">
        <w:rPr>
          <w:i/>
        </w:rPr>
        <w:t xml:space="preserve">Evidence: Evidence Code and Commentary </w:t>
      </w:r>
      <w:r w:rsidRPr="008C02E7">
        <w:t>(NZLC R55 Vol 2, 1999) at [C141].</w:t>
      </w:r>
    </w:p>
  </w:footnote>
  <w:footnote w:id="408">
    <w:p w14:paraId="0CAA099A"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Field v R</w:t>
      </w:r>
      <w:r w:rsidRPr="008C02E7">
        <w:t xml:space="preserve"> [2010] NZCA 556, [2011] 1 NZLR 784 at [160].</w:t>
      </w:r>
    </w:p>
  </w:footnote>
  <w:footnote w:id="409">
    <w:p w14:paraId="723F011B" w14:textId="53C1E01A"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Tuigamala v R</w:t>
      </w:r>
      <w:r w:rsidRPr="008C02E7">
        <w:t xml:space="preserve"> DC Auckland CRI-2007-004-011451, 22 December 2008. In that case</w:t>
      </w:r>
      <w:r w:rsidR="000F6125">
        <w:t>,</w:t>
      </w:r>
      <w:r w:rsidRPr="008C02E7">
        <w:t xml:space="preserve"> immigration officers threatened the interviewee with jail time and told him to write a statement</w:t>
      </w:r>
      <w:r w:rsidR="001B7E5B">
        <w:t xml:space="preserve"> that</w:t>
      </w:r>
      <w:r w:rsidRPr="008C02E7">
        <w:t xml:space="preserve"> they dictated to him (and </w:t>
      </w:r>
      <w:r w:rsidR="00A25470">
        <w:t xml:space="preserve">that </w:t>
      </w:r>
      <w:r w:rsidRPr="008C02E7">
        <w:t xml:space="preserve">was inconsistent with his account). There was little discussion of the s 29 test and the decision was not appealed. In another case, </w:t>
      </w:r>
      <w:r w:rsidRPr="008C02E7">
        <w:rPr>
          <w:i/>
        </w:rPr>
        <w:t xml:space="preserve">R v H (CA 326-2008) </w:t>
      </w:r>
      <w:r w:rsidRPr="008C02E7">
        <w:t xml:space="preserve">[2008] NZCA 263, the Court considered there was a “real issue” as to whether a confession made by a woman with </w:t>
      </w:r>
      <w:r w:rsidR="0035105A">
        <w:t>p</w:t>
      </w:r>
      <w:r w:rsidRPr="008C02E7">
        <w:t xml:space="preserve">ost </w:t>
      </w:r>
      <w:r w:rsidR="0035105A">
        <w:t>t</w:t>
      </w:r>
      <w:r w:rsidRPr="008C02E7">
        <w:t xml:space="preserve">raumatic </w:t>
      </w:r>
      <w:r w:rsidR="0035105A">
        <w:t>s</w:t>
      </w:r>
      <w:r w:rsidRPr="008C02E7">
        <w:t xml:space="preserve">tress </w:t>
      </w:r>
      <w:r w:rsidR="0035105A">
        <w:t>d</w:t>
      </w:r>
      <w:r w:rsidRPr="008C02E7">
        <w:t>isorder had been obtained by oppression. The case was remitted to the District Court to consider the application of s 29, but we found no record of the result.</w:t>
      </w:r>
    </w:p>
  </w:footnote>
  <w:footnote w:id="410">
    <w:p w14:paraId="761A506E" w14:textId="5CEF86F4" w:rsidR="00116092" w:rsidRPr="008C02E7" w:rsidRDefault="00116092" w:rsidP="00116092">
      <w:pPr>
        <w:pStyle w:val="FootnoteText"/>
      </w:pPr>
      <w:r w:rsidRPr="008C02E7">
        <w:rPr>
          <w:rStyle w:val="FootnoteReference"/>
        </w:rPr>
        <w:footnoteRef/>
      </w:r>
      <w:r w:rsidRPr="008C02E7">
        <w:t xml:space="preserve"> </w:t>
      </w:r>
      <w:r w:rsidRPr="008C02E7">
        <w:tab/>
      </w:r>
      <w:r w:rsidR="005400C9">
        <w:t>Evidence Act 2006, s</w:t>
      </w:r>
      <w:r w:rsidRPr="008C02E7">
        <w:t xml:space="preserve"> 30(2)(b); </w:t>
      </w:r>
      <w:r w:rsidRPr="008C02E7">
        <w:rPr>
          <w:i/>
        </w:rPr>
        <w:t>R v Shaheed</w:t>
      </w:r>
      <w:r w:rsidRPr="008C02E7">
        <w:t xml:space="preserve"> [2002] 2 NZLR 377 (CA) at [148] per Blanchard J for the majority.</w:t>
      </w:r>
    </w:p>
  </w:footnote>
  <w:footnote w:id="411">
    <w:p w14:paraId="6A8C9441" w14:textId="6ADCF761"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Shaheed</w:t>
      </w:r>
      <w:r w:rsidRPr="008C02E7">
        <w:t xml:space="preserve"> [2002] 2 NZLR 377 (CA). See Chapter 7 for further background on </w:t>
      </w:r>
      <w:r w:rsidRPr="008C02E7">
        <w:rPr>
          <w:i/>
          <w:iCs/>
        </w:rPr>
        <w:t xml:space="preserve">Shaheed </w:t>
      </w:r>
      <w:r w:rsidRPr="008C02E7">
        <w:t xml:space="preserve">and the </w:t>
      </w:r>
      <w:r w:rsidR="005400C9">
        <w:t>Evidence Act 2006, s</w:t>
      </w:r>
      <w:r w:rsidRPr="008C02E7">
        <w:t xml:space="preserve"> 30 balancing test.</w:t>
      </w:r>
    </w:p>
  </w:footnote>
  <w:footnote w:id="412">
    <w:p w14:paraId="2E206B0A" w14:textId="5A90145A" w:rsidR="00116092" w:rsidRPr="008C02E7" w:rsidRDefault="00116092" w:rsidP="00116092">
      <w:pPr>
        <w:pStyle w:val="FootnoteText"/>
      </w:pPr>
      <w:r w:rsidRPr="008C02E7">
        <w:rPr>
          <w:rStyle w:val="FootnoteReference"/>
        </w:rPr>
        <w:footnoteRef/>
      </w:r>
      <w:r w:rsidRPr="008C02E7">
        <w:t xml:space="preserve"> </w:t>
      </w:r>
      <w:r w:rsidRPr="008C02E7">
        <w:tab/>
      </w:r>
      <w:r w:rsidR="005400C9">
        <w:t xml:space="preserve">Evidence Act 2006, s </w:t>
      </w:r>
      <w:r w:rsidRPr="008C02E7">
        <w:t>30(5).</w:t>
      </w:r>
    </w:p>
  </w:footnote>
  <w:footnote w:id="413">
    <w:p w14:paraId="2CB727EA"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That is: the legislative, executive, or judicial branches of the Government of New Zealand; or any person or body in the performance of any public function, power, or duty conferred or imposed on that person or body by or pursuant to law. </w:t>
      </w:r>
    </w:p>
  </w:footnote>
  <w:footnote w:id="414">
    <w:p w14:paraId="09830837" w14:textId="6C94072F"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Practice Note on Police Questioning (s 30(6) Evidence Act 2006)</w:t>
      </w:r>
      <w:r w:rsidRPr="008C02E7">
        <w:t xml:space="preserve"> [2007] 3 NZLR 297. </w:t>
      </w:r>
      <w:r w:rsidR="005400C9">
        <w:t>Evidence Act 2006, s</w:t>
      </w:r>
      <w:r w:rsidRPr="008C02E7">
        <w:t xml:space="preserve"> 30(6) provides that</w:t>
      </w:r>
      <w:r w:rsidR="007E2E61">
        <w:t>,</w:t>
      </w:r>
      <w:r w:rsidRPr="008C02E7">
        <w:t xml:space="preserve"> in deciding whether a statement obtained by a member of the Police has been obtained unfairly for the purposes of </w:t>
      </w:r>
      <w:r w:rsidR="00D8628A">
        <w:t>s</w:t>
      </w:r>
      <w:r w:rsidRPr="008C02E7">
        <w:t xml:space="preserve"> 30(5)(c), the </w:t>
      </w:r>
      <w:r w:rsidR="005B4B78">
        <w:t>j</w:t>
      </w:r>
      <w:r w:rsidRPr="008C02E7">
        <w:t>udge must take into account guidelines set out in practice notes on that subject issued by the Chief Justice.</w:t>
      </w:r>
    </w:p>
  </w:footnote>
  <w:footnote w:id="415">
    <w:p w14:paraId="02DECF0C" w14:textId="77777777" w:rsidR="00116092" w:rsidRPr="008C02E7" w:rsidRDefault="00116092" w:rsidP="00116092">
      <w:pPr>
        <w:pStyle w:val="FootnoteText"/>
        <w:rPr>
          <w:i/>
          <w:iCs/>
        </w:rPr>
      </w:pPr>
      <w:r w:rsidRPr="008C02E7">
        <w:rPr>
          <w:rStyle w:val="FootnoteReference"/>
        </w:rPr>
        <w:footnoteRef/>
      </w:r>
      <w:r w:rsidRPr="008C02E7">
        <w:t xml:space="preserve"> </w:t>
      </w:r>
      <w:r w:rsidRPr="008C02E7">
        <w:tab/>
      </w:r>
      <w:r w:rsidRPr="008C02E7">
        <w:rPr>
          <w:i/>
        </w:rPr>
        <w:t xml:space="preserve">R v Wichman </w:t>
      </w:r>
      <w:r w:rsidRPr="008C02E7">
        <w:t>[2015] NZSC 198, [2016] 1 NZLR 753 at [503] per Glazebrook J.</w:t>
      </w:r>
    </w:p>
  </w:footnote>
  <w:footnote w:id="416">
    <w:p w14:paraId="38B9A127" w14:textId="6FCB8465" w:rsidR="00116092" w:rsidRPr="008C02E7" w:rsidRDefault="00116092" w:rsidP="00116092">
      <w:pPr>
        <w:pStyle w:val="FootnoteText"/>
      </w:pPr>
      <w:r w:rsidRPr="008C02E7">
        <w:rPr>
          <w:rStyle w:val="FootnoteReference"/>
        </w:rPr>
        <w:footnoteRef/>
      </w:r>
      <w:r w:rsidRPr="008C02E7">
        <w:t xml:space="preserve"> </w:t>
      </w:r>
      <w:r w:rsidRPr="008C02E7">
        <w:tab/>
        <w:t xml:space="preserve">For example, in </w:t>
      </w:r>
      <w:r w:rsidRPr="008C02E7">
        <w:rPr>
          <w:i/>
        </w:rPr>
        <w:t>R v Chetty</w:t>
      </w:r>
      <w:r w:rsidRPr="008C02E7">
        <w:t xml:space="preserve"> [2016] NZSC 68, [2018] 1 NZLR 26</w:t>
      </w:r>
      <w:r w:rsidR="00312F8A">
        <w:t>,</w:t>
      </w:r>
      <w:r w:rsidRPr="008C02E7">
        <w:t xml:space="preserve"> the defendant’s statement was found to be unfairly obtained in part because the interviewing detectives led him to believe that “unless he told the detectives what they wanted to hear, he would face 20 years’ imprisonment” (at [51]). </w:t>
      </w:r>
    </w:p>
  </w:footnote>
  <w:footnote w:id="417">
    <w:p w14:paraId="44682BF0"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See </w:t>
      </w:r>
      <w:r w:rsidRPr="008C02E7">
        <w:rPr>
          <w:i/>
        </w:rPr>
        <w:t>R v Reynolds</w:t>
      </w:r>
      <w:r w:rsidRPr="008C02E7">
        <w:t xml:space="preserve"> [2017] NZCA 611 at [48]–[53], where evidence obtained by a private individual through blackmail was found to be unfairly obtained.</w:t>
      </w:r>
    </w:p>
  </w:footnote>
  <w:footnote w:id="418">
    <w:p w14:paraId="6B6A6DB4"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Te Aka Matua o te Ture | Law Commission </w:t>
      </w:r>
      <w:r w:rsidRPr="008C02E7">
        <w:rPr>
          <w:i/>
        </w:rPr>
        <w:t>Evidence</w:t>
      </w:r>
      <w:r w:rsidRPr="008C02E7">
        <w:rPr>
          <w:i/>
          <w:iCs/>
        </w:rPr>
        <w:t>:</w:t>
      </w:r>
      <w:r w:rsidRPr="008C02E7">
        <w:rPr>
          <w:i/>
        </w:rPr>
        <w:t xml:space="preserve"> Reform of the </w:t>
      </w:r>
      <w:r w:rsidRPr="008C02E7">
        <w:rPr>
          <w:i/>
          <w:iCs/>
        </w:rPr>
        <w:t>Law</w:t>
      </w:r>
      <w:r w:rsidRPr="008C02E7">
        <w:rPr>
          <w:i/>
        </w:rPr>
        <w:t xml:space="preserve"> </w:t>
      </w:r>
      <w:r w:rsidRPr="008C02E7">
        <w:t>(NZLC R55 Vol 1, 1999) at [101].</w:t>
      </w:r>
    </w:p>
  </w:footnote>
  <w:footnote w:id="419">
    <w:p w14:paraId="6CFF7239" w14:textId="40E66D58" w:rsidR="00116092" w:rsidRPr="008C02E7" w:rsidRDefault="00116092" w:rsidP="00116092">
      <w:pPr>
        <w:pStyle w:val="FootnoteText"/>
      </w:pPr>
      <w:r w:rsidRPr="008C02E7">
        <w:rPr>
          <w:rStyle w:val="FootnoteReference"/>
        </w:rPr>
        <w:footnoteRef/>
      </w:r>
      <w:r w:rsidRPr="008C02E7">
        <w:t xml:space="preserve"> </w:t>
      </w:r>
      <w:r w:rsidRPr="008C02E7">
        <w:tab/>
        <w:t xml:space="preserve">A non-exhaustive list of factors is set out in </w:t>
      </w:r>
      <w:r w:rsidR="00D8628A">
        <w:t>s</w:t>
      </w:r>
      <w:r w:rsidRPr="008C02E7">
        <w:t xml:space="preserve"> 30(3).</w:t>
      </w:r>
    </w:p>
  </w:footnote>
  <w:footnote w:id="420">
    <w:p w14:paraId="1ECDDAD6"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szCs w:val="15"/>
          <w:lang w:val="en-GB"/>
        </w:rPr>
        <w:t>R v Wichman</w:t>
      </w:r>
      <w:r w:rsidRPr="008C02E7">
        <w:rPr>
          <w:szCs w:val="15"/>
          <w:lang w:val="en-GB"/>
        </w:rPr>
        <w:t xml:space="preserve"> [2015] NZSC 198, [2016] 1 NZLR 753. </w:t>
      </w:r>
    </w:p>
  </w:footnote>
  <w:footnote w:id="421">
    <w:p w14:paraId="5A510D65" w14:textId="1745CA93" w:rsidR="00116092" w:rsidRPr="008C02E7" w:rsidRDefault="00116092" w:rsidP="00116092">
      <w:pPr>
        <w:pStyle w:val="FootnoteText"/>
        <w:rPr>
          <w:lang w:val="mi-NZ"/>
        </w:rPr>
      </w:pPr>
      <w:r w:rsidRPr="008C02E7">
        <w:rPr>
          <w:rStyle w:val="FootnoteReference"/>
        </w:rPr>
        <w:footnoteRef/>
      </w:r>
      <w:r w:rsidRPr="008C02E7">
        <w:t xml:space="preserve"> </w:t>
      </w:r>
      <w:r w:rsidRPr="008C02E7">
        <w:tab/>
        <w:t xml:space="preserve">For a summary of the case, see </w:t>
      </w:r>
      <w:r w:rsidRPr="008C02E7">
        <w:rPr>
          <w:lang w:val="mi-NZ"/>
        </w:rPr>
        <w:t xml:space="preserve">Te Aka Matua o te Ture | Law Commission </w:t>
      </w:r>
      <w:r w:rsidRPr="008C02E7">
        <w:rPr>
          <w:i/>
          <w:lang w:val="mi-NZ"/>
        </w:rPr>
        <w:t xml:space="preserve">Second Review of the Evidence Act </w:t>
      </w:r>
      <w:r w:rsidRPr="008C02E7">
        <w:rPr>
          <w:i/>
          <w:iCs/>
          <w:lang w:val="mi-NZ"/>
        </w:rPr>
        <w:t xml:space="preserve">2006 </w:t>
      </w:r>
      <w:r w:rsidRPr="008C02E7">
        <w:rPr>
          <w:lang w:val="mi-NZ"/>
        </w:rPr>
        <w:t xml:space="preserve">| </w:t>
      </w:r>
      <w:r w:rsidRPr="008C02E7">
        <w:rPr>
          <w:i/>
          <w:iCs/>
          <w:lang w:val="mi-NZ"/>
        </w:rPr>
        <w:t>Te Arotake Tuarua i te Evidence Act 2006</w:t>
      </w:r>
      <w:r w:rsidRPr="008C02E7">
        <w:rPr>
          <w:lang w:val="mi-NZ"/>
        </w:rPr>
        <w:t xml:space="preserve"> (NZLC IP42, 2018) </w:t>
      </w:r>
      <w:r w:rsidRPr="008C02E7">
        <w:t>at [6.20]–[6.33]. Broadly, a “Mr Big” operation involves undercover officers inducting the suspect into a bogus criminal organisation. In the New Zealand examples, values such as honesty and loyalty are emphasised throughout the operation as well as the benefits (financial and otherwise) that the suspect will obtain by securing admission as a member. At the conclusion of the operation, the suspect is interviewed by “Mr Big” – the boss of the organisation – to determine whether they will be allowed to join the organisation. The suspect is encouraged to confess to any previous wrongdoing that could be used against them. They may be confronted with information – allegedly from police contacts – that they were involved in the crime police are investigating and assured that</w:t>
      </w:r>
      <w:r w:rsidR="00574250">
        <w:t>,</w:t>
      </w:r>
      <w:r w:rsidRPr="008C02E7">
        <w:t xml:space="preserve"> if they confess any problems with police will be taken care of. In addition to</w:t>
      </w:r>
      <w:r w:rsidRPr="008C02E7">
        <w:rPr>
          <w:i/>
          <w:iCs/>
        </w:rPr>
        <w:t xml:space="preserve"> Wichman</w:t>
      </w:r>
      <w:r w:rsidRPr="008C02E7">
        <w:t xml:space="preserve">, see </w:t>
      </w:r>
      <w:r w:rsidRPr="008C02E7">
        <w:rPr>
          <w:i/>
        </w:rPr>
        <w:t xml:space="preserve">Lyttle v R </w:t>
      </w:r>
      <w:r w:rsidRPr="008C02E7">
        <w:t>[2021] NZCA 46.</w:t>
      </w:r>
    </w:p>
  </w:footnote>
  <w:footnote w:id="422">
    <w:p w14:paraId="727BCABB" w14:textId="5B0CA200"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[86] per William Young J for the majority, [318] per Elias CJ and [451] per Glazebrook J.</w:t>
      </w:r>
    </w:p>
  </w:footnote>
  <w:footnote w:id="423">
    <w:p w14:paraId="121D6F7B"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M v R</w:t>
      </w:r>
      <w:r w:rsidRPr="008C02E7">
        <w:t xml:space="preserve"> [2014] NZCA 339, [2015] 2 NZLR 137.</w:t>
      </w:r>
    </w:p>
  </w:footnote>
  <w:footnote w:id="424">
    <w:p w14:paraId="0E4A8BCB"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M v R</w:t>
      </w:r>
      <w:r w:rsidRPr="008C02E7">
        <w:t xml:space="preserve"> [2014] NZCA 339, [2015] 2 NZLR 137 at [43] and [64]–[67].</w:t>
      </w:r>
    </w:p>
  </w:footnote>
  <w:footnote w:id="425">
    <w:p w14:paraId="5CE19082"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M v R</w:t>
      </w:r>
      <w:r w:rsidRPr="008C02E7">
        <w:t xml:space="preserve"> [2014] NZCA 339, [2015] 2 NZLR 137 at [80]–[83].</w:t>
      </w:r>
    </w:p>
  </w:footnote>
  <w:footnote w:id="426">
    <w:p w14:paraId="5471BA0B"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M v R</w:t>
      </w:r>
      <w:r w:rsidRPr="008C02E7">
        <w:t xml:space="preserve"> [2014] NZCA 339, [2015] 2 NZLR 137 at [66]–[67].</w:t>
      </w:r>
    </w:p>
  </w:footnote>
  <w:footnote w:id="427">
    <w:p w14:paraId="29FB2AA3"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M v R</w:t>
      </w:r>
      <w:r w:rsidRPr="008C02E7">
        <w:t xml:space="preserve"> [2014] NZCA 339, [2015] 2 NZLR 137 at [80].</w:t>
      </w:r>
    </w:p>
  </w:footnote>
  <w:footnote w:id="428">
    <w:p w14:paraId="239F859C"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M v R</w:t>
      </w:r>
      <w:r w:rsidRPr="008C02E7">
        <w:t xml:space="preserve"> [2014] NZCA 339, [2015] 2 NZLR 137 at [46] and [80]–[83].</w:t>
      </w:r>
    </w:p>
  </w:footnote>
  <w:footnote w:id="429">
    <w:p w14:paraId="39D575B5" w14:textId="26138D0A"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 xml:space="preserve">R v Wichman </w:t>
      </w:r>
      <w:r w:rsidRPr="008C02E7">
        <w:t>[2015] NZSC 198, [2016] 1 NZLR 753 at [83]–[84]. See also at [433]–[438] per Glazebrook J, who dissented but agreed with the majority on this point.</w:t>
      </w:r>
    </w:p>
  </w:footnote>
  <w:footnote w:id="430">
    <w:p w14:paraId="4D1177E5"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[92].</w:t>
      </w:r>
    </w:p>
  </w:footnote>
  <w:footnote w:id="431">
    <w:p w14:paraId="32316F8C"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[69]–[70].</w:t>
      </w:r>
    </w:p>
  </w:footnote>
  <w:footnote w:id="432">
    <w:p w14:paraId="2D912228" w14:textId="6C36D4A6" w:rsidR="00116092" w:rsidRPr="008C02E7" w:rsidRDefault="00116092" w:rsidP="00116092">
      <w:pPr>
        <w:pStyle w:val="FootnoteText"/>
      </w:pPr>
      <w:r w:rsidRPr="008C02E7">
        <w:rPr>
          <w:rStyle w:val="FootnoteReference"/>
        </w:rPr>
        <w:footnoteRef/>
      </w:r>
      <w:r w:rsidRPr="008C02E7">
        <w:t xml:space="preserve"> </w:t>
      </w:r>
      <w:r w:rsidRPr="008C02E7">
        <w:tab/>
      </w:r>
      <w:r w:rsidR="005400C9">
        <w:t>Evidence Act 2006, s</w:t>
      </w:r>
      <w:r w:rsidRPr="008C02E7">
        <w:t xml:space="preserve"> 30(4) provides that “[t]he Judge must exclude any improperly obtained evidence if, in accordance with subsection (2), the </w:t>
      </w:r>
      <w:r w:rsidR="005B4B78">
        <w:t>j</w:t>
      </w:r>
      <w:r w:rsidRPr="008C02E7">
        <w:t>udge determines that its exclusion is proportionate to the impropriety</w:t>
      </w:r>
      <w:r w:rsidR="004E53B8">
        <w:t>”.</w:t>
      </w:r>
      <w:r w:rsidRPr="008C02E7">
        <w:t xml:space="preserve"> In other words, it relates to the application of the balancing test. One of the factors that can be considered when undertaking the balancing test is the “nature and quality of the improperly obtained evidence” (s 30(3)(c)). As we discuss in Chapter 7, it is well settled that this encompasses an assessment of the actual reliability of the statement (although it is not clear whether it also includes risks of unreliability associated with the investigatory methods used, which is more relevant to the nature of the impropriety rather than the nature and quality of the evidence).</w:t>
      </w:r>
    </w:p>
  </w:footnote>
  <w:footnote w:id="433">
    <w:p w14:paraId="33D81945"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[98]–[130]. </w:t>
      </w:r>
    </w:p>
  </w:footnote>
  <w:footnote w:id="434">
    <w:p w14:paraId="044E4383"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[345] and [347]. </w:t>
      </w:r>
    </w:p>
  </w:footnote>
  <w:footnote w:id="435">
    <w:p w14:paraId="4980AB17"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[457].</w:t>
      </w:r>
    </w:p>
  </w:footnote>
  <w:footnote w:id="436">
    <w:p w14:paraId="68307B87"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[523].</w:t>
      </w:r>
    </w:p>
  </w:footnote>
  <w:footnote w:id="437">
    <w:p w14:paraId="26FFD2A5" w14:textId="1B7C7196"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[326] and [332] per Elias CJ), and [510] and [515] per Glazebrook J.</w:t>
      </w:r>
    </w:p>
  </w:footnote>
  <w:footnote w:id="438">
    <w:p w14:paraId="3F40CD4C" w14:textId="4D9A36BD"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[326] and [345] per Elias CJ and [511] and [522] per Glazebrook J.</w:t>
      </w:r>
    </w:p>
  </w:footnote>
  <w:footnote w:id="439">
    <w:p w14:paraId="3410AFC8"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[507]–[510] (citations omitted).</w:t>
      </w:r>
    </w:p>
  </w:footnote>
  <w:footnote w:id="440">
    <w:p w14:paraId="7F3456F5"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w:t>
      </w:r>
    </w:p>
  </w:footnote>
  <w:footnote w:id="441">
    <w:p w14:paraId="15F8E3E7"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McCuin</w:t>
      </w:r>
      <w:r w:rsidRPr="008C02E7">
        <w:t xml:space="preserve"> [1982] 1 NZLR 13 (CA) at 15; </w:t>
      </w:r>
      <w:r w:rsidRPr="008C02E7">
        <w:rPr>
          <w:i/>
        </w:rPr>
        <w:t>Naniseni v The Queen</w:t>
      </w:r>
      <w:r w:rsidRPr="008C02E7">
        <w:t xml:space="preserve"> [1971] NZLR 269 (CA) at 271–274 and 276–277;</w:t>
      </w:r>
      <w:r w:rsidRPr="008C02E7">
        <w:rPr>
          <w:i/>
          <w:iCs/>
        </w:rPr>
        <w:t xml:space="preserve"> </w:t>
      </w:r>
      <w:r w:rsidRPr="008C02E7">
        <w:t xml:space="preserve">Te Aka Matua o Te Ture | Law Commission </w:t>
      </w:r>
      <w:r w:rsidRPr="008C02E7">
        <w:rPr>
          <w:i/>
        </w:rPr>
        <w:t>Criminal Evidence: Police Questioning</w:t>
      </w:r>
      <w:r w:rsidRPr="008C02E7">
        <w:t xml:space="preserve"> (NZLC PP21, 1992), Part II: Confessions and Improperly Obtained Evidence at [21]–[22].</w:t>
      </w:r>
    </w:p>
  </w:footnote>
  <w:footnote w:id="442">
    <w:p w14:paraId="084BC1CE" w14:textId="77777777" w:rsidR="00116092" w:rsidRPr="008C02E7" w:rsidRDefault="00116092" w:rsidP="00116092">
      <w:pPr>
        <w:pStyle w:val="FootnoteText"/>
      </w:pPr>
      <w:r w:rsidRPr="008C02E7">
        <w:rPr>
          <w:rStyle w:val="FootnoteReference"/>
        </w:rPr>
        <w:footnoteRef/>
      </w:r>
      <w:r w:rsidRPr="008C02E7">
        <w:t xml:space="preserve"> </w:t>
      </w:r>
      <w:r w:rsidRPr="008C02E7">
        <w:tab/>
        <w:t>This exception to the voluntariness rule was codified in the Evidence Act 1908, s 20. A version of this exception was first introduced by the Evidence Further Amendment Act 1895, s 17.</w:t>
      </w:r>
    </w:p>
  </w:footnote>
  <w:footnote w:id="443">
    <w:p w14:paraId="5D56A7BE" w14:textId="77777777" w:rsidR="00116092" w:rsidRPr="008C02E7" w:rsidRDefault="00116092" w:rsidP="00116092">
      <w:pPr>
        <w:pStyle w:val="FootnoteText"/>
        <w:rPr>
          <w:i/>
          <w:iCs/>
        </w:rPr>
      </w:pPr>
      <w:r w:rsidRPr="008C02E7">
        <w:rPr>
          <w:rStyle w:val="FootnoteReference"/>
        </w:rPr>
        <w:footnoteRef/>
      </w:r>
      <w:r w:rsidRPr="008C02E7">
        <w:t xml:space="preserve"> </w:t>
      </w:r>
      <w:r w:rsidRPr="008C02E7">
        <w:tab/>
      </w:r>
      <w:r w:rsidRPr="008C02E7">
        <w:rPr>
          <w:i/>
        </w:rPr>
        <w:t xml:space="preserve">R v Fatu </w:t>
      </w:r>
      <w:r w:rsidRPr="008C02E7">
        <w:t xml:space="preserve">[1989] 3 NZLR 419 (CA) at 430; </w:t>
      </w:r>
      <w:r w:rsidRPr="008C02E7">
        <w:rPr>
          <w:i/>
        </w:rPr>
        <w:t>R v McCuin</w:t>
      </w:r>
      <w:r w:rsidRPr="008C02E7">
        <w:t xml:space="preserve"> [1982] 1 NZLR 13 (CA) at 15. We note this remains the position in the United Kingdom: see s 76(2)(b) of the Police and Criminal Evidence Act 1984 (UK) and the discussion in Paul Roberts </w:t>
      </w:r>
      <w:r w:rsidRPr="008C02E7">
        <w:rPr>
          <w:i/>
        </w:rPr>
        <w:t xml:space="preserve">Roberts &amp; Zuckerman’s Criminal Evidence </w:t>
      </w:r>
      <w:r w:rsidRPr="008C02E7">
        <w:t>(3rd ed, Oxford University Press, Oxford, 2022) at [12.3(D)].</w:t>
      </w:r>
    </w:p>
  </w:footnote>
  <w:footnote w:id="444">
    <w:p w14:paraId="606E0ECB"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See discussion in Te Aka Matua o Te Ture | Law Commission </w:t>
      </w:r>
      <w:r w:rsidRPr="008C02E7">
        <w:rPr>
          <w:i/>
        </w:rPr>
        <w:t>Criminal Evidence: Police Questioning</w:t>
      </w:r>
      <w:r w:rsidRPr="008C02E7">
        <w:t xml:space="preserve"> (NZLC PP21, 1992), Part II: Confessions and Improperly Obtained Evidence at [79]–[96] and [123]. See also </w:t>
      </w:r>
      <w:r w:rsidRPr="008C02E7">
        <w:rPr>
          <w:i/>
        </w:rPr>
        <w:t>R v McCuin</w:t>
      </w:r>
      <w:r w:rsidRPr="008C02E7">
        <w:t xml:space="preserve"> [1982] 1 NZLR 13 (CA) at 15, citing Lord Halisham in </w:t>
      </w:r>
      <w:r w:rsidRPr="008C02E7">
        <w:rPr>
          <w:i/>
        </w:rPr>
        <w:t>Wong Kam-ming v R</w:t>
      </w:r>
      <w:r w:rsidRPr="008C02E7">
        <w:t xml:space="preserve"> [1980] AC 247. The policy of the voluntariness rule has been recently commented on in Canada where the rule still applies: see </w:t>
      </w:r>
      <w:r w:rsidRPr="008C02E7">
        <w:rPr>
          <w:i/>
        </w:rPr>
        <w:t>R v Beaver</w:t>
      </w:r>
      <w:r w:rsidRPr="008C02E7">
        <w:t xml:space="preserve"> 2022 SCC, CSC 54 at [47] and</w:t>
      </w:r>
      <w:r w:rsidRPr="008C02E7">
        <w:rPr>
          <w:i/>
        </w:rPr>
        <w:t xml:space="preserve"> R v Tessier </w:t>
      </w:r>
      <w:r w:rsidRPr="008C02E7">
        <w:t>2022 SCC, CSC 35 at [150] and [157]–[159].</w:t>
      </w:r>
    </w:p>
  </w:footnote>
  <w:footnote w:id="445">
    <w:p w14:paraId="793A7BBA"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See the discussion in </w:t>
      </w:r>
      <w:r w:rsidRPr="008C02E7">
        <w:rPr>
          <w:i/>
        </w:rPr>
        <w:t xml:space="preserve">R v Tessier </w:t>
      </w:r>
      <w:r w:rsidRPr="008C02E7">
        <w:t>2022 SCC, CSC 35 at [150] and [157]–[159].</w:t>
      </w:r>
    </w:p>
  </w:footnote>
  <w:footnote w:id="446">
    <w:p w14:paraId="53A983AF"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Noting that the majority in </w:t>
      </w:r>
      <w:r w:rsidRPr="008C02E7">
        <w:rPr>
          <w:i/>
          <w:iCs/>
        </w:rPr>
        <w:t>Wichman</w:t>
      </w:r>
      <w:r w:rsidRPr="008C02E7">
        <w:rPr>
          <w:i/>
        </w:rPr>
        <w:t xml:space="preserve"> </w:t>
      </w:r>
      <w:r w:rsidRPr="008C02E7">
        <w:t xml:space="preserve">held the Chief Justice’s Practice Note on Police Questioning does not apply to undercover officers: </w:t>
      </w:r>
      <w:r w:rsidRPr="008C02E7">
        <w:rPr>
          <w:i/>
          <w:szCs w:val="15"/>
          <w:lang w:val="en-GB"/>
        </w:rPr>
        <w:t>R v Wichman</w:t>
      </w:r>
      <w:r w:rsidRPr="008C02E7">
        <w:rPr>
          <w:szCs w:val="15"/>
          <w:lang w:val="en-GB"/>
        </w:rPr>
        <w:t xml:space="preserve"> [2015] NZSC 198, [2016] 1 NZLR 753 </w:t>
      </w:r>
      <w:r w:rsidRPr="008C02E7">
        <w:t>at [106].</w:t>
      </w:r>
    </w:p>
  </w:footnote>
  <w:footnote w:id="447">
    <w:p w14:paraId="292DA6D2"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 xml:space="preserve">Lyttle v R </w:t>
      </w:r>
      <w:r w:rsidRPr="008C02E7">
        <w:t>[2021] NZCA 46.</w:t>
      </w:r>
    </w:p>
  </w:footnote>
  <w:footnote w:id="448">
    <w:p w14:paraId="57657C63"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X</w:t>
      </w:r>
      <w:r w:rsidRPr="008C02E7">
        <w:t xml:space="preserve"> [2021] NZHC 2444 at [59]–[75] and [128]–[146].</w:t>
      </w:r>
    </w:p>
  </w:footnote>
  <w:footnote w:id="449">
    <w:p w14:paraId="6B61C159" w14:textId="77777777" w:rsidR="00116092" w:rsidRPr="008C02E7" w:rsidDel="005A458E" w:rsidRDefault="00116092" w:rsidP="00116092">
      <w:pPr>
        <w:pStyle w:val="FootnoteText"/>
      </w:pPr>
      <w:r w:rsidRPr="008C02E7" w:rsidDel="005A458E">
        <w:rPr>
          <w:rStyle w:val="FootnoteReference"/>
        </w:rPr>
        <w:footnoteRef/>
      </w:r>
      <w:r w:rsidRPr="008C02E7" w:rsidDel="005A458E">
        <w:t xml:space="preserve"> </w:t>
      </w:r>
      <w:r w:rsidRPr="008C02E7" w:rsidDel="005A458E">
        <w:tab/>
      </w:r>
      <w:r w:rsidRPr="008C02E7" w:rsidDel="005A458E">
        <w:rPr>
          <w:i/>
        </w:rPr>
        <w:t>R v Fawcett</w:t>
      </w:r>
      <w:r w:rsidRPr="008C02E7" w:rsidDel="005A458E">
        <w:t xml:space="preserve"> [2021] NZHC 2406 at [238].</w:t>
      </w:r>
    </w:p>
  </w:footnote>
  <w:footnote w:id="450">
    <w:p w14:paraId="204355F1" w14:textId="34A4102B"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Fawcett</w:t>
      </w:r>
      <w:r w:rsidRPr="008C02E7">
        <w:t xml:space="preserve"> [2021] NZHC 2406 at [301]. </w:t>
      </w:r>
      <w:r w:rsidRPr="008C02E7">
        <w:rPr>
          <w:lang w:val="en-GB"/>
        </w:rPr>
        <w:t xml:space="preserve">Given that finding, the Court did not need to consider the application of </w:t>
      </w:r>
      <w:r w:rsidR="00D8628A">
        <w:rPr>
          <w:lang w:val="en-GB"/>
        </w:rPr>
        <w:t>s</w:t>
      </w:r>
      <w:r w:rsidRPr="008C02E7">
        <w:rPr>
          <w:lang w:val="en-GB"/>
        </w:rPr>
        <w:t xml:space="preserve"> 30. However, </w:t>
      </w:r>
      <w:r w:rsidRPr="008C02E7">
        <w:t xml:space="preserve">after referring to the majority’s approach in </w:t>
      </w:r>
      <w:r w:rsidRPr="008C02E7">
        <w:rPr>
          <w:i/>
        </w:rPr>
        <w:t xml:space="preserve">Wichman </w:t>
      </w:r>
      <w:r w:rsidRPr="008C02E7">
        <w:t>(at [304]), the Court noted: “Had I not had fundamental concerns about the statements’ reliability because of Mr Fawcett’s FASD, coupled with the lack of evidence corroborating his involvement, I doubt that the statements could be considered improperly obtained under s 30” (at [305]).</w:t>
      </w:r>
    </w:p>
  </w:footnote>
  <w:footnote w:id="451">
    <w:p w14:paraId="5244B386" w14:textId="589F9897" w:rsidR="00116092" w:rsidRPr="008C02E7" w:rsidRDefault="00116092" w:rsidP="00116092">
      <w:pPr>
        <w:pStyle w:val="FootnoteText"/>
      </w:pPr>
      <w:r w:rsidRPr="008C02E7">
        <w:rPr>
          <w:rStyle w:val="FootnoteReference"/>
        </w:rPr>
        <w:footnoteRef/>
      </w:r>
      <w:r w:rsidRPr="008C02E7">
        <w:t xml:space="preserve"> </w:t>
      </w:r>
      <w:r w:rsidRPr="008C02E7">
        <w:tab/>
      </w:r>
      <w:r w:rsidR="005400C9">
        <w:t xml:space="preserve">Evidence Act 2006, s </w:t>
      </w:r>
      <w:r w:rsidRPr="008C02E7">
        <w:t>122.</w:t>
      </w:r>
    </w:p>
  </w:footnote>
  <w:footnote w:id="452">
    <w:p w14:paraId="30A805A1"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Any breach of the Chief Justice’s Practice Note on Police Questioning is relevant to whether evidence is improperly obtained on the grounds that it was obtained unfairly: s 30(6). See, for example, </w:t>
      </w:r>
      <w:r w:rsidRPr="008C02E7">
        <w:rPr>
          <w:i/>
        </w:rPr>
        <w:t>R v X</w:t>
      </w:r>
      <w:r w:rsidRPr="008C02E7">
        <w:t xml:space="preserve"> [2021] NZHC 2444. Questioning that involves placing undue pressure on a suspect but falls short of oppression may also amount to a breach of the Practice Note, as in </w:t>
      </w:r>
      <w:r w:rsidRPr="008C02E7">
        <w:rPr>
          <w:i/>
        </w:rPr>
        <w:t>R v Chetty</w:t>
      </w:r>
      <w:r w:rsidRPr="008C02E7">
        <w:t xml:space="preserve"> [2016] NZSC 68, [2018] 1 NZLR 26</w:t>
      </w:r>
      <w:r w:rsidRPr="008C02E7">
        <w:rPr>
          <w:i/>
        </w:rPr>
        <w:t>.</w:t>
      </w:r>
    </w:p>
  </w:footnote>
  <w:footnote w:id="453">
    <w:p w14:paraId="38ECC52F"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See, for example, </w:t>
      </w:r>
      <w:r w:rsidRPr="008C02E7">
        <w:rPr>
          <w:i/>
        </w:rPr>
        <w:t>R v X</w:t>
      </w:r>
      <w:r w:rsidRPr="008C02E7">
        <w:t xml:space="preserve"> [2021] NZHC 2444.</w:t>
      </w:r>
    </w:p>
  </w:footnote>
  <w:footnote w:id="454">
    <w:p w14:paraId="6E5571CA" w14:textId="77777777" w:rsidR="00116092" w:rsidRPr="008C02E7" w:rsidRDefault="00116092" w:rsidP="00116092">
      <w:pPr>
        <w:pStyle w:val="FootnoteText"/>
      </w:pPr>
      <w:r w:rsidRPr="008C02E7">
        <w:rPr>
          <w:rStyle w:val="FootnoteReference"/>
          <w:sz w:val="15"/>
          <w:szCs w:val="15"/>
        </w:rPr>
        <w:footnoteRef/>
      </w:r>
      <w:r w:rsidRPr="008C02E7">
        <w:t xml:space="preserve"> </w:t>
      </w:r>
      <w:r w:rsidRPr="008C02E7">
        <w:tab/>
      </w:r>
      <w:r w:rsidRPr="008C02E7">
        <w:rPr>
          <w:i/>
          <w:szCs w:val="15"/>
          <w:lang w:val="en-GB"/>
        </w:rPr>
        <w:t>R v Wichman</w:t>
      </w:r>
      <w:r w:rsidRPr="008C02E7">
        <w:rPr>
          <w:szCs w:val="15"/>
          <w:lang w:val="en-GB"/>
        </w:rPr>
        <w:t xml:space="preserve"> [2015] NZSC 198, [2016] 1 NZLR 753 </w:t>
      </w:r>
      <w:r w:rsidRPr="008C02E7">
        <w:t>at [106].</w:t>
      </w:r>
    </w:p>
  </w:footnote>
  <w:footnote w:id="455">
    <w:p w14:paraId="5EFB4ACB" w14:textId="6139FAFC" w:rsidR="00116092" w:rsidRPr="008C02E7" w:rsidRDefault="00116092" w:rsidP="00116092">
      <w:pPr>
        <w:pStyle w:val="FootnoteText"/>
      </w:pPr>
      <w:r w:rsidRPr="008C02E7">
        <w:rPr>
          <w:rStyle w:val="FootnoteReference"/>
          <w:sz w:val="15"/>
          <w:szCs w:val="15"/>
        </w:rPr>
        <w:footnoteRef/>
      </w:r>
      <w:r w:rsidRPr="008C02E7">
        <w:t xml:space="preserve"> </w:t>
      </w:r>
      <w:r w:rsidRPr="008C02E7">
        <w:tab/>
        <w:t xml:space="preserve">For example, the Supreme Court in </w:t>
      </w:r>
      <w:r w:rsidRPr="008C02E7">
        <w:rPr>
          <w:i/>
        </w:rPr>
        <w:t xml:space="preserve">Chetty </w:t>
      </w:r>
      <w:r w:rsidRPr="008C02E7">
        <w:t xml:space="preserve">found evidence to be unfairly obtained primarily because police had placed pressure on the defendant to confess by telling him that he would be charged with rape unless he confessed and that rape carried a maximum penalty of 20 years’ imprisonment: see </w:t>
      </w:r>
      <w:r w:rsidRPr="008C02E7">
        <w:rPr>
          <w:i/>
        </w:rPr>
        <w:t>R v Chetty</w:t>
      </w:r>
      <w:r w:rsidRPr="008C02E7">
        <w:t xml:space="preserve"> [2016] NZSC 68, [2018] 1 NZLR 26 at [51].</w:t>
      </w:r>
    </w:p>
  </w:footnote>
  <w:footnote w:id="456">
    <w:p w14:paraId="697123B0"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See, for example, </w:t>
      </w:r>
      <w:r w:rsidRPr="008C02E7">
        <w:rPr>
          <w:i/>
        </w:rPr>
        <w:t>Field v R</w:t>
      </w:r>
      <w:r w:rsidRPr="008C02E7">
        <w:t xml:space="preserve"> [2010] NZCA 556, [2011] 1 NZLR 784 at [160].</w:t>
      </w:r>
    </w:p>
  </w:footnote>
  <w:footnote w:id="457">
    <w:p w14:paraId="3472FDE4"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Te Aka Matua o te Ture | Law Commission </w:t>
      </w:r>
      <w:r w:rsidRPr="008C02E7">
        <w:rPr>
          <w:i/>
        </w:rPr>
        <w:t xml:space="preserve">Evidence: Evidence Code and Commentary </w:t>
      </w:r>
      <w:r w:rsidRPr="008C02E7">
        <w:t>(NZLC R55 Vol 2, 1999) at [C141].</w:t>
      </w:r>
    </w:p>
  </w:footnote>
  <w:footnote w:id="458">
    <w:p w14:paraId="3A82DD55"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M v R</w:t>
      </w:r>
      <w:r w:rsidRPr="008C02E7">
        <w:t xml:space="preserve"> [2014] NZCA 339, [2015] 2 NZLR 137 at [43] and [64]–[67].</w:t>
      </w:r>
    </w:p>
  </w:footnote>
  <w:footnote w:id="459">
    <w:p w14:paraId="4971E6FC" w14:textId="309374FD"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[326] and [332] per Elias CJ, and [510] and [515] per Glazebrook J.</w:t>
      </w:r>
    </w:p>
  </w:footnote>
  <w:footnote w:id="460">
    <w:p w14:paraId="31B73AF9" w14:textId="7A3308F3" w:rsidR="00116092" w:rsidRPr="008C02E7" w:rsidRDefault="00116092" w:rsidP="00116092">
      <w:pPr>
        <w:pStyle w:val="FootnoteText"/>
      </w:pPr>
      <w:r w:rsidRPr="008C02E7">
        <w:rPr>
          <w:rStyle w:val="FootnoteReference"/>
        </w:rPr>
        <w:footnoteRef/>
      </w:r>
      <w:r w:rsidRPr="008C02E7">
        <w:t xml:space="preserve"> </w:t>
      </w:r>
      <w:r w:rsidRPr="008C02E7">
        <w:tab/>
        <w:t xml:space="preserve">For example, in </w:t>
      </w:r>
      <w:r w:rsidRPr="008C02E7">
        <w:rPr>
          <w:i/>
        </w:rPr>
        <w:t>R v Chetty</w:t>
      </w:r>
      <w:r w:rsidRPr="008C02E7">
        <w:t xml:space="preserve"> [2016] NZSC 68, [2018] 1 NZLR 26</w:t>
      </w:r>
      <w:r w:rsidR="00113308">
        <w:t>,</w:t>
      </w:r>
      <w:r w:rsidRPr="008C02E7">
        <w:t xml:space="preserve"> the defendant’s statement was found to be unfairly obtained in part due to a representation the interviewing detectives made to the defendant, which led him to believe he faced 20 years’ imprisonment unless he told them what they wanted to hear (at [51]). The condition and characteristics of the defendant have also been considered by the courts when undertaking the unfairness assessment (see</w:t>
      </w:r>
      <w:r w:rsidR="00CC2BAB">
        <w:t>,</w:t>
      </w:r>
      <w:r w:rsidRPr="008C02E7">
        <w:t xml:space="preserve"> for example, </w:t>
      </w:r>
      <w:r w:rsidRPr="008C02E7">
        <w:rPr>
          <w:i/>
        </w:rPr>
        <w:t>Gosset v R</w:t>
      </w:r>
      <w:r w:rsidRPr="008C02E7">
        <w:t xml:space="preserve"> [2021] NZCA 187 at [74]–[76]; </w:t>
      </w:r>
      <w:r w:rsidRPr="008C02E7">
        <w:rPr>
          <w:i/>
        </w:rPr>
        <w:t>B v R</w:t>
      </w:r>
      <w:r w:rsidRPr="008C02E7">
        <w:t xml:space="preserve"> [2014] NZCA 85 at [30]–[40]).</w:t>
      </w:r>
    </w:p>
  </w:footnote>
  <w:footnote w:id="461">
    <w:p w14:paraId="5D5E2BBC" w14:textId="0C0F0A38"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R v Shaheed</w:t>
      </w:r>
      <w:r w:rsidRPr="008C02E7">
        <w:t xml:space="preserve"> [2002] 2 NZLR 377 (CA) at [151]; </w:t>
      </w:r>
      <w:r w:rsidRPr="008C02E7">
        <w:rPr>
          <w:i/>
          <w:lang w:eastAsia="en-AU"/>
        </w:rPr>
        <w:t xml:space="preserve">R v Williams </w:t>
      </w:r>
      <w:r w:rsidRPr="008C02E7">
        <w:t xml:space="preserve">[2007] NZCA 52, </w:t>
      </w:r>
      <w:r w:rsidRPr="008C02E7">
        <w:rPr>
          <w:lang w:eastAsia="en-AU"/>
        </w:rPr>
        <w:t>[2007] 3 NZLR 207 at [140]</w:t>
      </w:r>
      <w:r w:rsidR="006D6159">
        <w:rPr>
          <w:lang w:eastAsia="en-AU"/>
        </w:rPr>
        <w:t>. The third</w:t>
      </w:r>
      <w:r w:rsidR="006D6159" w:rsidRPr="00984EC8">
        <w:t xml:space="preserve"> case remains subject to publication restrictions until final disposition of trial.</w:t>
      </w:r>
    </w:p>
  </w:footnote>
  <w:footnote w:id="462">
    <w:p w14:paraId="00C0BDDE" w14:textId="77777777" w:rsidR="00116092" w:rsidRPr="008C02E7" w:rsidRDefault="00116092" w:rsidP="00116092">
      <w:pPr>
        <w:pStyle w:val="FootnoteText"/>
      </w:pPr>
      <w:r w:rsidRPr="008C02E7">
        <w:rPr>
          <w:rStyle w:val="FootnoteReference"/>
        </w:rPr>
        <w:footnoteRef/>
      </w:r>
      <w:r w:rsidRPr="008C02E7">
        <w:t xml:space="preserve"> </w:t>
      </w:r>
      <w:r w:rsidRPr="008C02E7">
        <w:tab/>
        <w:t xml:space="preserve">Section 30(3)(b) refers to “the nature of the impropriety, in particular, whether it was deliberate, reckless, or done in bad faith”. As we discuss in Chapter 7, however, the courts largely focus on whether the impropriety was deliberate, reckless or done in bad faith rather than undertaking a more general assessment of the nature of the impropriety. </w:t>
      </w:r>
    </w:p>
  </w:footnote>
  <w:footnote w:id="463">
    <w:p w14:paraId="7D4096B5" w14:textId="77777777" w:rsidR="00116092" w:rsidRPr="008C02E7" w:rsidRDefault="00116092" w:rsidP="00116092">
      <w:pPr>
        <w:pStyle w:val="FootnoteText"/>
      </w:pPr>
      <w:r w:rsidRPr="008C02E7">
        <w:rPr>
          <w:rStyle w:val="FootnoteReference"/>
        </w:rPr>
        <w:footnoteRef/>
      </w:r>
      <w:r w:rsidRPr="008C02E7">
        <w:t xml:space="preserve"> </w:t>
      </w:r>
      <w:r w:rsidRPr="008C02E7">
        <w:tab/>
      </w:r>
      <w:r w:rsidRPr="008C02E7">
        <w:rPr>
          <w:i/>
        </w:rPr>
        <w:t>M v R</w:t>
      </w:r>
      <w:r w:rsidRPr="008C02E7">
        <w:t xml:space="preserve"> [2014] NZCA 339, [2015] 2 NZLR 137 at [80]–[83].</w:t>
      </w:r>
    </w:p>
  </w:footnote>
  <w:footnote w:id="464">
    <w:p w14:paraId="31E28C47" w14:textId="6DE6DCFC" w:rsidR="00116092" w:rsidRDefault="00116092" w:rsidP="00116092">
      <w:pPr>
        <w:pStyle w:val="FootnoteText"/>
      </w:pPr>
      <w:r w:rsidRPr="008C02E7">
        <w:rPr>
          <w:rStyle w:val="FootnoteReference"/>
        </w:rPr>
        <w:footnoteRef/>
      </w:r>
      <w:r w:rsidRPr="008C02E7">
        <w:t xml:space="preserve"> </w:t>
      </w:r>
      <w:r w:rsidRPr="008C02E7">
        <w:tab/>
      </w:r>
      <w:r w:rsidRPr="008C02E7">
        <w:rPr>
          <w:i/>
        </w:rPr>
        <w:t>R v Wichman</w:t>
      </w:r>
      <w:r w:rsidRPr="008C02E7">
        <w:t xml:space="preserve"> [2015] NZSC 198, [2016] 1 NZLR 753 at [326] and [345] per Elias CJ and [511] and [522] per Glazebrook J.</w:t>
      </w:r>
    </w:p>
  </w:footnote>
  <w:footnote w:id="465">
    <w:p w14:paraId="1CAC7692"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Evidence Act 2006, s 30(2)(a). </w:t>
      </w:r>
    </w:p>
  </w:footnote>
  <w:footnote w:id="466">
    <w:p w14:paraId="1F4D87B9" w14:textId="77777777" w:rsidR="009F4F6E" w:rsidRPr="00120B09" w:rsidRDefault="009F4F6E" w:rsidP="009F4F6E">
      <w:pPr>
        <w:pStyle w:val="FootnoteText"/>
      </w:pPr>
      <w:r w:rsidRPr="00120B09">
        <w:rPr>
          <w:rStyle w:val="FootnoteReference"/>
        </w:rPr>
        <w:footnoteRef/>
      </w:r>
      <w:r w:rsidRPr="00120B09">
        <w:t xml:space="preserve"> </w:t>
      </w:r>
      <w:r w:rsidRPr="00120B09">
        <w:tab/>
        <w:t>Evidence Act 2006, s 30(5).</w:t>
      </w:r>
    </w:p>
  </w:footnote>
  <w:footnote w:id="467">
    <w:p w14:paraId="7C5C7F06" w14:textId="77777777" w:rsidR="009F4F6E" w:rsidRPr="00120B09" w:rsidRDefault="009F4F6E" w:rsidP="009F4F6E">
      <w:pPr>
        <w:pStyle w:val="FootnoteText"/>
      </w:pPr>
      <w:r w:rsidRPr="00120B09">
        <w:rPr>
          <w:rStyle w:val="FootnoteReference"/>
        </w:rPr>
        <w:footnoteRef/>
      </w:r>
      <w:r w:rsidRPr="00120B09">
        <w:t xml:space="preserve"> </w:t>
      </w:r>
      <w:r w:rsidRPr="00120B09">
        <w:tab/>
        <w:t>That is: the legislative, executive, or judicial branches of the Government of New Zealand; or any person or body in the performance of any public function, power, or duty conferred or imposed on that person or body by or pursuant to law. This includes, for example, police officers and other law enforcement officials.</w:t>
      </w:r>
    </w:p>
  </w:footnote>
  <w:footnote w:id="468">
    <w:p w14:paraId="0381F993" w14:textId="0FBAD9A7" w:rsidR="009F4F6E" w:rsidRPr="00120B09" w:rsidRDefault="009F4F6E" w:rsidP="009F4F6E">
      <w:pPr>
        <w:pStyle w:val="FootnoteText"/>
      </w:pPr>
      <w:r w:rsidRPr="00120B09">
        <w:rPr>
          <w:rStyle w:val="FootnoteReference"/>
        </w:rPr>
        <w:footnoteRef/>
      </w:r>
      <w:r w:rsidRPr="00120B09">
        <w:t xml:space="preserve"> </w:t>
      </w:r>
      <w:r w:rsidRPr="00120B09">
        <w:tab/>
      </w:r>
      <w:r w:rsidR="005400C9">
        <w:t>Evidence Act 2006, s</w:t>
      </w:r>
      <w:r w:rsidRPr="00120B09">
        <w:t xml:space="preserve"> 30(2)(b).</w:t>
      </w:r>
    </w:p>
  </w:footnote>
  <w:footnote w:id="469">
    <w:p w14:paraId="2C504190" w14:textId="77777777" w:rsidR="009F4F6E" w:rsidRPr="00120B09" w:rsidRDefault="009F4F6E" w:rsidP="009F4F6E">
      <w:pPr>
        <w:pStyle w:val="FootnoteText"/>
      </w:pPr>
      <w:r w:rsidRPr="00120B09">
        <w:rPr>
          <w:rStyle w:val="FootnoteReference"/>
        </w:rPr>
        <w:footnoteRef/>
      </w:r>
      <w:r w:rsidRPr="00120B09">
        <w:t xml:space="preserve"> </w:t>
      </w:r>
      <w:r w:rsidRPr="00120B09">
        <w:tab/>
        <w:t>Evidence Act 2006, s 30(4).</w:t>
      </w:r>
    </w:p>
  </w:footnote>
  <w:footnote w:id="470">
    <w:p w14:paraId="1DEFFDE4"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The development of the common law relating to improperly obtained evidence is summarised in </w:t>
      </w:r>
      <w:r w:rsidRPr="00120B09">
        <w:rPr>
          <w:i/>
          <w:iCs/>
        </w:rPr>
        <w:t>Marwood v Commissioner of Police</w:t>
      </w:r>
      <w:r w:rsidRPr="00120B09">
        <w:t xml:space="preserve"> [2016] NZSC 139, [2017] 1 NZLR 260 at [20]–[2</w:t>
      </w:r>
      <w:r>
        <w:t>2</w:t>
      </w:r>
      <w:r w:rsidRPr="00120B09">
        <w:t xml:space="preserve">]. See also Te Aka Matua o Te Ture | Law Commission </w:t>
      </w:r>
      <w:r w:rsidRPr="00120B09">
        <w:rPr>
          <w:i/>
          <w:iCs/>
        </w:rPr>
        <w:t>Criminal Evidence: Police Questioning</w:t>
      </w:r>
      <w:r w:rsidRPr="00120B09">
        <w:t xml:space="preserve"> (NZLC PP21, 1992), Part II: Confessions and Improperly Obtained Evidence at [56]–[58].</w:t>
      </w:r>
    </w:p>
  </w:footnote>
  <w:footnote w:id="471">
    <w:p w14:paraId="1AEBDFBC"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Kirifi</w:t>
      </w:r>
      <w:r w:rsidRPr="00120B09">
        <w:t xml:space="preserve"> [1992] 2 NZLR 8 (CA) at 12; </w:t>
      </w:r>
      <w:r w:rsidRPr="00120B09">
        <w:rPr>
          <w:i/>
          <w:iCs/>
        </w:rPr>
        <w:t>R v Butcher</w:t>
      </w:r>
      <w:r w:rsidRPr="00120B09">
        <w:t xml:space="preserve"> [1992] 2 NZLR 257 (CA); </w:t>
      </w:r>
      <w:r w:rsidRPr="00120B09">
        <w:rPr>
          <w:i/>
          <w:iCs/>
        </w:rPr>
        <w:t>R v Goodwin</w:t>
      </w:r>
      <w:r w:rsidRPr="00120B09">
        <w:t xml:space="preserve"> [1993] 2 NZLR 153 (CA</w:t>
      </w:r>
      <w:r w:rsidRPr="003F7390">
        <w:t xml:space="preserve">) at 266. See also the discussion in </w:t>
      </w:r>
      <w:r w:rsidRPr="003F7390">
        <w:rPr>
          <w:i/>
          <w:iCs/>
        </w:rPr>
        <w:t>Marwood v Commissioner of Police</w:t>
      </w:r>
      <w:r w:rsidRPr="003F7390">
        <w:t xml:space="preserve"> [2016] NZSC 139, [2017] 1 NZLR 260 at [23]</w:t>
      </w:r>
      <w:r>
        <w:t>–</w:t>
      </w:r>
      <w:r w:rsidRPr="003F7390">
        <w:t>[27].</w:t>
      </w:r>
    </w:p>
  </w:footnote>
  <w:footnote w:id="472">
    <w:p w14:paraId="65F2E2D8" w14:textId="7A2B61E8" w:rsidR="009F4F6E" w:rsidRDefault="009F4F6E" w:rsidP="009F4F6E">
      <w:pPr>
        <w:pStyle w:val="FootnoteText"/>
      </w:pPr>
      <w:r>
        <w:rPr>
          <w:rStyle w:val="FootnoteReference"/>
        </w:rPr>
        <w:footnoteRef/>
      </w:r>
      <w:r>
        <w:t xml:space="preserve"> </w:t>
      </w:r>
      <w:r>
        <w:tab/>
      </w:r>
      <w:r w:rsidRPr="00BF2B55">
        <w:t>Oranga Tamariki Act 1989</w:t>
      </w:r>
      <w:r>
        <w:t>, s 221. Under this provision, statements made by children or young people who are suspected of an offence or have been arrested or detained, are inadmissible unless certain procedural protections are complied with.</w:t>
      </w:r>
    </w:p>
  </w:footnote>
  <w:footnote w:id="473">
    <w:p w14:paraId="31F57779" w14:textId="77777777" w:rsidR="009F4F6E" w:rsidRPr="00120B09" w:rsidRDefault="009F4F6E" w:rsidP="009F4F6E">
      <w:pPr>
        <w:pStyle w:val="FootnoteText"/>
        <w:rPr>
          <w:rStyle w:val="FootnoteReference"/>
          <w:color w:val="0D0D0D" w:themeColor="text1" w:themeTint="F2"/>
          <w:sz w:val="15"/>
          <w:vertAlign w:val="baseline"/>
        </w:rPr>
      </w:pPr>
      <w:r w:rsidRPr="00120B09">
        <w:rPr>
          <w:rStyle w:val="FootnoteReference"/>
          <w:color w:val="0D0D0D" w:themeColor="text1" w:themeTint="F2"/>
          <w:sz w:val="15"/>
        </w:rPr>
        <w:footnoteRef/>
      </w:r>
      <w:r w:rsidRPr="00120B09">
        <w:rPr>
          <w:rStyle w:val="FootnoteReference"/>
          <w:color w:val="0D0D0D" w:themeColor="text1" w:themeTint="F2"/>
          <w:sz w:val="15"/>
        </w:rPr>
        <w:t xml:space="preserve"> </w:t>
      </w:r>
      <w:r w:rsidRPr="00120B09">
        <w:rPr>
          <w:rStyle w:val="FootnoteReference"/>
          <w:color w:val="0D0D0D" w:themeColor="text1" w:themeTint="F2"/>
          <w:sz w:val="15"/>
          <w:vertAlign w:val="baseline"/>
        </w:rPr>
        <w:tab/>
        <w:t>Te Aka Matua o te Ture | Law Commission Evidence: Evidence Code and Commentary (NZLC R55 Vol 2, 1999) at 84.</w:t>
      </w:r>
      <w:r w:rsidRPr="00120B09">
        <w:t xml:space="preserve"> The provision would have required exclusion of improperly obtained evidence unless it would be contrary to the interests of justice.</w:t>
      </w:r>
    </w:p>
  </w:footnote>
  <w:footnote w:id="474">
    <w:p w14:paraId="30F5323A"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rStyle w:val="FootnoteReference"/>
          <w:color w:val="0D0D0D" w:themeColor="text1" w:themeTint="F2"/>
          <w:sz w:val="15"/>
          <w:vertAlign w:val="baseline"/>
        </w:rPr>
        <w:t xml:space="preserve">Te Aka Matua o te Ture | Law Commission </w:t>
      </w:r>
      <w:r w:rsidRPr="00120B09">
        <w:rPr>
          <w:rStyle w:val="FootnoteReference"/>
          <w:i/>
          <w:iCs/>
          <w:color w:val="0D0D0D" w:themeColor="text1" w:themeTint="F2"/>
          <w:sz w:val="15"/>
          <w:vertAlign w:val="baseline"/>
        </w:rPr>
        <w:t>Evidence: Evidence Code and Commentary</w:t>
      </w:r>
      <w:r w:rsidRPr="00120B09">
        <w:rPr>
          <w:rStyle w:val="FootnoteReference"/>
          <w:color w:val="0D0D0D" w:themeColor="text1" w:themeTint="F2"/>
          <w:sz w:val="15"/>
          <w:vertAlign w:val="baseline"/>
        </w:rPr>
        <w:t xml:space="preserve"> (NZLC R55 Vol 2, 1999) at 8</w:t>
      </w:r>
      <w:r w:rsidRPr="00120B09">
        <w:t>6</w:t>
      </w:r>
      <w:r>
        <w:t>.</w:t>
      </w:r>
    </w:p>
  </w:footnote>
  <w:footnote w:id="475">
    <w:p w14:paraId="4994A9AB"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w:t>
      </w:r>
    </w:p>
  </w:footnote>
  <w:footnote w:id="476">
    <w:p w14:paraId="673DF3B7"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[140] per Blanchard J (giving the judgment of Richardson P, Blanchard and Tipping JJ). Blanchard J’s approach was also endorsed by Gault J (at [172]), McGrath J (at [192]) and Anderson J (at [200]–[201]).</w:t>
      </w:r>
    </w:p>
  </w:footnote>
  <w:footnote w:id="477">
    <w:p w14:paraId="4EBB9137" w14:textId="77777777" w:rsidR="009F4F6E" w:rsidRDefault="009F4F6E" w:rsidP="009F4F6E">
      <w:pPr>
        <w:pStyle w:val="FootnoteText"/>
      </w:pPr>
      <w:r>
        <w:rPr>
          <w:rStyle w:val="FootnoteReference"/>
        </w:rPr>
        <w:footnoteRef/>
      </w:r>
      <w:r>
        <w:t xml:space="preserve"> </w:t>
      </w:r>
      <w:r>
        <w:tab/>
      </w:r>
      <w:r w:rsidRPr="00120B09">
        <w:rPr>
          <w:i/>
          <w:iCs/>
        </w:rPr>
        <w:t>R v Shaheed</w:t>
      </w:r>
      <w:r w:rsidRPr="00120B09">
        <w:t xml:space="preserve"> [2002] 2 NZLR 377 (CA) at [14</w:t>
      </w:r>
      <w:r>
        <w:t>1</w:t>
      </w:r>
      <w:r w:rsidRPr="00120B09">
        <w:t>] per Blanchard J</w:t>
      </w:r>
      <w:r>
        <w:t xml:space="preserve">. See also </w:t>
      </w:r>
      <w:r w:rsidRPr="00AE726C">
        <w:rPr>
          <w:i/>
          <w:iCs/>
        </w:rPr>
        <w:t>Hamed v R</w:t>
      </w:r>
      <w:r w:rsidRPr="0094207F">
        <w:t xml:space="preserve"> [2011] NZSC 101, [2012] 2 NZLR 305</w:t>
      </w:r>
      <w:r>
        <w:t xml:space="preserve"> at [173] per Blanchard J.</w:t>
      </w:r>
    </w:p>
  </w:footnote>
  <w:footnote w:id="478">
    <w:p w14:paraId="0CBECDBD" w14:textId="77777777" w:rsidR="009F4F6E" w:rsidRDefault="009F4F6E" w:rsidP="009F4F6E">
      <w:pPr>
        <w:pStyle w:val="FootnoteText"/>
      </w:pPr>
      <w:r>
        <w:rPr>
          <w:rStyle w:val="FootnoteReference"/>
        </w:rPr>
        <w:footnoteRef/>
      </w:r>
      <w:r>
        <w:t xml:space="preserve"> </w:t>
      </w:r>
      <w:r>
        <w:tab/>
      </w:r>
      <w:r w:rsidRPr="00120B09">
        <w:rPr>
          <w:i/>
          <w:iCs/>
        </w:rPr>
        <w:t>R v Shaheed</w:t>
      </w:r>
      <w:r w:rsidRPr="00120B09">
        <w:t xml:space="preserve"> [2002] 2 NZLR 377 (CA) at</w:t>
      </w:r>
      <w:r>
        <w:t xml:space="preserve"> [144] per Blanchard J.</w:t>
      </w:r>
    </w:p>
  </w:footnote>
  <w:footnote w:id="479">
    <w:p w14:paraId="0EE78E93" w14:textId="77777777" w:rsidR="009F4F6E" w:rsidRDefault="009F4F6E" w:rsidP="009F4F6E">
      <w:pPr>
        <w:pStyle w:val="FootnoteText"/>
      </w:pPr>
      <w:r>
        <w:rPr>
          <w:rStyle w:val="FootnoteReference"/>
        </w:rPr>
        <w:footnoteRef/>
      </w:r>
      <w:r>
        <w:t xml:space="preserve"> </w:t>
      </w:r>
      <w:r>
        <w:tab/>
      </w:r>
      <w:r w:rsidRPr="00120B09">
        <w:rPr>
          <w:i/>
          <w:iCs/>
        </w:rPr>
        <w:t>R v Shaheed</w:t>
      </w:r>
      <w:r w:rsidRPr="00120B09">
        <w:t xml:space="preserve"> [2002] 2 NZLR 377 (CA) at</w:t>
      </w:r>
      <w:r>
        <w:t xml:space="preserve"> [156] per Blanchard J (</w:t>
      </w:r>
      <w:r w:rsidRPr="00120B09">
        <w:t xml:space="preserve">giving the judgment of Richardson P, Blanchard and Tipping JJ). </w:t>
      </w:r>
      <w:r>
        <w:t>See also per</w:t>
      </w:r>
      <w:r w:rsidRPr="00120B09">
        <w:t xml:space="preserve"> Gault J (at [172]), McGrath J (at [192]) and Anderson J (at [200]–[201]).</w:t>
      </w:r>
      <w:r>
        <w:t xml:space="preserve"> Elias CJ dissented.</w:t>
      </w:r>
    </w:p>
  </w:footnote>
  <w:footnote w:id="480">
    <w:p w14:paraId="645558BE"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[142]–[143]</w:t>
      </w:r>
      <w:r>
        <w:t xml:space="preserve"> per Blanchard J</w:t>
      </w:r>
      <w:r w:rsidRPr="00120B09">
        <w:t xml:space="preserve">. </w:t>
      </w:r>
    </w:p>
  </w:footnote>
  <w:footnote w:id="481">
    <w:p w14:paraId="393A6BD5" w14:textId="6581ABE3" w:rsidR="009F4F6E" w:rsidRPr="00120B09" w:rsidRDefault="009F4F6E" w:rsidP="009F4F6E">
      <w:pPr>
        <w:pStyle w:val="FootnoteText"/>
      </w:pPr>
      <w:r w:rsidRPr="00120B09">
        <w:rPr>
          <w:rStyle w:val="FootnoteReference"/>
        </w:rPr>
        <w:footnoteRef/>
      </w:r>
      <w:r w:rsidRPr="00120B09">
        <w:t xml:space="preserve"> </w:t>
      </w:r>
      <w:r w:rsidRPr="00120B09">
        <w:tab/>
      </w:r>
      <w:r w:rsidR="00960571" w:rsidRPr="00AA09E2">
        <w:t>Cabinet Paper "Evidence Bill: Paper 2: Admissibility of Evidence" (</w:t>
      </w:r>
      <w:r w:rsidR="00F91B48" w:rsidRPr="00F91B48">
        <w:t>4 December 2002</w:t>
      </w:r>
      <w:r w:rsidR="00960571" w:rsidRPr="00AA09E2">
        <w:t>)</w:t>
      </w:r>
      <w:r w:rsidR="00960571" w:rsidRPr="00334C57">
        <w:t xml:space="preserve"> </w:t>
      </w:r>
      <w:r w:rsidRPr="00120B09">
        <w:t>at [29]; Joanna Davidson (Crown Counsel) to the Attorney-General “Legal Advice – Consistency with the New Zealand Bill of Rights Act 1990: Evidence Bill” (5 April 2005)</w:t>
      </w:r>
      <w:r w:rsidR="003F4D65">
        <w:t>.</w:t>
      </w:r>
    </w:p>
  </w:footnote>
  <w:footnote w:id="482">
    <w:p w14:paraId="1147990F" w14:textId="4582C225" w:rsidR="009F4F6E" w:rsidRPr="00120B09" w:rsidRDefault="009F4F6E" w:rsidP="009F4F6E">
      <w:pPr>
        <w:pStyle w:val="FootnoteText"/>
      </w:pPr>
      <w:r w:rsidRPr="00120B09">
        <w:rPr>
          <w:rStyle w:val="FootnoteReference"/>
        </w:rPr>
        <w:footnoteRef/>
      </w:r>
      <w:r w:rsidRPr="00120B09">
        <w:t xml:space="preserve"> </w:t>
      </w:r>
      <w:r w:rsidRPr="00120B09">
        <w:tab/>
      </w:r>
      <w:r w:rsidR="005400C9">
        <w:t>Evidence Act 2006, s</w:t>
      </w:r>
      <w:r w:rsidRPr="00120B09">
        <w:t xml:space="preserve"> 30(5</w:t>
      </w:r>
      <w:r w:rsidRPr="002A1D20">
        <w:t xml:space="preserve">); Te Aka Matua o te Ture | Law Commission </w:t>
      </w:r>
      <w:r w:rsidRPr="002A1D20">
        <w:rPr>
          <w:i/>
          <w:iCs/>
        </w:rPr>
        <w:t xml:space="preserve">Evidence: Evidence Code and Commentary </w:t>
      </w:r>
      <w:r w:rsidRPr="002A1D20">
        <w:t>(NZLC R55 Vol 2, 1999) at 86.</w:t>
      </w:r>
      <w:r>
        <w:t xml:space="preserve"> </w:t>
      </w:r>
    </w:p>
  </w:footnote>
  <w:footnote w:id="483">
    <w:p w14:paraId="02C77D4A"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For a general discussion of these three rationales, see Paul Roberts </w:t>
      </w:r>
      <w:r w:rsidRPr="00120B09">
        <w:rPr>
          <w:i/>
          <w:iCs/>
        </w:rPr>
        <w:t xml:space="preserve">Roberts &amp; Zuckerman’s Criminal Evidence </w:t>
      </w:r>
      <w:r w:rsidRPr="00120B09">
        <w:t>(3rd ed, Oxford University Press, Oxford, 2022) at [5.3(B)–(D)].</w:t>
      </w:r>
    </w:p>
  </w:footnote>
  <w:footnote w:id="484">
    <w:p w14:paraId="3A1E3322" w14:textId="77777777" w:rsidR="009F4F6E" w:rsidRPr="00120B09" w:rsidRDefault="009F4F6E" w:rsidP="009F4F6E">
      <w:pPr>
        <w:pStyle w:val="FootnoteText"/>
      </w:pPr>
      <w:r w:rsidRPr="00120B09">
        <w:rPr>
          <w:rStyle w:val="FootnoteReference"/>
        </w:rPr>
        <w:footnoteRef/>
      </w:r>
      <w:r w:rsidRPr="00120B09">
        <w:t xml:space="preserve"> </w:t>
      </w:r>
      <w:r w:rsidRPr="00120B09">
        <w:tab/>
        <w:t>Sabine</w:t>
      </w:r>
      <w:r w:rsidRPr="00120B09">
        <w:rPr>
          <w:rFonts w:ascii="Calibri" w:hAnsi="Calibri" w:cs="Calibri"/>
        </w:rPr>
        <w:t> </w:t>
      </w:r>
      <w:r w:rsidRPr="00120B09">
        <w:t>Gless and Thomas</w:t>
      </w:r>
      <w:r w:rsidRPr="00120B09">
        <w:rPr>
          <w:rFonts w:ascii="Calibri" w:hAnsi="Calibri" w:cs="Calibri"/>
        </w:rPr>
        <w:t> </w:t>
      </w:r>
      <w:r w:rsidRPr="00120B09">
        <w:t xml:space="preserve">Richter (eds) </w:t>
      </w:r>
      <w:r w:rsidRPr="00120B09">
        <w:rPr>
          <w:i/>
          <w:iCs/>
        </w:rPr>
        <w:t>Do Exclusionary Rules Ensure a Fair Trial? A Comparative Perspective on Evidentiary Rules</w:t>
      </w:r>
      <w:r w:rsidRPr="00120B09">
        <w:t xml:space="preserve"> (Springer International Publishing, 2019) at 279–280.</w:t>
      </w:r>
    </w:p>
  </w:footnote>
  <w:footnote w:id="485">
    <w:p w14:paraId="339C827C"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A rights-based rationale for exclusion was advanced by Andrew Ashworth “Excluding Evidence as Protecting Rights” [1977] Crim L Rev 723. See more recently the discussion in Dimitrios Giannoupolous </w:t>
      </w:r>
      <w:r w:rsidRPr="00120B09">
        <w:rPr>
          <w:i/>
          <w:iCs/>
        </w:rPr>
        <w:t>Improperly obtained evidence in Anglo-American and Continental Law</w:t>
      </w:r>
      <w:r w:rsidRPr="00120B09">
        <w:t xml:space="preserve"> (Hart Publishing, Oxford, 2019) at 211–223.</w:t>
      </w:r>
    </w:p>
  </w:footnote>
  <w:footnote w:id="486">
    <w:p w14:paraId="1646A571"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lang w:eastAsia="en-AU"/>
        </w:rPr>
        <w:t xml:space="preserve">The key difference between these two approaches is that compensation focuses on the individual affected, while vindication also recognises the public interest in ensuring rights are protected in a broader sense. See </w:t>
      </w:r>
      <w:r w:rsidRPr="00120B09">
        <w:t>Mike Madden “A Model Rule for Excluding Improperly or Unconstitutionally Obtained Evidence” (2015) 33:2 Berkeley Journal of International Law 442 at 453–455.</w:t>
      </w:r>
    </w:p>
  </w:footnote>
  <w:footnote w:id="487">
    <w:p w14:paraId="2F45A416" w14:textId="77777777" w:rsidR="009F4F6E" w:rsidRPr="00120B09" w:rsidRDefault="009F4F6E" w:rsidP="009F4F6E">
      <w:pPr>
        <w:pStyle w:val="FootnoteText"/>
      </w:pPr>
      <w:r w:rsidRPr="00120B09">
        <w:rPr>
          <w:rStyle w:val="FootnoteReference"/>
        </w:rPr>
        <w:footnoteRef/>
      </w:r>
      <w:r w:rsidRPr="00120B09">
        <w:t xml:space="preserve"> </w:t>
      </w:r>
      <w:r w:rsidRPr="00120B09">
        <w:tab/>
        <w:t>See, for example, Andrew Choo “Improperly Obtained Evidence: A Reconsideration” (1989) 9 Legal Stud 261 at 271–272.</w:t>
      </w:r>
    </w:p>
  </w:footnote>
  <w:footnote w:id="488">
    <w:p w14:paraId="1DB4B723"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See the discussion in Dimitrios Giannoupolous </w:t>
      </w:r>
      <w:r w:rsidRPr="00120B09">
        <w:rPr>
          <w:i/>
          <w:iCs/>
        </w:rPr>
        <w:t>Improperly obtained evidence in Anglo-American and Continental Law</w:t>
      </w:r>
      <w:r w:rsidRPr="00120B09">
        <w:t xml:space="preserve"> (Hart Publishing, Oxford, 2019) at 208–211</w:t>
      </w:r>
      <w:r>
        <w:t>.</w:t>
      </w:r>
    </w:p>
  </w:footnote>
  <w:footnote w:id="489">
    <w:p w14:paraId="38E276B5"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Andrew Choo “Improperly Obtained Evidence: A Reconsideration” (1989) 9 Legal Stud 261 at 278; </w:t>
      </w:r>
      <w:r w:rsidRPr="00120B09">
        <w:rPr>
          <w:i/>
          <w:iCs/>
        </w:rPr>
        <w:t>R v Shaheed</w:t>
      </w:r>
      <w:r w:rsidRPr="00120B09">
        <w:t xml:space="preserve"> [2002] 2 NZLR 377 (CA)</w:t>
      </w:r>
      <w:r w:rsidRPr="00120B09">
        <w:rPr>
          <w:i/>
          <w:iCs/>
        </w:rPr>
        <w:t xml:space="preserve"> </w:t>
      </w:r>
      <w:r w:rsidRPr="00120B09">
        <w:t>at [143].</w:t>
      </w:r>
    </w:p>
  </w:footnote>
  <w:footnote w:id="490">
    <w:p w14:paraId="62F0D20C"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lang w:eastAsia="en-AU"/>
        </w:rPr>
        <w:t>R v Grant</w:t>
      </w:r>
      <w:r w:rsidRPr="00120B09">
        <w:rPr>
          <w:lang w:eastAsia="en-AU"/>
        </w:rPr>
        <w:t xml:space="preserve"> [2009] SCC 32 at [76]; </w:t>
      </w:r>
      <w:r w:rsidRPr="00120B09">
        <w:rPr>
          <w:i/>
          <w:iCs/>
        </w:rPr>
        <w:t>Hamed v R</w:t>
      </w:r>
      <w:r w:rsidRPr="00120B09">
        <w:t xml:space="preserve"> [2011] NZSC 101, [2012] 2 NZLR 305 </w:t>
      </w:r>
      <w:r w:rsidRPr="00120B09">
        <w:rPr>
          <w:lang w:eastAsia="en-AU"/>
        </w:rPr>
        <w:t>at [62] per Elias CJ.</w:t>
      </w:r>
    </w:p>
  </w:footnote>
  <w:footnote w:id="491">
    <w:p w14:paraId="4BB6FD76" w14:textId="4895EAF2" w:rsidR="009F4F6E" w:rsidRPr="00120B09" w:rsidRDefault="009F4F6E" w:rsidP="009F4F6E">
      <w:pPr>
        <w:pStyle w:val="FootnoteText"/>
      </w:pPr>
      <w:r w:rsidRPr="00120B09">
        <w:rPr>
          <w:rStyle w:val="FootnoteReference"/>
        </w:rPr>
        <w:footnoteRef/>
      </w:r>
      <w:r w:rsidRPr="00120B09">
        <w:t xml:space="preserve"> </w:t>
      </w:r>
      <w:r w:rsidRPr="00120B09">
        <w:tab/>
        <w:t>For further discussion of arguments against exclusion</w:t>
      </w:r>
      <w:r w:rsidR="003747D0">
        <w:t>,</w:t>
      </w:r>
      <w:r w:rsidRPr="00120B09">
        <w:t xml:space="preserve"> see Andrew Choo “Improperly Obtained Evidence: A Reconsideration” (1989) 9 Legal Stud 261 at 265–266; Mike Madden “A Model Rule for Excluding Improperly or Unconstitutionally Obtained Evidence” (2015) 33:2 Berkeley Journal of International Law 442 at 455–457; </w:t>
      </w:r>
      <w:r w:rsidRPr="00120B09">
        <w:rPr>
          <w:i/>
          <w:iCs/>
        </w:rPr>
        <w:t>R v Shaheed</w:t>
      </w:r>
      <w:r w:rsidRPr="00120B09">
        <w:t xml:space="preserve"> [2002] 2 NZLR 377 (CA)</w:t>
      </w:r>
      <w:r w:rsidRPr="00120B09">
        <w:rPr>
          <w:i/>
          <w:iCs/>
        </w:rPr>
        <w:t xml:space="preserve"> </w:t>
      </w:r>
      <w:r w:rsidRPr="00120B09">
        <w:t>at [143].</w:t>
      </w:r>
    </w:p>
  </w:footnote>
  <w:footnote w:id="492">
    <w:p w14:paraId="46266F4F" w14:textId="32CC5093" w:rsidR="009F4F6E" w:rsidRDefault="009F4F6E" w:rsidP="009F4F6E">
      <w:pPr>
        <w:pStyle w:val="FootnoteText"/>
      </w:pPr>
      <w:r>
        <w:rPr>
          <w:rStyle w:val="FootnoteReference"/>
        </w:rPr>
        <w:footnoteRef/>
      </w:r>
      <w:r>
        <w:t xml:space="preserve"> </w:t>
      </w:r>
      <w:r>
        <w:tab/>
      </w:r>
      <w:r w:rsidRPr="00897B56">
        <w:rPr>
          <w:i/>
        </w:rPr>
        <w:t>R v Shaheed</w:t>
      </w:r>
      <w:r w:rsidRPr="00897B56">
        <w:t xml:space="preserve"> [2002] 2 NZLR 377 (CA) at [148] per Blanchard J for the majority. See also </w:t>
      </w:r>
      <w:r w:rsidRPr="00897B56">
        <w:rPr>
          <w:i/>
        </w:rPr>
        <w:t>Hamed v R</w:t>
      </w:r>
      <w:r w:rsidRPr="00897B56">
        <w:t xml:space="preserve"> [2011] NZSC 101, [2012] 2 NZLR 305 at [187] per Blanchard J and [230] per Tipping J. As noted above, the Government’s approach in drafting </w:t>
      </w:r>
      <w:r w:rsidR="00D8628A">
        <w:t>s</w:t>
      </w:r>
      <w:r w:rsidRPr="00897B56">
        <w:t xml:space="preserve"> 30 was to generally reflect the approach in </w:t>
      </w:r>
      <w:r w:rsidRPr="00897B56">
        <w:rPr>
          <w:i/>
          <w:iCs/>
        </w:rPr>
        <w:t>Shaheed.</w:t>
      </w:r>
    </w:p>
  </w:footnote>
  <w:footnote w:id="493">
    <w:p w14:paraId="4B890290"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[148].</w:t>
      </w:r>
    </w:p>
  </w:footnote>
  <w:footnote w:id="494">
    <w:p w14:paraId="6234387C"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[142]–[143] per Blanchard J for the majority.</w:t>
      </w:r>
    </w:p>
  </w:footnote>
  <w:footnote w:id="495">
    <w:p w14:paraId="0867D5A7" w14:textId="08E1C53A" w:rsidR="009F4F6E" w:rsidRPr="00120B09" w:rsidRDefault="009F4F6E" w:rsidP="009F4F6E">
      <w:pPr>
        <w:pStyle w:val="FootnoteText"/>
      </w:pPr>
      <w:r w:rsidRPr="00120B09">
        <w:rPr>
          <w:rStyle w:val="FootnoteReference"/>
        </w:rPr>
        <w:footnoteRef/>
      </w:r>
      <w:r w:rsidRPr="00120B09">
        <w:t xml:space="preserve"> </w:t>
      </w:r>
      <w:r w:rsidRPr="00120B09">
        <w:tab/>
      </w:r>
      <w:r w:rsidR="005400C9">
        <w:t>Evidence Act 2006, s</w:t>
      </w:r>
      <w:r w:rsidRPr="00120B09">
        <w:t xml:space="preserve"> 30(3)(a) and (b).</w:t>
      </w:r>
    </w:p>
  </w:footnote>
  <w:footnote w:id="496">
    <w:p w14:paraId="127C0AAA" w14:textId="047A728A"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Toki</w:t>
      </w:r>
      <w:r w:rsidRPr="00120B09">
        <w:t xml:space="preserve"> [2017] NZCA 513, [2018] 2 NZLR 362 at [28].</w:t>
      </w:r>
      <w:r>
        <w:t xml:space="preserve"> See also </w:t>
      </w:r>
      <w:r w:rsidRPr="00B2653D">
        <w:rPr>
          <w:i/>
          <w:iCs/>
        </w:rPr>
        <w:t>Hamed v R</w:t>
      </w:r>
      <w:r w:rsidRPr="00947B62">
        <w:t xml:space="preserve"> [2011] NZSC 101, [2012] 2 NZLR 305</w:t>
      </w:r>
      <w:r>
        <w:t xml:space="preserve"> at [66] per Elias CJ and at [191] per Blanchard J.</w:t>
      </w:r>
    </w:p>
  </w:footnote>
  <w:footnote w:id="497">
    <w:p w14:paraId="3BB1C891" w14:textId="77777777" w:rsidR="009F4F6E" w:rsidRDefault="009F4F6E" w:rsidP="009F4F6E">
      <w:pPr>
        <w:pStyle w:val="FootnoteText"/>
      </w:pPr>
      <w:r>
        <w:rPr>
          <w:rStyle w:val="FootnoteReference"/>
        </w:rPr>
        <w:footnoteRef/>
      </w:r>
      <w:r>
        <w:t xml:space="preserve"> </w:t>
      </w:r>
      <w:r>
        <w:tab/>
        <w:t>This is similar to the approach in Australia, where the judicial integrity rationale is recognised as the primary basis for the exclusionary rule but deterrence and rights protection remain relevant: see the Hon T F Bathurst, Chief Justice of New South Wales “Illegally or improperly obtained evidence: in defence of Australia’s discretionary approach” Evidence Act CPD seminar, University of New South Wales Law School, Sydney, 2 March 2016) at [62].</w:t>
      </w:r>
    </w:p>
  </w:footnote>
  <w:footnote w:id="498">
    <w:p w14:paraId="2E682DFB"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 xml:space="preserve">Young v R </w:t>
      </w:r>
      <w:r w:rsidRPr="00120B09">
        <w:t xml:space="preserve">[2016] NZCA 107 at [25] and </w:t>
      </w:r>
      <w:r w:rsidRPr="00120B09">
        <w:rPr>
          <w:i/>
          <w:iCs/>
        </w:rPr>
        <w:t xml:space="preserve">Rihia v R </w:t>
      </w:r>
      <w:r w:rsidRPr="00120B09">
        <w:t>[2016] NZCA 200 at [31].</w:t>
      </w:r>
    </w:p>
  </w:footnote>
  <w:footnote w:id="499">
    <w:p w14:paraId="6DB8BEB6" w14:textId="7AFACA07"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R v Toki</w:t>
      </w:r>
      <w:r w:rsidRPr="00120B09">
        <w:t xml:space="preserve"> [2017] NZCA 513, [2018] 2 NZLR 362 at [26], citing </w:t>
      </w:r>
      <w:r w:rsidRPr="00120B09">
        <w:rPr>
          <w:i/>
          <w:iCs/>
        </w:rPr>
        <w:t>R v Hoare</w:t>
      </w:r>
      <w:r w:rsidRPr="00120B09">
        <w:t xml:space="preserve"> CA310/04, 21 April 2005 at [42] with apparent approval (“To allow evidence to be given in circumstances where the rules are broken will not encourage adequate training of and appreciation by Police officers of the constraints on them and of the rights of suspects</w:t>
      </w:r>
      <w:r w:rsidR="004E53B8">
        <w:t>”</w:t>
      </w:r>
      <w:r w:rsidR="00D8628A">
        <w:t>).</w:t>
      </w:r>
    </w:p>
  </w:footnote>
  <w:footnote w:id="500">
    <w:p w14:paraId="637945B9" w14:textId="7BF0D5DA" w:rsidR="009F4F6E" w:rsidRPr="001D624D" w:rsidRDefault="009F4F6E" w:rsidP="009F4F6E">
      <w:pPr>
        <w:pStyle w:val="FootnoteText"/>
      </w:pPr>
      <w:r w:rsidRPr="00120B09">
        <w:rPr>
          <w:rStyle w:val="FootnoteReference"/>
        </w:rPr>
        <w:footnoteRef/>
      </w:r>
      <w:r w:rsidRPr="00120B09">
        <w:t xml:space="preserve"> </w:t>
      </w:r>
      <w:r w:rsidRPr="00120B09">
        <w:tab/>
      </w:r>
      <w:r w:rsidR="00DE448B">
        <w:t>This</w:t>
      </w:r>
      <w:r>
        <w:t xml:space="preserve"> case remains subject to publication restrictions until final disposition of trial.</w:t>
      </w:r>
    </w:p>
  </w:footnote>
  <w:footnote w:id="501">
    <w:p w14:paraId="3E74C2EB"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 xml:space="preserve">R v Williams </w:t>
      </w:r>
      <w:r w:rsidRPr="00120B09">
        <w:t>[2007] NZCA 52, [2007] 3 NZLR 207 at [147].</w:t>
      </w:r>
    </w:p>
  </w:footnote>
  <w:footnote w:id="502">
    <w:p w14:paraId="20667CC0"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 xml:space="preserve">R v Williams </w:t>
      </w:r>
      <w:r w:rsidRPr="00120B09">
        <w:t>[2007] NZCA 52, [2007] 3 NZLR 207 at [150].</w:t>
      </w:r>
    </w:p>
  </w:footnote>
  <w:footnote w:id="503">
    <w:p w14:paraId="16CCA140"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 xml:space="preserve">R v Williams </w:t>
      </w:r>
      <w:r w:rsidRPr="00120B09">
        <w:t>[2007] NZCA 52, [2007] 3 NZLR 207 at [134].</w:t>
      </w:r>
    </w:p>
  </w:footnote>
  <w:footnote w:id="504">
    <w:p w14:paraId="4352E360" w14:textId="77777777" w:rsidR="009F4F6E" w:rsidRPr="00120B09" w:rsidRDefault="009F4F6E" w:rsidP="009F4F6E">
      <w:pPr>
        <w:pStyle w:val="FootnoteText"/>
      </w:pPr>
      <w:r w:rsidRPr="00120B09">
        <w:rPr>
          <w:rStyle w:val="FootnoteReference"/>
        </w:rPr>
        <w:footnoteRef/>
      </w:r>
      <w:r w:rsidRPr="00120B09">
        <w:t xml:space="preserve"> </w:t>
      </w:r>
      <w:r w:rsidRPr="00120B09">
        <w:tab/>
        <w:t>Such as police misconduct (including recklessness) (</w:t>
      </w:r>
      <w:r w:rsidRPr="00120B09">
        <w:rPr>
          <w:i/>
          <w:iCs/>
          <w:lang w:eastAsia="en-AU"/>
        </w:rPr>
        <w:t xml:space="preserve">R v Williams </w:t>
      </w:r>
      <w:r w:rsidRPr="00120B09">
        <w:t xml:space="preserve">[2007] NZCA 52, </w:t>
      </w:r>
      <w:r w:rsidRPr="00120B09">
        <w:rPr>
          <w:lang w:eastAsia="en-AU"/>
        </w:rPr>
        <w:t>[2007] 3 NZLR 207 a</w:t>
      </w:r>
      <w:r w:rsidRPr="00120B09">
        <w:t>t [119]–[120]).</w:t>
      </w:r>
    </w:p>
  </w:footnote>
  <w:footnote w:id="505">
    <w:p w14:paraId="5DE9AC85" w14:textId="77777777" w:rsidR="009F4F6E" w:rsidRPr="00120B09" w:rsidRDefault="009F4F6E" w:rsidP="009F4F6E">
      <w:pPr>
        <w:pStyle w:val="FootnoteText"/>
      </w:pPr>
      <w:r w:rsidRPr="00120B09">
        <w:rPr>
          <w:rStyle w:val="FootnoteReference"/>
        </w:rPr>
        <w:footnoteRef/>
      </w:r>
      <w:r w:rsidRPr="00120B09">
        <w:t xml:space="preserve"> </w:t>
      </w:r>
      <w:r w:rsidRPr="00120B09">
        <w:tab/>
        <w:t>Such as urgency (</w:t>
      </w:r>
      <w:r w:rsidRPr="000C45C2">
        <w:rPr>
          <w:i/>
        </w:rPr>
        <w:t>R v Williams</w:t>
      </w:r>
      <w:r w:rsidRPr="00120B09">
        <w:t xml:space="preserve"> [2007] NZCA 52, [2007] 3 NZLR 207 at [123]).</w:t>
      </w:r>
    </w:p>
  </w:footnote>
  <w:footnote w:id="506">
    <w:p w14:paraId="688C5191" w14:textId="77777777" w:rsidR="009F4F6E" w:rsidRPr="00120B09" w:rsidRDefault="009F4F6E" w:rsidP="009F4F6E">
      <w:pPr>
        <w:pStyle w:val="FootnoteText"/>
      </w:pPr>
      <w:r w:rsidRPr="00120B09">
        <w:rPr>
          <w:rStyle w:val="FootnoteReference"/>
        </w:rPr>
        <w:footnoteRef/>
      </w:r>
      <w:r w:rsidRPr="00120B09">
        <w:t xml:space="preserve"> </w:t>
      </w:r>
      <w:r w:rsidRPr="00120B09">
        <w:tab/>
        <w:t>For example, the seriousness of the offence and the nature and quality of the evidence (R v Williams [2007] NZCA 52, [2007] 3 NZLR 207 at [134]).</w:t>
      </w:r>
    </w:p>
  </w:footnote>
  <w:footnote w:id="507">
    <w:p w14:paraId="6A220D0D"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Hamed v R</w:t>
      </w:r>
      <w:r w:rsidRPr="00120B09">
        <w:t xml:space="preserve"> [2011] NZSC 101, [2012] 2 NZLR 305.</w:t>
      </w:r>
    </w:p>
  </w:footnote>
  <w:footnote w:id="508">
    <w:p w14:paraId="375BA2B6"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Hamed v R</w:t>
      </w:r>
      <w:r w:rsidRPr="00120B09">
        <w:t xml:space="preserve"> [2011] NZSC 101, [2012] 2 NZLR 305 at [59] per Elias CJ; at [189] per Blanchard J; at [230] per Tipping J (suggesting the seriousness of the offence “is apt to cut both ways”); and at [282] per Gault J.</w:t>
      </w:r>
    </w:p>
  </w:footnote>
  <w:footnote w:id="509">
    <w:p w14:paraId="517DE4AD"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Hamed v R</w:t>
      </w:r>
      <w:r w:rsidRPr="00120B09">
        <w:t xml:space="preserve"> [2011] NZSC 101, [2012] 2 NZLR 305 at [282].</w:t>
      </w:r>
    </w:p>
  </w:footnote>
  <w:footnote w:id="510">
    <w:p w14:paraId="65BAA267" w14:textId="77777777" w:rsidR="009F4F6E" w:rsidRDefault="009F4F6E" w:rsidP="009F4F6E">
      <w:pPr>
        <w:pStyle w:val="FootnoteText"/>
      </w:pPr>
      <w:r>
        <w:rPr>
          <w:rStyle w:val="FootnoteReference"/>
        </w:rPr>
        <w:footnoteRef/>
      </w:r>
      <w:r>
        <w:t xml:space="preserve"> </w:t>
      </w:r>
      <w:r>
        <w:tab/>
      </w:r>
      <w:r w:rsidRPr="000A7ED5">
        <w:rPr>
          <w:i/>
        </w:rPr>
        <w:t>Hamed v R</w:t>
      </w:r>
      <w:r w:rsidRPr="000A7ED5">
        <w:t xml:space="preserve"> [2011] NZSC 101, [2012] 2 NZLR 305 at</w:t>
      </w:r>
      <w:r>
        <w:t xml:space="preserve"> [207] per Blanchard J, at [280] per McGrath J and at [286] per Gault J.</w:t>
      </w:r>
    </w:p>
  </w:footnote>
  <w:footnote w:id="511">
    <w:p w14:paraId="43F5364A"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Hamed v R</w:t>
      </w:r>
      <w:r w:rsidRPr="00120B09">
        <w:t xml:space="preserve"> [2011] NZSC 101, [2012] 2 NZLR </w:t>
      </w:r>
      <w:r w:rsidRPr="0031553C">
        <w:t>305 at [72] per Elias CJ, at [203] per Blanchard J, at [252] per Tipping J and at [278] per McGrath J.</w:t>
      </w:r>
    </w:p>
  </w:footnote>
  <w:footnote w:id="512">
    <w:p w14:paraId="31308BCD" w14:textId="77777777" w:rsidR="009F4F6E" w:rsidRPr="00120B09" w:rsidRDefault="009F4F6E" w:rsidP="009F4F6E">
      <w:pPr>
        <w:pStyle w:val="FootnoteText"/>
        <w:rPr>
          <w:iCs/>
        </w:rPr>
      </w:pPr>
      <w:r w:rsidRPr="00120B09">
        <w:rPr>
          <w:rStyle w:val="FootnoteReference"/>
        </w:rPr>
        <w:footnoteRef/>
      </w:r>
      <w:r w:rsidRPr="00120B09">
        <w:t xml:space="preserve"> </w:t>
      </w:r>
      <w:r w:rsidRPr="00120B09">
        <w:tab/>
        <w:t xml:space="preserve">See the discussion in </w:t>
      </w:r>
      <w:r w:rsidRPr="00120B09">
        <w:rPr>
          <w:i/>
          <w:iCs/>
        </w:rPr>
        <w:t>Underwood v R</w:t>
      </w:r>
      <w:r w:rsidRPr="00120B09">
        <w:t xml:space="preserve"> [2016] NZCA 312, [2017] 2 NZLR 433 at [15]–[18], noting that the judgments in </w:t>
      </w:r>
      <w:r w:rsidRPr="00120B09">
        <w:rPr>
          <w:i/>
          <w:iCs/>
        </w:rPr>
        <w:t xml:space="preserve">Hamed </w:t>
      </w:r>
      <w:r w:rsidRPr="00120B09">
        <w:rPr>
          <w:iCs/>
        </w:rPr>
        <w:t>favoured discretion over a structured approach.</w:t>
      </w:r>
    </w:p>
  </w:footnote>
  <w:footnote w:id="513">
    <w:p w14:paraId="2E7005ED" w14:textId="77777777" w:rsidR="009F4F6E" w:rsidRPr="00120B09" w:rsidRDefault="009F4F6E" w:rsidP="009F4F6E">
      <w:pPr>
        <w:pStyle w:val="FootnoteText"/>
      </w:pPr>
      <w:r w:rsidRPr="00120B09">
        <w:rPr>
          <w:rStyle w:val="FootnoteReference"/>
        </w:rPr>
        <w:footnoteRef/>
      </w:r>
      <w:r w:rsidRPr="00120B09">
        <w:t xml:space="preserve"> </w:t>
      </w:r>
      <w:r w:rsidRPr="00120B09">
        <w:tab/>
        <w:t>As at 14 February 2023, a Lexis Advance search for appellate court cases citing s 30 returned 484 results in the Court of Appeal and 57 results in the Supreme Court (including decisions on applications for leave to appeal). The High Court also considers appeals from District Court decisions, but in a case search it is difficult to separate these from first instance High Court decisions. A search of High Court decisions returned 506 results.</w:t>
      </w:r>
    </w:p>
  </w:footnote>
  <w:footnote w:id="514">
    <w:p w14:paraId="1AA00F65"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For example, </w:t>
      </w:r>
      <w:r w:rsidRPr="00120B09">
        <w:rPr>
          <w:i/>
          <w:iCs/>
        </w:rPr>
        <w:t>Hamed v R</w:t>
      </w:r>
      <w:r w:rsidRPr="00120B09">
        <w:t xml:space="preserve"> [2011] NZSC 101, [2012] 2 NZLR 305, </w:t>
      </w:r>
      <w:r w:rsidRPr="00120B09">
        <w:rPr>
          <w:i/>
          <w:iCs/>
        </w:rPr>
        <w:t>R v Chetty</w:t>
      </w:r>
      <w:r w:rsidRPr="00120B09">
        <w:t xml:space="preserve"> [2016] NZSC 68, [2018] 1 NZLR 26;</w:t>
      </w:r>
      <w:r w:rsidRPr="00120B09">
        <w:rPr>
          <w:i/>
          <w:iCs/>
        </w:rPr>
        <w:t xml:space="preserve"> R v Perry </w:t>
      </w:r>
      <w:r w:rsidRPr="00120B09">
        <w:t xml:space="preserve">[2016] NZSC 102; </w:t>
      </w:r>
      <w:r w:rsidRPr="00120B09">
        <w:rPr>
          <w:i/>
          <w:iCs/>
        </w:rPr>
        <w:t>R v Alsford</w:t>
      </w:r>
      <w:r w:rsidRPr="00120B09">
        <w:t xml:space="preserve"> [2017] NZSC 42, [2017] 1 NZLR 710; </w:t>
      </w:r>
      <w:r w:rsidRPr="00120B09">
        <w:rPr>
          <w:i/>
          <w:iCs/>
        </w:rPr>
        <w:t xml:space="preserve">Kalekale v R </w:t>
      </w:r>
      <w:r w:rsidRPr="00120B09">
        <w:t xml:space="preserve">[2016] NZCA 259; </w:t>
      </w:r>
      <w:r w:rsidRPr="00120B09">
        <w:rPr>
          <w:i/>
          <w:iCs/>
        </w:rPr>
        <w:t>W v R</w:t>
      </w:r>
      <w:r w:rsidRPr="00120B09">
        <w:t xml:space="preserve"> [2019] NZCA 558.</w:t>
      </w:r>
      <w:r>
        <w:t xml:space="preserve"> The Supreme Court was also split 3:2 on the admissibility of improperly obtained evidence in another case from 2020 that remains subject to publication restrictions until final disposition of trial.</w:t>
      </w:r>
    </w:p>
  </w:footnote>
  <w:footnote w:id="515">
    <w:p w14:paraId="097B554F"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As at 14 February 2023, a Lexis Advance search for cases citing s 30 returned 1,225 results. These results do not include many District Court decisions. </w:t>
      </w:r>
    </w:p>
  </w:footnote>
  <w:footnote w:id="516">
    <w:p w14:paraId="5B847357" w14:textId="77777777" w:rsidR="009F4F6E" w:rsidRPr="00ED5013" w:rsidRDefault="009F4F6E" w:rsidP="009F4F6E">
      <w:pPr>
        <w:pStyle w:val="FootnoteText"/>
        <w:rPr>
          <w:b/>
          <w:bCs/>
          <w:i/>
          <w:iCs/>
        </w:rPr>
      </w:pPr>
      <w:r w:rsidRPr="00120B09">
        <w:rPr>
          <w:rStyle w:val="FootnoteReference"/>
        </w:rPr>
        <w:footnoteRef/>
      </w:r>
      <w:r w:rsidRPr="00120B09">
        <w:t xml:space="preserve"> </w:t>
      </w:r>
      <w:r w:rsidRPr="00120B09">
        <w:tab/>
        <w:t>This review was limited to cases available on LexisNexis, Westlaw and Capital Letter databases. First instance and appeal decisions were reviewed.</w:t>
      </w:r>
    </w:p>
  </w:footnote>
  <w:footnote w:id="517">
    <w:p w14:paraId="0349C0ED" w14:textId="57AAF1FF" w:rsidR="009F4F6E" w:rsidRPr="00120B09" w:rsidRDefault="009F4F6E" w:rsidP="009F4F6E">
      <w:pPr>
        <w:pStyle w:val="FootnoteText"/>
      </w:pPr>
      <w:r w:rsidRPr="00120B09">
        <w:rPr>
          <w:rStyle w:val="FootnoteReference"/>
        </w:rPr>
        <w:footnoteRef/>
      </w:r>
      <w:r w:rsidRPr="00120B09">
        <w:t xml:space="preserve"> </w:t>
      </w:r>
      <w:r w:rsidRPr="00120B09">
        <w:tab/>
        <w:t xml:space="preserve">In an additional 26 cases, the evidence was found not to be improperly obtained but the </w:t>
      </w:r>
      <w:r w:rsidR="00D8628A">
        <w:t>s</w:t>
      </w:r>
      <w:r w:rsidRPr="00120B09">
        <w:t xml:space="preserve"> 30 balancing exercise was conducted in case that conclusion was wrong. In all of those 26 cases, the evidence would have been admitted under </w:t>
      </w:r>
      <w:r w:rsidR="00D8628A">
        <w:t>s</w:t>
      </w:r>
      <w:r w:rsidRPr="00120B09">
        <w:t xml:space="preserve"> 30. We have not included those cases in our analysis of factors, since the fact that the evidence was not considered to be improperly obtained is likely to have affected the analysis.</w:t>
      </w:r>
    </w:p>
  </w:footnote>
  <w:footnote w:id="518">
    <w:p w14:paraId="3F7B024A" w14:textId="77777777" w:rsidR="009F4F6E" w:rsidRPr="00120B09" w:rsidRDefault="009F4F6E" w:rsidP="009F4F6E">
      <w:pPr>
        <w:pStyle w:val="FootnoteText"/>
      </w:pPr>
      <w:r w:rsidRPr="00120B09">
        <w:rPr>
          <w:rStyle w:val="FootnoteReference"/>
        </w:rPr>
        <w:footnoteRef/>
      </w:r>
      <w:r w:rsidRPr="00120B09">
        <w:t xml:space="preserve"> </w:t>
      </w:r>
      <w:r w:rsidRPr="00120B09">
        <w:tab/>
        <w:t>One case (</w:t>
      </w:r>
      <w:r w:rsidRPr="00120B09">
        <w:rPr>
          <w:i/>
          <w:iCs/>
        </w:rPr>
        <w:t>Elley v New Zealand Police</w:t>
      </w:r>
      <w:r w:rsidRPr="00120B09">
        <w:t xml:space="preserve"> [2021] NZHC 2097) concerned the admissibility of both confession evidence and real evidence, so is counted in both categories.</w:t>
      </w:r>
    </w:p>
  </w:footnote>
  <w:footnote w:id="519">
    <w:p w14:paraId="6D13A195" w14:textId="2B86697E" w:rsidR="009F4F6E" w:rsidRPr="00120B09" w:rsidRDefault="009F4F6E" w:rsidP="009F4F6E">
      <w:pPr>
        <w:pStyle w:val="FootnoteText"/>
      </w:pPr>
      <w:r w:rsidRPr="00120B09">
        <w:rPr>
          <w:rStyle w:val="FootnoteReference"/>
        </w:rPr>
        <w:footnoteRef/>
      </w:r>
      <w:r w:rsidRPr="00120B09">
        <w:t xml:space="preserve"> </w:t>
      </w:r>
      <w:r w:rsidRPr="00120B09">
        <w:tab/>
        <w:t xml:space="preserve">This factor is not specified in </w:t>
      </w:r>
      <w:r w:rsidR="00D8628A">
        <w:t>s</w:t>
      </w:r>
      <w:r w:rsidRPr="00120B09">
        <w:t xml:space="preserve"> 30(3) but is commonly relied upon either under </w:t>
      </w:r>
      <w:r w:rsidR="00D8628A">
        <w:t>s</w:t>
      </w:r>
      <w:r w:rsidRPr="00120B09">
        <w:t xml:space="preserve"> 30(3)(c) (the nature and quality of the evidence) or as a separate factor.</w:t>
      </w:r>
    </w:p>
  </w:footnote>
  <w:footnote w:id="520">
    <w:p w14:paraId="252AB3A9" w14:textId="1A065C5D" w:rsidR="009F4F6E" w:rsidRPr="00120B09" w:rsidRDefault="009F4F6E" w:rsidP="009F4F6E">
      <w:pPr>
        <w:pStyle w:val="FootnoteText"/>
      </w:pPr>
      <w:r w:rsidRPr="00120B09">
        <w:rPr>
          <w:rStyle w:val="FootnoteReference"/>
        </w:rPr>
        <w:footnoteRef/>
      </w:r>
      <w:r w:rsidRPr="00120B09">
        <w:t xml:space="preserve"> </w:t>
      </w:r>
      <w:r w:rsidRPr="00120B09">
        <w:tab/>
        <w:t>Letter from Hon Kris Faafoi (Minister o</w:t>
      </w:r>
      <w:r w:rsidR="004A45E5">
        <w:t>f</w:t>
      </w:r>
      <w:r w:rsidRPr="00120B09">
        <w:t xml:space="preserve"> Justice) to Amokura Kawharu (Tumu Whakarae | President</w:t>
      </w:r>
      <w:r w:rsidR="00D85F7C">
        <w:t>,</w:t>
      </w:r>
      <w:r w:rsidRPr="00120B09">
        <w:t xml:space="preserve"> Te Aka Matua o te Ture | Law Commission) regarding the </w:t>
      </w:r>
      <w:r w:rsidR="004A45E5">
        <w:t>t</w:t>
      </w:r>
      <w:r w:rsidRPr="00120B09">
        <w:t>hird statutory review of the Evidence Act 2006 (23 February 2022).</w:t>
      </w:r>
    </w:p>
  </w:footnote>
  <w:footnote w:id="521">
    <w:p w14:paraId="723B2ED6" w14:textId="4E608AFB" w:rsidR="009F4F6E" w:rsidRPr="00120B09" w:rsidRDefault="009F4F6E" w:rsidP="009F4F6E">
      <w:pPr>
        <w:pStyle w:val="FootnoteText"/>
      </w:pPr>
      <w:r w:rsidRPr="00120B09">
        <w:rPr>
          <w:rStyle w:val="FootnoteReference"/>
        </w:rPr>
        <w:footnoteRef/>
      </w:r>
      <w:r w:rsidRPr="00120B09">
        <w:t xml:space="preserve"> </w:t>
      </w:r>
      <w:r w:rsidRPr="00120B09">
        <w:tab/>
        <w:t xml:space="preserve">Scott Optican “The Kiwi Way: New Zealand's Approach to the Exclusion in Criminal Trials of Evidence Improperly Obtained by the Police (2021) 24 New Crim L Rev 254 at 269; </w:t>
      </w:r>
      <w:r w:rsidRPr="00120B09">
        <w:rPr>
          <w:lang w:eastAsia="en-AU"/>
        </w:rPr>
        <w:t xml:space="preserve">Bernard Robertson “Student Companion – Evidence” [2020] NZLJ 99 at 99; Kent Roach “Reclaiming Prima Facie Exclusionary Rules in Canada, Ireland, New Zealand, and the United States: The Importance of Compensation, Proportionality, and Non-Repetition” (2020) 43(3) Manitoba Law Journal 1 at </w:t>
      </w:r>
      <w:r w:rsidRPr="00FD5138">
        <w:rPr>
          <w:lang w:eastAsia="en-AU"/>
        </w:rPr>
        <w:t xml:space="preserve">26; Dimitrios Giannoupolous </w:t>
      </w:r>
      <w:r w:rsidRPr="00FD5138">
        <w:rPr>
          <w:i/>
          <w:iCs/>
          <w:lang w:eastAsia="en-AU"/>
        </w:rPr>
        <w:t>Improperly obtained evidence in Anglo-American and Continental Law</w:t>
      </w:r>
      <w:r w:rsidRPr="00FD5138">
        <w:rPr>
          <w:lang w:eastAsia="en-AU"/>
        </w:rPr>
        <w:t xml:space="preserve"> (Hart Publishing, Oxford, 2019) </w:t>
      </w:r>
      <w:r w:rsidRPr="00FD5138">
        <w:t>at 240</w:t>
      </w:r>
      <w:r w:rsidRPr="00120B09">
        <w:t>–241; Bernard Robertson “Evidence” [2018] NZLJ 210 at 211; Nikita Mitskevitch and Tania Singh “W v R (CA597/2016) [2017] NZCA 522: A privacy dichotomy within the context of New Zealand’s human rights obligations and “seriousness” under s 30 of the Evidence Act” [2018] NZLJ 240 at 243</w:t>
      </w:r>
      <w:r w:rsidR="003E15E5">
        <w:t>.</w:t>
      </w:r>
    </w:p>
  </w:footnote>
  <w:footnote w:id="522">
    <w:p w14:paraId="6380BCC7" w14:textId="01CE6B66"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 xml:space="preserve">The 2013 </w:t>
      </w:r>
      <w:r w:rsidR="000774FC">
        <w:rPr>
          <w:i/>
          <w:iCs/>
        </w:rPr>
        <w:t>R</w:t>
      </w:r>
      <w:r w:rsidRPr="00120B09">
        <w:rPr>
          <w:i/>
          <w:iCs/>
        </w:rPr>
        <w:t>eview of the Evidence Act 2006</w:t>
      </w:r>
      <w:r w:rsidRPr="00120B09">
        <w:t xml:space="preserve"> (NZLC R127, 2013) at [4.6]–[4.7]. </w:t>
      </w:r>
    </w:p>
  </w:footnote>
  <w:footnote w:id="523">
    <w:p w14:paraId="5CD71401" w14:textId="5C0A74CF" w:rsidR="009F4F6E" w:rsidRPr="00120B09" w:rsidRDefault="009F4F6E" w:rsidP="009F4F6E">
      <w:pPr>
        <w:pStyle w:val="FootnoteText"/>
      </w:pPr>
      <w:r w:rsidRPr="00120B09">
        <w:rPr>
          <w:rStyle w:val="FootnoteReference"/>
          <w:color w:val="0D0D0D" w:themeColor="text1" w:themeTint="F2"/>
          <w:sz w:val="15"/>
        </w:rPr>
        <w:footnoteRef/>
      </w:r>
      <w:r w:rsidRPr="00120B09">
        <w:t xml:space="preserve"> </w:t>
      </w:r>
      <w:r w:rsidRPr="00120B09">
        <w:tab/>
        <w:t xml:space="preserve">Te Aka Matua o te Ture | Law Commission </w:t>
      </w:r>
      <w:r w:rsidRPr="00120B09">
        <w:rPr>
          <w:i/>
          <w:iCs/>
        </w:rPr>
        <w:t xml:space="preserve">The 2013 </w:t>
      </w:r>
      <w:r w:rsidR="000774FC">
        <w:rPr>
          <w:i/>
          <w:iCs/>
        </w:rPr>
        <w:t>R</w:t>
      </w:r>
      <w:r w:rsidRPr="00120B09">
        <w:rPr>
          <w:i/>
          <w:iCs/>
        </w:rPr>
        <w:t>eview of the Evidence Act 2006</w:t>
      </w:r>
      <w:r w:rsidRPr="00120B09">
        <w:t xml:space="preserve"> (NZLC R127, 2013) at [4.10], citing </w:t>
      </w:r>
      <w:r w:rsidRPr="00120B09">
        <w:rPr>
          <w:i/>
          <w:iCs/>
        </w:rPr>
        <w:t>Hamed v R</w:t>
      </w:r>
      <w:r w:rsidRPr="00120B09">
        <w:t xml:space="preserve"> [2011] NZSC 101, [2012] 2 NZLR 305 at [282] per Gault J and noting that in that case “admissibility fell to be determined by differently constituted majorities on the different types of evidence</w:t>
      </w:r>
      <w:r w:rsidR="004E53B8">
        <w:t>”.</w:t>
      </w:r>
    </w:p>
  </w:footnote>
  <w:footnote w:id="524">
    <w:p w14:paraId="422751EA" w14:textId="1415EC86" w:rsidR="009F4F6E" w:rsidRPr="00120B09" w:rsidRDefault="009F4F6E" w:rsidP="009F4F6E">
      <w:pPr>
        <w:pStyle w:val="FootnoteText"/>
      </w:pPr>
      <w:r w:rsidRPr="00120B09">
        <w:rPr>
          <w:rStyle w:val="FootnoteReference"/>
          <w:color w:val="0D0D0D" w:themeColor="text1" w:themeTint="F2"/>
          <w:sz w:val="15"/>
        </w:rPr>
        <w:footnoteRef/>
      </w:r>
      <w:r w:rsidRPr="00120B09">
        <w:t xml:space="preserve"> </w:t>
      </w:r>
      <w:r w:rsidRPr="00120B09">
        <w:tab/>
        <w:t xml:space="preserve">Te Aka Matua o te Ture | Law Commission </w:t>
      </w:r>
      <w:r w:rsidRPr="00120B09">
        <w:rPr>
          <w:i/>
          <w:iCs/>
        </w:rPr>
        <w:t xml:space="preserve">The 2013 </w:t>
      </w:r>
      <w:r w:rsidR="000774FC">
        <w:rPr>
          <w:i/>
          <w:iCs/>
        </w:rPr>
        <w:t>R</w:t>
      </w:r>
      <w:r w:rsidRPr="00120B09">
        <w:rPr>
          <w:i/>
          <w:iCs/>
        </w:rPr>
        <w:t>eview of the Evidence Act 2006</w:t>
      </w:r>
      <w:r w:rsidRPr="00120B09">
        <w:t xml:space="preserve"> (NZLC R127, 2013) at [4.17].</w:t>
      </w:r>
    </w:p>
  </w:footnote>
  <w:footnote w:id="525">
    <w:p w14:paraId="797E58E5" w14:textId="77777777" w:rsidR="009F4F6E" w:rsidRPr="00120B09" w:rsidRDefault="009F4F6E" w:rsidP="009F4F6E">
      <w:pPr>
        <w:pStyle w:val="FootnoteText"/>
      </w:pPr>
      <w:r w:rsidRPr="00120B09">
        <w:rPr>
          <w:rStyle w:val="FootnoteReference"/>
          <w:color w:val="0D0D0D" w:themeColor="text1" w:themeTint="F2"/>
          <w:sz w:val="15"/>
        </w:rPr>
        <w:footnoteRef/>
      </w:r>
      <w:r w:rsidRPr="00120B09">
        <w:t xml:space="preserve"> </w:t>
      </w:r>
      <w:r w:rsidRPr="00120B09">
        <w:tab/>
      </w:r>
      <w:r>
        <w:rPr>
          <w:lang w:val="mi-NZ"/>
        </w:rPr>
        <w:t xml:space="preserve">Te Aka Matua o te Ture | Law Commission </w:t>
      </w:r>
      <w:r>
        <w:rPr>
          <w:i/>
          <w:iCs/>
          <w:lang w:val="mi-NZ"/>
        </w:rPr>
        <w:t xml:space="preserve">Second Review of the Evidence Act 2006 </w:t>
      </w:r>
      <w:r>
        <w:rPr>
          <w:lang w:val="mi-NZ"/>
        </w:rPr>
        <w:t xml:space="preserve">| </w:t>
      </w:r>
      <w:r w:rsidRPr="00270FF1">
        <w:rPr>
          <w:i/>
          <w:iCs/>
          <w:lang w:val="mi-NZ"/>
        </w:rPr>
        <w:t>Te Arotake Tuarua i te Evidence Act 2006</w:t>
      </w:r>
      <w:r>
        <w:rPr>
          <w:lang w:val="mi-NZ"/>
        </w:rPr>
        <w:t xml:space="preserve"> (NZLC IP42, 2018) at [145]–[147].</w:t>
      </w:r>
    </w:p>
  </w:footnote>
  <w:footnote w:id="526">
    <w:p w14:paraId="7F252FB1"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Second Review of the Evidence Act</w:t>
      </w:r>
      <w:r w:rsidRPr="00120B09">
        <w:t xml:space="preserve"> (NZLC R142, 2019) at [7.5].</w:t>
      </w:r>
    </w:p>
  </w:footnote>
  <w:footnote w:id="527">
    <w:p w14:paraId="50A385B9" w14:textId="3FD5E028" w:rsidR="009F4F6E" w:rsidRPr="00120B09" w:rsidRDefault="009F4F6E" w:rsidP="009F4F6E">
      <w:pPr>
        <w:pStyle w:val="FootnoteText"/>
      </w:pPr>
      <w:r w:rsidRPr="00120B09">
        <w:rPr>
          <w:rStyle w:val="FootnoteReference"/>
        </w:rPr>
        <w:footnoteRef/>
      </w:r>
      <w:r w:rsidRPr="00120B09">
        <w:t xml:space="preserve"> </w:t>
      </w:r>
      <w:r w:rsidRPr="00120B09">
        <w:tab/>
      </w:r>
      <w:r w:rsidR="005400C9">
        <w:t xml:space="preserve">Evidence Act 2006, s </w:t>
      </w:r>
      <w:r w:rsidRPr="00120B09">
        <w:t>6(b).</w:t>
      </w:r>
    </w:p>
  </w:footnote>
  <w:footnote w:id="528">
    <w:p w14:paraId="2C4DDDC1" w14:textId="5F314A22" w:rsidR="009F4F6E" w:rsidRPr="00120B09" w:rsidRDefault="009F4F6E" w:rsidP="009F4F6E">
      <w:pPr>
        <w:pStyle w:val="FootnoteText"/>
      </w:pPr>
      <w:r w:rsidRPr="00120B09">
        <w:rPr>
          <w:rStyle w:val="FootnoteReference"/>
        </w:rPr>
        <w:footnoteRef/>
      </w:r>
      <w:r w:rsidRPr="00120B09">
        <w:t xml:space="preserve"> </w:t>
      </w:r>
      <w:r w:rsidRPr="00120B09">
        <w:tab/>
      </w:r>
      <w:r w:rsidR="005400C9">
        <w:t xml:space="preserve">Evidence Act 2006, s </w:t>
      </w:r>
      <w:r w:rsidRPr="00120B09">
        <w:t>6(c).</w:t>
      </w:r>
    </w:p>
  </w:footnote>
  <w:footnote w:id="529">
    <w:p w14:paraId="4240FCE5"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[156].</w:t>
      </w:r>
    </w:p>
  </w:footnote>
  <w:footnote w:id="530">
    <w:p w14:paraId="5232B77B"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[144].</w:t>
      </w:r>
    </w:p>
  </w:footnote>
  <w:footnote w:id="531">
    <w:p w14:paraId="7EB5BECC"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[143]. </w:t>
      </w:r>
    </w:p>
  </w:footnote>
  <w:footnote w:id="532">
    <w:p w14:paraId="1D65A580" w14:textId="60B90B35" w:rsidR="009F4F6E" w:rsidRPr="00120B09" w:rsidRDefault="009F4F6E" w:rsidP="009F4F6E">
      <w:pPr>
        <w:pStyle w:val="FootnoteText"/>
      </w:pPr>
      <w:r w:rsidRPr="00120B09">
        <w:rPr>
          <w:rStyle w:val="FootnoteReference"/>
        </w:rPr>
        <w:footnoteRef/>
      </w:r>
      <w:r w:rsidRPr="00120B09">
        <w:t xml:space="preserve"> </w:t>
      </w:r>
      <w:r w:rsidRPr="00120B09">
        <w:tab/>
        <w:t>See, for example, Karen Steyn “Consistency – A Principle of Public Law” (1997) 2(1) Judicial Review 22 at 22.</w:t>
      </w:r>
    </w:p>
  </w:footnote>
  <w:footnote w:id="533">
    <w:p w14:paraId="5F8AF00C" w14:textId="0F6A2129" w:rsidR="009F4F6E" w:rsidRPr="00120B09" w:rsidRDefault="009F4F6E" w:rsidP="009F4F6E">
      <w:pPr>
        <w:pStyle w:val="FootnoteText"/>
      </w:pPr>
      <w:r w:rsidRPr="006F088E">
        <w:rPr>
          <w:rStyle w:val="FootnoteReference"/>
        </w:rPr>
        <w:footnoteRef/>
      </w:r>
      <w:r w:rsidRPr="006F088E">
        <w:t xml:space="preserve"> </w:t>
      </w:r>
      <w:r w:rsidRPr="006F088E">
        <w:tab/>
      </w:r>
      <w:r w:rsidRPr="006F088E">
        <w:rPr>
          <w:i/>
        </w:rPr>
        <w:t xml:space="preserve">R v Hanford </w:t>
      </w:r>
      <w:r w:rsidRPr="006F088E">
        <w:t xml:space="preserve">HC Auckland CRI-2007-057-1922, 24 July 2008 at [8]. See also the discussion in </w:t>
      </w:r>
      <w:r w:rsidR="00F66EB0">
        <w:rPr>
          <w:rStyle w:val="normaltextrun"/>
          <w:color w:val="0D0D0D"/>
          <w:szCs w:val="15"/>
          <w:shd w:val="clear" w:color="auto" w:fill="FFFFFF"/>
        </w:rPr>
        <w:t>Mathew Downs (ed)</w:t>
      </w:r>
      <w:r w:rsidRPr="00120B09">
        <w:rPr>
          <w:rStyle w:val="normaltextrun"/>
          <w:color w:val="0D0D0D"/>
          <w:szCs w:val="15"/>
          <w:shd w:val="clear" w:color="auto" w:fill="FFFFFF"/>
        </w:rPr>
        <w:t xml:space="preserve"> </w:t>
      </w:r>
      <w:r w:rsidRPr="00120B09">
        <w:rPr>
          <w:rStyle w:val="findhit"/>
          <w:i/>
          <w:iCs/>
          <w:color w:val="0D0D0D"/>
          <w:szCs w:val="15"/>
          <w:shd w:val="clear" w:color="auto" w:fill="FFFFFF"/>
        </w:rPr>
        <w:t>Adams</w:t>
      </w:r>
      <w:r w:rsidRPr="00120B09">
        <w:rPr>
          <w:rStyle w:val="normaltextrun"/>
          <w:i/>
          <w:iCs/>
          <w:color w:val="0D0D0D"/>
          <w:szCs w:val="15"/>
          <w:shd w:val="clear" w:color="auto" w:fill="FFFFFF"/>
        </w:rPr>
        <w:t xml:space="preserve"> on Criminal Law – Evidence</w:t>
      </w:r>
      <w:r w:rsidRPr="00120B09">
        <w:rPr>
          <w:rStyle w:val="normaltextrun"/>
          <w:color w:val="0D0D0D"/>
          <w:szCs w:val="15"/>
          <w:shd w:val="clear" w:color="auto" w:fill="FFFFFF"/>
        </w:rPr>
        <w:t xml:space="preserve"> (online looseleaf ed, Thomson Reuters)</w:t>
      </w:r>
      <w:r w:rsidRPr="00120B09">
        <w:rPr>
          <w:rStyle w:val="eop"/>
          <w:rFonts w:ascii="Calibri" w:hAnsi="Calibri" w:cs="Calibri"/>
          <w:color w:val="0D0D0D"/>
          <w:szCs w:val="15"/>
          <w:shd w:val="clear" w:color="auto" w:fill="FFFFFF"/>
        </w:rPr>
        <w:t> </w:t>
      </w:r>
      <w:r w:rsidRPr="00120B09">
        <w:t>at [EA30.06(1)]</w:t>
      </w:r>
      <w:r>
        <w:t xml:space="preserve"> and</w:t>
      </w:r>
      <w:r w:rsidRPr="00120B09">
        <w:t xml:space="preserve"> </w:t>
      </w:r>
      <w:r w:rsidRPr="00120B09">
        <w:rPr>
          <w:i/>
          <w:iCs/>
        </w:rPr>
        <w:t>Kearns v R</w:t>
      </w:r>
      <w:r w:rsidRPr="00120B09">
        <w:t xml:space="preserve"> [2017] NZCA 51, [2017] 2 NZLR 835 at [35]</w:t>
      </w:r>
      <w:r>
        <w:t>.</w:t>
      </w:r>
    </w:p>
  </w:footnote>
  <w:footnote w:id="534">
    <w:p w14:paraId="7027E050" w14:textId="77777777" w:rsidR="009F4F6E" w:rsidRDefault="009F4F6E" w:rsidP="009F4F6E">
      <w:pPr>
        <w:pStyle w:val="FootnoteText"/>
      </w:pPr>
      <w:r>
        <w:rPr>
          <w:rStyle w:val="FootnoteReference"/>
        </w:rPr>
        <w:footnoteRef/>
      </w:r>
      <w:r>
        <w:t xml:space="preserve"> </w:t>
      </w:r>
      <w:r>
        <w:tab/>
      </w:r>
      <w:r w:rsidRPr="00120B09">
        <w:rPr>
          <w:i/>
          <w:iCs/>
        </w:rPr>
        <w:t>R v Shaheed</w:t>
      </w:r>
      <w:r w:rsidRPr="00120B09">
        <w:t xml:space="preserve"> [2002] 2 NZLR 377 (CA) at [143].</w:t>
      </w:r>
    </w:p>
  </w:footnote>
  <w:footnote w:id="535">
    <w:p w14:paraId="44D542BD"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[143].</w:t>
      </w:r>
    </w:p>
  </w:footnote>
  <w:footnote w:id="536">
    <w:p w14:paraId="446E393B" w14:textId="77777777" w:rsidR="009F4F6E" w:rsidRPr="00120B09" w:rsidRDefault="009F4F6E" w:rsidP="009F4F6E">
      <w:pPr>
        <w:pStyle w:val="FootnoteText"/>
      </w:pPr>
      <w:r w:rsidRPr="00120B09">
        <w:rPr>
          <w:rStyle w:val="FootnoteReference"/>
        </w:rPr>
        <w:footnoteRef/>
      </w:r>
      <w:r w:rsidRPr="00120B09">
        <w:t xml:space="preserve"> </w:t>
      </w:r>
      <w:r w:rsidRPr="00120B09">
        <w:tab/>
      </w:r>
      <w:r>
        <w:t xml:space="preserve">See the discussion in </w:t>
      </w:r>
      <w:r w:rsidRPr="00120B09">
        <w:t xml:space="preserve">Australian Law Reform Commission, New South Wales Law Reform Commission and Victorian Law Reform Commission </w:t>
      </w:r>
      <w:r w:rsidRPr="00120B09">
        <w:rPr>
          <w:i/>
          <w:iCs/>
        </w:rPr>
        <w:t>Review of the Uniform Evidence Acts</w:t>
      </w:r>
      <w:r w:rsidRPr="00120B09">
        <w:t xml:space="preserve"> (ALRC DP 69/NSWLRC DP 47/VLRC DP, 2005) at [14.78].</w:t>
      </w:r>
      <w:r>
        <w:t xml:space="preserve"> </w:t>
      </w:r>
    </w:p>
  </w:footnote>
  <w:footnote w:id="537">
    <w:p w14:paraId="53966DD7" w14:textId="775870F4" w:rsidR="009F4F6E" w:rsidRDefault="009F4F6E" w:rsidP="009F4F6E">
      <w:pPr>
        <w:pStyle w:val="FootnoteText"/>
      </w:pPr>
      <w:r>
        <w:rPr>
          <w:rStyle w:val="FootnoteReference"/>
        </w:rPr>
        <w:footnoteRef/>
      </w:r>
      <w:r>
        <w:t xml:space="preserve"> </w:t>
      </w:r>
      <w:r>
        <w:tab/>
        <w:t xml:space="preserve">Evidence Act 1995 (Cth), </w:t>
      </w:r>
      <w:r w:rsidR="00D8628A">
        <w:t xml:space="preserve">s 138(1); </w:t>
      </w:r>
      <w:r>
        <w:t>Evidence Act 2011 (ACT)</w:t>
      </w:r>
      <w:r w:rsidR="00D8628A">
        <w:t>,</w:t>
      </w:r>
      <w:r w:rsidR="00D8628A" w:rsidRPr="00D8628A">
        <w:t xml:space="preserve"> </w:t>
      </w:r>
      <w:r w:rsidR="00D8628A">
        <w:t xml:space="preserve">s 138(1); </w:t>
      </w:r>
      <w:r w:rsidRPr="00604771">
        <w:t>Evidence Act 1995</w:t>
      </w:r>
      <w:r>
        <w:t xml:space="preserve"> (NSW),</w:t>
      </w:r>
      <w:r w:rsidR="00D8628A">
        <w:t xml:space="preserve"> s 138(1); </w:t>
      </w:r>
      <w:r w:rsidRPr="006F2F63">
        <w:t>Evidence (National Uniform Legislation) Act 2011 (NT)</w:t>
      </w:r>
      <w:r w:rsidR="00D8628A">
        <w:t>,</w:t>
      </w:r>
      <w:r w:rsidR="00D8628A" w:rsidRPr="00D8628A">
        <w:t xml:space="preserve"> </w:t>
      </w:r>
      <w:r w:rsidR="00D8628A">
        <w:t>s 138(1);</w:t>
      </w:r>
      <w:r>
        <w:t xml:space="preserve"> </w:t>
      </w:r>
      <w:r w:rsidRPr="008A2DC6">
        <w:t>Evidence Act 2001</w:t>
      </w:r>
      <w:r>
        <w:t xml:space="preserve"> (Tas)</w:t>
      </w:r>
      <w:r w:rsidR="00D8628A">
        <w:t>, s 138(1);</w:t>
      </w:r>
      <w:r>
        <w:t xml:space="preserve"> Evidence Act 2008 (Vic)</w:t>
      </w:r>
      <w:r w:rsidR="00D8628A">
        <w:t>,</w:t>
      </w:r>
      <w:r w:rsidR="00D8628A" w:rsidRPr="00D8628A">
        <w:t xml:space="preserve"> </w:t>
      </w:r>
      <w:r w:rsidR="00D8628A">
        <w:t>s 138(1)</w:t>
      </w:r>
      <w:r>
        <w:t>.</w:t>
      </w:r>
    </w:p>
  </w:footnote>
  <w:footnote w:id="538">
    <w:p w14:paraId="4D00B00A" w14:textId="62F41B26" w:rsidR="009F4F6E" w:rsidRDefault="009F4F6E" w:rsidP="009F4F6E">
      <w:pPr>
        <w:pStyle w:val="FootnoteText"/>
      </w:pPr>
      <w:r>
        <w:rPr>
          <w:rStyle w:val="FootnoteReference"/>
        </w:rPr>
        <w:footnoteRef/>
      </w:r>
      <w:r>
        <w:t xml:space="preserve"> </w:t>
      </w:r>
      <w:r>
        <w:tab/>
      </w:r>
      <w:r w:rsidRPr="00354747">
        <w:rPr>
          <w:i/>
          <w:iCs/>
        </w:rPr>
        <w:t>Director of Public Prosecutions v Kaba</w:t>
      </w:r>
      <w:r w:rsidRPr="0045222D">
        <w:t xml:space="preserve"> [2014] VSC 52</w:t>
      </w:r>
      <w:r>
        <w:t xml:space="preserve"> at [334] (referring the equivalent Victorian provision, </w:t>
      </w:r>
      <w:r w:rsidR="00D8628A">
        <w:t>s</w:t>
      </w:r>
      <w:r>
        <w:t xml:space="preserve"> 138 of the Evidence Act 2008 (VIC)).</w:t>
      </w:r>
    </w:p>
  </w:footnote>
  <w:footnote w:id="539">
    <w:p w14:paraId="2E6E4ECB" w14:textId="77777777" w:rsidR="009F4F6E" w:rsidRDefault="009F4F6E" w:rsidP="009F4F6E">
      <w:pPr>
        <w:pStyle w:val="FootnoteText"/>
      </w:pPr>
      <w:r>
        <w:rPr>
          <w:rStyle w:val="FootnoteReference"/>
        </w:rPr>
        <w:footnoteRef/>
      </w:r>
      <w:r>
        <w:t xml:space="preserve"> </w:t>
      </w:r>
      <w:r>
        <w:tab/>
      </w:r>
      <w:r w:rsidRPr="0066727C">
        <w:rPr>
          <w:i/>
          <w:iCs/>
        </w:rPr>
        <w:t>Bunning v Cross</w:t>
      </w:r>
      <w:r w:rsidRPr="0066727C">
        <w:t xml:space="preserve"> (1978) 141 CLR 54</w:t>
      </w:r>
      <w:r>
        <w:t xml:space="preserve">. See the discussion in </w:t>
      </w:r>
      <w:r w:rsidRPr="00120B09">
        <w:t xml:space="preserve">Australian Law Reform Commission, New South Wales Law Reform Commission and Victorian Law Reform Commission, </w:t>
      </w:r>
      <w:r w:rsidRPr="00120B09">
        <w:rPr>
          <w:i/>
          <w:iCs/>
        </w:rPr>
        <w:t>Review of the Uniform Evidence Acts</w:t>
      </w:r>
      <w:r w:rsidRPr="00120B09">
        <w:t xml:space="preserve"> (ALRC DP 69/NSWLRC DP 47/VLRC DP, 2005) at [14.78].</w:t>
      </w:r>
    </w:p>
  </w:footnote>
  <w:footnote w:id="540">
    <w:p w14:paraId="58D18F72" w14:textId="6E15B86D" w:rsidR="009F4F6E" w:rsidRDefault="009F4F6E" w:rsidP="009F4F6E">
      <w:pPr>
        <w:pStyle w:val="FootnoteText"/>
      </w:pPr>
      <w:r>
        <w:rPr>
          <w:rStyle w:val="FootnoteReference"/>
        </w:rPr>
        <w:footnoteRef/>
      </w:r>
      <w:r>
        <w:t xml:space="preserve"> </w:t>
      </w:r>
      <w:r>
        <w:tab/>
      </w:r>
      <w:r w:rsidRPr="00631E55">
        <w:t>Australian Law Reform Commission</w:t>
      </w:r>
      <w:r>
        <w:t xml:space="preserve"> </w:t>
      </w:r>
      <w:r w:rsidRPr="00631E55">
        <w:rPr>
          <w:i/>
          <w:iCs/>
        </w:rPr>
        <w:t>Evidence (Volume 1)</w:t>
      </w:r>
      <w:r>
        <w:t xml:space="preserve"> (</w:t>
      </w:r>
      <w:r w:rsidRPr="00631E55">
        <w:t>ALRC 26 (Interim) Vol 1 (1985)</w:t>
      </w:r>
      <w:r>
        <w:t xml:space="preserve"> at [964]</w:t>
      </w:r>
      <w:r w:rsidR="00D03D56">
        <w:t>.</w:t>
      </w:r>
    </w:p>
  </w:footnote>
  <w:footnote w:id="541">
    <w:p w14:paraId="7A78F01D" w14:textId="6AEF18C0" w:rsidR="009F4F6E" w:rsidRDefault="009F4F6E" w:rsidP="009F4F6E">
      <w:pPr>
        <w:pStyle w:val="FootnoteText"/>
      </w:pPr>
      <w:r>
        <w:rPr>
          <w:rStyle w:val="FootnoteReference"/>
        </w:rPr>
        <w:footnoteRef/>
      </w:r>
      <w:r>
        <w:t xml:space="preserve"> </w:t>
      </w:r>
      <w:r>
        <w:tab/>
      </w:r>
      <w:r w:rsidRPr="00EE6886">
        <w:t>B</w:t>
      </w:r>
      <w:r>
        <w:t>ram</w:t>
      </w:r>
      <w:r w:rsidRPr="00EE6886">
        <w:t xml:space="preserve"> Presser </w:t>
      </w:r>
      <w:r>
        <w:t>“</w:t>
      </w:r>
      <w:r w:rsidRPr="00EE6886">
        <w:t xml:space="preserve">Public </w:t>
      </w:r>
      <w:r>
        <w:t>p</w:t>
      </w:r>
      <w:r w:rsidRPr="00EE6886">
        <w:t xml:space="preserve">olicy, </w:t>
      </w:r>
      <w:r>
        <w:t>p</w:t>
      </w:r>
      <w:r w:rsidRPr="00EE6886">
        <w:t xml:space="preserve">olice </w:t>
      </w:r>
      <w:r>
        <w:t>i</w:t>
      </w:r>
      <w:r w:rsidRPr="00EE6886">
        <w:t xml:space="preserve">nterest: A </w:t>
      </w:r>
      <w:r>
        <w:t>r</w:t>
      </w:r>
      <w:r w:rsidRPr="00EE6886">
        <w:t>e</w:t>
      </w:r>
      <w:r>
        <w:t>-e</w:t>
      </w:r>
      <w:r w:rsidRPr="00EE6886">
        <w:t xml:space="preserve">valuation of the </w:t>
      </w:r>
      <w:r>
        <w:t>j</w:t>
      </w:r>
      <w:r w:rsidRPr="00EE6886">
        <w:t xml:space="preserve">udicial </w:t>
      </w:r>
      <w:r>
        <w:t>d</w:t>
      </w:r>
      <w:r w:rsidRPr="00EE6886">
        <w:t xml:space="preserve">iscretion to </w:t>
      </w:r>
      <w:r>
        <w:t>e</w:t>
      </w:r>
      <w:r w:rsidRPr="00EE6886">
        <w:t xml:space="preserve">xclude </w:t>
      </w:r>
      <w:r>
        <w:t>i</w:t>
      </w:r>
      <w:r w:rsidRPr="00EE6886">
        <w:t xml:space="preserve">mproperly or </w:t>
      </w:r>
      <w:r>
        <w:t>i</w:t>
      </w:r>
      <w:r w:rsidRPr="00EE6886">
        <w:t xml:space="preserve">llegally </w:t>
      </w:r>
      <w:r>
        <w:t>o</w:t>
      </w:r>
      <w:r w:rsidRPr="00EE6886">
        <w:t xml:space="preserve">btained </w:t>
      </w:r>
      <w:r>
        <w:t>e</w:t>
      </w:r>
      <w:r w:rsidRPr="00EE6886">
        <w:t>vidence</w:t>
      </w:r>
      <w:r>
        <w:t>”</w:t>
      </w:r>
      <w:r w:rsidRPr="00EE6886">
        <w:t xml:space="preserve"> (2001) 25 </w:t>
      </w:r>
      <w:r w:rsidR="003E1709" w:rsidRPr="003E1709">
        <w:t xml:space="preserve">Melb Univ Law Rev </w:t>
      </w:r>
      <w:r w:rsidRPr="00EE6886">
        <w:t>757</w:t>
      </w:r>
      <w:r>
        <w:t xml:space="preserve"> at 776.</w:t>
      </w:r>
    </w:p>
  </w:footnote>
  <w:footnote w:id="542">
    <w:p w14:paraId="0CA0715D"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Australian Law Reform Commission, New South Wales Law Reform Commission and Victorian Law Reform Commission </w:t>
      </w:r>
      <w:r w:rsidRPr="00120B09">
        <w:rPr>
          <w:i/>
          <w:iCs/>
        </w:rPr>
        <w:t>Review of the Uniform Evidence Acts</w:t>
      </w:r>
      <w:r w:rsidRPr="00120B09">
        <w:t xml:space="preserve"> (ALRC DP 69/NSWLRC DP 47/VLRC DP, 2005) at [14.79]. See also Australian Law Reform Commission, New South Wales Law Reform Commission and Victorian Law Reform Commission </w:t>
      </w:r>
      <w:r w:rsidRPr="00120B09">
        <w:rPr>
          <w:i/>
          <w:iCs/>
        </w:rPr>
        <w:t>Uniform Evidence Law Report</w:t>
      </w:r>
      <w:r w:rsidRPr="00120B09">
        <w:t xml:space="preserve"> (ALRC FR 102/NSWLRC FR 122/VLRC FR, 2005) at [16.92].</w:t>
      </w:r>
    </w:p>
  </w:footnote>
  <w:footnote w:id="543">
    <w:p w14:paraId="0229B4C3" w14:textId="77777777" w:rsidR="009F4F6E" w:rsidRDefault="009F4F6E" w:rsidP="009F4F6E">
      <w:pPr>
        <w:pStyle w:val="FootnoteText"/>
      </w:pPr>
      <w:r>
        <w:rPr>
          <w:rStyle w:val="FootnoteReference"/>
        </w:rPr>
        <w:footnoteRef/>
      </w:r>
      <w:r>
        <w:t xml:space="preserve"> </w:t>
      </w:r>
      <w:r>
        <w:tab/>
      </w:r>
      <w:r w:rsidRPr="00120B09">
        <w:t xml:space="preserve">Australian Law Reform Commission, New South Wales Law Reform Commission and Victorian Law Reform Commission </w:t>
      </w:r>
      <w:r w:rsidRPr="00120B09">
        <w:rPr>
          <w:i/>
          <w:iCs/>
        </w:rPr>
        <w:t>Review of the Uniform Evidence Acts</w:t>
      </w:r>
      <w:r w:rsidRPr="00120B09">
        <w:t xml:space="preserve"> (ALRC DP 69/NSWLRC DP 47/VLRC DP, 2005) at</w:t>
      </w:r>
      <w:r>
        <w:t xml:space="preserve"> [14.76].</w:t>
      </w:r>
    </w:p>
  </w:footnote>
  <w:footnote w:id="544">
    <w:p w14:paraId="15084441" w14:textId="77777777" w:rsidR="009F4F6E" w:rsidRPr="00120B09" w:rsidRDefault="009F4F6E" w:rsidP="009F4F6E">
      <w:pPr>
        <w:pStyle w:val="FootnoteText"/>
      </w:pPr>
      <w:r w:rsidRPr="00120B09">
        <w:rPr>
          <w:rStyle w:val="FootnoteReference"/>
          <w:color w:val="0D0D0D" w:themeColor="text1" w:themeTint="F2"/>
          <w:sz w:val="15"/>
        </w:rPr>
        <w:footnoteRef/>
      </w:r>
      <w:r w:rsidRPr="00120B09">
        <w:t xml:space="preserve"> </w:t>
      </w:r>
      <w:r w:rsidRPr="00120B09">
        <w:tab/>
      </w:r>
      <w:r w:rsidRPr="00120B09">
        <w:rPr>
          <w:i/>
          <w:iCs/>
        </w:rPr>
        <w:t>Hamed v R</w:t>
      </w:r>
      <w:r w:rsidRPr="00120B09">
        <w:t xml:space="preserve"> [2011] NZSC 101, [2012] 2 NZLR 305 at [58] and [60] per Elias CJ and [229]–[230] per Tipping J.</w:t>
      </w:r>
    </w:p>
  </w:footnote>
  <w:footnote w:id="545">
    <w:p w14:paraId="792F39EB" w14:textId="7B8B7EB0"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 xml:space="preserve">The 2013 </w:t>
      </w:r>
      <w:r w:rsidR="00B7224E">
        <w:rPr>
          <w:i/>
          <w:iCs/>
        </w:rPr>
        <w:t>R</w:t>
      </w:r>
      <w:r w:rsidRPr="00120B09">
        <w:rPr>
          <w:i/>
          <w:iCs/>
        </w:rPr>
        <w:t>eview of the Evidence Act 2006</w:t>
      </w:r>
      <w:r w:rsidRPr="00120B09">
        <w:t xml:space="preserve"> (NZLC R127, 2013) at [4.18]–[4.20].</w:t>
      </w:r>
    </w:p>
  </w:footnote>
  <w:footnote w:id="546">
    <w:p w14:paraId="23CDE814" w14:textId="77777777" w:rsidR="009F4F6E" w:rsidRPr="00120B09" w:rsidRDefault="009F4F6E" w:rsidP="009F4F6E">
      <w:pPr>
        <w:pStyle w:val="FootnoteText"/>
      </w:pPr>
      <w:r w:rsidRPr="00120B09">
        <w:rPr>
          <w:rStyle w:val="FootnoteReference"/>
        </w:rPr>
        <w:footnoteRef/>
      </w:r>
      <w:r w:rsidRPr="00120B09">
        <w:t xml:space="preserve"> </w:t>
      </w:r>
      <w:r w:rsidRPr="00120B09">
        <w:tab/>
        <w:t>Scott Optican “</w:t>
      </w:r>
      <w:r w:rsidRPr="00120B09">
        <w:rPr>
          <w:i/>
          <w:iCs/>
        </w:rPr>
        <w:t xml:space="preserve">Hamed, Williams </w:t>
      </w:r>
      <w:r w:rsidRPr="00120B09">
        <w:t xml:space="preserve">and the exclusionary rule” [2012] VUWLR 605 at 618. </w:t>
      </w:r>
    </w:p>
  </w:footnote>
  <w:footnote w:id="547">
    <w:p w14:paraId="2D4D1CE9" w14:textId="77777777" w:rsidR="009F4F6E" w:rsidRPr="00120B09" w:rsidRDefault="009F4F6E" w:rsidP="009F4F6E">
      <w:pPr>
        <w:pStyle w:val="FootnoteText"/>
      </w:pPr>
      <w:r w:rsidRPr="00120B09">
        <w:rPr>
          <w:rStyle w:val="FootnoteReference"/>
        </w:rPr>
        <w:footnoteRef/>
      </w:r>
      <w:r w:rsidRPr="00120B09">
        <w:t xml:space="preserve"> </w:t>
      </w:r>
      <w:r w:rsidRPr="00120B09">
        <w:tab/>
        <w:t>Tania Singh “Criminal Practice Section: The exclusion of improperly obtained evidence” [2021] NZLJ 59 at 59–60.</w:t>
      </w:r>
    </w:p>
  </w:footnote>
  <w:footnote w:id="548">
    <w:p w14:paraId="025AE1BA" w14:textId="77777777" w:rsidR="009F4F6E" w:rsidRPr="00120B09" w:rsidRDefault="009F4F6E" w:rsidP="009F4F6E">
      <w:pPr>
        <w:pStyle w:val="FootnoteText"/>
      </w:pPr>
      <w:r w:rsidRPr="00120B09">
        <w:rPr>
          <w:rStyle w:val="FootnoteReference"/>
        </w:rPr>
        <w:footnoteRef/>
      </w:r>
      <w:r w:rsidRPr="00120B09">
        <w:t xml:space="preserve"> </w:t>
      </w:r>
      <w:r w:rsidRPr="00120B09">
        <w:tab/>
        <w:t>Bernard Robertson “Evidence” [2018] NZLJ 210 at 211.</w:t>
      </w:r>
    </w:p>
  </w:footnote>
  <w:footnote w:id="549">
    <w:p w14:paraId="73925031"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Hamed v R</w:t>
      </w:r>
      <w:r w:rsidRPr="00120B09">
        <w:t xml:space="preserve"> [2011] NZSC 101, [2012] 2 NZLR 305 per Elias CJ at [60]–[63], Blanchard J at [187]–[189], Tipping J at [229]–[230] and McGrath J at [258]. See also </w:t>
      </w:r>
      <w:r w:rsidRPr="00120B09">
        <w:rPr>
          <w:i/>
          <w:iCs/>
        </w:rPr>
        <w:t>R v Shaheed</w:t>
      </w:r>
      <w:r w:rsidRPr="00120B09">
        <w:t xml:space="preserve"> [2002] 2 NZLR 377 (CA) at [148].</w:t>
      </w:r>
    </w:p>
  </w:footnote>
  <w:footnote w:id="550">
    <w:p w14:paraId="4F1B6DC6"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See </w:t>
      </w:r>
      <w:r w:rsidRPr="00120B09">
        <w:rPr>
          <w:i/>
          <w:iCs/>
        </w:rPr>
        <w:t>Hamed v R</w:t>
      </w:r>
      <w:r w:rsidRPr="00120B09">
        <w:t xml:space="preserve"> [2011] NZSC 101, [2012] 2 NZLR 305 per Elias CJ at [60]–[63], Blanchard J at [187]–[189], Tipping J at [229]–[230] and McGrath J at [258], affirmed more recently in </w:t>
      </w:r>
      <w:r w:rsidRPr="00120B09">
        <w:rPr>
          <w:i/>
          <w:iCs/>
        </w:rPr>
        <w:t>Underwood v R</w:t>
      </w:r>
      <w:r w:rsidRPr="00120B09">
        <w:t xml:space="preserve"> [2016] NZCA 312, [2017] 2 NZLR 433 at [37]</w:t>
      </w:r>
      <w:r>
        <w:t xml:space="preserve"> and</w:t>
      </w:r>
      <w:r w:rsidRPr="00120B09">
        <w:t xml:space="preserve"> </w:t>
      </w:r>
      <w:r w:rsidRPr="00120B09">
        <w:rPr>
          <w:i/>
          <w:iCs/>
        </w:rPr>
        <w:t>Butland v R</w:t>
      </w:r>
      <w:r w:rsidRPr="00120B09">
        <w:t xml:space="preserve"> [2019] NZCA 376 at [70]–[71] and [74]</w:t>
      </w:r>
      <w:r>
        <w:t>.</w:t>
      </w:r>
    </w:p>
  </w:footnote>
  <w:footnote w:id="551">
    <w:p w14:paraId="6A4F2D27"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 xml:space="preserve">R v Williams </w:t>
      </w:r>
      <w:r w:rsidRPr="00120B09">
        <w:t>[2007] NZCA 52, [2007] 3 NZLR 207 at [245]–[247] and [250].</w:t>
      </w:r>
    </w:p>
  </w:footnote>
  <w:footnote w:id="552">
    <w:p w14:paraId="7A842468" w14:textId="02F65543" w:rsidR="009F4F6E" w:rsidRPr="00120B09" w:rsidRDefault="009F4F6E" w:rsidP="009F4F6E">
      <w:pPr>
        <w:pStyle w:val="FootnoteText"/>
      </w:pPr>
      <w:r w:rsidRPr="00120B09">
        <w:rPr>
          <w:rStyle w:val="FootnoteReference"/>
        </w:rPr>
        <w:footnoteRef/>
      </w:r>
      <w:r w:rsidRPr="00120B09">
        <w:t xml:space="preserve"> </w:t>
      </w:r>
      <w:r w:rsidRPr="00120B09">
        <w:tab/>
      </w:r>
      <w:r>
        <w:t xml:space="preserve">Evidence Act 1995 (Cth), </w:t>
      </w:r>
      <w:r w:rsidR="00D8628A">
        <w:t xml:space="preserve">s 138(1); </w:t>
      </w:r>
      <w:r>
        <w:t xml:space="preserve">Evidence Act 2011 (ACT), </w:t>
      </w:r>
      <w:r w:rsidR="00D8628A">
        <w:t xml:space="preserve">s 138(1); </w:t>
      </w:r>
      <w:r w:rsidRPr="00604771">
        <w:t>Evidence Act 1995</w:t>
      </w:r>
      <w:r>
        <w:t xml:space="preserve"> (NSW), </w:t>
      </w:r>
      <w:r w:rsidR="00D8628A">
        <w:t xml:space="preserve">s 138(1); </w:t>
      </w:r>
      <w:r w:rsidRPr="006F2F63">
        <w:t>Evidence (National Uniform Legislation) Act 2011 (NT)</w:t>
      </w:r>
      <w:r>
        <w:t xml:space="preserve">, </w:t>
      </w:r>
      <w:r w:rsidR="00D8628A">
        <w:t xml:space="preserve">s 138(1); </w:t>
      </w:r>
      <w:r w:rsidRPr="008A2DC6">
        <w:t>Evidence Act 2001</w:t>
      </w:r>
      <w:r>
        <w:t xml:space="preserve"> (Tas)</w:t>
      </w:r>
      <w:r w:rsidR="00D8628A">
        <w:t xml:space="preserve">, s 138(1); </w:t>
      </w:r>
      <w:r>
        <w:t>Evidence Act 2008 (Vic)</w:t>
      </w:r>
      <w:r w:rsidR="00D8628A">
        <w:t>, s 138(1)</w:t>
      </w:r>
      <w:r>
        <w:t>.</w:t>
      </w:r>
    </w:p>
  </w:footnote>
  <w:footnote w:id="553">
    <w:p w14:paraId="3A75918F"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Second Review of the Evidence Act</w:t>
      </w:r>
      <w:r w:rsidRPr="00120B09">
        <w:t xml:space="preserve"> (NZLC R142, 2019) at [7.47]–[7.48].</w:t>
      </w:r>
    </w:p>
  </w:footnote>
  <w:footnote w:id="554">
    <w:p w14:paraId="4B5DE474" w14:textId="77777777" w:rsidR="009F4F6E" w:rsidRPr="00120B09" w:rsidRDefault="009F4F6E" w:rsidP="009F4F6E">
      <w:pPr>
        <w:pStyle w:val="FootnoteText"/>
        <w:rPr>
          <w:rStyle w:val="FootnoteReference"/>
        </w:rPr>
      </w:pPr>
      <w:r w:rsidRPr="00120B09">
        <w:rPr>
          <w:rStyle w:val="FootnoteReference"/>
        </w:rPr>
        <w:footnoteRef/>
      </w:r>
      <w:r w:rsidRPr="00120B09">
        <w:t xml:space="preserve"> </w:t>
      </w:r>
      <w:r w:rsidRPr="00120B09">
        <w:tab/>
      </w:r>
      <w:r w:rsidRPr="00120B09">
        <w:rPr>
          <w:i/>
          <w:iCs/>
        </w:rPr>
        <w:t>R v Chetty</w:t>
      </w:r>
      <w:r w:rsidRPr="00120B09">
        <w:t xml:space="preserve"> [2016] NZSC 68, [2018] 1 NZLR 26 at [61] and [63].</w:t>
      </w:r>
    </w:p>
  </w:footnote>
  <w:footnote w:id="555">
    <w:p w14:paraId="6C12173F" w14:textId="77777777" w:rsidR="009F4F6E" w:rsidRPr="00632366" w:rsidRDefault="009F4F6E" w:rsidP="009F4F6E">
      <w:pPr>
        <w:pStyle w:val="FootnoteText"/>
      </w:pPr>
      <w:r w:rsidRPr="00120B09">
        <w:rPr>
          <w:rStyle w:val="FootnoteReference"/>
        </w:rPr>
        <w:footnoteRef/>
      </w:r>
      <w:r w:rsidRPr="00120B09">
        <w:t xml:space="preserve"> </w:t>
      </w:r>
      <w:r w:rsidRPr="00120B09">
        <w:tab/>
      </w:r>
      <w:r>
        <w:t>In a recent Court of Appeal case that remains subject to publication restrictions until final disposition of trial.</w:t>
      </w:r>
    </w:p>
  </w:footnote>
  <w:footnote w:id="556">
    <w:p w14:paraId="0D12B550"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For example, searches that are unlawful (due to a failure to comply with the requirements of the Search and Surveillance Act 2012 or for other reasons) will generally also be “unreasonable” for the purposes of s 21 of NZBORA (see </w:t>
      </w:r>
      <w:r w:rsidRPr="00120B09">
        <w:rPr>
          <w:i/>
          <w:iCs/>
        </w:rPr>
        <w:t>Hamed v R</w:t>
      </w:r>
      <w:r w:rsidRPr="00120B09">
        <w:t xml:space="preserve"> [2011] NZSC 101, [2012] 2 NZLR 305 at [49], [50], [172], [174], [226, [263] and [281]; </w:t>
      </w:r>
      <w:r w:rsidRPr="00120B09">
        <w:rPr>
          <w:i/>
          <w:iCs/>
        </w:rPr>
        <w:t>Hall v R</w:t>
      </w:r>
      <w:r w:rsidRPr="00120B09">
        <w:t xml:space="preserve"> [2018] NZCA 279, [2019] 2 NZLR 325 at [50]).</w:t>
      </w:r>
    </w:p>
  </w:footnote>
  <w:footnote w:id="557">
    <w:p w14:paraId="21C2876B" w14:textId="77777777" w:rsidR="009F4F6E" w:rsidRDefault="009F4F6E" w:rsidP="009F4F6E">
      <w:pPr>
        <w:pStyle w:val="FootnoteText"/>
      </w:pPr>
      <w:r>
        <w:rPr>
          <w:rStyle w:val="FootnoteReference"/>
        </w:rPr>
        <w:footnoteRef/>
      </w:r>
      <w:r>
        <w:t xml:space="preserve"> </w:t>
      </w:r>
      <w:r>
        <w:tab/>
      </w:r>
      <w:r w:rsidRPr="00EC6406">
        <w:rPr>
          <w:i/>
          <w:iCs/>
        </w:rPr>
        <w:t>Hamed v R</w:t>
      </w:r>
      <w:r w:rsidRPr="00947B62">
        <w:t xml:space="preserve"> [2011] NZSC 101, [2012] 2 NZLR 305</w:t>
      </w:r>
      <w:r>
        <w:t xml:space="preserve"> at [66] per Elias CJ and at [191] per Blanchard J; </w:t>
      </w:r>
      <w:r w:rsidRPr="00120B09">
        <w:rPr>
          <w:i/>
          <w:iCs/>
        </w:rPr>
        <w:t>R v Toki</w:t>
      </w:r>
      <w:r w:rsidRPr="00120B09">
        <w:t xml:space="preserve"> [2017] NZCA 513, [2018] 2 NZLR 362 at [28].</w:t>
      </w:r>
    </w:p>
  </w:footnote>
  <w:footnote w:id="558">
    <w:p w14:paraId="3ED1E70B"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See </w:t>
      </w:r>
      <w:r w:rsidRPr="00120B09">
        <w:rPr>
          <w:i/>
          <w:iCs/>
        </w:rPr>
        <w:t>R v Chetty</w:t>
      </w:r>
      <w:r w:rsidRPr="00120B09">
        <w:t xml:space="preserve"> [2016] NZSC 68, [2018] 1 NZLR 26 at [49], citing </w:t>
      </w:r>
      <w:r w:rsidRPr="00120B09">
        <w:rPr>
          <w:i/>
          <w:iCs/>
        </w:rPr>
        <w:t>R v JZH</w:t>
      </w:r>
      <w:r w:rsidRPr="00120B09">
        <w:t xml:space="preserve"> [2009] NZCA 363 at [30].</w:t>
      </w:r>
    </w:p>
  </w:footnote>
  <w:footnote w:id="559">
    <w:p w14:paraId="15995C4D"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R v Chetty</w:t>
      </w:r>
      <w:r w:rsidRPr="00120B09">
        <w:t xml:space="preserve"> [2016] NZSC 68, [2018] 1 NZLR 26</w:t>
      </w:r>
      <w:r w:rsidRPr="00120B09">
        <w:rPr>
          <w:i/>
          <w:iCs/>
        </w:rPr>
        <w:t xml:space="preserve"> </w:t>
      </w:r>
      <w:r w:rsidRPr="00120B09">
        <w:t xml:space="preserve">at [53]–[55]; </w:t>
      </w:r>
      <w:r w:rsidRPr="00120B09">
        <w:rPr>
          <w:i/>
          <w:iCs/>
        </w:rPr>
        <w:t>R v X</w:t>
      </w:r>
      <w:r w:rsidRPr="00120B09">
        <w:t xml:space="preserve"> [2021] NZHC 2444 at [156]; </w:t>
      </w:r>
      <w:r w:rsidRPr="00120B09">
        <w:rPr>
          <w:i/>
          <w:iCs/>
        </w:rPr>
        <w:t>Edmonds v R</w:t>
      </w:r>
      <w:r w:rsidRPr="00120B09">
        <w:t xml:space="preserve"> [2012] NZCA 472 at [77].</w:t>
      </w:r>
    </w:p>
  </w:footnote>
  <w:footnote w:id="560">
    <w:p w14:paraId="3776BE81"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R v Chetty</w:t>
      </w:r>
      <w:r w:rsidRPr="00120B09">
        <w:t xml:space="preserve"> [2016] NZSC 68, [2018] 1 NZLR 26 at [161]; </w:t>
      </w:r>
      <w:r w:rsidRPr="00120B09">
        <w:rPr>
          <w:i/>
          <w:iCs/>
        </w:rPr>
        <w:t>Murray v R</w:t>
      </w:r>
      <w:r w:rsidRPr="00120B09">
        <w:t xml:space="preserve"> [2016] NZCA 221 at [174]–[176]; </w:t>
      </w:r>
      <w:r w:rsidRPr="00120B09">
        <w:rPr>
          <w:i/>
          <w:iCs/>
        </w:rPr>
        <w:t>Ferens v R</w:t>
      </w:r>
      <w:r w:rsidRPr="00120B09">
        <w:t xml:space="preserve"> [2015] NZCA 564 at [61]; </w:t>
      </w:r>
      <w:r w:rsidRPr="00120B09">
        <w:rPr>
          <w:i/>
          <w:iCs/>
          <w:lang w:eastAsia="en-AU"/>
        </w:rPr>
        <w:t xml:space="preserve">R v Williams </w:t>
      </w:r>
      <w:r w:rsidRPr="00120B09">
        <w:t xml:space="preserve">[2007] NZCA 52, </w:t>
      </w:r>
      <w:r w:rsidRPr="00120B09">
        <w:rPr>
          <w:lang w:eastAsia="en-AU"/>
        </w:rPr>
        <w:t xml:space="preserve">[2007] 3 NZLR 207 </w:t>
      </w:r>
      <w:r w:rsidRPr="00120B09">
        <w:t xml:space="preserve">at [120]; </w:t>
      </w:r>
      <w:r w:rsidRPr="00120B09">
        <w:rPr>
          <w:i/>
          <w:iCs/>
        </w:rPr>
        <w:t>Alexander v Police</w:t>
      </w:r>
      <w:r w:rsidRPr="00120B09">
        <w:t xml:space="preserve"> [2019] NZHC 2920 at [49]–[50].</w:t>
      </w:r>
    </w:p>
  </w:footnote>
  <w:footnote w:id="561">
    <w:p w14:paraId="61772E1B"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[149]. See also </w:t>
      </w:r>
      <w:r w:rsidRPr="00120B09">
        <w:rPr>
          <w:i/>
          <w:iCs/>
          <w:lang w:eastAsia="en-AU"/>
        </w:rPr>
        <w:t xml:space="preserve">R v </w:t>
      </w:r>
      <w:r w:rsidRPr="00120B09">
        <w:rPr>
          <w:i/>
        </w:rPr>
        <w:t xml:space="preserve">Williams </w:t>
      </w:r>
      <w:r w:rsidRPr="00120B09">
        <w:t xml:space="preserve">[2007] NZCA 52, </w:t>
      </w:r>
      <w:r w:rsidRPr="00120B09">
        <w:rPr>
          <w:lang w:eastAsia="en-AU"/>
        </w:rPr>
        <w:t xml:space="preserve">[2007] 3 NZLR 207 </w:t>
      </w:r>
      <w:r w:rsidRPr="00120B09">
        <w:t>at [130].</w:t>
      </w:r>
    </w:p>
  </w:footnote>
  <w:footnote w:id="562">
    <w:p w14:paraId="3430BA72"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Fenwick v R</w:t>
      </w:r>
      <w:r w:rsidRPr="00120B09">
        <w:t xml:space="preserve"> [2017] NZCA 422 at [15].</w:t>
      </w:r>
    </w:p>
  </w:footnote>
  <w:footnote w:id="563">
    <w:p w14:paraId="4C6D6BD3"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Roskam v R</w:t>
      </w:r>
      <w:r w:rsidRPr="00120B09">
        <w:t xml:space="preserve"> [2019] NZCA 53 at [42]</w:t>
      </w:r>
      <w:r>
        <w:t xml:space="preserve"> and </w:t>
      </w:r>
      <w:r w:rsidRPr="00120B09">
        <w:rPr>
          <w:i/>
          <w:iCs/>
        </w:rPr>
        <w:t>Kelly v Police</w:t>
      </w:r>
      <w:r w:rsidRPr="00120B09">
        <w:t xml:space="preserve"> [2017] NZHC 1611 at [44]. In total, 15 of the 40 cases we examined in our snapshot case study in which improperly obtained evidence was admitted appeared to treat good faith or the fact that the impropriety was of low seriousness as a factor favouring admission</w:t>
      </w:r>
      <w:r w:rsidRPr="00120B09">
        <w:rPr>
          <w:i/>
          <w:iCs/>
        </w:rPr>
        <w:t xml:space="preserve"> </w:t>
      </w:r>
      <w:r w:rsidRPr="00120B09">
        <w:t>of the evidence.</w:t>
      </w:r>
    </w:p>
  </w:footnote>
  <w:footnote w:id="564">
    <w:p w14:paraId="1CCE5146"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The Court in </w:t>
      </w:r>
      <w:r w:rsidRPr="00120B09">
        <w:rPr>
          <w:i/>
          <w:iCs/>
        </w:rPr>
        <w:t>R v Shaheed</w:t>
      </w:r>
      <w:r w:rsidRPr="00120B09">
        <w:t xml:space="preserve"> [2002] 2 NZLR 377 (CA) envisaged this factor would encompass both the probative value of the evidence (including its reliability) and its centrality to the prosecution case (at [151]–[152]). </w:t>
      </w:r>
    </w:p>
  </w:footnote>
  <w:footnote w:id="565">
    <w:p w14:paraId="3210B92E" w14:textId="77777777" w:rsidR="009F4F6E" w:rsidRPr="00D01F7B" w:rsidRDefault="009F4F6E" w:rsidP="009F4F6E">
      <w:pPr>
        <w:pStyle w:val="FootnoteText"/>
      </w:pPr>
      <w:r w:rsidRPr="00D01F7B">
        <w:rPr>
          <w:rStyle w:val="FootnoteReference"/>
          <w:color w:val="0D0D0D" w:themeColor="text1" w:themeTint="F2"/>
          <w:sz w:val="15"/>
        </w:rPr>
        <w:footnoteRef/>
      </w:r>
      <w:r w:rsidRPr="00E51616">
        <w:rPr>
          <w:vertAlign w:val="superscript"/>
        </w:rPr>
        <w:t xml:space="preserve"> </w:t>
      </w:r>
      <w:r w:rsidRPr="00D01F7B">
        <w:tab/>
      </w:r>
      <w:r w:rsidRPr="00D01F7B">
        <w:rPr>
          <w:i/>
          <w:iCs/>
        </w:rPr>
        <w:t>R v Shaheed</w:t>
      </w:r>
      <w:r w:rsidRPr="00D01F7B">
        <w:t xml:space="preserve"> [2002] 2 NZLR 377 (CA) at [151]; </w:t>
      </w:r>
      <w:r w:rsidRPr="00E51616">
        <w:rPr>
          <w:i/>
          <w:iCs/>
        </w:rPr>
        <w:t xml:space="preserve">R v </w:t>
      </w:r>
      <w:r w:rsidRPr="0059112E">
        <w:rPr>
          <w:i/>
          <w:iCs/>
        </w:rPr>
        <w:t>Williams</w:t>
      </w:r>
      <w:r w:rsidRPr="00E51616">
        <w:t xml:space="preserve"> </w:t>
      </w:r>
      <w:r w:rsidRPr="00D01F7B">
        <w:t xml:space="preserve">[2007] NZCA 52, </w:t>
      </w:r>
      <w:r w:rsidRPr="00E51616">
        <w:t xml:space="preserve">[2007] 3 NZLR 207 </w:t>
      </w:r>
      <w:r w:rsidRPr="00D01F7B">
        <w:t>at [140].</w:t>
      </w:r>
    </w:p>
  </w:footnote>
  <w:footnote w:id="566">
    <w:p w14:paraId="469CEFE1" w14:textId="77777777" w:rsidR="009F4F6E" w:rsidRDefault="009F4F6E" w:rsidP="009F4F6E">
      <w:pPr>
        <w:pStyle w:val="FootnoteText"/>
      </w:pPr>
      <w:r>
        <w:rPr>
          <w:rStyle w:val="FootnoteReference"/>
        </w:rPr>
        <w:footnoteRef/>
      </w:r>
      <w:r>
        <w:t xml:space="preserve"> </w:t>
      </w:r>
      <w:r>
        <w:tab/>
      </w:r>
      <w:r w:rsidRPr="00120B09">
        <w:rPr>
          <w:i/>
          <w:iCs/>
        </w:rPr>
        <w:t>R v Shaheed</w:t>
      </w:r>
      <w:r w:rsidRPr="00120B09">
        <w:t xml:space="preserve"> [2002] 2 NZLR 377 (CA) </w:t>
      </w:r>
      <w:r>
        <w:t xml:space="preserve">at [151]; </w:t>
      </w:r>
      <w:r w:rsidRPr="00120B09">
        <w:rPr>
          <w:i/>
          <w:iCs/>
          <w:lang w:eastAsia="en-AU"/>
        </w:rPr>
        <w:t xml:space="preserve">R v </w:t>
      </w:r>
      <w:r w:rsidRPr="00120B09">
        <w:rPr>
          <w:i/>
        </w:rPr>
        <w:t xml:space="preserve">Williams </w:t>
      </w:r>
      <w:r w:rsidRPr="00120B09">
        <w:t xml:space="preserve">[2007] NZCA 52, </w:t>
      </w:r>
      <w:r w:rsidRPr="00120B09">
        <w:rPr>
          <w:lang w:eastAsia="en-AU"/>
        </w:rPr>
        <w:t xml:space="preserve">[2007] 3 NZLR 207 </w:t>
      </w:r>
      <w:r w:rsidRPr="00120B09">
        <w:t>at</w:t>
      </w:r>
      <w:r>
        <w:t xml:space="preserve"> [140]; </w:t>
      </w:r>
      <w:r w:rsidRPr="00742709">
        <w:rPr>
          <w:i/>
          <w:iCs/>
        </w:rPr>
        <w:t>Hamed v R</w:t>
      </w:r>
      <w:r w:rsidRPr="00742709">
        <w:t xml:space="preserve"> [2011] NZSC 101, [2012] 2 NZLR 305</w:t>
      </w:r>
      <w:r>
        <w:t xml:space="preserve"> at [276] per McGrath J.</w:t>
      </w:r>
    </w:p>
  </w:footnote>
  <w:footnote w:id="567">
    <w:p w14:paraId="0DAB603C" w14:textId="77777777" w:rsidR="009F4F6E" w:rsidRDefault="009F4F6E" w:rsidP="009F4F6E">
      <w:pPr>
        <w:pStyle w:val="FootnoteText"/>
      </w:pPr>
      <w:r>
        <w:rPr>
          <w:rStyle w:val="FootnoteReference"/>
        </w:rPr>
        <w:footnoteRef/>
      </w:r>
      <w:r>
        <w:t xml:space="preserve"> </w:t>
      </w:r>
      <w:r>
        <w:tab/>
      </w:r>
      <w:r w:rsidRPr="00D01F7B">
        <w:rPr>
          <w:i/>
          <w:iCs/>
        </w:rPr>
        <w:t>R v Shaheed</w:t>
      </w:r>
      <w:r w:rsidRPr="00D01F7B">
        <w:t xml:space="preserve"> [2002] 2 NZLR 377 (CA) a</w:t>
      </w:r>
      <w:r>
        <w:t xml:space="preserve">t [152]. See also </w:t>
      </w:r>
      <w:r w:rsidRPr="00AC4D40">
        <w:rPr>
          <w:i/>
          <w:iCs/>
        </w:rPr>
        <w:t xml:space="preserve">R v </w:t>
      </w:r>
      <w:r w:rsidRPr="0059112E">
        <w:rPr>
          <w:i/>
          <w:iCs/>
        </w:rPr>
        <w:t>Williams</w:t>
      </w:r>
      <w:r w:rsidRPr="00AC4D40">
        <w:t xml:space="preserve"> </w:t>
      </w:r>
      <w:r w:rsidRPr="00D01F7B">
        <w:t xml:space="preserve">[2007] NZCA 52, </w:t>
      </w:r>
      <w:r w:rsidRPr="00AC4D40">
        <w:t xml:space="preserve">[2007] 3 NZLR 207 </w:t>
      </w:r>
      <w:r>
        <w:t>at [141].</w:t>
      </w:r>
    </w:p>
  </w:footnote>
  <w:footnote w:id="568">
    <w:p w14:paraId="02979AF1" w14:textId="7A5A7B35" w:rsidR="009F4F6E" w:rsidRPr="00120B09" w:rsidRDefault="009F4F6E" w:rsidP="009F4F6E">
      <w:pPr>
        <w:pStyle w:val="FootnoteText"/>
      </w:pPr>
      <w:r w:rsidRPr="00120B09">
        <w:rPr>
          <w:rStyle w:val="FootnoteReference"/>
        </w:rPr>
        <w:footnoteRef/>
      </w:r>
      <w:r w:rsidRPr="00120B09">
        <w:t xml:space="preserve"> </w:t>
      </w:r>
      <w:r w:rsidRPr="00120B09">
        <w:tab/>
      </w:r>
      <w:r w:rsidR="000A0FC2">
        <w:t>Evidence Bill 2005 (256-2) (select committee report)</w:t>
      </w:r>
      <w:r w:rsidRPr="00120B09">
        <w:t xml:space="preserve"> at 4.</w:t>
      </w:r>
    </w:p>
  </w:footnote>
  <w:footnote w:id="569">
    <w:p w14:paraId="0D1FCB6C" w14:textId="307918E8" w:rsidR="009F4F6E" w:rsidRPr="00E51616" w:rsidRDefault="009F4F6E" w:rsidP="009F4F6E">
      <w:pPr>
        <w:pStyle w:val="FootnoteText"/>
        <w:rPr>
          <w:rStyle w:val="FootnoteReference1"/>
        </w:rPr>
      </w:pPr>
      <w:r w:rsidRPr="00E51616">
        <w:rPr>
          <w:rStyle w:val="FootnoteReference1"/>
        </w:rPr>
        <w:footnoteRef/>
      </w:r>
      <w:r w:rsidRPr="00E51616">
        <w:rPr>
          <w:rStyle w:val="FootnoteReference1"/>
        </w:rPr>
        <w:t xml:space="preserve"> </w:t>
      </w:r>
      <w:r w:rsidRPr="00E51616">
        <w:rPr>
          <w:rStyle w:val="FootnoteReference1"/>
        </w:rPr>
        <w:tab/>
      </w:r>
      <w:r w:rsidR="000A0FC2">
        <w:rPr>
          <w:rStyle w:val="FootnoteReference1"/>
          <w:vertAlign w:val="baseline"/>
        </w:rPr>
        <w:t>Evidence Bill 2005 (256-2) (select committee report)</w:t>
      </w:r>
      <w:r w:rsidRPr="00E51616">
        <w:rPr>
          <w:rStyle w:val="FootnoteReference1"/>
          <w:vertAlign w:val="baseline"/>
        </w:rPr>
        <w:t xml:space="preserve"> at 4.</w:t>
      </w:r>
    </w:p>
  </w:footnote>
  <w:footnote w:id="570">
    <w:p w14:paraId="17CBA6BC" w14:textId="22877EAD" w:rsidR="009F4F6E" w:rsidRPr="004806D3" w:rsidRDefault="009F4F6E" w:rsidP="009F4F6E">
      <w:pPr>
        <w:pStyle w:val="FootnoteText"/>
      </w:pPr>
      <w:r w:rsidRPr="00E51616">
        <w:rPr>
          <w:rStyle w:val="FootnoteReference1"/>
        </w:rPr>
        <w:footnoteRef/>
      </w:r>
      <w:r w:rsidRPr="00E51616">
        <w:rPr>
          <w:rStyle w:val="FootnoteReference1"/>
        </w:rPr>
        <w:t xml:space="preserve"> </w:t>
      </w:r>
      <w:r w:rsidRPr="00E51616">
        <w:rPr>
          <w:rStyle w:val="FootnoteReference1"/>
        </w:rPr>
        <w:tab/>
      </w:r>
      <w:r w:rsidRPr="007E298B">
        <w:rPr>
          <w:rStyle w:val="FootnoteReference1"/>
          <w:vertAlign w:val="baseline"/>
        </w:rPr>
        <w:t>(21 November 2006) 635 NZPD 6638 (in committee)</w:t>
      </w:r>
      <w:r w:rsidR="00AD7053" w:rsidRPr="007E298B">
        <w:rPr>
          <w:rStyle w:val="FootnoteReference1"/>
          <w:vertAlign w:val="baseline"/>
        </w:rPr>
        <w:t>.</w:t>
      </w:r>
    </w:p>
  </w:footnote>
  <w:footnote w:id="571">
    <w:p w14:paraId="7AC8431D" w14:textId="7DACAC48" w:rsidR="009F4F6E" w:rsidRDefault="009F4F6E" w:rsidP="009F4F6E">
      <w:pPr>
        <w:pStyle w:val="FootnoteText"/>
      </w:pPr>
      <w:r>
        <w:rPr>
          <w:rStyle w:val="FootnoteReference"/>
        </w:rPr>
        <w:footnoteRef/>
      </w:r>
      <w:r>
        <w:t xml:space="preserve"> </w:t>
      </w:r>
      <w:r>
        <w:tab/>
      </w:r>
      <w:r w:rsidRPr="00742709">
        <w:rPr>
          <w:i/>
          <w:iCs/>
        </w:rPr>
        <w:t>Hamed v R</w:t>
      </w:r>
      <w:r w:rsidRPr="00742709">
        <w:t xml:space="preserve"> [2011] NZSC 101, [2012] 2 NZLR 305</w:t>
      </w:r>
      <w:r>
        <w:t xml:space="preserve"> at [201] per Blanchard J and [276] per McGrath J. Tipping J disagreed (at [237]), suggesting it would be inconsistent with Parliament’s approach to consider the centrality of the evidence to the prosecution case (whether under </w:t>
      </w:r>
      <w:r w:rsidR="00D8628A">
        <w:t>s</w:t>
      </w:r>
      <w:r>
        <w:t xml:space="preserve"> 30(3)(c) or as a separate factor). Elias CJ and Gault J did not address the issue.</w:t>
      </w:r>
    </w:p>
  </w:footnote>
  <w:footnote w:id="572">
    <w:p w14:paraId="6FC3B5C4"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Second Review of the Evidence Act</w:t>
      </w:r>
      <w:r w:rsidRPr="00120B09">
        <w:t xml:space="preserve"> (NZLC R142, 2019) at [7.24]. </w:t>
      </w:r>
    </w:p>
  </w:footnote>
  <w:footnote w:id="573">
    <w:p w14:paraId="42211CF5"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Second Review of the Evidence Act</w:t>
      </w:r>
      <w:r w:rsidRPr="00120B09">
        <w:t xml:space="preserve"> (NZLC R142, 2019) at [7.23]).</w:t>
      </w:r>
    </w:p>
  </w:footnote>
  <w:footnote w:id="574">
    <w:p w14:paraId="0B60CD7B" w14:textId="4650150C" w:rsidR="009F4F6E" w:rsidRPr="00120B09" w:rsidRDefault="009F4F6E" w:rsidP="009F4F6E">
      <w:pPr>
        <w:pStyle w:val="FootnoteText"/>
      </w:pPr>
      <w:r w:rsidRPr="00120B09">
        <w:rPr>
          <w:rStyle w:val="FootnoteReference"/>
        </w:rPr>
        <w:footnoteRef/>
      </w:r>
      <w:r w:rsidRPr="00120B09">
        <w:t xml:space="preserve"> </w:t>
      </w:r>
      <w:r w:rsidRPr="00120B09">
        <w:tab/>
      </w:r>
      <w:r>
        <w:t xml:space="preserve">There are several recent examples but these cases remain subject to publication restrictions until final disposition of trial. </w:t>
      </w:r>
    </w:p>
  </w:footnote>
  <w:footnote w:id="575">
    <w:p w14:paraId="1BB79F6F" w14:textId="716F495B" w:rsidR="009F4F6E" w:rsidRDefault="009F4F6E" w:rsidP="009F4F6E">
      <w:pPr>
        <w:pStyle w:val="FootnoteText"/>
      </w:pPr>
      <w:r>
        <w:rPr>
          <w:rStyle w:val="FootnoteReference"/>
        </w:rPr>
        <w:footnoteRef/>
      </w:r>
      <w:r>
        <w:t xml:space="preserve"> </w:t>
      </w:r>
      <w:r>
        <w:tab/>
      </w:r>
      <w:r w:rsidRPr="00524FAB">
        <w:t xml:space="preserve">We note that where there are concerns about the reliability of the evidence, this may result in exclusion under </w:t>
      </w:r>
      <w:r w:rsidR="005400C9" w:rsidRPr="00524FAB">
        <w:t>Evidence Act 2006, s</w:t>
      </w:r>
      <w:r w:rsidRPr="00524FAB">
        <w:t xml:space="preserve"> 28 and/or </w:t>
      </w:r>
      <w:r w:rsidR="00D8628A">
        <w:t>s</w:t>
      </w:r>
      <w:r w:rsidRPr="00524FAB">
        <w:t xml:space="preserve"> 8. Any residual concerns about the reliability of evidence that is being considered under </w:t>
      </w:r>
      <w:r w:rsidR="00D8628A">
        <w:t>s</w:t>
      </w:r>
      <w:r w:rsidRPr="00524FAB">
        <w:t xml:space="preserve"> 30 could be taken into account as </w:t>
      </w:r>
      <w:r w:rsidRPr="00524FAB">
        <w:rPr>
          <w:i/>
          <w:iCs/>
        </w:rPr>
        <w:t xml:space="preserve">reducing </w:t>
      </w:r>
      <w:r w:rsidRPr="00524FAB">
        <w:t xml:space="preserve">the public interest in having the evidence considered by the fact-finder at trial. We also discuss in Chapter 6 and in the “Other </w:t>
      </w:r>
      <w:r w:rsidR="00DB74EB">
        <w:t>factors</w:t>
      </w:r>
      <w:r w:rsidRPr="00524FAB">
        <w:t xml:space="preserve">” section below the option of introducing a separate factor allowing the risk of unreliability associated with an investigatory technique to be taken into account under </w:t>
      </w:r>
      <w:r w:rsidR="00D8628A">
        <w:t>s</w:t>
      </w:r>
      <w:r w:rsidRPr="00524FAB">
        <w:t xml:space="preserve"> 30(3) (which would be relevant to the seriousness of the impropriety).</w:t>
      </w:r>
    </w:p>
  </w:footnote>
  <w:footnote w:id="576">
    <w:p w14:paraId="6E6C1E31" w14:textId="77777777" w:rsidR="009F4F6E" w:rsidRDefault="009F4F6E" w:rsidP="009F4F6E">
      <w:pPr>
        <w:pStyle w:val="FootnoteText"/>
      </w:pPr>
      <w:r>
        <w:rPr>
          <w:rStyle w:val="FootnoteReference"/>
        </w:rPr>
        <w:footnoteRef/>
      </w:r>
      <w:r>
        <w:t xml:space="preserve"> </w:t>
      </w:r>
      <w:r>
        <w:tab/>
      </w:r>
      <w:r w:rsidRPr="00742709">
        <w:rPr>
          <w:i/>
          <w:iCs/>
        </w:rPr>
        <w:t>Hamed v R</w:t>
      </w:r>
      <w:r w:rsidRPr="00742709">
        <w:t xml:space="preserve"> [2011] NZSC 101, [2012] 2 NZLR 305</w:t>
      </w:r>
      <w:r>
        <w:t xml:space="preserve"> at [65] per Elias CJ and [230] per Tipping J. This point was not directly addressed by the other members of the Court.</w:t>
      </w:r>
    </w:p>
  </w:footnote>
  <w:footnote w:id="577">
    <w:p w14:paraId="44CF38D5"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Second Review of the Evidence Act</w:t>
      </w:r>
      <w:r w:rsidRPr="00120B09">
        <w:t xml:space="preserve"> (NZLC R142, 2019) at [7.25]–[7.28].</w:t>
      </w:r>
    </w:p>
  </w:footnote>
  <w:footnote w:id="578">
    <w:p w14:paraId="5CC4271B"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Underwood v R</w:t>
      </w:r>
      <w:r w:rsidRPr="00120B09">
        <w:t xml:space="preserve"> [2016] NZCA 312, [2017] 2 NZLR 433.</w:t>
      </w:r>
    </w:p>
  </w:footnote>
  <w:footnote w:id="579">
    <w:p w14:paraId="6C1D2DF1"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Underwood v R</w:t>
      </w:r>
      <w:r w:rsidRPr="00120B09">
        <w:t xml:space="preserve"> [2016] NZCA 312, [2017] 2 NZLR 433 at [39]–[41].</w:t>
      </w:r>
    </w:p>
  </w:footnote>
  <w:footnote w:id="580">
    <w:p w14:paraId="36786F69" w14:textId="77777777" w:rsidR="009F4F6E" w:rsidRPr="00120B09" w:rsidRDefault="009F4F6E" w:rsidP="009F4F6E">
      <w:pPr>
        <w:pStyle w:val="FootnoteText"/>
      </w:pPr>
      <w:r w:rsidRPr="00120B09">
        <w:rPr>
          <w:rStyle w:val="FootnoteReference"/>
        </w:rPr>
        <w:footnoteRef/>
      </w:r>
      <w:r w:rsidRPr="00120B09">
        <w:t xml:space="preserve"> </w:t>
      </w:r>
      <w:r w:rsidRPr="00120B09">
        <w:tab/>
        <w:t>See the discussion in Scott Optican “Evidence” [2018] NZ L Rev 429 at 492–494.</w:t>
      </w:r>
    </w:p>
  </w:footnote>
  <w:footnote w:id="581">
    <w:p w14:paraId="4556E889"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Bowden v R</w:t>
      </w:r>
      <w:r w:rsidRPr="00120B09">
        <w:t xml:space="preserve"> [2018] NZCA 618 at [28] (although the evidence was excluded after assessment of other factors).</w:t>
      </w:r>
    </w:p>
  </w:footnote>
  <w:footnote w:id="582">
    <w:p w14:paraId="32239DFF" w14:textId="5DA8840B"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D (CA104-2017) v R</w:t>
      </w:r>
      <w:r w:rsidRPr="00120B09">
        <w:t xml:space="preserve"> [2018] NZCA 173 at [36]: “Where the nature of the breach is such as to raise concerns about the reliability of the evidence, [the seriousness of the offence] weighs against the admission of the evidence</w:t>
      </w:r>
      <w:r w:rsidR="004E53B8">
        <w:t>”.</w:t>
      </w:r>
    </w:p>
  </w:footnote>
  <w:footnote w:id="583">
    <w:p w14:paraId="1B710B64" w14:textId="5680B320" w:rsidR="009F4F6E" w:rsidRPr="00120B09" w:rsidRDefault="009F4F6E" w:rsidP="009F4F6E">
      <w:pPr>
        <w:pStyle w:val="FootnoteText"/>
      </w:pPr>
      <w:r w:rsidRPr="00120B09">
        <w:rPr>
          <w:rStyle w:val="FootnoteReference"/>
        </w:rPr>
        <w:footnoteRef/>
      </w:r>
      <w:r w:rsidRPr="00120B09">
        <w:t xml:space="preserve"> </w:t>
      </w:r>
      <w:r w:rsidRPr="00120B09">
        <w:tab/>
        <w:t xml:space="preserve">See </w:t>
      </w:r>
      <w:r w:rsidRPr="00120B09">
        <w:rPr>
          <w:i/>
          <w:iCs/>
        </w:rPr>
        <w:t>R v Shaheed</w:t>
      </w:r>
      <w:r w:rsidRPr="00120B09">
        <w:t xml:space="preserve"> [2002] 2 NZLR 377 (CA) at [15</w:t>
      </w:r>
      <w:r>
        <w:t>2</w:t>
      </w:r>
      <w:r w:rsidRPr="00120B09">
        <w:t>]</w:t>
      </w:r>
      <w:r>
        <w:t>: “</w:t>
      </w:r>
      <w:r w:rsidRPr="00AA6711">
        <w:t>Weight is given to the seriousness of the crime not because the infringed right is less valuable to an accused murderer than it would be to, say, an accused burglar, but in recognition of the enhanced public interest in convicting and confining the murderer</w:t>
      </w:r>
      <w:r w:rsidR="004E53B8">
        <w:t>”.</w:t>
      </w:r>
    </w:p>
  </w:footnote>
  <w:footnote w:id="584">
    <w:p w14:paraId="5ACEC74E" w14:textId="0D5DEE25" w:rsidR="009F4F6E" w:rsidRPr="00120B09" w:rsidRDefault="009F4F6E" w:rsidP="009F4F6E">
      <w:pPr>
        <w:pStyle w:val="FootnoteText"/>
      </w:pPr>
      <w:r w:rsidRPr="00120B09">
        <w:rPr>
          <w:rStyle w:val="FootnoteReference"/>
        </w:rPr>
        <w:footnoteRef/>
      </w:r>
      <w:r w:rsidRPr="00120B09">
        <w:t xml:space="preserve"> </w:t>
      </w:r>
      <w:r w:rsidRPr="00120B09">
        <w:tab/>
        <w:t xml:space="preserve">See the discussion in </w:t>
      </w:r>
      <w:r w:rsidR="0064416E">
        <w:t xml:space="preserve">Te Aka Matua o te Ture | Law Commission </w:t>
      </w:r>
      <w:r w:rsidR="0064416E" w:rsidRPr="0064416E">
        <w:rPr>
          <w:i/>
          <w:iCs/>
        </w:rPr>
        <w:t>Second Review of the Evidence Act 2006 | Te Arotake Tuarua i te Evidence Act 2006</w:t>
      </w:r>
      <w:r w:rsidR="0064416E">
        <w:t xml:space="preserve"> (NZLC IP42, 2018)</w:t>
      </w:r>
      <w:r w:rsidRPr="00120B09">
        <w:t xml:space="preserve"> at [7.38]–[7.41].</w:t>
      </w:r>
    </w:p>
  </w:footnote>
  <w:footnote w:id="585">
    <w:p w14:paraId="49C0DC38"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Hamed v R</w:t>
      </w:r>
      <w:r w:rsidRPr="00120B09">
        <w:t xml:space="preserve"> [2011] NZSC 101, [2012] 2 NZLR 305 per </w:t>
      </w:r>
      <w:r w:rsidRPr="00120B09">
        <w:rPr>
          <w:lang w:eastAsia="en-AU"/>
        </w:rPr>
        <w:t xml:space="preserve">Blanchard J at [196], Tipping J at [246], McGrath J at [274]; </w:t>
      </w:r>
      <w:r w:rsidRPr="00120B09">
        <w:rPr>
          <w:i/>
          <w:iCs/>
        </w:rPr>
        <w:t>R v Chetty</w:t>
      </w:r>
      <w:r w:rsidRPr="00120B09">
        <w:t xml:space="preserve"> [2016] NZSC 68, [2018] 1 NZLR 26 </w:t>
      </w:r>
      <w:r w:rsidRPr="00120B09">
        <w:rPr>
          <w:lang w:eastAsia="en-AU"/>
        </w:rPr>
        <w:t>at [68].</w:t>
      </w:r>
    </w:p>
  </w:footnote>
  <w:footnote w:id="586">
    <w:p w14:paraId="06CD24DE" w14:textId="77777777" w:rsidR="009F4F6E" w:rsidRPr="00120B09" w:rsidRDefault="009F4F6E" w:rsidP="009F4F6E">
      <w:pPr>
        <w:pStyle w:val="FootnoteText"/>
      </w:pPr>
      <w:r w:rsidRPr="00120B09">
        <w:rPr>
          <w:rStyle w:val="FootnoteReference"/>
        </w:rPr>
        <w:footnoteRef/>
      </w:r>
      <w:r w:rsidRPr="00120B09">
        <w:t xml:space="preserve"> </w:t>
      </w:r>
      <w:r w:rsidRPr="00120B09">
        <w:tab/>
      </w:r>
      <w:r>
        <w:t xml:space="preserve">For example, </w:t>
      </w:r>
      <w:r w:rsidRPr="00120B09">
        <w:rPr>
          <w:i/>
          <w:iCs/>
        </w:rPr>
        <w:t>McGarrett v R</w:t>
      </w:r>
      <w:r w:rsidRPr="00120B09">
        <w:t xml:space="preserve"> [2017] NZCA 204 at [38]</w:t>
      </w:r>
      <w:r>
        <w:t xml:space="preserve"> and</w:t>
      </w:r>
      <w:r w:rsidRPr="00120B09">
        <w:rPr>
          <w:i/>
          <w:iCs/>
        </w:rPr>
        <w:t xml:space="preserve"> Cooper v Police</w:t>
      </w:r>
      <w:r w:rsidRPr="00120B09">
        <w:t xml:space="preserve"> [2020] NZHC 2514 at [38] (although in </w:t>
      </w:r>
      <w:r>
        <w:t>the latter</w:t>
      </w:r>
      <w:r w:rsidRPr="00120B09">
        <w:t xml:space="preserve"> case the officer was not aware of the availability of an alternative, so </w:t>
      </w:r>
      <w:r>
        <w:t xml:space="preserve">arguably </w:t>
      </w:r>
      <w:r w:rsidRPr="00120B09">
        <w:t>s 30(3)(e) was not engaged</w:t>
      </w:r>
      <w:r>
        <w:t>).</w:t>
      </w:r>
    </w:p>
  </w:footnote>
  <w:footnote w:id="587">
    <w:p w14:paraId="070C07EF"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Second Review of the Evidence Act</w:t>
      </w:r>
      <w:r w:rsidRPr="00120B09">
        <w:t xml:space="preserve"> (NZLC R142, 2019) at [7.36].</w:t>
      </w:r>
    </w:p>
  </w:footnote>
  <w:footnote w:id="588">
    <w:p w14:paraId="73990089"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Second Review of the Evidence Act</w:t>
      </w:r>
      <w:r w:rsidRPr="00120B09">
        <w:t xml:space="preserve"> (NZLC R142, 2019) at [7.38]–[7.39].</w:t>
      </w:r>
    </w:p>
  </w:footnote>
  <w:footnote w:id="589">
    <w:p w14:paraId="4FB6881F"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Second Review of the Evidence Act</w:t>
      </w:r>
      <w:r w:rsidRPr="00120B09">
        <w:t xml:space="preserve"> (NZLC R142, 2019) at [7.37].</w:t>
      </w:r>
    </w:p>
  </w:footnote>
  <w:footnote w:id="590">
    <w:p w14:paraId="2890ECF2" w14:textId="199AC424"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Cooper v Police</w:t>
      </w:r>
      <w:r w:rsidRPr="00120B09">
        <w:t xml:space="preserve"> [2020] NZHC 2514 at [38].</w:t>
      </w:r>
      <w:r>
        <w:t xml:space="preserve"> The other case remains subject to publication restrictions until final disposition of trial.</w:t>
      </w:r>
      <w:r w:rsidRPr="00120B09">
        <w:t xml:space="preserve"> In </w:t>
      </w:r>
      <w:r w:rsidRPr="00120B09">
        <w:rPr>
          <w:i/>
          <w:iCs/>
        </w:rPr>
        <w:t>Cooper</w:t>
      </w:r>
      <w:r w:rsidRPr="00120B09">
        <w:t xml:space="preserve">, the evidence was obtained through a warrantless search of the defendant’s vehicle in circumstances where the relevant warrantless power did not apply. The </w:t>
      </w:r>
      <w:r w:rsidR="005A7E32">
        <w:t>C</w:t>
      </w:r>
      <w:r w:rsidRPr="00120B09">
        <w:t xml:space="preserve">ourt considered, however, that a different warrantless power could have been relied on, which favoured admission of the evidence (we note that it is not clear this should not have engaged s 30(3)(e) at all, because the judgment does not suggest the officer </w:t>
      </w:r>
      <w:r>
        <w:t xml:space="preserve">knew </w:t>
      </w:r>
      <w:r w:rsidRPr="00120B09">
        <w:t>that the other warrantless power applied).</w:t>
      </w:r>
    </w:p>
  </w:footnote>
  <w:footnote w:id="591">
    <w:p w14:paraId="5ADED807" w14:textId="77777777" w:rsidR="009F4F6E" w:rsidRPr="00FC1796" w:rsidRDefault="009F4F6E" w:rsidP="009F4F6E">
      <w:pPr>
        <w:pStyle w:val="FootnoteText"/>
      </w:pPr>
      <w:r w:rsidRPr="00120B09">
        <w:rPr>
          <w:rStyle w:val="FootnoteReference"/>
        </w:rPr>
        <w:footnoteRef/>
      </w:r>
      <w:r w:rsidRPr="00120B09">
        <w:t xml:space="preserve"> </w:t>
      </w:r>
      <w:r w:rsidRPr="00120B09">
        <w:tab/>
      </w:r>
      <w:r>
        <w:t>This case remains subject to publication restrictions until final disposition of trial.</w:t>
      </w:r>
    </w:p>
  </w:footnote>
  <w:footnote w:id="592">
    <w:p w14:paraId="321275C3" w14:textId="09AABF24" w:rsidR="009F4F6E" w:rsidRPr="00120B09" w:rsidRDefault="009F4F6E" w:rsidP="009F4F6E">
      <w:pPr>
        <w:pStyle w:val="FootnoteText"/>
      </w:pPr>
      <w:r w:rsidRPr="00120B09">
        <w:rPr>
          <w:rStyle w:val="FootnoteReference"/>
        </w:rPr>
        <w:footnoteRef/>
      </w:r>
      <w:r w:rsidRPr="00120B09">
        <w:t xml:space="preserve"> </w:t>
      </w:r>
      <w:r w:rsidRPr="00120B09">
        <w:tab/>
        <w:t xml:space="preserve">See similarly Elias CJ’s dissenting judgment in </w:t>
      </w:r>
      <w:r w:rsidRPr="00120B09">
        <w:rPr>
          <w:i/>
          <w:iCs/>
        </w:rPr>
        <w:t>Hamed v R</w:t>
      </w:r>
      <w:r w:rsidRPr="00120B09">
        <w:t xml:space="preserve"> [2011] NZSC 101, [2012] 2 NZLR 305 at [73].</w:t>
      </w:r>
    </w:p>
  </w:footnote>
  <w:footnote w:id="593">
    <w:p w14:paraId="093C7EED"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Cooper v Police</w:t>
      </w:r>
      <w:r w:rsidRPr="00120B09">
        <w:t xml:space="preserve"> [2020] NZHC 2514 at [31].</w:t>
      </w:r>
    </w:p>
  </w:footnote>
  <w:footnote w:id="594">
    <w:p w14:paraId="70DE0FB4" w14:textId="62BE3EF6" w:rsidR="009F4F6E" w:rsidRPr="00120B09" w:rsidRDefault="009F4F6E" w:rsidP="009F4F6E">
      <w:pPr>
        <w:pStyle w:val="FootnoteText"/>
      </w:pPr>
      <w:r w:rsidRPr="00120B09">
        <w:rPr>
          <w:rStyle w:val="FootnoteReference"/>
        </w:rPr>
        <w:footnoteRef/>
      </w:r>
      <w:r w:rsidRPr="00120B09">
        <w:t xml:space="preserve"> </w:t>
      </w:r>
      <w:r w:rsidRPr="00120B09">
        <w:tab/>
        <w:t>This would also mean that</w:t>
      </w:r>
      <w:r w:rsidR="00BB25BA">
        <w:t>,</w:t>
      </w:r>
      <w:r w:rsidRPr="00120B09">
        <w:t xml:space="preserve"> where the breach is inadvertent, the availability or absence of other techniques would not generally be relevant. We suggest that may be the best approach. For example, if investigators knew there were other investigatory techniques available but did not realise the technique </w:t>
      </w:r>
      <w:r w:rsidR="00BB25BA">
        <w:t xml:space="preserve">they </w:t>
      </w:r>
      <w:r w:rsidRPr="00120B09">
        <w:t>were using was improper, we see no reason to treat the availability of alternatives as favouring exclusion.</w:t>
      </w:r>
    </w:p>
  </w:footnote>
  <w:footnote w:id="595">
    <w:p w14:paraId="120D62C8" w14:textId="61952A70" w:rsidR="009F4F6E" w:rsidRPr="00120B09" w:rsidRDefault="009F4F6E" w:rsidP="009F4F6E">
      <w:pPr>
        <w:pStyle w:val="FootnoteText"/>
      </w:pPr>
      <w:r w:rsidRPr="00120B09">
        <w:rPr>
          <w:rStyle w:val="FootnoteReference"/>
        </w:rPr>
        <w:footnoteRef/>
      </w:r>
      <w:r w:rsidRPr="00120B09">
        <w:t xml:space="preserve"> </w:t>
      </w:r>
      <w:r w:rsidRPr="00120B09">
        <w:tab/>
      </w:r>
      <w:r w:rsidR="000F53BE">
        <w:rPr>
          <w:lang w:eastAsia="en-AU"/>
        </w:rPr>
        <w:t>A</w:t>
      </w:r>
      <w:r w:rsidRPr="00120B09">
        <w:rPr>
          <w:lang w:eastAsia="en-AU"/>
        </w:rPr>
        <w:t>s discuss</w:t>
      </w:r>
      <w:r w:rsidR="005701D9">
        <w:rPr>
          <w:lang w:eastAsia="en-AU"/>
        </w:rPr>
        <w:t>ed</w:t>
      </w:r>
      <w:r w:rsidRPr="00120B09">
        <w:rPr>
          <w:lang w:eastAsia="en-AU"/>
        </w:rPr>
        <w:t xml:space="preserve"> further below</w:t>
      </w:r>
      <w:r w:rsidR="005701D9">
        <w:rPr>
          <w:lang w:eastAsia="en-AU"/>
        </w:rPr>
        <w:t>,</w:t>
      </w:r>
      <w:r w:rsidRPr="00120B09">
        <w:rPr>
          <w:lang w:eastAsia="en-AU"/>
        </w:rPr>
        <w:t xml:space="preserve"> </w:t>
      </w:r>
      <w:r w:rsidR="005701D9">
        <w:rPr>
          <w:lang w:eastAsia="en-AU"/>
        </w:rPr>
        <w:t xml:space="preserve">we note that </w:t>
      </w:r>
      <w:r w:rsidRPr="00120B09">
        <w:rPr>
          <w:lang w:eastAsia="en-AU"/>
        </w:rPr>
        <w:t xml:space="preserve">where there is urgency or physical danger, a warrantless power will often apply and should be relied upon if the officers involved are aware of it. If they are not aware of it, the “other investigatory techniques” factor will not apply in any event since it relates to other techniques </w:t>
      </w:r>
      <w:r w:rsidRPr="00120B09">
        <w:rPr>
          <w:i/>
          <w:iCs/>
          <w:lang w:eastAsia="en-AU"/>
        </w:rPr>
        <w:t>known to be available</w:t>
      </w:r>
      <w:r w:rsidRPr="00120B09">
        <w:rPr>
          <w:lang w:eastAsia="en-AU"/>
        </w:rPr>
        <w:t>.</w:t>
      </w:r>
    </w:p>
  </w:footnote>
  <w:footnote w:id="596">
    <w:p w14:paraId="269345D6"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[153].</w:t>
      </w:r>
    </w:p>
  </w:footnote>
  <w:footnote w:id="597">
    <w:p w14:paraId="7AEAD88A"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[154].</w:t>
      </w:r>
    </w:p>
  </w:footnote>
  <w:footnote w:id="598">
    <w:p w14:paraId="1E821002" w14:textId="7E2BA84F" w:rsidR="009F4F6E" w:rsidRPr="00120B09" w:rsidRDefault="009F4F6E" w:rsidP="009F4F6E">
      <w:pPr>
        <w:pStyle w:val="FootnoteText"/>
      </w:pPr>
      <w:r w:rsidRPr="00120B09">
        <w:rPr>
          <w:rStyle w:val="FootnoteReference"/>
        </w:rPr>
        <w:footnoteRef/>
      </w:r>
      <w:r w:rsidRPr="00120B09">
        <w:t xml:space="preserve"> </w:t>
      </w:r>
      <w:r w:rsidRPr="00120B09">
        <w:tab/>
        <w:t xml:space="preserve">See </w:t>
      </w:r>
      <w:r w:rsidRPr="00120B09">
        <w:rPr>
          <w:i/>
          <w:iCs/>
          <w:lang w:eastAsia="en-AU"/>
        </w:rPr>
        <w:t xml:space="preserve">R v Williams </w:t>
      </w:r>
      <w:r w:rsidRPr="00120B09">
        <w:t xml:space="preserve">[2007] NZCA 52, </w:t>
      </w:r>
      <w:r w:rsidRPr="00120B09">
        <w:rPr>
          <w:lang w:eastAsia="en-AU"/>
        </w:rPr>
        <w:t xml:space="preserve">[2007] 3 NZLR 207 </w:t>
      </w:r>
      <w:r w:rsidRPr="00120B09">
        <w:t xml:space="preserve">at [152], noting the potential inconsistency between the inclusion of this factor and the approach in </w:t>
      </w:r>
      <w:r w:rsidRPr="00120B09">
        <w:rPr>
          <w:i/>
          <w:iCs/>
        </w:rPr>
        <w:t xml:space="preserve">Shaheed. </w:t>
      </w:r>
      <w:r w:rsidRPr="00120B09">
        <w:t xml:space="preserve">We found no indication in legislative materials that </w:t>
      </w:r>
      <w:r w:rsidR="00D8628A">
        <w:t>s</w:t>
      </w:r>
      <w:r w:rsidRPr="00120B09">
        <w:t xml:space="preserve"> 30 was intended to take a different approach to </w:t>
      </w:r>
      <w:r w:rsidRPr="00120B09">
        <w:rPr>
          <w:i/>
          <w:iCs/>
        </w:rPr>
        <w:t xml:space="preserve">Shaheed </w:t>
      </w:r>
      <w:r w:rsidRPr="00120B09">
        <w:t>in this regard.</w:t>
      </w:r>
    </w:p>
  </w:footnote>
  <w:footnote w:id="599">
    <w:p w14:paraId="7EACE986" w14:textId="756A105F"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Hamed v R</w:t>
      </w:r>
      <w:r w:rsidRPr="00120B09">
        <w:t xml:space="preserve"> [2011] NZSC 101, [2012] 2 NZLR at [202] per Blanchard J and [247] per Tipping J; </w:t>
      </w:r>
      <w:r w:rsidRPr="00120B09">
        <w:rPr>
          <w:i/>
          <w:iCs/>
        </w:rPr>
        <w:t>R v Balsley</w:t>
      </w:r>
      <w:r w:rsidRPr="00120B09">
        <w:rPr>
          <w:rFonts w:ascii="Calibri" w:hAnsi="Calibri" w:cs="Calibri"/>
        </w:rPr>
        <w:t> </w:t>
      </w:r>
      <w:r w:rsidRPr="00120B09">
        <w:t>[2013] NZCA 258 at [34]</w:t>
      </w:r>
      <w:r w:rsidR="00D12C6C">
        <w:t>.</w:t>
      </w:r>
      <w:r w:rsidR="007F130E">
        <w:t xml:space="preserve"> Th</w:t>
      </w:r>
      <w:r w:rsidR="007B5C3C">
        <w:t>is</w:t>
      </w:r>
      <w:r w:rsidR="007F130E">
        <w:t xml:space="preserve"> </w:t>
      </w:r>
      <w:r w:rsidR="001D362E">
        <w:t xml:space="preserve">view </w:t>
      </w:r>
      <w:r w:rsidR="0037267D">
        <w:t xml:space="preserve">is also </w:t>
      </w:r>
      <w:r w:rsidR="001D362E">
        <w:t>expressed in</w:t>
      </w:r>
      <w:r w:rsidR="00DC0EC2">
        <w:t xml:space="preserve"> a</w:t>
      </w:r>
      <w:r w:rsidR="001D362E">
        <w:t xml:space="preserve"> </w:t>
      </w:r>
      <w:r w:rsidR="0037267D">
        <w:t xml:space="preserve">recent </w:t>
      </w:r>
      <w:r w:rsidR="007F130E">
        <w:t>case</w:t>
      </w:r>
      <w:r w:rsidR="00DC0EC2">
        <w:t xml:space="preserve"> </w:t>
      </w:r>
      <w:r w:rsidR="00D8251B">
        <w:t xml:space="preserve">subject to </w:t>
      </w:r>
      <w:r w:rsidR="00DC0EC2">
        <w:t>publication restrictions until final disposition of trial</w:t>
      </w:r>
      <w:r w:rsidR="006B54E8">
        <w:t>.</w:t>
      </w:r>
    </w:p>
  </w:footnote>
  <w:footnote w:id="600">
    <w:p w14:paraId="4A87C0DA" w14:textId="6AD93638"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lang w:eastAsia="en-AU"/>
        </w:rPr>
        <w:t xml:space="preserve">In </w:t>
      </w:r>
      <w:r>
        <w:rPr>
          <w:lang w:eastAsia="en-AU"/>
        </w:rPr>
        <w:t>one</w:t>
      </w:r>
      <w:r w:rsidRPr="00120B09">
        <w:rPr>
          <w:lang w:eastAsia="en-AU"/>
        </w:rPr>
        <w:t xml:space="preserve"> case, the fact that some evidence had already been excluded was treated as a meaningful vindication of the defendant’s rights (</w:t>
      </w:r>
      <w:r w:rsidRPr="00120B09">
        <w:rPr>
          <w:i/>
          <w:iCs/>
        </w:rPr>
        <w:t>Baylis v R</w:t>
      </w:r>
      <w:r w:rsidRPr="00120B09">
        <w:t xml:space="preserve"> [2019] NZCA 141 at [36]).</w:t>
      </w:r>
      <w:r>
        <w:t xml:space="preserve"> In the other case (which remains subject to publication restrictions until final disposition of trial)</w:t>
      </w:r>
      <w:r w:rsidR="00DC0EC2">
        <w:t>,</w:t>
      </w:r>
      <w:r>
        <w:t xml:space="preserve"> the High Court suggested </w:t>
      </w:r>
      <w:r>
        <w:rPr>
          <w:lang w:eastAsia="en-AU"/>
        </w:rPr>
        <w:t xml:space="preserve">it </w:t>
      </w:r>
      <w:r w:rsidRPr="003B3598">
        <w:rPr>
          <w:lang w:eastAsia="en-AU"/>
        </w:rPr>
        <w:t>would be open to a sentencing court to take the breach into account in sentencing</w:t>
      </w:r>
      <w:r>
        <w:rPr>
          <w:lang w:eastAsia="en-AU"/>
        </w:rPr>
        <w:t xml:space="preserve">. We note that taking this into account as a factor favouring admission would appear contrary to the discussion in </w:t>
      </w:r>
      <w:r w:rsidRPr="00E315AD">
        <w:rPr>
          <w:i/>
          <w:iCs/>
          <w:lang w:eastAsia="en-AU"/>
        </w:rPr>
        <w:t>Shaheed</w:t>
      </w:r>
      <w:r>
        <w:rPr>
          <w:lang w:eastAsia="en-AU"/>
        </w:rPr>
        <w:t xml:space="preserve"> referred to above.</w:t>
      </w:r>
    </w:p>
  </w:footnote>
  <w:footnote w:id="601">
    <w:p w14:paraId="54FE38BF"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Ward v R</w:t>
      </w:r>
      <w:r w:rsidRPr="00120B09">
        <w:t xml:space="preserve"> [2016] NZCA 580 at [58]–[59].</w:t>
      </w:r>
    </w:p>
  </w:footnote>
  <w:footnote w:id="602">
    <w:p w14:paraId="37D3D127"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Balsley</w:t>
      </w:r>
      <w:r w:rsidRPr="00120B09">
        <w:rPr>
          <w:rFonts w:ascii="Calibri" w:hAnsi="Calibri" w:cs="Calibri"/>
        </w:rPr>
        <w:t> </w:t>
      </w:r>
      <w:r w:rsidRPr="00120B09">
        <w:t>[2013] NZCA 258 at [34];</w:t>
      </w:r>
      <w:r>
        <w:rPr>
          <w:rFonts w:ascii="Verdana" w:hAnsi="Verdana"/>
          <w:color w:val="212121"/>
          <w:sz w:val="18"/>
          <w:szCs w:val="18"/>
          <w:bdr w:val="none" w:sz="0" w:space="0" w:color="auto" w:frame="1"/>
          <w:shd w:val="clear" w:color="auto" w:fill="FFFFFF"/>
        </w:rPr>
        <w:t xml:space="preserve"> </w:t>
      </w:r>
      <w:r w:rsidRPr="00120B09">
        <w:rPr>
          <w:i/>
          <w:iCs/>
        </w:rPr>
        <w:t>Ahuja v Police</w:t>
      </w:r>
      <w:r w:rsidRPr="00120B09">
        <w:t xml:space="preserve"> [2019] NZHC 2010 at [71] (reversed in </w:t>
      </w:r>
      <w:r w:rsidRPr="00120B09">
        <w:rPr>
          <w:i/>
          <w:iCs/>
        </w:rPr>
        <w:t>Ahuja v Police</w:t>
      </w:r>
      <w:r w:rsidRPr="00120B09">
        <w:t xml:space="preserve"> [2019] NZCA 643 but without comment on this point); </w:t>
      </w:r>
      <w:r w:rsidRPr="00120B09">
        <w:rPr>
          <w:i/>
          <w:iCs/>
        </w:rPr>
        <w:t>Police v Fox</w:t>
      </w:r>
      <w:r w:rsidRPr="00120B09">
        <w:t xml:space="preserve"> [2017] NZDC 21454 at [31]; </w:t>
      </w:r>
      <w:r w:rsidRPr="00120B09">
        <w:rPr>
          <w:i/>
          <w:iCs/>
        </w:rPr>
        <w:t>Cameron v Police</w:t>
      </w:r>
      <w:r w:rsidRPr="00120B09">
        <w:t xml:space="preserve"> [2015] NZHC 2957 at [54].</w:t>
      </w:r>
    </w:p>
  </w:footnote>
  <w:footnote w:id="603">
    <w:p w14:paraId="540B8FDF"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Shaheed</w:t>
      </w:r>
      <w:r w:rsidRPr="00120B09">
        <w:t xml:space="preserve"> [2002] 2 NZLR 377 (CA) at [147]; </w:t>
      </w:r>
      <w:r w:rsidRPr="00120B09">
        <w:rPr>
          <w:i/>
          <w:iCs/>
          <w:lang w:eastAsia="en-AU"/>
        </w:rPr>
        <w:t xml:space="preserve">R v </w:t>
      </w:r>
      <w:r w:rsidRPr="00120B09">
        <w:rPr>
          <w:i/>
        </w:rPr>
        <w:t xml:space="preserve">Williams </w:t>
      </w:r>
      <w:r w:rsidRPr="00120B09">
        <w:t xml:space="preserve">[2007] NZCA 52, </w:t>
      </w:r>
      <w:r w:rsidRPr="00120B09">
        <w:rPr>
          <w:lang w:eastAsia="en-AU"/>
        </w:rPr>
        <w:t xml:space="preserve">[2007] 3 NZLR 207 </w:t>
      </w:r>
      <w:r w:rsidRPr="00120B09">
        <w:t>at [123].</w:t>
      </w:r>
    </w:p>
  </w:footnote>
  <w:footnote w:id="604">
    <w:p w14:paraId="5A9B3B85" w14:textId="77777777" w:rsidR="009F4F6E" w:rsidRDefault="009F4F6E" w:rsidP="009F4F6E">
      <w:pPr>
        <w:pStyle w:val="FootnoteText"/>
      </w:pPr>
      <w:r>
        <w:rPr>
          <w:rStyle w:val="FootnoteReference"/>
        </w:rPr>
        <w:footnoteRef/>
      </w:r>
      <w:r>
        <w:t xml:space="preserve"> </w:t>
      </w:r>
      <w:r>
        <w:tab/>
      </w:r>
      <w:r w:rsidRPr="00AC4D40">
        <w:rPr>
          <w:i/>
          <w:iCs/>
        </w:rPr>
        <w:t>R v Jefferies</w:t>
      </w:r>
      <w:r w:rsidRPr="003C6B75">
        <w:t xml:space="preserve"> [1994] 1 NZLR 290</w:t>
      </w:r>
      <w:r>
        <w:t xml:space="preserve">, discussed in </w:t>
      </w:r>
      <w:r w:rsidRPr="00AC4D40">
        <w:rPr>
          <w:i/>
          <w:iCs/>
        </w:rPr>
        <w:t>R v Williams</w:t>
      </w:r>
      <w:r w:rsidRPr="008B494E">
        <w:t xml:space="preserve"> [2007] NZCA 52, [2007] 3 NZLR 207</w:t>
      </w:r>
      <w:r>
        <w:t xml:space="preserve"> at [12] and [19].</w:t>
      </w:r>
    </w:p>
  </w:footnote>
  <w:footnote w:id="605">
    <w:p w14:paraId="10475189" w14:textId="77777777" w:rsidR="009F4F6E" w:rsidRDefault="009F4F6E" w:rsidP="009F4F6E">
      <w:pPr>
        <w:pStyle w:val="FootnoteText"/>
      </w:pPr>
      <w:r>
        <w:rPr>
          <w:rStyle w:val="FootnoteReference"/>
        </w:rPr>
        <w:footnoteRef/>
      </w:r>
      <w:r>
        <w:t xml:space="preserve"> </w:t>
      </w:r>
      <w:r>
        <w:tab/>
      </w:r>
      <w:r w:rsidRPr="00ED71FE">
        <w:rPr>
          <w:i/>
          <w:iCs/>
        </w:rPr>
        <w:t>R v Williams</w:t>
      </w:r>
      <w:r w:rsidRPr="008B494E">
        <w:t xml:space="preserve"> [2007] NZCA 52, [2007] 3 NZLR 207</w:t>
      </w:r>
      <w:r>
        <w:t xml:space="preserve"> at [20].</w:t>
      </w:r>
    </w:p>
  </w:footnote>
  <w:footnote w:id="606">
    <w:p w14:paraId="1B0F9DAF" w14:textId="77777777" w:rsidR="009F4F6E" w:rsidRPr="00120B09" w:rsidRDefault="009F4F6E" w:rsidP="009F4F6E">
      <w:pPr>
        <w:pStyle w:val="FootnoteText"/>
      </w:pPr>
      <w:r w:rsidRPr="00120B09">
        <w:rPr>
          <w:rStyle w:val="FootnoteReference"/>
        </w:rPr>
        <w:footnoteRef/>
      </w:r>
      <w:r w:rsidRPr="00120B09">
        <w:t xml:space="preserve"> </w:t>
      </w:r>
      <w:r w:rsidRPr="00120B09">
        <w:tab/>
        <w:t>Search and Surveillance Act 2012, ss 8, 15 and 16.</w:t>
      </w:r>
    </w:p>
  </w:footnote>
  <w:footnote w:id="607">
    <w:p w14:paraId="4120FCCB" w14:textId="77777777" w:rsidR="009F4F6E" w:rsidRPr="00120B09" w:rsidRDefault="009F4F6E" w:rsidP="009F4F6E">
      <w:pPr>
        <w:pStyle w:val="FootnoteText"/>
      </w:pPr>
      <w:r w:rsidRPr="00120B09">
        <w:rPr>
          <w:rStyle w:val="FootnoteReference"/>
        </w:rPr>
        <w:footnoteRef/>
      </w:r>
      <w:r w:rsidRPr="00120B09">
        <w:t xml:space="preserve"> </w:t>
      </w:r>
      <w:r w:rsidRPr="00120B09">
        <w:tab/>
        <w:t>Search and Surveillance Act 2012, s 14.</w:t>
      </w:r>
    </w:p>
  </w:footnote>
  <w:footnote w:id="608">
    <w:p w14:paraId="298ED6C2" w14:textId="77777777" w:rsidR="009F4F6E" w:rsidRPr="00120B09" w:rsidRDefault="009F4F6E" w:rsidP="009F4F6E">
      <w:pPr>
        <w:pStyle w:val="FootnoteText"/>
      </w:pPr>
      <w:r w:rsidRPr="00120B09">
        <w:rPr>
          <w:rStyle w:val="FootnoteReference"/>
        </w:rPr>
        <w:footnoteRef/>
      </w:r>
      <w:r w:rsidRPr="00120B09">
        <w:t xml:space="preserve"> </w:t>
      </w:r>
      <w:r w:rsidRPr="00120B09">
        <w:tab/>
        <w:t>Search and Surveillance Act 2012, s 18.</w:t>
      </w:r>
    </w:p>
  </w:footnote>
  <w:footnote w:id="609">
    <w:p w14:paraId="67D1903D"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Waite v Police</w:t>
      </w:r>
      <w:r w:rsidRPr="00120B09">
        <w:t xml:space="preserve"> [2019] NZHC 213 at [49] and [54]; </w:t>
      </w:r>
      <w:r w:rsidRPr="00120B09">
        <w:rPr>
          <w:i/>
          <w:iCs/>
        </w:rPr>
        <w:t>Smith v Police</w:t>
      </w:r>
      <w:r w:rsidRPr="00120B09">
        <w:t xml:space="preserve"> [2019] NZHC 2371 at [67]–[68] and [89]; </w:t>
      </w:r>
      <w:r w:rsidRPr="00120B09">
        <w:rPr>
          <w:i/>
          <w:iCs/>
        </w:rPr>
        <w:t>Grant v Police</w:t>
      </w:r>
      <w:r w:rsidRPr="00120B09">
        <w:t xml:space="preserve"> [2021] NZHC 2297 at [69]–[70] and [95].</w:t>
      </w:r>
    </w:p>
  </w:footnote>
  <w:footnote w:id="610">
    <w:p w14:paraId="6D97641A" w14:textId="34447006" w:rsidR="009F4F6E" w:rsidRPr="00120B09" w:rsidRDefault="009F4F6E" w:rsidP="009F4F6E">
      <w:pPr>
        <w:pStyle w:val="FootnoteText"/>
      </w:pPr>
      <w:r w:rsidRPr="00120B09">
        <w:rPr>
          <w:rStyle w:val="FootnoteReference"/>
        </w:rPr>
        <w:footnoteRef/>
      </w:r>
      <w:r w:rsidRPr="00120B09">
        <w:t xml:space="preserve"> </w:t>
      </w:r>
      <w:r w:rsidRPr="00120B09">
        <w:tab/>
        <w:t xml:space="preserve">Elisabeth McDonald and Scott Optican </w:t>
      </w:r>
      <w:r w:rsidRPr="00120B09">
        <w:rPr>
          <w:i/>
          <w:iCs/>
        </w:rPr>
        <w:t xml:space="preserve">Mahoney on Evidence: Act &amp; Analysis </w:t>
      </w:r>
      <w:r w:rsidRPr="00120B09">
        <w:t>(</w:t>
      </w:r>
      <w:r w:rsidR="00871DE3" w:rsidRPr="00871DE3">
        <w:t>4th ed, Thomson Reuters, Wellington, 2018</w:t>
      </w:r>
      <w:r w:rsidRPr="00120B09">
        <w:t>)</w:t>
      </w:r>
      <w:r w:rsidRPr="00120B09">
        <w:rPr>
          <w:i/>
          <w:iCs/>
        </w:rPr>
        <w:t xml:space="preserve"> </w:t>
      </w:r>
      <w:r w:rsidRPr="00120B09">
        <w:t>at [EA30.12(9)].</w:t>
      </w:r>
    </w:p>
  </w:footnote>
  <w:footnote w:id="611">
    <w:p w14:paraId="63E82185" w14:textId="77777777" w:rsidR="009F4F6E" w:rsidRDefault="009F4F6E" w:rsidP="009F4F6E">
      <w:pPr>
        <w:pStyle w:val="FootnoteText"/>
      </w:pPr>
      <w:r>
        <w:rPr>
          <w:rStyle w:val="FootnoteReference"/>
        </w:rPr>
        <w:footnoteRef/>
      </w:r>
      <w:r>
        <w:t xml:space="preserve"> </w:t>
      </w:r>
      <w:r>
        <w:tab/>
        <w:t xml:space="preserve">Many regulatory statutes contain warrantless entry, search and seizure powers. See, for example, the Customs and Excise Act 2018, part 4 and the </w:t>
      </w:r>
      <w:r w:rsidRPr="00500725">
        <w:t>Films, Videos, and Publications Classification</w:t>
      </w:r>
      <w:r>
        <w:t xml:space="preserve"> Act 1993, part 7.</w:t>
      </w:r>
    </w:p>
  </w:footnote>
  <w:footnote w:id="612">
    <w:p w14:paraId="5B5AD0B1" w14:textId="4B1F79D6"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Cooper v Police</w:t>
      </w:r>
      <w:r w:rsidRPr="00120B09">
        <w:t xml:space="preserve"> [2020] NZHC 2514 at [40]–[41]. This is a separate consideration from the “other investigatory techniques” factor (</w:t>
      </w:r>
      <w:r w:rsidR="005400C9">
        <w:t>Evidence Act 2006, s</w:t>
      </w:r>
      <w:r w:rsidRPr="00120B09">
        <w:t xml:space="preserve"> 30(3)(e)), which relates to alternatives </w:t>
      </w:r>
      <w:r w:rsidRPr="00120B09">
        <w:rPr>
          <w:i/>
          <w:iCs/>
        </w:rPr>
        <w:t>known</w:t>
      </w:r>
      <w:r w:rsidRPr="00120B09">
        <w:t xml:space="preserve"> to be available but not used. In the situation we refer to here, other lawful powers were available but were </w:t>
      </w:r>
      <w:r w:rsidRPr="00120B09">
        <w:rPr>
          <w:i/>
          <w:iCs/>
        </w:rPr>
        <w:t>not known</w:t>
      </w:r>
      <w:r w:rsidRPr="00120B09">
        <w:t xml:space="preserve"> to be available (because the urgent or high-risk nature of the situation limits the officers’ ability to give proper consideration to alternatives).</w:t>
      </w:r>
    </w:p>
  </w:footnote>
  <w:footnote w:id="613">
    <w:p w14:paraId="46050D49"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Referring as an example to </w:t>
      </w:r>
      <w:r w:rsidRPr="00120B09">
        <w:rPr>
          <w:i/>
          <w:iCs/>
        </w:rPr>
        <w:t>Hall v R</w:t>
      </w:r>
      <w:r w:rsidRPr="00120B09">
        <w:t xml:space="preserve"> [2018] NZCA 279 at [49], [50] and [65].</w:t>
      </w:r>
    </w:p>
  </w:footnote>
  <w:footnote w:id="614">
    <w:p w14:paraId="4ADB9471" w14:textId="77777777" w:rsidR="009F4F6E" w:rsidRPr="00120B09" w:rsidRDefault="009F4F6E" w:rsidP="009F4F6E">
      <w:pPr>
        <w:pStyle w:val="FootnoteText"/>
      </w:pPr>
      <w:r w:rsidRPr="00120B09">
        <w:rPr>
          <w:rStyle w:val="FootnoteReference"/>
        </w:rPr>
        <w:footnoteRef/>
      </w:r>
      <w:r w:rsidRPr="00120B09">
        <w:t xml:space="preserve"> </w:t>
      </w:r>
      <w:r w:rsidRPr="00120B09">
        <w:tab/>
        <w:t xml:space="preserve">Te Aka Matua o te Ture | Law Commission </w:t>
      </w:r>
      <w:r w:rsidRPr="00120B09">
        <w:rPr>
          <w:i/>
          <w:iCs/>
        </w:rPr>
        <w:t>Second Review of the Evidence Act</w:t>
      </w:r>
      <w:r w:rsidRPr="00120B09">
        <w:t xml:space="preserve"> (NZLC R142, 2019) at [7.42].</w:t>
      </w:r>
    </w:p>
  </w:footnote>
  <w:footnote w:id="615">
    <w:p w14:paraId="64DA949B"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 xml:space="preserve">R v Bailey </w:t>
      </w:r>
      <w:r w:rsidRPr="00120B09">
        <w:t xml:space="preserve">[2017] NZCA 211 at [19]; </w:t>
      </w:r>
      <w:r w:rsidRPr="00120B09">
        <w:rPr>
          <w:i/>
          <w:iCs/>
        </w:rPr>
        <w:t>Baylis v R</w:t>
      </w:r>
      <w:r w:rsidRPr="00120B09">
        <w:t xml:space="preserve"> [2019] NZCA 141 at [36].</w:t>
      </w:r>
    </w:p>
  </w:footnote>
  <w:footnote w:id="616">
    <w:p w14:paraId="3083EB2E" w14:textId="3346B2AE"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Hamed v R</w:t>
      </w:r>
      <w:r w:rsidRPr="00120B09">
        <w:t xml:space="preserve"> [2011] NZSC 101, [2012] 2 NZLR 305 at [163] per Blanchard J</w:t>
      </w:r>
      <w:r>
        <w:t>, at</w:t>
      </w:r>
      <w:r w:rsidRPr="00120B09">
        <w:t xml:space="preserve"> [10]–[11] per Elias CJ</w:t>
      </w:r>
      <w:r>
        <w:t xml:space="preserve"> (</w:t>
      </w:r>
      <w:r w:rsidRPr="00120B09">
        <w:t>who took a broader view of what amounts to a “search” which would but not be limited to intrusions on reasonable expectations of privacy</w:t>
      </w:r>
      <w:r w:rsidR="00D8628A">
        <w:t>) at</w:t>
      </w:r>
      <w:r>
        <w:t xml:space="preserve"> </w:t>
      </w:r>
      <w:r w:rsidRPr="00120B09">
        <w:t>[263]</w:t>
      </w:r>
      <w:r>
        <w:t>–[265]</w:t>
      </w:r>
      <w:r w:rsidRPr="00120B09">
        <w:t xml:space="preserve"> per McGrath J and</w:t>
      </w:r>
      <w:r>
        <w:t xml:space="preserve"> at</w:t>
      </w:r>
      <w:r w:rsidRPr="00120B09">
        <w:t xml:space="preserve"> [281]</w:t>
      </w:r>
      <w:r>
        <w:t xml:space="preserve"> and [285]</w:t>
      </w:r>
      <w:r w:rsidRPr="00120B09">
        <w:t xml:space="preserve"> per Gault J. See also </w:t>
      </w:r>
      <w:r w:rsidRPr="00120B09">
        <w:rPr>
          <w:i/>
          <w:iCs/>
        </w:rPr>
        <w:t>R v Alsford</w:t>
      </w:r>
      <w:r w:rsidRPr="00120B09">
        <w:t xml:space="preserve"> [2017] NZSC 42</w:t>
      </w:r>
      <w:r w:rsidR="00984FDA">
        <w:t>,</w:t>
      </w:r>
      <w:r w:rsidRPr="00120B09">
        <w:t xml:space="preserve"> [2017] 1 NZLR 710 at [48]–[50]</w:t>
      </w:r>
      <w:r>
        <w:t>.</w:t>
      </w:r>
    </w:p>
  </w:footnote>
  <w:footnote w:id="617">
    <w:p w14:paraId="4FE21AA1" w14:textId="461D1ED5"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Makaea v R</w:t>
      </w:r>
      <w:r w:rsidRPr="00120B09">
        <w:t xml:space="preserve"> [2018] NZCA 284 at [45]; </w:t>
      </w:r>
      <w:r w:rsidRPr="00120B09">
        <w:rPr>
          <w:i/>
          <w:iCs/>
        </w:rPr>
        <w:t>Hamed v R</w:t>
      </w:r>
      <w:r w:rsidRPr="00120B09">
        <w:t xml:space="preserve"> [2011] NZSC 101, [2012] 2 NZLR 305 at [191] per B</w:t>
      </w:r>
      <w:r w:rsidR="0092208C">
        <w:t>l</w:t>
      </w:r>
      <w:r w:rsidRPr="00120B09">
        <w:t>anchard J.</w:t>
      </w:r>
    </w:p>
  </w:footnote>
  <w:footnote w:id="618">
    <w:p w14:paraId="302460F1" w14:textId="7E40B123"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Chetty</w:t>
      </w:r>
      <w:r w:rsidRPr="00120B09">
        <w:t xml:space="preserve"> [2016] NZSC 68, [2018] 1 NZLR 26 at [46]–[47]. The Court said “</w:t>
      </w:r>
      <w:r w:rsidRPr="00120B09">
        <w:rPr>
          <w:i/>
          <w:iCs/>
        </w:rPr>
        <w:t xml:space="preserve">almost </w:t>
      </w:r>
      <w:r w:rsidRPr="00120B09">
        <w:t>always” because it recognised that</w:t>
      </w:r>
      <w:r w:rsidR="00902AED">
        <w:t>,</w:t>
      </w:r>
      <w:r w:rsidRPr="00120B09">
        <w:t xml:space="preserve"> if the conduct in question has had a material detrimental impact on the court’s task, that might, in an appropriate case be sufficient to result in exclusion. (This was in the context of a breach of rule 5 of the </w:t>
      </w:r>
      <w:r w:rsidRPr="00120B09">
        <w:rPr>
          <w:color w:val="000000" w:themeColor="text1"/>
        </w:rPr>
        <w:t>Practice Note on Police Questioning</w:t>
      </w:r>
      <w:r w:rsidRPr="00120B09">
        <w:t>, which requires video recording of interviews</w:t>
      </w:r>
      <w:r w:rsidR="00D8628A">
        <w:t>).</w:t>
      </w:r>
    </w:p>
  </w:footnote>
  <w:footnote w:id="619">
    <w:p w14:paraId="7EA7B7D7" w14:textId="090A39CC"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W (C</w:t>
      </w:r>
      <w:r w:rsidR="00AA1B62">
        <w:rPr>
          <w:i/>
          <w:iCs/>
        </w:rPr>
        <w:t>A</w:t>
      </w:r>
      <w:r w:rsidRPr="00120B09">
        <w:rPr>
          <w:i/>
          <w:iCs/>
        </w:rPr>
        <w:t>226</w:t>
      </w:r>
      <w:r w:rsidR="00AA1B62">
        <w:rPr>
          <w:i/>
          <w:iCs/>
        </w:rPr>
        <w:t>/</w:t>
      </w:r>
      <w:r w:rsidRPr="00120B09">
        <w:rPr>
          <w:i/>
          <w:iCs/>
        </w:rPr>
        <w:t>2019) v R</w:t>
      </w:r>
      <w:r w:rsidRPr="00120B09">
        <w:t xml:space="preserve"> [2019] NZCA 558 at [113] (citations omitted).</w:t>
      </w:r>
    </w:p>
  </w:footnote>
  <w:footnote w:id="620">
    <w:p w14:paraId="0344BF73"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374FAF">
        <w:rPr>
          <w:i/>
          <w:iCs/>
        </w:rPr>
        <w:t xml:space="preserve">Nichol v R </w:t>
      </w:r>
      <w:r w:rsidRPr="00374FAF">
        <w:t xml:space="preserve">[2017] NZCA 140 at [25], citing </w:t>
      </w:r>
      <w:r w:rsidRPr="00374FAF">
        <w:rPr>
          <w:i/>
          <w:iCs/>
        </w:rPr>
        <w:t>R v Williams</w:t>
      </w:r>
      <w:r w:rsidRPr="00374FAF">
        <w:t xml:space="preserve"> [2007] NZCA 52, [2007] 3 NZLR 207 at [79] and </w:t>
      </w:r>
      <w:r w:rsidRPr="00374FAF">
        <w:rPr>
          <w:i/>
          <w:iCs/>
        </w:rPr>
        <w:t>Elia v R</w:t>
      </w:r>
      <w:r w:rsidRPr="00374FAF">
        <w:t xml:space="preserve"> [2012] NZCA 243, (2012) 29 FRNZ 27 at [35].</w:t>
      </w:r>
    </w:p>
  </w:footnote>
  <w:footnote w:id="621">
    <w:p w14:paraId="7F715A7E"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Chetty</w:t>
      </w:r>
      <w:r w:rsidRPr="00120B09">
        <w:t xml:space="preserve"> [2016] NZSC 68, [2018] 1 NZLR 26 at [61].</w:t>
      </w:r>
    </w:p>
  </w:footnote>
  <w:footnote w:id="622">
    <w:p w14:paraId="3AA98B10" w14:textId="6CBA3C23" w:rsidR="009F4F6E" w:rsidRPr="00120B09" w:rsidRDefault="009F4F6E" w:rsidP="009F4F6E">
      <w:pPr>
        <w:pStyle w:val="FootnoteText"/>
      </w:pPr>
      <w:r w:rsidRPr="00120B09">
        <w:rPr>
          <w:rStyle w:val="FootnoteReference"/>
        </w:rPr>
        <w:footnoteRef/>
      </w:r>
      <w:r w:rsidRPr="00120B09">
        <w:t xml:space="preserve"> </w:t>
      </w:r>
      <w:r w:rsidRPr="00120B09">
        <w:tab/>
        <w:t xml:space="preserve">See, for example, </w:t>
      </w:r>
      <w:r w:rsidRPr="00120B09">
        <w:rPr>
          <w:i/>
          <w:iCs/>
        </w:rPr>
        <w:t>W (CA226</w:t>
      </w:r>
      <w:r w:rsidR="00C40CE4">
        <w:rPr>
          <w:i/>
          <w:iCs/>
        </w:rPr>
        <w:t>/</w:t>
      </w:r>
      <w:r w:rsidRPr="00120B09">
        <w:rPr>
          <w:i/>
          <w:iCs/>
        </w:rPr>
        <w:t>2019) v R</w:t>
      </w:r>
      <w:r w:rsidRPr="00120B09">
        <w:t xml:space="preserve"> [2019] NZCA 558 at [132] (Mallon J dissenting at [139]) and </w:t>
      </w:r>
      <w:r w:rsidRPr="00120B09">
        <w:rPr>
          <w:i/>
          <w:iCs/>
        </w:rPr>
        <w:t>Swainbank v R</w:t>
      </w:r>
      <w:r w:rsidRPr="00120B09">
        <w:t xml:space="preserve"> [2021] NZCA 93 at [59].</w:t>
      </w:r>
    </w:p>
  </w:footnote>
  <w:footnote w:id="623">
    <w:p w14:paraId="1548B5F6" w14:textId="44693DA5" w:rsidR="009F4F6E" w:rsidRPr="00120B09" w:rsidRDefault="009F4F6E" w:rsidP="009F4F6E">
      <w:pPr>
        <w:pStyle w:val="FootnoteText"/>
      </w:pPr>
      <w:r w:rsidRPr="00120B09">
        <w:rPr>
          <w:rStyle w:val="FootnoteReference"/>
          <w:color w:val="0D0D0D" w:themeColor="text1" w:themeTint="F2"/>
          <w:szCs w:val="18"/>
        </w:rPr>
        <w:footnoteRef/>
      </w:r>
      <w:r w:rsidRPr="00120B09">
        <w:rPr>
          <w:sz w:val="18"/>
          <w:szCs w:val="18"/>
          <w:vertAlign w:val="superscript"/>
        </w:rPr>
        <w:t xml:space="preserve"> </w:t>
      </w:r>
      <w:r w:rsidRPr="00120B09">
        <w:tab/>
      </w:r>
      <w:r w:rsidRPr="00120B09">
        <w:rPr>
          <w:i/>
          <w:iCs/>
        </w:rPr>
        <w:t>W (CA226</w:t>
      </w:r>
      <w:r w:rsidR="00C40CE4">
        <w:rPr>
          <w:i/>
          <w:iCs/>
        </w:rPr>
        <w:t>/</w:t>
      </w:r>
      <w:r w:rsidRPr="00120B09">
        <w:rPr>
          <w:i/>
          <w:iCs/>
        </w:rPr>
        <w:t>2019) v R</w:t>
      </w:r>
      <w:r w:rsidRPr="00120B09">
        <w:t xml:space="preserve"> [2019] NZCA 558. </w:t>
      </w:r>
    </w:p>
  </w:footnote>
  <w:footnote w:id="624">
    <w:p w14:paraId="21796D58" w14:textId="5B466938" w:rsidR="009F4F6E" w:rsidRPr="00120B09" w:rsidRDefault="009F4F6E" w:rsidP="009F4F6E">
      <w:pPr>
        <w:pStyle w:val="FootnoteText"/>
      </w:pPr>
      <w:r w:rsidRPr="00120B09">
        <w:rPr>
          <w:rStyle w:val="FootnoteReference"/>
          <w:color w:val="0D0D0D" w:themeColor="text1" w:themeTint="F2"/>
          <w:szCs w:val="18"/>
        </w:rPr>
        <w:footnoteRef/>
      </w:r>
      <w:r w:rsidRPr="00120B09">
        <w:rPr>
          <w:sz w:val="18"/>
          <w:szCs w:val="18"/>
          <w:vertAlign w:val="superscript"/>
        </w:rPr>
        <w:t xml:space="preserve"> </w:t>
      </w:r>
      <w:r w:rsidRPr="00120B09">
        <w:tab/>
      </w:r>
      <w:r w:rsidRPr="00120B09">
        <w:rPr>
          <w:i/>
          <w:iCs/>
        </w:rPr>
        <w:t>W (CA226</w:t>
      </w:r>
      <w:r w:rsidR="00C40CE4">
        <w:rPr>
          <w:i/>
          <w:iCs/>
        </w:rPr>
        <w:t>/</w:t>
      </w:r>
      <w:r w:rsidRPr="00120B09">
        <w:rPr>
          <w:i/>
          <w:iCs/>
        </w:rPr>
        <w:t>2019) v R</w:t>
      </w:r>
      <w:r w:rsidRPr="00120B09">
        <w:t xml:space="preserve"> [2019] NZCA 558 at [132].</w:t>
      </w:r>
    </w:p>
  </w:footnote>
  <w:footnote w:id="625">
    <w:p w14:paraId="4A648DAD" w14:textId="6F105532" w:rsidR="009F4F6E" w:rsidRPr="00120B09" w:rsidRDefault="009F4F6E" w:rsidP="009F4F6E">
      <w:pPr>
        <w:pStyle w:val="FootnoteText"/>
      </w:pPr>
      <w:r w:rsidRPr="00120B09">
        <w:rPr>
          <w:rStyle w:val="FootnoteReference"/>
          <w:color w:val="0D0D0D" w:themeColor="text1" w:themeTint="F2"/>
          <w:szCs w:val="18"/>
        </w:rPr>
        <w:footnoteRef/>
      </w:r>
      <w:r w:rsidRPr="00120B09">
        <w:rPr>
          <w:sz w:val="18"/>
          <w:szCs w:val="18"/>
          <w:vertAlign w:val="superscript"/>
        </w:rPr>
        <w:t xml:space="preserve"> </w:t>
      </w:r>
      <w:r w:rsidRPr="00120B09">
        <w:tab/>
      </w:r>
      <w:r w:rsidRPr="00120B09">
        <w:rPr>
          <w:i/>
          <w:iCs/>
        </w:rPr>
        <w:t>W (CA226</w:t>
      </w:r>
      <w:r w:rsidR="00C40CE4">
        <w:rPr>
          <w:i/>
          <w:iCs/>
        </w:rPr>
        <w:t>/</w:t>
      </w:r>
      <w:r w:rsidRPr="00120B09">
        <w:rPr>
          <w:i/>
          <w:iCs/>
        </w:rPr>
        <w:t>2019) v R</w:t>
      </w:r>
      <w:r w:rsidRPr="00120B09">
        <w:t xml:space="preserve"> [2019] NZCA 558 at [139].</w:t>
      </w:r>
    </w:p>
  </w:footnote>
  <w:footnote w:id="626">
    <w:p w14:paraId="0E9C1558"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 xml:space="preserve">R v Perry </w:t>
      </w:r>
      <w:r w:rsidRPr="00120B09">
        <w:t>[2016] NZSC 102 at [56]–[57].</w:t>
      </w:r>
    </w:p>
  </w:footnote>
  <w:footnote w:id="627">
    <w:p w14:paraId="14EB8F3D"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Chetty</w:t>
      </w:r>
      <w:r w:rsidRPr="00120B09">
        <w:t xml:space="preserve"> [2016] NZSC 68, [2018] 1 NZLR 26 at [61].</w:t>
      </w:r>
    </w:p>
  </w:footnote>
  <w:footnote w:id="628">
    <w:p w14:paraId="2BE2C877" w14:textId="77777777" w:rsidR="009F4F6E" w:rsidRPr="00120B09" w:rsidRDefault="009F4F6E" w:rsidP="009F4F6E">
      <w:pPr>
        <w:pStyle w:val="FootnoteText"/>
      </w:pPr>
      <w:r w:rsidRPr="00120B09">
        <w:rPr>
          <w:rStyle w:val="FootnoteReference"/>
        </w:rPr>
        <w:footnoteRef/>
      </w:r>
      <w:r w:rsidRPr="00120B09">
        <w:t xml:space="preserve"> </w:t>
      </w:r>
      <w:r w:rsidRPr="00120B09">
        <w:tab/>
        <w:t>See</w:t>
      </w:r>
      <w:r>
        <w:t>, for example,</w:t>
      </w:r>
      <w:r w:rsidRPr="00120B09">
        <w:t xml:space="preserve"> Scott Optican “Evidence” [2015] NZ L Rev 473 at 527–528.</w:t>
      </w:r>
    </w:p>
  </w:footnote>
  <w:footnote w:id="629">
    <w:p w14:paraId="363144A3" w14:textId="77777777" w:rsidR="009F4F6E" w:rsidRPr="00120B09" w:rsidRDefault="009F4F6E" w:rsidP="009F4F6E">
      <w:pPr>
        <w:pStyle w:val="FootnoteText"/>
      </w:pPr>
      <w:r w:rsidRPr="00120B09">
        <w:rPr>
          <w:rStyle w:val="FootnoteReference"/>
        </w:rPr>
        <w:footnoteRef/>
      </w:r>
      <w:r w:rsidRPr="00120B09">
        <w:t xml:space="preserve"> </w:t>
      </w:r>
      <w:r w:rsidRPr="00120B09">
        <w:tab/>
      </w:r>
      <w:r w:rsidRPr="00120B09">
        <w:rPr>
          <w:i/>
          <w:iCs/>
        </w:rPr>
        <w:t>R v Chetty</w:t>
      </w:r>
      <w:r w:rsidRPr="00120B09">
        <w:t xml:space="preserve"> [2016] NZSC 68, [2018] 1 NZLR 26 at [61].</w:t>
      </w:r>
    </w:p>
  </w:footnote>
  <w:footnote w:id="630">
    <w:p w14:paraId="40573296" w14:textId="42939B3B" w:rsidR="00116092" w:rsidRPr="00E42A7C" w:rsidRDefault="00116092" w:rsidP="00116092">
      <w:pPr>
        <w:pStyle w:val="FootnoteText"/>
      </w:pPr>
      <w:r w:rsidRPr="00E42A7C">
        <w:rPr>
          <w:rStyle w:val="FootnoteReference"/>
        </w:rPr>
        <w:footnoteRef/>
      </w:r>
      <w:r w:rsidRPr="00E42A7C">
        <w:t xml:space="preserve"> </w:t>
      </w:r>
      <w:r w:rsidRPr="00E42A7C">
        <w:tab/>
      </w:r>
      <w:r w:rsidR="00CF403C" w:rsidRPr="00CF403C">
        <w:t>Anna High “The exclusion of prison informant evidence for unreliability in New Zealand” (2021) 25 IJE &amp; P 217 at 217.</w:t>
      </w:r>
      <w:r w:rsidRPr="00E42A7C">
        <w:t xml:space="preserve"> </w:t>
      </w:r>
    </w:p>
  </w:footnote>
  <w:footnote w:id="631">
    <w:p w14:paraId="6C3C8140" w14:textId="0D027CCE" w:rsidR="00116092" w:rsidRPr="00E42A7C" w:rsidRDefault="00116092" w:rsidP="00116092">
      <w:pPr>
        <w:pStyle w:val="FootnoteText"/>
      </w:pPr>
      <w:r w:rsidRPr="00E42A7C">
        <w:rPr>
          <w:rStyle w:val="FootnoteReference"/>
        </w:rPr>
        <w:footnoteRef/>
      </w:r>
      <w:r w:rsidRPr="00E42A7C">
        <w:t xml:space="preserve"> </w:t>
      </w:r>
      <w:r w:rsidRPr="00E42A7C">
        <w:tab/>
        <w:t xml:space="preserve">See, for example, </w:t>
      </w:r>
      <w:r w:rsidRPr="00E42A7C">
        <w:rPr>
          <w:i/>
          <w:iCs/>
        </w:rPr>
        <w:t xml:space="preserve">Samuels v R </w:t>
      </w:r>
      <w:r w:rsidRPr="00E42A7C">
        <w:t xml:space="preserve">[2021] NZCA 358, concerning an application by the defendant to </w:t>
      </w:r>
      <w:r w:rsidR="00C83264">
        <w:t xml:space="preserve">offer </w:t>
      </w:r>
      <w:r w:rsidRPr="00E42A7C">
        <w:t>new evidence from a prison informant (based on conversations with the defendant while in prison, and with others who claimed to have information about the crime) which would give “an added dimension to motive” and “could have provided another avenue to cross-examine and hence undermine the reliability of the Crown’s key witness” (at [25]). The Court rejected the application, holding that the evidence was “far from cogent or credible… It follows that the information [the informant] says he obtained… is double hearsay, inherently unreliable and inadmissible” (at [28</w:t>
      </w:r>
      <w:r w:rsidR="00F22581">
        <w:t>]–</w:t>
      </w:r>
      <w:r w:rsidRPr="00E42A7C">
        <w:t xml:space="preserve">[29]). </w:t>
      </w:r>
    </w:p>
  </w:footnote>
  <w:footnote w:id="632">
    <w:p w14:paraId="68376F81" w14:textId="557ADE16" w:rsidR="00116092" w:rsidRPr="00B83B53" w:rsidRDefault="00116092" w:rsidP="00116092">
      <w:pPr>
        <w:pStyle w:val="FootnoteText"/>
      </w:pPr>
      <w:r w:rsidRPr="00E42A7C">
        <w:rPr>
          <w:rStyle w:val="FootnoteReference"/>
        </w:rPr>
        <w:footnoteRef/>
      </w:r>
      <w:r w:rsidRPr="00E42A7C">
        <w:t xml:space="preserve"> </w:t>
      </w:r>
      <w:r w:rsidRPr="00E42A7C">
        <w:tab/>
        <w:t xml:space="preserve">The presence of incentives has been recognised by the courts as a key reason for concern about prison informant evidence. See, for example, the Supreme Court in </w:t>
      </w:r>
      <w:r w:rsidRPr="00E42A7C">
        <w:rPr>
          <w:i/>
          <w:iCs/>
        </w:rPr>
        <w:t xml:space="preserve">Hudson v R </w:t>
      </w:r>
      <w:r w:rsidRPr="00E42A7C">
        <w:t xml:space="preserve">[2011] NZSC 51, [2011] 3 NZLR 289: “Prison informants are likely to have motives to cooperate with the authorities, in terms of sentence, parole, money (including rewards) or perhaps just a slightly better relationship with the police” (at [33]); and </w:t>
      </w:r>
      <w:r w:rsidRPr="00E42A7C">
        <w:rPr>
          <w:i/>
          <w:iCs/>
        </w:rPr>
        <w:t xml:space="preserve">W (SC 38/2019) v R </w:t>
      </w:r>
      <w:r w:rsidRPr="00E42A7C">
        <w:t>[2020] NZSC 93, [2020] 1 NZLR 382</w:t>
      </w:r>
      <w:r w:rsidR="00824279">
        <w:t>,</w:t>
      </w:r>
      <w:r w:rsidRPr="00E42A7C">
        <w:t xml:space="preserve"> where the Supreme Court acknowledged the “specific concerns” with the evidence of prison informants </w:t>
      </w:r>
      <w:r w:rsidR="00526370">
        <w:t>that</w:t>
      </w:r>
      <w:r w:rsidRPr="00E42A7C">
        <w:t xml:space="preserve"> should form part of the assessment for reliability, which can include “any incentives or expectations of preference at play” (at n 104 and [88(c)</w:t>
      </w:r>
      <w:r w:rsidR="00834A42">
        <w:t>]</w:t>
      </w:r>
      <w:r w:rsidRPr="00E42A7C">
        <w:t>). Commentors also note the role of incentives in prison informant evidence. See, for example, Anna High “</w:t>
      </w:r>
      <w:r w:rsidR="00187A77" w:rsidRPr="00187A77">
        <w:t xml:space="preserve">Anna High “The exclusion of prison informant evidence for unreliability in New Zealand” (2021) 25 IJE &amp; P 217 at </w:t>
      </w:r>
      <w:r w:rsidRPr="00E42A7C">
        <w:t>219; and Patrick Anderson “Snitched on or stitched up? – a review of the law in New Zealand in relation to jailhouse informant evidence” [2021] NZLJ 119 at 121.</w:t>
      </w:r>
      <w:r>
        <w:t xml:space="preserve"> </w:t>
      </w:r>
    </w:p>
  </w:footnote>
  <w:footnote w:id="633">
    <w:p w14:paraId="31BDA06D" w14:textId="2DD8A89D" w:rsidR="00116092" w:rsidRPr="000E020A" w:rsidRDefault="00116092" w:rsidP="00116092">
      <w:pPr>
        <w:pStyle w:val="FootnoteText"/>
      </w:pPr>
      <w:r>
        <w:rPr>
          <w:rStyle w:val="FootnoteReference"/>
        </w:rPr>
        <w:footnoteRef/>
      </w:r>
      <w:r>
        <w:t xml:space="preserve"> </w:t>
      </w:r>
      <w:r>
        <w:tab/>
      </w:r>
      <w:r w:rsidR="00187A77" w:rsidRPr="00187A77">
        <w:t xml:space="preserve">Anna High “The exclusion of prison informant evidence for unreliability in New Zealand” (2021) 25 IJE &amp; P 217 </w:t>
      </w:r>
      <w:r w:rsidRPr="000E020A">
        <w:t xml:space="preserve">at 219. </w:t>
      </w:r>
    </w:p>
  </w:footnote>
  <w:footnote w:id="634">
    <w:p w14:paraId="52C0330A" w14:textId="187D4358" w:rsidR="00116092" w:rsidRPr="000E020A" w:rsidRDefault="00116092" w:rsidP="00116092">
      <w:pPr>
        <w:pStyle w:val="FootnoteText"/>
      </w:pPr>
      <w:r w:rsidRPr="000E020A">
        <w:rPr>
          <w:rStyle w:val="FootnoteReference"/>
        </w:rPr>
        <w:footnoteRef/>
      </w:r>
      <w:r w:rsidRPr="000E020A">
        <w:t xml:space="preserve"> </w:t>
      </w:r>
      <w:r w:rsidRPr="000E020A">
        <w:tab/>
        <w:t>“Criminals who later feel an overwhelming need to confess to or to boast about their unlawful exploits are unlikely to choose an upstanding, law-abiding stranger to hear the tales of their criminal behaviour… [I]nformants are seen by the accused to be ‘one of us’ and therefore trustworthy to hear a confession about criminal exploits</w:t>
      </w:r>
      <w:r w:rsidR="004E53B8">
        <w:t>”</w:t>
      </w:r>
      <w:r w:rsidR="009C2C68">
        <w:t>:</w:t>
      </w:r>
      <w:r w:rsidRPr="000E020A">
        <w:t xml:space="preserve"> Marie Dyhrberg “Informants: finding the truth beneath self-interest” </w:t>
      </w:r>
      <w:r w:rsidRPr="000E020A">
        <w:rPr>
          <w:i/>
          <w:iCs/>
        </w:rPr>
        <w:t>New Zealand Lawyer</w:t>
      </w:r>
      <w:r w:rsidRPr="000E020A">
        <w:t xml:space="preserve"> (New Zealand, 8 February 2001).</w:t>
      </w:r>
    </w:p>
  </w:footnote>
  <w:footnote w:id="635">
    <w:p w14:paraId="3272DE60" w14:textId="77777777" w:rsidR="00116092" w:rsidRPr="000E020A" w:rsidRDefault="00116092" w:rsidP="00116092">
      <w:pPr>
        <w:pStyle w:val="FootnoteText"/>
      </w:pPr>
      <w:r w:rsidRPr="000E020A">
        <w:rPr>
          <w:rStyle w:val="FootnoteReference"/>
        </w:rPr>
        <w:footnoteRef/>
      </w:r>
      <w:r w:rsidRPr="000E020A">
        <w:t xml:space="preserve"> </w:t>
      </w:r>
      <w:r w:rsidRPr="000E020A">
        <w:tab/>
      </w:r>
      <w:r w:rsidRPr="000E020A">
        <w:rPr>
          <w:i/>
          <w:iCs/>
        </w:rPr>
        <w:t xml:space="preserve">W (SC 38/2019) v R </w:t>
      </w:r>
      <w:r w:rsidRPr="000E020A">
        <w:t xml:space="preserve">[2020] NZSC 93, [2020] 1 NZLR 382 at n 104. </w:t>
      </w:r>
    </w:p>
  </w:footnote>
  <w:footnote w:id="636">
    <w:p w14:paraId="7BC9D73F" w14:textId="3310BD57" w:rsidR="00116092" w:rsidRPr="000E020A" w:rsidRDefault="00116092" w:rsidP="00116092">
      <w:pPr>
        <w:pStyle w:val="FootnoteText"/>
      </w:pPr>
      <w:r w:rsidRPr="000E020A">
        <w:rPr>
          <w:rStyle w:val="FootnoteReference"/>
        </w:rPr>
        <w:footnoteRef/>
      </w:r>
      <w:r w:rsidRPr="000E020A">
        <w:t xml:space="preserve"> </w:t>
      </w:r>
      <w:r w:rsidRPr="000E020A">
        <w:tab/>
        <w:t xml:space="preserve">This evidence was acknowledged and extensively referenced by the Supreme Court in </w:t>
      </w:r>
      <w:r w:rsidRPr="000E020A">
        <w:rPr>
          <w:i/>
          <w:iCs/>
        </w:rPr>
        <w:t xml:space="preserve">W (SC 38/2019) v R </w:t>
      </w:r>
      <w:r w:rsidRPr="000E020A">
        <w:t>[2020] NZSC 93, [2020] 1 NZLR 382 at [74</w:t>
      </w:r>
      <w:r w:rsidR="00F22581">
        <w:t>]–</w:t>
      </w:r>
      <w:r w:rsidRPr="000E020A">
        <w:t>[86] (majority) and [221</w:t>
      </w:r>
      <w:r w:rsidR="00F22581">
        <w:t>]–</w:t>
      </w:r>
      <w:r w:rsidRPr="000E020A">
        <w:t xml:space="preserve">[247] (minority). </w:t>
      </w:r>
    </w:p>
  </w:footnote>
  <w:footnote w:id="637">
    <w:p w14:paraId="09538BF1" w14:textId="35558991" w:rsidR="00116092" w:rsidRPr="000E020A" w:rsidRDefault="00116092" w:rsidP="00116092">
      <w:pPr>
        <w:pStyle w:val="FootnoteText"/>
      </w:pPr>
      <w:r w:rsidRPr="000E020A">
        <w:rPr>
          <w:rStyle w:val="FootnoteReference"/>
        </w:rPr>
        <w:footnoteRef/>
      </w:r>
      <w:r w:rsidRPr="000E020A">
        <w:t xml:space="preserve"> </w:t>
      </w:r>
      <w:r w:rsidRPr="000E020A">
        <w:tab/>
        <w:t>As the Supreme Court has observed: “The notion that prison informants are unreliable witnesses is not new to the law. References in judgments to the perils of convicting in reliance on such evidence can be found in texts dating back to the 1</w:t>
      </w:r>
      <w:r w:rsidR="00D66F7A">
        <w:t xml:space="preserve">8th </w:t>
      </w:r>
      <w:r w:rsidRPr="000E020A">
        <w:t xml:space="preserve">century”: </w:t>
      </w:r>
      <w:r w:rsidRPr="000E020A">
        <w:rPr>
          <w:i/>
          <w:iCs/>
        </w:rPr>
        <w:t xml:space="preserve">W (SC 38/2019) v R </w:t>
      </w:r>
      <w:r w:rsidRPr="000E020A">
        <w:t xml:space="preserve">[2020] NZSC 93, [2020] 1 NZLR 382 at [211] (footnotes omitted). Commentors also describe prison informant evidence as unreliable in nature. See, for example, </w:t>
      </w:r>
      <w:r w:rsidR="00131DD1">
        <w:t>Anna High “The exclusion of prison informant evidence for unreliability in New Zealand” (2021) 25 IJE &amp; P 217</w:t>
      </w:r>
      <w:r w:rsidRPr="000E020A">
        <w:t xml:space="preserve"> at 217: “This is a notoriously unreliable class of evidence…” and Patrick Anderson “Snitched on or stitched up? – a review of the law in New Zealand in relation to jailhouse informant evidence” [2021] NZLJ 119 at 121: “Jailhouse informant evidence is notoriously unreliable and its use is by its very nature fraught with risk”. </w:t>
      </w:r>
    </w:p>
  </w:footnote>
  <w:footnote w:id="638">
    <w:p w14:paraId="652C605C" w14:textId="3DE29141" w:rsidR="00116092" w:rsidRPr="000E020A" w:rsidRDefault="00116092" w:rsidP="00116092">
      <w:pPr>
        <w:pStyle w:val="FootnoteText"/>
      </w:pPr>
      <w:r w:rsidRPr="000E020A">
        <w:rPr>
          <w:rStyle w:val="FootnoteReference"/>
        </w:rPr>
        <w:footnoteRef/>
      </w:r>
      <w:r w:rsidRPr="000E020A">
        <w:t xml:space="preserve"> </w:t>
      </w:r>
      <w:r w:rsidRPr="000E020A">
        <w:tab/>
      </w:r>
      <w:r w:rsidRPr="000E020A">
        <w:rPr>
          <w:i/>
          <w:iCs/>
        </w:rPr>
        <w:t xml:space="preserve">W (SC 38/2019) v R </w:t>
      </w:r>
      <w:r w:rsidRPr="000E020A">
        <w:t>[2020] NZSC 93, [2020] 1 NZLR 382 at [83] and [240</w:t>
      </w:r>
      <w:r w:rsidR="00F22581">
        <w:t>]–</w:t>
      </w:r>
      <w:r w:rsidRPr="000E020A">
        <w:t xml:space="preserve">[241]. </w:t>
      </w:r>
    </w:p>
  </w:footnote>
  <w:footnote w:id="639">
    <w:p w14:paraId="72799205" w14:textId="77777777" w:rsidR="00116092" w:rsidRDefault="00116092" w:rsidP="00116092">
      <w:pPr>
        <w:pStyle w:val="FootnoteText"/>
      </w:pPr>
      <w:r w:rsidRPr="000E020A">
        <w:rPr>
          <w:rStyle w:val="FootnoteReference"/>
        </w:rPr>
        <w:footnoteRef/>
      </w:r>
      <w:r w:rsidRPr="000E020A">
        <w:t xml:space="preserve"> </w:t>
      </w:r>
      <w:r w:rsidRPr="000E020A">
        <w:tab/>
      </w:r>
      <w:r w:rsidRPr="000E020A">
        <w:rPr>
          <w:i/>
          <w:iCs/>
        </w:rPr>
        <w:t xml:space="preserve">Hudson v R </w:t>
      </w:r>
      <w:r w:rsidRPr="000E020A">
        <w:t>[2011] NZSC 51, [2011] 3 NZLR 289 at [33].</w:t>
      </w:r>
      <w:r>
        <w:t xml:space="preserve"> </w:t>
      </w:r>
    </w:p>
  </w:footnote>
  <w:footnote w:id="640">
    <w:p w14:paraId="3CE3B989" w14:textId="77777777" w:rsidR="00116092" w:rsidRPr="000E020A" w:rsidRDefault="00116092" w:rsidP="00116092">
      <w:pPr>
        <w:pStyle w:val="FootnoteText"/>
      </w:pPr>
      <w:r w:rsidRPr="000E020A">
        <w:rPr>
          <w:rStyle w:val="FootnoteReference"/>
        </w:rPr>
        <w:footnoteRef/>
      </w:r>
      <w:r w:rsidRPr="000E020A">
        <w:t xml:space="preserve"> </w:t>
      </w:r>
      <w:r w:rsidRPr="000E020A">
        <w:tab/>
        <w:t xml:space="preserve">Patrick Anderson “Snitched on or stitched up? – a review of the law in New Zealand in relation to jailhouse informant evidence” [2021] NZLJ 119 at 121. </w:t>
      </w:r>
    </w:p>
  </w:footnote>
  <w:footnote w:id="641">
    <w:p w14:paraId="07519005" w14:textId="128ED1E8" w:rsidR="00116092" w:rsidRPr="000E020A" w:rsidRDefault="00116092" w:rsidP="00116092">
      <w:pPr>
        <w:pStyle w:val="FootnoteText"/>
      </w:pPr>
      <w:r w:rsidRPr="000E020A">
        <w:rPr>
          <w:rStyle w:val="FootnoteReference"/>
        </w:rPr>
        <w:footnoteRef/>
      </w:r>
      <w:r w:rsidRPr="000E020A">
        <w:t xml:space="preserve"> </w:t>
      </w:r>
      <w:r w:rsidRPr="000E020A">
        <w:tab/>
        <w:t xml:space="preserve">See the discussion of the majority in </w:t>
      </w:r>
      <w:r w:rsidRPr="000E020A">
        <w:rPr>
          <w:i/>
          <w:iCs/>
        </w:rPr>
        <w:t xml:space="preserve">W (SC 38/2019) v R </w:t>
      </w:r>
      <w:r w:rsidRPr="000E020A">
        <w:t>[2020] NZSC 93, [2020] 1 NZLR 382 at [74</w:t>
      </w:r>
      <w:r w:rsidR="00F22581">
        <w:t>]–</w:t>
      </w:r>
      <w:r w:rsidRPr="000E020A">
        <w:t xml:space="preserve">[86]. </w:t>
      </w:r>
    </w:p>
  </w:footnote>
  <w:footnote w:id="642">
    <w:p w14:paraId="5F0EBBB9" w14:textId="63018D71" w:rsidR="00116092" w:rsidRPr="000E020A" w:rsidRDefault="00116092" w:rsidP="00116092">
      <w:pPr>
        <w:pStyle w:val="FootnoteText"/>
      </w:pPr>
      <w:r w:rsidRPr="000E020A">
        <w:rPr>
          <w:rStyle w:val="FootnoteReference"/>
        </w:rPr>
        <w:footnoteRef/>
      </w:r>
      <w:r w:rsidRPr="000E020A">
        <w:t xml:space="preserve"> </w:t>
      </w:r>
      <w:r w:rsidRPr="000E020A">
        <w:tab/>
      </w:r>
      <w:r w:rsidRPr="000E020A">
        <w:rPr>
          <w:i/>
          <w:iCs/>
        </w:rPr>
        <w:t xml:space="preserve">W (SC 38/2019) v R </w:t>
      </w:r>
      <w:r w:rsidRPr="000E020A">
        <w:t xml:space="preserve">[2020] NZSC 93, [2020] 1 NZLR 382 at [80], [237]. </w:t>
      </w:r>
    </w:p>
  </w:footnote>
  <w:footnote w:id="643">
    <w:p w14:paraId="534492FB" w14:textId="77777777" w:rsidR="00116092" w:rsidRPr="000E020A" w:rsidRDefault="00116092" w:rsidP="00116092">
      <w:pPr>
        <w:pStyle w:val="FootnoteText"/>
      </w:pPr>
      <w:r w:rsidRPr="000E020A">
        <w:rPr>
          <w:rStyle w:val="FootnoteReference"/>
        </w:rPr>
        <w:footnoteRef/>
      </w:r>
      <w:r w:rsidRPr="000E020A">
        <w:t xml:space="preserve"> </w:t>
      </w:r>
      <w:r w:rsidRPr="000E020A">
        <w:tab/>
      </w:r>
      <w:r w:rsidRPr="000E020A">
        <w:rPr>
          <w:i/>
          <w:iCs/>
        </w:rPr>
        <w:t xml:space="preserve">W (SC 38/2019) v R </w:t>
      </w:r>
      <w:r w:rsidRPr="000E020A">
        <w:t xml:space="preserve">[2020] NZSC 93, [2020] 1 NZLR 382 at [83], [240]. </w:t>
      </w:r>
    </w:p>
  </w:footnote>
  <w:footnote w:id="644">
    <w:p w14:paraId="08C77ACF" w14:textId="3D5E4A85" w:rsidR="00116092" w:rsidRPr="000E020A" w:rsidRDefault="00116092" w:rsidP="00116092">
      <w:pPr>
        <w:pStyle w:val="FootnoteText"/>
      </w:pPr>
      <w:r w:rsidRPr="000E020A">
        <w:rPr>
          <w:rStyle w:val="FootnoteReference"/>
        </w:rPr>
        <w:footnoteRef/>
      </w:r>
      <w:r w:rsidRPr="000E020A">
        <w:t xml:space="preserve"> </w:t>
      </w:r>
      <w:r w:rsidRPr="000E020A">
        <w:tab/>
      </w:r>
      <w:r w:rsidRPr="000E020A">
        <w:rPr>
          <w:i/>
          <w:iCs/>
        </w:rPr>
        <w:t xml:space="preserve">W (SC 38/2019) v R </w:t>
      </w:r>
      <w:r w:rsidRPr="000E020A">
        <w:t>[2020] NZSC 93, [2020] 1 NZLR 382 at [94</w:t>
      </w:r>
      <w:r w:rsidR="00F22581">
        <w:t>]–</w:t>
      </w:r>
      <w:r w:rsidRPr="000E020A">
        <w:t>[95], [242</w:t>
      </w:r>
      <w:r w:rsidR="00F22581">
        <w:t>]–</w:t>
      </w:r>
      <w:r w:rsidRPr="000E020A">
        <w:t xml:space="preserve">[243]. </w:t>
      </w:r>
    </w:p>
  </w:footnote>
  <w:footnote w:id="645">
    <w:p w14:paraId="67BEFF95" w14:textId="313D5E1D" w:rsidR="00116092" w:rsidRPr="000E020A" w:rsidRDefault="00116092" w:rsidP="00116092">
      <w:pPr>
        <w:pStyle w:val="FootnoteText"/>
      </w:pPr>
      <w:r w:rsidRPr="000E020A">
        <w:rPr>
          <w:rStyle w:val="FootnoteReference"/>
        </w:rPr>
        <w:footnoteRef/>
      </w:r>
      <w:r w:rsidRPr="000E020A">
        <w:t xml:space="preserve"> </w:t>
      </w:r>
      <w:r w:rsidRPr="000E020A">
        <w:tab/>
      </w:r>
      <w:r w:rsidRPr="000E020A">
        <w:rPr>
          <w:i/>
          <w:iCs/>
        </w:rPr>
        <w:t xml:space="preserve">W (SC 38/2019) v R </w:t>
      </w:r>
      <w:r w:rsidRPr="000E020A">
        <w:t>[2020] NZSC 93, [2020] 1 NZLR 382. The majority described them as providing “plainly scientific support” that the evidence of prison informants has contributed to miscarriages of justice (at [79], and discussion from [76</w:t>
      </w:r>
      <w:r w:rsidR="00F22581">
        <w:t>]–</w:t>
      </w:r>
      <w:r w:rsidRPr="000E020A">
        <w:t>[78]</w:t>
      </w:r>
      <w:r w:rsidR="003D63F3">
        <w:t>)</w:t>
      </w:r>
      <w:r w:rsidRPr="000E020A">
        <w:t xml:space="preserve">. The minority held that they demonstrated the “extent to which the risk of associated miscarriages of justice, a risk identified in numerous judgments, has been realised” (at [232]). </w:t>
      </w:r>
    </w:p>
  </w:footnote>
  <w:footnote w:id="646">
    <w:p w14:paraId="255FF3A9" w14:textId="2F3295C1" w:rsidR="00116092" w:rsidRPr="000E020A" w:rsidRDefault="00116092" w:rsidP="00116092">
      <w:pPr>
        <w:pStyle w:val="FootnoteText"/>
      </w:pPr>
      <w:r w:rsidRPr="000E020A">
        <w:rPr>
          <w:rStyle w:val="FootnoteReference"/>
        </w:rPr>
        <w:footnoteRef/>
      </w:r>
      <w:r w:rsidRPr="000E020A">
        <w:t xml:space="preserve"> </w:t>
      </w:r>
      <w:r w:rsidRPr="000E020A">
        <w:tab/>
        <w:t xml:space="preserve">Phil Taylor “The murky world of jailhouse snitches” </w:t>
      </w:r>
      <w:r w:rsidRPr="000E020A">
        <w:rPr>
          <w:i/>
          <w:iCs/>
        </w:rPr>
        <w:t xml:space="preserve">New Zealand Herald </w:t>
      </w:r>
      <w:r w:rsidRPr="000E020A">
        <w:t xml:space="preserve">(online ed, 30 April 2018); Mike White “The tragic and terrible case of Mauha Fawcett’s wrongful conviction” (11 June 2022) </w:t>
      </w:r>
      <w:r w:rsidR="0002399E" w:rsidRPr="0002399E">
        <w:t>Stuff</w:t>
      </w:r>
      <w:r w:rsidR="0002399E">
        <w:rPr>
          <w:i/>
          <w:iCs/>
        </w:rPr>
        <w:t xml:space="preserve"> </w:t>
      </w:r>
      <w:r w:rsidR="0002399E">
        <w:t>&lt;www.stuff.co.nz&gt;.</w:t>
      </w:r>
    </w:p>
  </w:footnote>
  <w:footnote w:id="647">
    <w:p w14:paraId="6D136FE3" w14:textId="4B414ED6" w:rsidR="00116092" w:rsidRDefault="00116092" w:rsidP="00116092">
      <w:pPr>
        <w:pStyle w:val="FootnoteText"/>
      </w:pPr>
      <w:r w:rsidRPr="000E020A">
        <w:rPr>
          <w:rStyle w:val="FootnoteReference"/>
        </w:rPr>
        <w:footnoteRef/>
      </w:r>
      <w:r w:rsidRPr="000E020A">
        <w:t xml:space="preserve"> </w:t>
      </w:r>
      <w:r w:rsidRPr="000E020A">
        <w:tab/>
        <w:t xml:space="preserve">Prison informant evidence also played crucial roles in the convictions of Scott Watson and David Tamihere, both of whom have appeals pending. Mike White “Scott Watson’s appeal over murder conviction delayed till next year” </w:t>
      </w:r>
      <w:r w:rsidR="002467D5">
        <w:t>(</w:t>
      </w:r>
      <w:r w:rsidRPr="000E020A">
        <w:t>19 August 2022)</w:t>
      </w:r>
      <w:r w:rsidR="002467D5">
        <w:t xml:space="preserve"> </w:t>
      </w:r>
      <w:r w:rsidR="002467D5" w:rsidRPr="0002399E">
        <w:t>Stuff</w:t>
      </w:r>
      <w:r w:rsidR="002467D5">
        <w:rPr>
          <w:i/>
          <w:iCs/>
        </w:rPr>
        <w:t xml:space="preserve"> </w:t>
      </w:r>
      <w:r w:rsidR="002467D5">
        <w:t>&lt;www.stuff.co.nz&gt;.</w:t>
      </w:r>
      <w:r w:rsidRPr="000E020A">
        <w:t>; Mike White “More DNA testing delays David Tamihere murder appeal” (31 January 2023)</w:t>
      </w:r>
      <w:r w:rsidR="002467D5">
        <w:t xml:space="preserve"> </w:t>
      </w:r>
      <w:r w:rsidR="002467D5" w:rsidRPr="0002399E">
        <w:t>Stuff</w:t>
      </w:r>
      <w:r w:rsidR="002467D5">
        <w:rPr>
          <w:i/>
          <w:iCs/>
        </w:rPr>
        <w:t xml:space="preserve"> </w:t>
      </w:r>
      <w:r w:rsidR="002467D5">
        <w:t>&lt;www.stuff.co.nz&gt;</w:t>
      </w:r>
      <w:r w:rsidRPr="000E020A">
        <w:t>. Of particular significance in David Tamihere’s case was the evidence given by “Witness C”, later revealed to be Robert Conchie Harris, who was convicted on eight counts of perjury for the evidence he gave at Mr Tamihere’s 1990 trial</w:t>
      </w:r>
      <w:r w:rsidR="00E5008D">
        <w:t xml:space="preserve">: </w:t>
      </w:r>
      <w:r w:rsidRPr="000E020A">
        <w:rPr>
          <w:i/>
          <w:iCs/>
        </w:rPr>
        <w:t xml:space="preserve">Taylor v Witness C </w:t>
      </w:r>
      <w:r w:rsidRPr="000E020A">
        <w:t>[2017] NZHC 2610. Prison informant evidence also featured in the Palmiro MacDonald murder trial (which resulted in a hung jury after one prison informant’s evidence was shown to be false</w:t>
      </w:r>
      <w:r w:rsidR="00237D0A">
        <w:t>)</w:t>
      </w:r>
      <w:r w:rsidRPr="000E020A">
        <w:t xml:space="preserve">, and the collapse of the case against three men accused of the murder of Lois Tolley. Jono Galuszka “Jailhouse snitch gives untrue evidence under oath, breaches protection deal” </w:t>
      </w:r>
      <w:r w:rsidR="002467D5">
        <w:t>(</w:t>
      </w:r>
      <w:r w:rsidRPr="000E020A">
        <w:t>9 August 2019)</w:t>
      </w:r>
      <w:r w:rsidR="002467D5">
        <w:t xml:space="preserve"> </w:t>
      </w:r>
      <w:r w:rsidR="002467D5" w:rsidRPr="0002399E">
        <w:t>Stuff</w:t>
      </w:r>
      <w:r w:rsidR="002467D5">
        <w:rPr>
          <w:i/>
          <w:iCs/>
        </w:rPr>
        <w:t xml:space="preserve"> </w:t>
      </w:r>
      <w:r w:rsidR="002467D5">
        <w:t>&lt;www.stuff.co.nz&gt;</w:t>
      </w:r>
      <w:r w:rsidRPr="000E020A">
        <w:t xml:space="preserve">; Mike White “’An abomination of an investigation’: How the Lois Tolley murder case collapsed” </w:t>
      </w:r>
      <w:r w:rsidR="0069540E">
        <w:t>(</w:t>
      </w:r>
      <w:r w:rsidRPr="000E020A">
        <w:t>19 March 2022)</w:t>
      </w:r>
      <w:r w:rsidR="0069540E">
        <w:t xml:space="preserve"> </w:t>
      </w:r>
      <w:r w:rsidR="0069540E" w:rsidRPr="0002399E">
        <w:t>Stuff</w:t>
      </w:r>
      <w:r w:rsidR="0069540E">
        <w:rPr>
          <w:i/>
          <w:iCs/>
        </w:rPr>
        <w:t xml:space="preserve"> </w:t>
      </w:r>
      <w:r w:rsidR="0069540E">
        <w:t>&lt;www.stuff.co.nz&gt;</w:t>
      </w:r>
      <w:r w:rsidRPr="000E020A">
        <w:t>.</w:t>
      </w:r>
      <w:r>
        <w:t xml:space="preserve"> </w:t>
      </w:r>
    </w:p>
  </w:footnote>
  <w:footnote w:id="648">
    <w:p w14:paraId="1DB83AF9" w14:textId="77777777" w:rsidR="00116092" w:rsidRPr="007F44D2" w:rsidRDefault="00116092" w:rsidP="00116092">
      <w:pPr>
        <w:pStyle w:val="FootnoteText"/>
      </w:pPr>
      <w:r w:rsidRPr="007F44D2">
        <w:rPr>
          <w:rStyle w:val="FootnoteReference"/>
        </w:rPr>
        <w:footnoteRef/>
      </w:r>
      <w:r w:rsidRPr="007F44D2">
        <w:t xml:space="preserve"> </w:t>
      </w:r>
      <w:r w:rsidRPr="007F44D2">
        <w:rPr>
          <w:i/>
          <w:iCs/>
        </w:rPr>
        <w:tab/>
        <w:t xml:space="preserve">Petition of Lois McGirr for Justice For All Inc and 190 others: Stop jail-house informant testimony from causing wrongful convictions </w:t>
      </w:r>
      <w:r w:rsidRPr="007F44D2">
        <w:t xml:space="preserve">(2017/434, 13 November 2019). </w:t>
      </w:r>
    </w:p>
  </w:footnote>
  <w:footnote w:id="649">
    <w:p w14:paraId="3FBB1E53" w14:textId="411424EF" w:rsidR="00116092" w:rsidRPr="007F44D2" w:rsidRDefault="00116092" w:rsidP="00116092">
      <w:pPr>
        <w:pStyle w:val="FootnoteText"/>
      </w:pPr>
      <w:r w:rsidRPr="007F44D2">
        <w:rPr>
          <w:rStyle w:val="FootnoteReference"/>
        </w:rPr>
        <w:footnoteRef/>
      </w:r>
      <w:r w:rsidRPr="007F44D2">
        <w:t xml:space="preserve"> </w:t>
      </w:r>
      <w:r w:rsidRPr="007F44D2">
        <w:tab/>
        <w:t xml:space="preserve">Section 27 of the Evidence Act 2006 is also relevant. It provides that the statement of a defendant, offered by the prosecution, is admissible. Admissibility under s 27 is subject to s 28 (exclusion of unreliable statements), s 29 (exclusion of statements influence by oppression) and s 30 (improperly obtained evidence), but the Supreme Court has held that these are unlikely to apply to prison informant evidence. </w:t>
      </w:r>
      <w:r w:rsidRPr="007F44D2">
        <w:rPr>
          <w:lang w:eastAsia="en-AU"/>
        </w:rPr>
        <w:t>Section 28 addresses the circumstances in which a statement was made, whereas the primary concern with prison informant evidence is frequently whether the statement was made at all (</w:t>
      </w:r>
      <w:r w:rsidRPr="007F44D2">
        <w:rPr>
          <w:i/>
          <w:iCs/>
          <w:lang w:eastAsia="en-AU"/>
        </w:rPr>
        <w:t xml:space="preserve">Hudson v R </w:t>
      </w:r>
      <w:r w:rsidRPr="007F44D2">
        <w:rPr>
          <w:lang w:eastAsia="en-AU"/>
        </w:rPr>
        <w:t>[2011] NZSC 51</w:t>
      </w:r>
      <w:r w:rsidRPr="007F44D2">
        <w:t>, [2011] 3 NZLR 289</w:t>
      </w:r>
      <w:r w:rsidRPr="007F44D2">
        <w:rPr>
          <w:lang w:eastAsia="en-AU"/>
        </w:rPr>
        <w:t xml:space="preserve"> at [36]); for prison informant evidence to be captured by </w:t>
      </w:r>
      <w:r w:rsidR="0002399E">
        <w:rPr>
          <w:lang w:eastAsia="en-AU"/>
        </w:rPr>
        <w:t>s</w:t>
      </w:r>
      <w:r w:rsidRPr="007F44D2">
        <w:rPr>
          <w:lang w:eastAsia="en-AU"/>
        </w:rPr>
        <w:t xml:space="preserve"> 30, it would have to be accepted that the system of prison informant evidence was inherently operating unfairly – an argument </w:t>
      </w:r>
      <w:r w:rsidR="00A8121A">
        <w:rPr>
          <w:lang w:eastAsia="en-AU"/>
        </w:rPr>
        <w:t xml:space="preserve">that </w:t>
      </w:r>
      <w:r w:rsidRPr="007F44D2">
        <w:rPr>
          <w:lang w:eastAsia="en-AU"/>
        </w:rPr>
        <w:t>has been rejected by the Supreme Court (</w:t>
      </w:r>
      <w:r w:rsidRPr="007F44D2">
        <w:rPr>
          <w:i/>
          <w:iCs/>
          <w:lang w:eastAsia="en-AU"/>
        </w:rPr>
        <w:t xml:space="preserve">W (SC 38/2019) v R </w:t>
      </w:r>
      <w:r w:rsidRPr="007F44D2">
        <w:rPr>
          <w:lang w:eastAsia="en-AU"/>
        </w:rPr>
        <w:t xml:space="preserve">[2020] NZSC 93, </w:t>
      </w:r>
      <w:r w:rsidRPr="007F44D2">
        <w:t xml:space="preserve">[2020] 1 NZLR 382) </w:t>
      </w:r>
      <w:r w:rsidRPr="007F44D2">
        <w:rPr>
          <w:lang w:eastAsia="en-AU"/>
        </w:rPr>
        <w:t>at [101] and n 161.</w:t>
      </w:r>
    </w:p>
  </w:footnote>
  <w:footnote w:id="650">
    <w:p w14:paraId="08873504" w14:textId="4FEAF7EF" w:rsidR="00116092" w:rsidRPr="007F44D2" w:rsidRDefault="00116092" w:rsidP="00116092">
      <w:pPr>
        <w:pStyle w:val="FootnoteText"/>
      </w:pPr>
      <w:r w:rsidRPr="007F44D2">
        <w:rPr>
          <w:rStyle w:val="FootnoteReference"/>
        </w:rPr>
        <w:footnoteRef/>
      </w:r>
      <w:r w:rsidRPr="007F44D2">
        <w:t xml:space="preserve"> </w:t>
      </w:r>
      <w:r w:rsidRPr="007F44D2">
        <w:tab/>
        <w:t xml:space="preserve">Elisabeth McDonald </w:t>
      </w:r>
      <w:r w:rsidRPr="007F44D2">
        <w:rPr>
          <w:i/>
          <w:iCs/>
        </w:rPr>
        <w:t xml:space="preserve">Principles of Evidence in Criminal Cases </w:t>
      </w:r>
      <w:r w:rsidRPr="007F44D2">
        <w:t xml:space="preserve">(Thomson Reuters, Wellington, 2012) at </w:t>
      </w:r>
      <w:r w:rsidR="00D24407">
        <w:t xml:space="preserve">218. </w:t>
      </w:r>
      <w:r w:rsidRPr="007F44D2">
        <w:t xml:space="preserve"> </w:t>
      </w:r>
    </w:p>
  </w:footnote>
  <w:footnote w:id="651">
    <w:p w14:paraId="46098C48" w14:textId="77777777" w:rsidR="00116092" w:rsidRPr="007F44D2" w:rsidRDefault="00116092" w:rsidP="00116092">
      <w:pPr>
        <w:pStyle w:val="FootnoteText"/>
      </w:pPr>
      <w:r w:rsidRPr="007F44D2">
        <w:rPr>
          <w:rStyle w:val="FootnoteReference"/>
        </w:rPr>
        <w:footnoteRef/>
      </w:r>
      <w:r w:rsidRPr="007F44D2">
        <w:t xml:space="preserve"> </w:t>
      </w:r>
      <w:r w:rsidRPr="007F44D2">
        <w:tab/>
        <w:t xml:space="preserve">See, for example, </w:t>
      </w:r>
      <w:r w:rsidRPr="007F44D2">
        <w:rPr>
          <w:i/>
          <w:iCs/>
        </w:rPr>
        <w:t xml:space="preserve">R v Cullen </w:t>
      </w:r>
      <w:r w:rsidRPr="007F44D2">
        <w:t xml:space="preserve">(1990) 6 CRNZ 28 and </w:t>
      </w:r>
      <w:r w:rsidRPr="007F44D2">
        <w:rPr>
          <w:i/>
          <w:iCs/>
        </w:rPr>
        <w:t xml:space="preserve">R v Chignell </w:t>
      </w:r>
      <w:r w:rsidRPr="007F44D2">
        <w:t xml:space="preserve">[1991] 2 NZLR 257 (also reported as </w:t>
      </w:r>
      <w:r w:rsidRPr="007F44D2">
        <w:rPr>
          <w:i/>
          <w:iCs/>
        </w:rPr>
        <w:t xml:space="preserve">R v Chignell and Walker </w:t>
      </w:r>
      <w:r w:rsidRPr="007F44D2">
        <w:t xml:space="preserve">(1990 6 CRNZ 103(CA)). </w:t>
      </w:r>
    </w:p>
  </w:footnote>
  <w:footnote w:id="652">
    <w:p w14:paraId="775777FA" w14:textId="4F727DAB" w:rsidR="00116092" w:rsidRPr="007F44D2" w:rsidRDefault="00116092" w:rsidP="00116092">
      <w:pPr>
        <w:pStyle w:val="FootnoteText"/>
      </w:pPr>
      <w:r w:rsidRPr="007F44D2">
        <w:rPr>
          <w:rStyle w:val="FootnoteReference"/>
        </w:rPr>
        <w:footnoteRef/>
      </w:r>
      <w:r w:rsidRPr="007F44D2">
        <w:t xml:space="preserve"> </w:t>
      </w:r>
      <w:r w:rsidRPr="007F44D2">
        <w:tab/>
      </w:r>
      <w:r w:rsidR="00F66EB0">
        <w:t>Mathew Downs (ed)</w:t>
      </w:r>
      <w:r w:rsidRPr="007F44D2">
        <w:t xml:space="preserve"> </w:t>
      </w:r>
      <w:r w:rsidRPr="007F44D2">
        <w:rPr>
          <w:i/>
          <w:iCs/>
        </w:rPr>
        <w:t xml:space="preserve">Adams on Criminal Law: Archived Evidence Commentary pre-Evidence Act 2006 </w:t>
      </w:r>
      <w:r w:rsidRPr="007F44D2">
        <w:t xml:space="preserve">(online ed, Thomson Reuters) at [EC4.04(10)]. </w:t>
      </w:r>
    </w:p>
  </w:footnote>
  <w:footnote w:id="653">
    <w:p w14:paraId="71A29925" w14:textId="77777777" w:rsidR="00116092" w:rsidRPr="00754708" w:rsidRDefault="00116092" w:rsidP="00116092">
      <w:pPr>
        <w:pStyle w:val="FootnoteText"/>
      </w:pPr>
      <w:r w:rsidRPr="007F44D2">
        <w:rPr>
          <w:rStyle w:val="FootnoteReference"/>
        </w:rPr>
        <w:footnoteRef/>
      </w:r>
      <w:r w:rsidRPr="007F44D2">
        <w:t xml:space="preserve"> </w:t>
      </w:r>
      <w:r w:rsidRPr="007F44D2">
        <w:tab/>
        <w:t xml:space="preserve">Te Tāhu o te Ture | Ministry of Justice </w:t>
      </w:r>
      <w:r w:rsidRPr="007F44D2">
        <w:rPr>
          <w:i/>
          <w:iCs/>
        </w:rPr>
        <w:t xml:space="preserve">Departmental Report for the Justice and Electoral Committee: Evidence Bill: Part 2 – Admissibility Rules, Privilege and Confidentiality </w:t>
      </w:r>
      <w:r w:rsidRPr="007F44D2">
        <w:t>(June 2006) at 13.</w:t>
      </w:r>
      <w:r>
        <w:t xml:space="preserve"> </w:t>
      </w:r>
    </w:p>
  </w:footnote>
  <w:footnote w:id="654">
    <w:p w14:paraId="05DA0CDE" w14:textId="77777777" w:rsidR="00116092" w:rsidRPr="002E1D4D" w:rsidRDefault="00116092" w:rsidP="00116092">
      <w:pPr>
        <w:pStyle w:val="FootnoteText"/>
      </w:pPr>
      <w:r w:rsidRPr="002E1D4D">
        <w:rPr>
          <w:rStyle w:val="FootnoteReference"/>
        </w:rPr>
        <w:footnoteRef/>
      </w:r>
      <w:r w:rsidRPr="002E1D4D">
        <w:t xml:space="preserve"> </w:t>
      </w:r>
      <w:r w:rsidRPr="002E1D4D">
        <w:tab/>
        <w:t xml:space="preserve">Evidence Bill 2005 (256-2) (select committee report) at 12. </w:t>
      </w:r>
    </w:p>
  </w:footnote>
  <w:footnote w:id="655">
    <w:p w14:paraId="192C4DD5" w14:textId="1855FA4E" w:rsidR="00116092" w:rsidRPr="002E1D4D" w:rsidRDefault="00116092" w:rsidP="00116092">
      <w:pPr>
        <w:pStyle w:val="FootnoteText"/>
      </w:pPr>
      <w:r w:rsidRPr="002E1D4D">
        <w:rPr>
          <w:rStyle w:val="FootnoteReference"/>
        </w:rPr>
        <w:footnoteRef/>
      </w:r>
      <w:r w:rsidRPr="002E1D4D">
        <w:t xml:space="preserve"> </w:t>
      </w:r>
      <w:r w:rsidRPr="002E1D4D">
        <w:tab/>
        <w:t xml:space="preserve">Te Aka Matua o te Ture | Law Commission </w:t>
      </w:r>
      <w:r w:rsidRPr="002E1D4D">
        <w:rPr>
          <w:i/>
          <w:iCs/>
        </w:rPr>
        <w:t xml:space="preserve">The 2013 Review of the Evidence Act 2006 </w:t>
      </w:r>
      <w:r w:rsidRPr="002E1D4D">
        <w:t>(NZLC R127, 2013) at [11.107</w:t>
      </w:r>
      <w:r w:rsidR="00F22581">
        <w:t>]</w:t>
      </w:r>
      <w:r w:rsidR="006C3A2E">
        <w:t>-</w:t>
      </w:r>
      <w:r w:rsidRPr="002E1D4D">
        <w:t>[11.115].</w:t>
      </w:r>
    </w:p>
  </w:footnote>
  <w:footnote w:id="656">
    <w:p w14:paraId="53B2AC29" w14:textId="77777777" w:rsidR="00116092" w:rsidRPr="002E1D4D" w:rsidRDefault="00116092" w:rsidP="00116092">
      <w:pPr>
        <w:pStyle w:val="FootnoteText"/>
      </w:pPr>
      <w:r w:rsidRPr="002E1D4D">
        <w:rPr>
          <w:rStyle w:val="FootnoteReference"/>
        </w:rPr>
        <w:footnoteRef/>
      </w:r>
      <w:r w:rsidRPr="002E1D4D">
        <w:t xml:space="preserve"> </w:t>
      </w:r>
      <w:r w:rsidRPr="002E1D4D">
        <w:tab/>
        <w:t xml:space="preserve">Te Aka Matua o te Ture | Law Commission </w:t>
      </w:r>
      <w:r w:rsidRPr="002E1D4D">
        <w:rPr>
          <w:i/>
          <w:iCs/>
        </w:rPr>
        <w:t xml:space="preserve">The 2013 Review of the Evidence Act 2006 </w:t>
      </w:r>
      <w:r w:rsidRPr="002E1D4D">
        <w:t xml:space="preserve">(NZLC R127, 2013) at [11.107]. </w:t>
      </w:r>
    </w:p>
  </w:footnote>
  <w:footnote w:id="657">
    <w:p w14:paraId="08837B30" w14:textId="55B44DE9" w:rsidR="00116092" w:rsidRPr="002E1D4D" w:rsidRDefault="00116092" w:rsidP="00116092">
      <w:pPr>
        <w:pStyle w:val="FootnoteText"/>
      </w:pPr>
      <w:r w:rsidRPr="002E1D4D">
        <w:rPr>
          <w:rStyle w:val="FootnoteReference"/>
        </w:rPr>
        <w:footnoteRef/>
      </w:r>
      <w:r w:rsidRPr="002E1D4D">
        <w:t xml:space="preserve"> </w:t>
      </w:r>
      <w:r w:rsidRPr="002E1D4D">
        <w:tab/>
        <w:t xml:space="preserve">Te Aka Matua o te Ture | Law Commission </w:t>
      </w:r>
      <w:r w:rsidRPr="002E1D4D">
        <w:rPr>
          <w:i/>
          <w:iCs/>
        </w:rPr>
        <w:t xml:space="preserve">The Second Review of the Evidence Act 2006 </w:t>
      </w:r>
      <w:r w:rsidRPr="002E1D4D">
        <w:t xml:space="preserve">| </w:t>
      </w:r>
      <w:r w:rsidRPr="002E1D4D">
        <w:rPr>
          <w:i/>
          <w:iCs/>
        </w:rPr>
        <w:t xml:space="preserve">Te Arotake Tuarua i te Evidence Act 2006 </w:t>
      </w:r>
      <w:r w:rsidRPr="002E1D4D">
        <w:t>(NZLC R142, 2019) at [18.22</w:t>
      </w:r>
      <w:r w:rsidR="00F22581">
        <w:t>]–</w:t>
      </w:r>
      <w:r w:rsidRPr="002E1D4D">
        <w:t xml:space="preserve">[18.23]. </w:t>
      </w:r>
    </w:p>
  </w:footnote>
  <w:footnote w:id="658">
    <w:p w14:paraId="37198F32" w14:textId="42BF0A22" w:rsidR="00116092" w:rsidRPr="002E1D4D" w:rsidRDefault="00116092" w:rsidP="00116092">
      <w:pPr>
        <w:pStyle w:val="FootnoteText"/>
      </w:pPr>
      <w:r w:rsidRPr="002E1D4D">
        <w:rPr>
          <w:rStyle w:val="FootnoteReference"/>
        </w:rPr>
        <w:footnoteRef/>
      </w:r>
      <w:r w:rsidRPr="002E1D4D">
        <w:t xml:space="preserve"> </w:t>
      </w:r>
      <w:r w:rsidRPr="002E1D4D">
        <w:tab/>
        <w:t xml:space="preserve">Te Aka Matua o te Ture | Law Commission </w:t>
      </w:r>
      <w:r w:rsidRPr="002E1D4D">
        <w:rPr>
          <w:i/>
          <w:iCs/>
        </w:rPr>
        <w:t xml:space="preserve">The Second Review of the Evidence Act 2006 </w:t>
      </w:r>
      <w:r w:rsidRPr="002E1D4D">
        <w:t xml:space="preserve">| </w:t>
      </w:r>
      <w:r w:rsidRPr="002E1D4D">
        <w:rPr>
          <w:i/>
          <w:iCs/>
        </w:rPr>
        <w:t xml:space="preserve">Te Arotake Tuarua i te Evidence Act 2006 </w:t>
      </w:r>
      <w:r w:rsidRPr="002E1D4D">
        <w:t>(NZLC R142, 2019) at [18.26]</w:t>
      </w:r>
      <w:r w:rsidR="009D2561">
        <w:t>, c</w:t>
      </w:r>
      <w:r w:rsidRPr="002E1D4D">
        <w:t xml:space="preserve">iting </w:t>
      </w:r>
      <w:r w:rsidRPr="002E1D4D">
        <w:rPr>
          <w:i/>
          <w:iCs/>
        </w:rPr>
        <w:t xml:space="preserve">Hudson v R </w:t>
      </w:r>
      <w:r w:rsidRPr="002E1D4D">
        <w:t xml:space="preserve">[2011] NZSC 51, [2011] 3 NZLR 289 at [36]. </w:t>
      </w:r>
    </w:p>
  </w:footnote>
  <w:footnote w:id="659">
    <w:p w14:paraId="6A9731D3" w14:textId="77777777" w:rsidR="00116092" w:rsidRPr="00853B8D" w:rsidRDefault="00116092" w:rsidP="00116092">
      <w:pPr>
        <w:pStyle w:val="FootnoteText"/>
      </w:pPr>
      <w:r w:rsidRPr="002E1D4D">
        <w:rPr>
          <w:rStyle w:val="FootnoteReference"/>
        </w:rPr>
        <w:footnoteRef/>
      </w:r>
      <w:r w:rsidRPr="002E1D4D">
        <w:t xml:space="preserve"> </w:t>
      </w:r>
      <w:r w:rsidRPr="002E1D4D">
        <w:tab/>
        <w:t xml:space="preserve">In </w:t>
      </w:r>
      <w:r w:rsidRPr="002E1D4D">
        <w:rPr>
          <w:i/>
          <w:iCs/>
        </w:rPr>
        <w:t xml:space="preserve">W (SC 38/2019) v R </w:t>
      </w:r>
      <w:r w:rsidRPr="002E1D4D">
        <w:t xml:space="preserve">[2020] NZSC 93, [2020] 1 NZLR 382 and </w:t>
      </w:r>
      <w:r w:rsidRPr="002E1D4D">
        <w:rPr>
          <w:i/>
          <w:iCs/>
        </w:rPr>
        <w:t xml:space="preserve">Roigard v R </w:t>
      </w:r>
      <w:r w:rsidRPr="002E1D4D">
        <w:t>[2020] NZSC 94.</w:t>
      </w:r>
      <w:r>
        <w:t xml:space="preserve"> </w:t>
      </w:r>
    </w:p>
  </w:footnote>
  <w:footnote w:id="660">
    <w:p w14:paraId="455F627D" w14:textId="6F6513E9" w:rsidR="00116092" w:rsidRPr="00CE1D8F" w:rsidRDefault="00116092" w:rsidP="00116092">
      <w:pPr>
        <w:pStyle w:val="FootnoteText"/>
        <w:rPr>
          <w:u w:val="single"/>
        </w:rPr>
      </w:pPr>
      <w:r>
        <w:rPr>
          <w:rStyle w:val="FootnoteReference"/>
        </w:rPr>
        <w:footnoteRef/>
      </w:r>
      <w:r>
        <w:t xml:space="preserve"> </w:t>
      </w:r>
      <w:r>
        <w:tab/>
      </w:r>
      <w:r w:rsidRPr="00CE1D8F">
        <w:rPr>
          <w:i/>
          <w:iCs/>
        </w:rPr>
        <w:t xml:space="preserve">Hudson v R </w:t>
      </w:r>
      <w:r w:rsidRPr="00CE1D8F">
        <w:t>[2011] NZSC 51, [2011] 3 NZLR 289 at [35</w:t>
      </w:r>
      <w:r w:rsidR="00F22581">
        <w:t>]–</w:t>
      </w:r>
      <w:r w:rsidRPr="00CE1D8F">
        <w:t xml:space="preserve">[36]. </w:t>
      </w:r>
    </w:p>
  </w:footnote>
  <w:footnote w:id="661">
    <w:p w14:paraId="77523265" w14:textId="77777777" w:rsidR="00116092" w:rsidRPr="00CE1D8F" w:rsidRDefault="00116092" w:rsidP="00116092">
      <w:pPr>
        <w:pStyle w:val="FootnoteText"/>
      </w:pPr>
      <w:r w:rsidRPr="00CE1D8F">
        <w:rPr>
          <w:rStyle w:val="FootnoteReference"/>
        </w:rPr>
        <w:footnoteRef/>
      </w:r>
      <w:r w:rsidRPr="00CE1D8F">
        <w:t xml:space="preserve"> </w:t>
      </w:r>
      <w:r w:rsidRPr="00CE1D8F">
        <w:tab/>
      </w:r>
      <w:r w:rsidRPr="00CE1D8F">
        <w:rPr>
          <w:i/>
          <w:iCs/>
        </w:rPr>
        <w:t xml:space="preserve">Hudson v R </w:t>
      </w:r>
      <w:r w:rsidRPr="00CE1D8F">
        <w:t xml:space="preserve">[2011] NZSC 51, [2011] 3 NZLR 289 at [36]. </w:t>
      </w:r>
    </w:p>
  </w:footnote>
  <w:footnote w:id="662">
    <w:p w14:paraId="2764367E" w14:textId="77777777" w:rsidR="00116092" w:rsidRPr="00CE1D8F" w:rsidRDefault="00116092" w:rsidP="00116092">
      <w:pPr>
        <w:pStyle w:val="FootnoteText"/>
      </w:pPr>
      <w:r w:rsidRPr="00CE1D8F">
        <w:rPr>
          <w:rStyle w:val="FootnoteReference"/>
        </w:rPr>
        <w:footnoteRef/>
      </w:r>
      <w:r w:rsidRPr="00CE1D8F">
        <w:t xml:space="preserve"> </w:t>
      </w:r>
      <w:r w:rsidRPr="00CE1D8F">
        <w:tab/>
      </w:r>
      <w:r w:rsidRPr="00CE1D8F">
        <w:rPr>
          <w:i/>
          <w:iCs/>
        </w:rPr>
        <w:t xml:space="preserve">Hudson v R </w:t>
      </w:r>
      <w:r w:rsidRPr="00CE1D8F">
        <w:t xml:space="preserve">[2011] NZSC 51, [2011] 3 NZLR 289 at [33]. </w:t>
      </w:r>
    </w:p>
  </w:footnote>
  <w:footnote w:id="663">
    <w:p w14:paraId="4A8B4588" w14:textId="2734E6D4" w:rsidR="00116092" w:rsidRPr="00CE1D8F" w:rsidRDefault="00116092" w:rsidP="00116092">
      <w:pPr>
        <w:pStyle w:val="FootnoteText"/>
        <w:rPr>
          <w:i/>
          <w:iCs/>
        </w:rPr>
      </w:pPr>
      <w:r w:rsidRPr="00CE1D8F">
        <w:rPr>
          <w:rStyle w:val="FootnoteReference"/>
        </w:rPr>
        <w:footnoteRef/>
      </w:r>
      <w:r w:rsidRPr="00CE1D8F">
        <w:t xml:space="preserve"> </w:t>
      </w:r>
      <w:r w:rsidRPr="00CE1D8F">
        <w:tab/>
      </w:r>
      <w:r w:rsidRPr="00CE1D8F">
        <w:rPr>
          <w:i/>
          <w:iCs/>
        </w:rPr>
        <w:t xml:space="preserve">W (SC 38/2019) v R </w:t>
      </w:r>
      <w:r w:rsidRPr="00CE1D8F">
        <w:t xml:space="preserve">[2020] NZSC 93, [2020] 1 NZLR 382; </w:t>
      </w:r>
      <w:r w:rsidRPr="00CE1D8F">
        <w:rPr>
          <w:i/>
          <w:iCs/>
        </w:rPr>
        <w:t xml:space="preserve">Roigard v R </w:t>
      </w:r>
      <w:r w:rsidRPr="00CE1D8F">
        <w:t xml:space="preserve">[2020] NZSC 94. </w:t>
      </w:r>
    </w:p>
  </w:footnote>
  <w:footnote w:id="664">
    <w:p w14:paraId="5BF7505D" w14:textId="42837D75" w:rsidR="00116092" w:rsidRPr="00CE1D8F" w:rsidRDefault="00116092" w:rsidP="00116092">
      <w:pPr>
        <w:pStyle w:val="FootnoteText"/>
      </w:pPr>
      <w:r w:rsidRPr="00CE1D8F">
        <w:rPr>
          <w:rStyle w:val="FootnoteReference"/>
        </w:rPr>
        <w:footnoteRef/>
      </w:r>
      <w:r w:rsidRPr="00CE1D8F">
        <w:t xml:space="preserve"> </w:t>
      </w:r>
      <w:r w:rsidRPr="00CE1D8F">
        <w:tab/>
      </w:r>
      <w:r w:rsidRPr="00CE1D8F">
        <w:rPr>
          <w:i/>
          <w:iCs/>
        </w:rPr>
        <w:t xml:space="preserve">W (SC 38/2019) v R </w:t>
      </w:r>
      <w:r w:rsidRPr="00CE1D8F">
        <w:t>[2020] NZSC 93, [2020] 1 NZLR 382 at [41]</w:t>
      </w:r>
      <w:r w:rsidR="006731C4">
        <w:t xml:space="preserve"> and </w:t>
      </w:r>
      <w:r w:rsidRPr="00CE1D8F">
        <w:t xml:space="preserve">n 199. </w:t>
      </w:r>
    </w:p>
  </w:footnote>
  <w:footnote w:id="665">
    <w:p w14:paraId="39D2F772" w14:textId="71CEF57C" w:rsidR="00116092" w:rsidRPr="00CE1D8F" w:rsidRDefault="00116092" w:rsidP="00116092">
      <w:pPr>
        <w:pStyle w:val="FootnoteText"/>
      </w:pPr>
      <w:r w:rsidRPr="00CE1D8F">
        <w:rPr>
          <w:rStyle w:val="FootnoteReference"/>
        </w:rPr>
        <w:footnoteRef/>
      </w:r>
      <w:r w:rsidRPr="00CE1D8F">
        <w:t xml:space="preserve"> </w:t>
      </w:r>
      <w:r w:rsidRPr="00CE1D8F">
        <w:tab/>
      </w:r>
      <w:r w:rsidRPr="00CE1D8F">
        <w:rPr>
          <w:i/>
          <w:iCs/>
        </w:rPr>
        <w:t xml:space="preserve">W (SC 38/2019) v R </w:t>
      </w:r>
      <w:r w:rsidRPr="00CE1D8F">
        <w:t>[2020] NZSC 93, [2020] 1 NZLR 382 at [69</w:t>
      </w:r>
      <w:r w:rsidR="00F22581">
        <w:t>]–</w:t>
      </w:r>
      <w:r w:rsidRPr="00CE1D8F">
        <w:t>[70], [88] [91]</w:t>
      </w:r>
      <w:r w:rsidR="006731C4">
        <w:t xml:space="preserve"> and </w:t>
      </w:r>
      <w:r w:rsidRPr="00CE1D8F">
        <w:t>[191].</w:t>
      </w:r>
    </w:p>
  </w:footnote>
  <w:footnote w:id="666">
    <w:p w14:paraId="6D6BAD53" w14:textId="4FF35C58" w:rsidR="00116092" w:rsidRPr="00CE1D8F" w:rsidRDefault="00116092" w:rsidP="00116092">
      <w:pPr>
        <w:pStyle w:val="FootnoteText"/>
      </w:pPr>
      <w:r w:rsidRPr="00CE1D8F">
        <w:rPr>
          <w:rStyle w:val="FootnoteReference"/>
        </w:rPr>
        <w:footnoteRef/>
      </w:r>
      <w:r w:rsidRPr="00CE1D8F">
        <w:t xml:space="preserve"> </w:t>
      </w:r>
      <w:r w:rsidRPr="00CE1D8F">
        <w:tab/>
      </w:r>
      <w:r w:rsidRPr="00CE1D8F">
        <w:rPr>
          <w:i/>
          <w:iCs/>
        </w:rPr>
        <w:t xml:space="preserve">W (SC 38/2019) v R </w:t>
      </w:r>
      <w:r w:rsidRPr="00CE1D8F">
        <w:t>[2020] NZSC 93, [2020] 1 NZLR 382 at [86]</w:t>
      </w:r>
      <w:r w:rsidR="006731C4">
        <w:t xml:space="preserve"> and </w:t>
      </w:r>
      <w:r w:rsidRPr="00CE1D8F">
        <w:t>[192].</w:t>
      </w:r>
    </w:p>
  </w:footnote>
  <w:footnote w:id="667">
    <w:p w14:paraId="56E52BFB" w14:textId="77777777" w:rsidR="00116092" w:rsidRPr="00E5624C" w:rsidRDefault="00116092" w:rsidP="00116092">
      <w:pPr>
        <w:pStyle w:val="FootnoteText"/>
      </w:pPr>
      <w:r w:rsidRPr="00CE1D8F">
        <w:rPr>
          <w:rStyle w:val="FootnoteReference"/>
        </w:rPr>
        <w:footnoteRef/>
      </w:r>
      <w:r w:rsidRPr="00CE1D8F">
        <w:t xml:space="preserve"> </w:t>
      </w:r>
      <w:r w:rsidRPr="00CE1D8F">
        <w:tab/>
      </w:r>
      <w:r w:rsidRPr="00CE1D8F">
        <w:rPr>
          <w:i/>
          <w:iCs/>
        </w:rPr>
        <w:t xml:space="preserve">W (SC 38/2019) v R </w:t>
      </w:r>
      <w:r w:rsidRPr="00CE1D8F">
        <w:t>[2020] NZSC 93, [2020] 1 NZLR 382 at [88].</w:t>
      </w:r>
      <w:r>
        <w:t xml:space="preserve"> </w:t>
      </w:r>
    </w:p>
  </w:footnote>
  <w:footnote w:id="668">
    <w:p w14:paraId="30D52C81" w14:textId="279154DA" w:rsidR="00116092" w:rsidRPr="00AB2D83" w:rsidRDefault="00116092" w:rsidP="00116092">
      <w:pPr>
        <w:pStyle w:val="FootnoteText"/>
      </w:pPr>
      <w:r w:rsidRPr="00AB2D83">
        <w:rPr>
          <w:rStyle w:val="FootnoteReference"/>
        </w:rPr>
        <w:footnoteRef/>
      </w:r>
      <w:r w:rsidRPr="00AB2D83">
        <w:t xml:space="preserve"> </w:t>
      </w:r>
      <w:r w:rsidRPr="00AB2D83">
        <w:tab/>
      </w:r>
      <w:r w:rsidRPr="00AB2D83">
        <w:rPr>
          <w:i/>
          <w:iCs/>
        </w:rPr>
        <w:t xml:space="preserve">W (SC 38/2019) v R </w:t>
      </w:r>
      <w:r w:rsidRPr="00AB2D83">
        <w:t>[2020] NZSC 93, [2020] 1 NZLR 382 at [191]. The framework is set out from [254</w:t>
      </w:r>
      <w:r w:rsidR="00F22581">
        <w:t>]–</w:t>
      </w:r>
      <w:r w:rsidRPr="00AB2D83">
        <w:t>[270].</w:t>
      </w:r>
    </w:p>
  </w:footnote>
  <w:footnote w:id="669">
    <w:p w14:paraId="7D190F0D" w14:textId="77777777" w:rsidR="00116092" w:rsidRPr="00AB2D83" w:rsidRDefault="00116092" w:rsidP="00116092">
      <w:pPr>
        <w:pStyle w:val="FootnoteText"/>
      </w:pPr>
      <w:r w:rsidRPr="00AB2D83">
        <w:rPr>
          <w:rStyle w:val="FootnoteReference"/>
        </w:rPr>
        <w:footnoteRef/>
      </w:r>
      <w:r w:rsidRPr="00AB2D83">
        <w:t xml:space="preserve"> </w:t>
      </w:r>
      <w:r w:rsidRPr="00AB2D83">
        <w:tab/>
      </w:r>
      <w:r w:rsidRPr="00AB2D83">
        <w:rPr>
          <w:i/>
          <w:iCs/>
        </w:rPr>
        <w:t xml:space="preserve">W (SC 38/2019) v R </w:t>
      </w:r>
      <w:r w:rsidRPr="00AB2D83">
        <w:t>[2020] NZSC 93, [2020] 1 NZLR 382 at [87].</w:t>
      </w:r>
    </w:p>
  </w:footnote>
  <w:footnote w:id="670">
    <w:p w14:paraId="45635CC9" w14:textId="3DEE1EC7" w:rsidR="00116092" w:rsidRPr="00437814" w:rsidRDefault="00116092" w:rsidP="00116092">
      <w:pPr>
        <w:pStyle w:val="FootnoteText"/>
      </w:pPr>
      <w:r w:rsidRPr="00AB2D83">
        <w:rPr>
          <w:rStyle w:val="FootnoteReference"/>
        </w:rPr>
        <w:footnoteRef/>
      </w:r>
      <w:r w:rsidRPr="00AB2D83">
        <w:t xml:space="preserve"> </w:t>
      </w:r>
      <w:r w:rsidRPr="00AB2D83">
        <w:tab/>
        <w:t>“The application of [the minority] framework in this case has resulted in an approach which requires independent corroboration of the evidence in issue and which places emphasis on the need for the court in a case such as this one</w:t>
      </w:r>
      <w:r>
        <w:t xml:space="preserve"> </w:t>
      </w:r>
      <w:r w:rsidRPr="00437814">
        <w:t>to ask whether the evidence of a confession has been constructed by the witness to cohere with facts they have gained from other sources. We see these aspects as matters for trial and cross-examination</w:t>
      </w:r>
      <w:r w:rsidR="004E53B8">
        <w:t>”</w:t>
      </w:r>
      <w:r w:rsidR="006731C4">
        <w:t>:</w:t>
      </w:r>
      <w:r w:rsidRPr="00437814">
        <w:t xml:space="preserve"> </w:t>
      </w:r>
      <w:r w:rsidRPr="00437814">
        <w:rPr>
          <w:i/>
          <w:iCs/>
        </w:rPr>
        <w:t xml:space="preserve">Roigard v R </w:t>
      </w:r>
      <w:r w:rsidRPr="00437814">
        <w:t>[2020] NZSC 94 at [54].</w:t>
      </w:r>
    </w:p>
  </w:footnote>
  <w:footnote w:id="671">
    <w:p w14:paraId="0FEB56A0" w14:textId="090FE710" w:rsidR="00116092" w:rsidRPr="00437814" w:rsidRDefault="00116092" w:rsidP="00116092">
      <w:pPr>
        <w:pStyle w:val="FootnoteText"/>
      </w:pPr>
      <w:r w:rsidRPr="00437814">
        <w:rPr>
          <w:rStyle w:val="FootnoteReference"/>
        </w:rPr>
        <w:footnoteRef/>
      </w:r>
      <w:r w:rsidRPr="00437814">
        <w:t xml:space="preserve"> </w:t>
      </w:r>
      <w:r w:rsidRPr="00437814">
        <w:tab/>
      </w:r>
      <w:r w:rsidRPr="00437814">
        <w:rPr>
          <w:i/>
          <w:iCs/>
        </w:rPr>
        <w:t xml:space="preserve">W (SC 38/2019) v R </w:t>
      </w:r>
      <w:r w:rsidRPr="00437814">
        <w:t>[2020] NZSC 93, [2020] 1 NZLR 382 at [91]</w:t>
      </w:r>
      <w:r w:rsidR="00340886">
        <w:t xml:space="preserve"> and</w:t>
      </w:r>
      <w:r w:rsidRPr="00437814">
        <w:t xml:space="preserve"> [218]. </w:t>
      </w:r>
    </w:p>
  </w:footnote>
  <w:footnote w:id="672">
    <w:p w14:paraId="5266F62A" w14:textId="77777777" w:rsidR="00116092" w:rsidRPr="00437814" w:rsidRDefault="00116092" w:rsidP="00116092">
      <w:pPr>
        <w:pStyle w:val="FootnoteText"/>
      </w:pPr>
      <w:r w:rsidRPr="00437814">
        <w:rPr>
          <w:rStyle w:val="FootnoteReference"/>
        </w:rPr>
        <w:footnoteRef/>
      </w:r>
      <w:r w:rsidRPr="00437814">
        <w:t xml:space="preserve"> </w:t>
      </w:r>
      <w:r w:rsidRPr="00437814">
        <w:tab/>
      </w:r>
      <w:r w:rsidRPr="00437814">
        <w:rPr>
          <w:i/>
          <w:iCs/>
        </w:rPr>
        <w:t xml:space="preserve">W (SC 38/2019) v R </w:t>
      </w:r>
      <w:r w:rsidRPr="00437814">
        <w:t xml:space="preserve">[2020] NZSC 93, [2020] 1 NZLR 382 at [93]. </w:t>
      </w:r>
    </w:p>
  </w:footnote>
  <w:footnote w:id="673">
    <w:p w14:paraId="52FE9262" w14:textId="77777777" w:rsidR="00116092" w:rsidRPr="00437814" w:rsidRDefault="00116092" w:rsidP="00116092">
      <w:pPr>
        <w:pStyle w:val="FootnoteText"/>
      </w:pPr>
      <w:r w:rsidRPr="00437814">
        <w:rPr>
          <w:rStyle w:val="FootnoteReference"/>
        </w:rPr>
        <w:footnoteRef/>
      </w:r>
      <w:r w:rsidRPr="00437814">
        <w:t xml:space="preserve"> </w:t>
      </w:r>
      <w:r w:rsidRPr="00437814">
        <w:tab/>
        <w:t xml:space="preserve">Te Tari Ture o te Karauna | Crown Law </w:t>
      </w:r>
      <w:r w:rsidRPr="00340886">
        <w:rPr>
          <w:i/>
        </w:rPr>
        <w:t>Solicitor-General’s Guidelines for Use of Inmate Admissions</w:t>
      </w:r>
      <w:r w:rsidRPr="00437814">
        <w:t xml:space="preserve"> (August 2021). </w:t>
      </w:r>
    </w:p>
  </w:footnote>
  <w:footnote w:id="674">
    <w:p w14:paraId="0B428D60" w14:textId="3FC5C5DF" w:rsidR="00116092" w:rsidRPr="00437814" w:rsidRDefault="00116092" w:rsidP="00116092">
      <w:pPr>
        <w:pStyle w:val="FootnoteText"/>
      </w:pPr>
      <w:r w:rsidRPr="00437814">
        <w:rPr>
          <w:rStyle w:val="FootnoteReference"/>
        </w:rPr>
        <w:footnoteRef/>
      </w:r>
      <w:r w:rsidRPr="00437814">
        <w:t xml:space="preserve"> </w:t>
      </w:r>
      <w:r w:rsidRPr="00437814">
        <w:tab/>
        <w:t xml:space="preserve">Te Tari Ture o te Karauna | Crown Law </w:t>
      </w:r>
      <w:r w:rsidRPr="00E7259D">
        <w:rPr>
          <w:i/>
        </w:rPr>
        <w:t>Solicitor-General’s Guidelines for Use of Inmate Admissions</w:t>
      </w:r>
      <w:r w:rsidRPr="00437814">
        <w:t xml:space="preserve"> (August 2021). at [3.17.1</w:t>
      </w:r>
      <w:r w:rsidR="00F22581">
        <w:t>]–</w:t>
      </w:r>
      <w:r w:rsidRPr="00437814">
        <w:t xml:space="preserve">[3.17.5]. </w:t>
      </w:r>
    </w:p>
  </w:footnote>
  <w:footnote w:id="675">
    <w:p w14:paraId="13365233" w14:textId="39017DE3" w:rsidR="00116092" w:rsidRPr="00437814" w:rsidRDefault="00116092" w:rsidP="00116092">
      <w:pPr>
        <w:pStyle w:val="FootnoteText"/>
      </w:pPr>
      <w:r w:rsidRPr="00437814">
        <w:rPr>
          <w:rStyle w:val="FootnoteReference"/>
        </w:rPr>
        <w:footnoteRef/>
      </w:r>
      <w:r w:rsidRPr="00437814">
        <w:t xml:space="preserve"> </w:t>
      </w:r>
      <w:r w:rsidRPr="00437814">
        <w:tab/>
      </w:r>
      <w:r w:rsidR="00131DD1">
        <w:t>Anna High “The exclusion of prison informant evidence for unreliability in New Zealand” (2021) 25 IJE &amp; P 217</w:t>
      </w:r>
      <w:r w:rsidRPr="00437814">
        <w:t xml:space="preserve"> at 232.</w:t>
      </w:r>
    </w:p>
  </w:footnote>
  <w:footnote w:id="676">
    <w:p w14:paraId="25FC3C74" w14:textId="2F25A10B" w:rsidR="00116092" w:rsidRDefault="00116092" w:rsidP="00116092">
      <w:pPr>
        <w:pStyle w:val="FootnoteText"/>
      </w:pPr>
      <w:r w:rsidRPr="00437814">
        <w:rPr>
          <w:rStyle w:val="FootnoteReference"/>
        </w:rPr>
        <w:footnoteRef/>
      </w:r>
      <w:r w:rsidRPr="00437814">
        <w:t xml:space="preserve"> </w:t>
      </w:r>
      <w:r w:rsidRPr="00437814">
        <w:tab/>
      </w:r>
      <w:r w:rsidR="00131DD1">
        <w:t>Anna High “The exclusion of prison informant evidence for unreliability in New Zealand” (2021) 25 IJE &amp; P 217</w:t>
      </w:r>
      <w:r w:rsidRPr="00437814">
        <w:t xml:space="preserve"> at 232; Scott Optican “Evidence” (2021) NZ L Rev 313 at 328.</w:t>
      </w:r>
    </w:p>
  </w:footnote>
  <w:footnote w:id="677">
    <w:p w14:paraId="58A80462" w14:textId="0CB66765" w:rsidR="00116092" w:rsidRPr="00DF6108" w:rsidRDefault="00116092" w:rsidP="00116092">
      <w:pPr>
        <w:pStyle w:val="FootnoteText"/>
      </w:pPr>
      <w:r w:rsidRPr="00DF6108">
        <w:rPr>
          <w:rStyle w:val="FootnoteReference"/>
        </w:rPr>
        <w:footnoteRef/>
      </w:r>
      <w:r w:rsidRPr="00DF6108">
        <w:t xml:space="preserve"> </w:t>
      </w:r>
      <w:r w:rsidRPr="00DF6108">
        <w:tab/>
        <w:t xml:space="preserve">See Winkelmann CJ in </w:t>
      </w:r>
      <w:r w:rsidRPr="00DF6108">
        <w:rPr>
          <w:i/>
          <w:iCs/>
        </w:rPr>
        <w:t xml:space="preserve">W (SC 38/2019) v R </w:t>
      </w:r>
      <w:r w:rsidRPr="00DF6108">
        <w:t>[2020] NZSC 93, [2020] 1 NZLR 382 at [227]:</w:t>
      </w:r>
      <w:r w:rsidR="00C24C17">
        <w:t xml:space="preserve"> </w:t>
      </w:r>
      <w:r w:rsidRPr="00DF6108">
        <w:t>“…many of these studies identify the same four leading categories of evidence as most often associated with miscarriages of justice: eyewitness misidentification, flawed forensic evidence, false confessions and false informant evidence. For each of these categories of evidence, except the false informant category, the Evidence Act provides either structured mechanisms to promote the collection of good quality evidence, or evidential thresholds that protect against the admission of unreliable evidence. In some cases it does both”.</w:t>
      </w:r>
    </w:p>
  </w:footnote>
  <w:footnote w:id="678">
    <w:p w14:paraId="40BD0010" w14:textId="040CF6F7" w:rsidR="00116092" w:rsidRPr="00E70BA6" w:rsidRDefault="00116092" w:rsidP="00116092">
      <w:pPr>
        <w:pStyle w:val="FootnoteText"/>
      </w:pPr>
      <w:r w:rsidRPr="00DF6108">
        <w:rPr>
          <w:rStyle w:val="FootnoteReference"/>
        </w:rPr>
        <w:footnoteRef/>
      </w:r>
      <w:r w:rsidRPr="00DF6108">
        <w:t xml:space="preserve"> </w:t>
      </w:r>
      <w:r w:rsidRPr="00DF6108">
        <w:tab/>
      </w:r>
      <w:r w:rsidRPr="00DF6108">
        <w:rPr>
          <w:i/>
          <w:iCs/>
        </w:rPr>
        <w:t xml:space="preserve">W (SC 38/2019) v R </w:t>
      </w:r>
      <w:r w:rsidRPr="00DF6108">
        <w:t xml:space="preserve">[2020] NZSC 93, [2020] 1 NZLR 382 at [71]; </w:t>
      </w:r>
      <w:r w:rsidR="00131DD1">
        <w:t>Anna High “The exclusion of prison informant evidence for unreliability in New Zealand” (2021) 25 IJE &amp; P 217</w:t>
      </w:r>
      <w:r w:rsidRPr="00DF6108">
        <w:t xml:space="preserve"> at 233.</w:t>
      </w:r>
    </w:p>
  </w:footnote>
  <w:footnote w:id="679">
    <w:p w14:paraId="2DB84533" w14:textId="7F47DBD8" w:rsidR="00116092" w:rsidRPr="006656C1" w:rsidRDefault="00116092" w:rsidP="00116092">
      <w:pPr>
        <w:pStyle w:val="FootnoteText"/>
      </w:pPr>
      <w:r w:rsidRPr="006656C1">
        <w:rPr>
          <w:rStyle w:val="FootnoteReference"/>
        </w:rPr>
        <w:footnoteRef/>
      </w:r>
      <w:r w:rsidRPr="006656C1">
        <w:t xml:space="preserve"> </w:t>
      </w:r>
      <w:r w:rsidRPr="006656C1">
        <w:tab/>
        <w:t xml:space="preserve">See, for example, Russell D Covey “Abolishing jailhouse snitch testimony” </w:t>
      </w:r>
      <w:r w:rsidR="00344301">
        <w:t>(</w:t>
      </w:r>
      <w:r w:rsidRPr="006656C1">
        <w:t>2014</w:t>
      </w:r>
      <w:r w:rsidR="00344301">
        <w:t>)</w:t>
      </w:r>
      <w:r w:rsidRPr="006656C1">
        <w:t xml:space="preserve"> 49 Wake Forest L Rev 101.</w:t>
      </w:r>
    </w:p>
  </w:footnote>
  <w:footnote w:id="680">
    <w:p w14:paraId="114371C6" w14:textId="77777777" w:rsidR="00116092" w:rsidRPr="006656C1" w:rsidRDefault="00116092" w:rsidP="00116092">
      <w:pPr>
        <w:pStyle w:val="FootnoteText"/>
      </w:pPr>
      <w:r w:rsidRPr="006656C1">
        <w:rPr>
          <w:rStyle w:val="FootnoteReference"/>
        </w:rPr>
        <w:footnoteRef/>
      </w:r>
      <w:r w:rsidRPr="006656C1">
        <w:t xml:space="preserve"> </w:t>
      </w:r>
      <w:r w:rsidRPr="006656C1">
        <w:tab/>
        <w:t xml:space="preserve">Anna High “Cellmate confessions” [2021] NZLJ 81 at 83. </w:t>
      </w:r>
    </w:p>
  </w:footnote>
  <w:footnote w:id="681">
    <w:p w14:paraId="63706DE7" w14:textId="77777777" w:rsidR="00116092" w:rsidRPr="006656C1" w:rsidRDefault="00116092" w:rsidP="00116092">
      <w:pPr>
        <w:pStyle w:val="FootnoteText"/>
      </w:pPr>
      <w:r w:rsidRPr="006656C1">
        <w:rPr>
          <w:rStyle w:val="FootnoteReference"/>
        </w:rPr>
        <w:footnoteRef/>
      </w:r>
      <w:r w:rsidRPr="006656C1">
        <w:t xml:space="preserve"> </w:t>
      </w:r>
      <w:r w:rsidRPr="006656C1">
        <w:tab/>
      </w:r>
      <w:r w:rsidRPr="006656C1">
        <w:rPr>
          <w:i/>
          <w:iCs/>
        </w:rPr>
        <w:t xml:space="preserve">Hudson v R </w:t>
      </w:r>
      <w:r w:rsidRPr="006656C1">
        <w:t xml:space="preserve">[2011] NZSC 51, [2011] 3 NZLR 289 at [36]. </w:t>
      </w:r>
    </w:p>
  </w:footnote>
  <w:footnote w:id="682">
    <w:p w14:paraId="6B3520DD" w14:textId="64F2C09E" w:rsidR="00116092" w:rsidRPr="006656C1" w:rsidRDefault="00116092" w:rsidP="00116092">
      <w:pPr>
        <w:pStyle w:val="FootnoteText"/>
      </w:pPr>
      <w:r w:rsidRPr="006656C1">
        <w:rPr>
          <w:rStyle w:val="FootnoteReference"/>
        </w:rPr>
        <w:footnoteRef/>
      </w:r>
      <w:r w:rsidRPr="006656C1">
        <w:t xml:space="preserve"> </w:t>
      </w:r>
      <w:r w:rsidRPr="006656C1">
        <w:tab/>
        <w:t>The Act adopts a “balance of probabilities” threshold in ss 28 and 46 and one of “beyond reasonable doubt” in s 45. The Commission’s original proposals adopted a test of “beyond reasonable doubt” for all three sections. When the Evidence Bill was introduced, the test was one of a “balance of probabilities” across all</w:t>
      </w:r>
      <w:r>
        <w:t xml:space="preserve"> </w:t>
      </w:r>
      <w:r w:rsidRPr="006656C1">
        <w:t>three sections</w:t>
      </w:r>
      <w:r w:rsidR="00B11E8C">
        <w:t>,</w:t>
      </w:r>
      <w:r w:rsidRPr="006656C1">
        <w:t xml:space="preserve"> and the change reverting to “beyond reasonable doubt” in s 45 was made at select committee stage. The reasons for this were not made clear, although in </w:t>
      </w:r>
      <w:r w:rsidRPr="006656C1">
        <w:rPr>
          <w:i/>
          <w:iCs/>
        </w:rPr>
        <w:t xml:space="preserve">Hohipa v R </w:t>
      </w:r>
      <w:r w:rsidRPr="006656C1">
        <w:t>[2015] NZCA 73</w:t>
      </w:r>
      <w:r w:rsidR="00B11E8C">
        <w:t>,</w:t>
      </w:r>
      <w:r w:rsidRPr="006656C1">
        <w:t xml:space="preserve"> the Court suggested that it may reflect the “legislature’s estimation of the risks inherent in visual identification evidence” and that it was not incompatible to have two separate approaches to visual and voice identification evidence (at [67]). </w:t>
      </w:r>
    </w:p>
  </w:footnote>
  <w:footnote w:id="683">
    <w:p w14:paraId="703AB857" w14:textId="6930F4BE" w:rsidR="00116092" w:rsidRPr="006656C1" w:rsidRDefault="00116092" w:rsidP="00116092">
      <w:pPr>
        <w:pStyle w:val="FootnoteText"/>
      </w:pPr>
      <w:r w:rsidRPr="006656C1">
        <w:rPr>
          <w:rStyle w:val="FootnoteReference"/>
        </w:rPr>
        <w:footnoteRef/>
      </w:r>
      <w:r w:rsidRPr="006656C1">
        <w:t xml:space="preserve"> </w:t>
      </w:r>
      <w:r w:rsidRPr="006656C1">
        <w:tab/>
        <w:t>Outlined at [</w:t>
      </w:r>
      <w:r w:rsidR="003879F7">
        <w:t>8.5</w:t>
      </w:r>
      <w:r w:rsidRPr="006656C1">
        <w:t xml:space="preserve">] above. </w:t>
      </w:r>
    </w:p>
  </w:footnote>
  <w:footnote w:id="684">
    <w:p w14:paraId="17BEDDC4" w14:textId="28A33236" w:rsidR="00116092" w:rsidRPr="006656C1" w:rsidRDefault="00116092" w:rsidP="00116092">
      <w:pPr>
        <w:pStyle w:val="FootnoteText"/>
      </w:pPr>
      <w:r w:rsidRPr="006656C1">
        <w:rPr>
          <w:rStyle w:val="FootnoteReference"/>
        </w:rPr>
        <w:footnoteRef/>
      </w:r>
      <w:r w:rsidRPr="006656C1">
        <w:t xml:space="preserve"> </w:t>
      </w:r>
      <w:r w:rsidRPr="006656C1">
        <w:tab/>
      </w:r>
      <w:r w:rsidR="00131DD1">
        <w:t>Anna High “The exclusion of prison informant evidence for unreliability in New Zealand” (2021) 25 IJE &amp; P 217</w:t>
      </w:r>
      <w:r w:rsidRPr="006656C1">
        <w:t xml:space="preserve"> at 233. </w:t>
      </w:r>
    </w:p>
  </w:footnote>
  <w:footnote w:id="685">
    <w:p w14:paraId="104E5AEF" w14:textId="77777777" w:rsidR="00116092" w:rsidRPr="006656C1" w:rsidRDefault="00116092" w:rsidP="00116092">
      <w:pPr>
        <w:pStyle w:val="FootnoteText"/>
      </w:pPr>
      <w:r w:rsidRPr="006656C1">
        <w:rPr>
          <w:rStyle w:val="FootnoteReference"/>
        </w:rPr>
        <w:footnoteRef/>
      </w:r>
      <w:r w:rsidRPr="006656C1">
        <w:t xml:space="preserve"> </w:t>
      </w:r>
      <w:r w:rsidRPr="006656C1">
        <w:tab/>
      </w:r>
      <w:r w:rsidRPr="006656C1">
        <w:rPr>
          <w:i/>
          <w:iCs/>
        </w:rPr>
        <w:t xml:space="preserve">Roigard v R </w:t>
      </w:r>
      <w:r w:rsidRPr="006656C1">
        <w:t>[2020] NZSC 94 at [54].</w:t>
      </w:r>
    </w:p>
  </w:footnote>
  <w:footnote w:id="686">
    <w:p w14:paraId="2903352E" w14:textId="77777777" w:rsidR="00116092" w:rsidRPr="006656C1" w:rsidRDefault="00116092" w:rsidP="00116092">
      <w:pPr>
        <w:pStyle w:val="FootnoteText"/>
      </w:pPr>
      <w:r w:rsidRPr="006656C1">
        <w:rPr>
          <w:rStyle w:val="FootnoteReference"/>
        </w:rPr>
        <w:footnoteRef/>
      </w:r>
      <w:r w:rsidRPr="006656C1">
        <w:t xml:space="preserve"> </w:t>
      </w:r>
      <w:r w:rsidRPr="006656C1">
        <w:tab/>
        <w:t xml:space="preserve">Scott Optican “Evidence” (2021) NZ L Rev 313 at 328. </w:t>
      </w:r>
    </w:p>
  </w:footnote>
  <w:footnote w:id="687">
    <w:p w14:paraId="7B1BDB95" w14:textId="3B5C04EB" w:rsidR="00116092" w:rsidRDefault="00116092" w:rsidP="00116092">
      <w:pPr>
        <w:pStyle w:val="FootnoteText"/>
      </w:pPr>
      <w:r w:rsidRPr="006656C1">
        <w:rPr>
          <w:rStyle w:val="FootnoteReference"/>
        </w:rPr>
        <w:footnoteRef/>
      </w:r>
      <w:r w:rsidRPr="006656C1">
        <w:t xml:space="preserve"> </w:t>
      </w:r>
      <w:r w:rsidRPr="006656C1">
        <w:tab/>
      </w:r>
      <w:r w:rsidR="00131DD1">
        <w:t>Anna High “The exclusion of prison informant evidence for unreliability in New Zealand” (2021) 25 IJE &amp; P 217</w:t>
      </w:r>
      <w:r w:rsidRPr="006656C1">
        <w:t xml:space="preserve"> at 233.</w:t>
      </w:r>
      <w:r>
        <w:t xml:space="preserve"> </w:t>
      </w:r>
    </w:p>
  </w:footnote>
  <w:footnote w:id="688">
    <w:p w14:paraId="76C3D3F8" w14:textId="77777777" w:rsidR="00116092" w:rsidRPr="006656C1" w:rsidRDefault="00116092" w:rsidP="00116092">
      <w:pPr>
        <w:pStyle w:val="FootnoteText"/>
      </w:pPr>
      <w:r w:rsidRPr="006656C1">
        <w:rPr>
          <w:rStyle w:val="FootnoteReference"/>
        </w:rPr>
        <w:footnoteRef/>
      </w:r>
      <w:r w:rsidRPr="006656C1">
        <w:t xml:space="preserve"> </w:t>
      </w:r>
      <w:r w:rsidRPr="006656C1">
        <w:tab/>
        <w:t>Evidence Bill 2005 (256-2) (select committee report) at 12.</w:t>
      </w:r>
    </w:p>
  </w:footnote>
  <w:footnote w:id="689">
    <w:p w14:paraId="51A7C036" w14:textId="77777777" w:rsidR="00116092" w:rsidRPr="006C7D0D" w:rsidRDefault="00116092" w:rsidP="00116092">
      <w:pPr>
        <w:pStyle w:val="FootnoteText"/>
      </w:pPr>
      <w:r w:rsidRPr="006656C1">
        <w:rPr>
          <w:rStyle w:val="FootnoteReference"/>
        </w:rPr>
        <w:footnoteRef/>
      </w:r>
      <w:r w:rsidRPr="006656C1">
        <w:t xml:space="preserve"> </w:t>
      </w:r>
      <w:r w:rsidRPr="006656C1">
        <w:tab/>
        <w:t xml:space="preserve">Te Aka Matua o te Ture | Law Commission </w:t>
      </w:r>
      <w:r w:rsidRPr="006656C1">
        <w:rPr>
          <w:i/>
          <w:iCs/>
        </w:rPr>
        <w:t xml:space="preserve">The 2013 Review of the Evidence Act 2006 </w:t>
      </w:r>
      <w:r w:rsidRPr="006656C1">
        <w:t>(NZLC R127, 2013) at [11.07].</w:t>
      </w:r>
      <w:r>
        <w:t xml:space="preserve"> </w:t>
      </w:r>
    </w:p>
  </w:footnote>
  <w:footnote w:id="690">
    <w:p w14:paraId="2B85BFD8" w14:textId="678DCC38" w:rsidR="00116092" w:rsidRPr="00F92F28" w:rsidRDefault="00116092" w:rsidP="00116092">
      <w:pPr>
        <w:pStyle w:val="FootnoteText"/>
      </w:pPr>
      <w:r w:rsidRPr="00F92F28">
        <w:rPr>
          <w:rStyle w:val="FootnoteReference"/>
        </w:rPr>
        <w:footnoteRef/>
      </w:r>
      <w:r w:rsidRPr="00F92F28">
        <w:t xml:space="preserve"> </w:t>
      </w:r>
      <w:r w:rsidRPr="00F92F28">
        <w:tab/>
      </w:r>
      <w:r w:rsidRPr="00F92F28">
        <w:rPr>
          <w:i/>
          <w:iCs/>
        </w:rPr>
        <w:t xml:space="preserve">Hudson v R </w:t>
      </w:r>
      <w:r w:rsidRPr="00F92F28">
        <w:t>[2011] NZSC 51, [2011] 3 NZLR 289 at [40</w:t>
      </w:r>
      <w:r w:rsidR="00F22581">
        <w:t>]–</w:t>
      </w:r>
      <w:r w:rsidRPr="00F92F28">
        <w:t xml:space="preserve">[41]. </w:t>
      </w:r>
    </w:p>
  </w:footnote>
  <w:footnote w:id="691">
    <w:p w14:paraId="451D8E58" w14:textId="77777777" w:rsidR="00116092" w:rsidRPr="00F92F28" w:rsidRDefault="00116092" w:rsidP="00116092">
      <w:pPr>
        <w:pStyle w:val="FootnoteText"/>
      </w:pPr>
      <w:r w:rsidRPr="00F92F28">
        <w:rPr>
          <w:rStyle w:val="FootnoteReference"/>
        </w:rPr>
        <w:footnoteRef/>
      </w:r>
      <w:r w:rsidRPr="00F92F28">
        <w:t xml:space="preserve"> </w:t>
      </w:r>
      <w:r w:rsidRPr="00F92F28">
        <w:tab/>
      </w:r>
      <w:r w:rsidRPr="00F92F28">
        <w:rPr>
          <w:i/>
          <w:iCs/>
        </w:rPr>
        <w:t xml:space="preserve">Baillie v R </w:t>
      </w:r>
      <w:r w:rsidRPr="00F92F28">
        <w:t xml:space="preserve">[2021] NZCA 458 at [58]. </w:t>
      </w:r>
    </w:p>
  </w:footnote>
  <w:footnote w:id="692">
    <w:p w14:paraId="19EAADBF" w14:textId="77777777" w:rsidR="00116092" w:rsidRPr="00F92F28" w:rsidRDefault="00116092" w:rsidP="00116092">
      <w:pPr>
        <w:pStyle w:val="FootnoteText"/>
      </w:pPr>
      <w:r w:rsidRPr="00F92F28">
        <w:rPr>
          <w:rStyle w:val="FootnoteReference"/>
        </w:rPr>
        <w:footnoteRef/>
      </w:r>
      <w:r w:rsidRPr="00F92F28">
        <w:t xml:space="preserve"> </w:t>
      </w:r>
      <w:r w:rsidRPr="00F92F28">
        <w:tab/>
      </w:r>
      <w:r w:rsidRPr="00F92F28">
        <w:rPr>
          <w:i/>
          <w:iCs/>
        </w:rPr>
        <w:t xml:space="preserve">Baillie v R </w:t>
      </w:r>
      <w:r w:rsidRPr="00F92F28">
        <w:t>[2021] NZCA 458 at [59] (footnotes omitted).</w:t>
      </w:r>
    </w:p>
  </w:footnote>
  <w:footnote w:id="693">
    <w:p w14:paraId="5B1841D1" w14:textId="2109CF6F" w:rsidR="00116092" w:rsidRPr="00C25F7E" w:rsidRDefault="00116092" w:rsidP="00116092">
      <w:pPr>
        <w:pStyle w:val="FootnoteText"/>
      </w:pPr>
      <w:r w:rsidRPr="00F92F28">
        <w:rPr>
          <w:rStyle w:val="FootnoteReference"/>
        </w:rPr>
        <w:footnoteRef/>
      </w:r>
      <w:r w:rsidRPr="00F92F28">
        <w:t xml:space="preserve"> </w:t>
      </w:r>
      <w:r w:rsidRPr="00F92F28">
        <w:tab/>
        <w:t xml:space="preserve">See, for example, </w:t>
      </w:r>
      <w:r w:rsidRPr="00F92F28">
        <w:rPr>
          <w:i/>
          <w:iCs/>
        </w:rPr>
        <w:t xml:space="preserve">W (SC 38/2019) v R </w:t>
      </w:r>
      <w:r w:rsidRPr="00F92F28">
        <w:t>[2020] NZSC 93, [2020] 1 NZLR 382 at [84</w:t>
      </w:r>
      <w:r w:rsidR="00F22581">
        <w:t>]–</w:t>
      </w:r>
      <w:r w:rsidRPr="00F92F28">
        <w:t xml:space="preserve">[85] and [246]; </w:t>
      </w:r>
      <w:r w:rsidR="00131DD1">
        <w:t>Anna High “The exclusion of prison informant evidence for unreliability in New Zealand” (2021) 25 IJE &amp; P 217</w:t>
      </w:r>
      <w:r w:rsidRPr="00F92F28">
        <w:t xml:space="preserve"> at 232; Patrick Anderson “Snitched on or stitched up? – a review of the law in New Zealand in relation to jailhouse informant evidence” [2021] NZLJ 119 at 123.</w:t>
      </w:r>
      <w:r>
        <w:t xml:space="preserve"> </w:t>
      </w:r>
    </w:p>
  </w:footnote>
  <w:footnote w:id="694">
    <w:p w14:paraId="4CA1C910" w14:textId="77777777" w:rsidR="00116092" w:rsidRPr="00FA7F86" w:rsidRDefault="00116092" w:rsidP="00116092">
      <w:pPr>
        <w:pStyle w:val="FootnoteText"/>
      </w:pPr>
      <w:r w:rsidRPr="00FA7F86">
        <w:rPr>
          <w:rStyle w:val="FootnoteReference"/>
        </w:rPr>
        <w:footnoteRef/>
      </w:r>
      <w:r w:rsidRPr="00FA7F86">
        <w:t xml:space="preserve"> </w:t>
      </w:r>
      <w:r w:rsidRPr="00FA7F86">
        <w:tab/>
      </w:r>
      <w:r w:rsidRPr="00FA7F86">
        <w:rPr>
          <w:i/>
          <w:iCs/>
        </w:rPr>
        <w:t xml:space="preserve">W (SC 38/2019) v R </w:t>
      </w:r>
      <w:r w:rsidRPr="00FA7F86">
        <w:t xml:space="preserve">[2020] NZSC 93, [2020] 1 NZLR 382 at [86]. </w:t>
      </w:r>
    </w:p>
  </w:footnote>
  <w:footnote w:id="695">
    <w:p w14:paraId="75AB585B" w14:textId="77777777" w:rsidR="00116092" w:rsidRPr="00FA7F86" w:rsidRDefault="00116092" w:rsidP="00116092">
      <w:pPr>
        <w:pStyle w:val="FootnoteText"/>
      </w:pPr>
      <w:r w:rsidRPr="00FA7F86">
        <w:rPr>
          <w:rStyle w:val="FootnoteReference"/>
        </w:rPr>
        <w:footnoteRef/>
      </w:r>
      <w:r w:rsidRPr="00FA7F86">
        <w:t xml:space="preserve"> </w:t>
      </w:r>
      <w:r w:rsidRPr="00FA7F86">
        <w:tab/>
      </w:r>
      <w:r w:rsidRPr="00FA7F86">
        <w:rPr>
          <w:i/>
          <w:iCs/>
        </w:rPr>
        <w:t xml:space="preserve">W (SC 38/2019) v R </w:t>
      </w:r>
      <w:r w:rsidRPr="00FA7F86">
        <w:t xml:space="preserve">[2020] NZSC 93, [2020] 1 NZLR 382 at [246]. </w:t>
      </w:r>
    </w:p>
  </w:footnote>
  <w:footnote w:id="696">
    <w:p w14:paraId="49698A54" w14:textId="77777777" w:rsidR="00116092" w:rsidRPr="000466FC" w:rsidRDefault="00116092" w:rsidP="00116092">
      <w:pPr>
        <w:pStyle w:val="FootnoteText"/>
      </w:pPr>
      <w:r w:rsidRPr="00FA7F86">
        <w:rPr>
          <w:rStyle w:val="FootnoteReference"/>
        </w:rPr>
        <w:footnoteRef/>
      </w:r>
      <w:r w:rsidRPr="00FA7F86">
        <w:t xml:space="preserve"> </w:t>
      </w:r>
      <w:r w:rsidRPr="00FA7F86">
        <w:tab/>
      </w:r>
      <w:r w:rsidRPr="00FA7F86">
        <w:rPr>
          <w:i/>
          <w:iCs/>
        </w:rPr>
        <w:t xml:space="preserve">W (SC 38/2019) v R </w:t>
      </w:r>
      <w:r w:rsidRPr="00FA7F86">
        <w:t>[2020] NZSC 93, [2020] 1 NZLR 382 at [246].</w:t>
      </w:r>
      <w:r>
        <w:t xml:space="preserve"> </w:t>
      </w:r>
    </w:p>
  </w:footnote>
  <w:footnote w:id="697">
    <w:p w14:paraId="70EC8850" w14:textId="78BDF242" w:rsidR="00116092" w:rsidRPr="00FA7F86" w:rsidRDefault="00116092" w:rsidP="00116092">
      <w:pPr>
        <w:pStyle w:val="FootnoteText"/>
      </w:pPr>
      <w:r w:rsidRPr="00FA7F86">
        <w:rPr>
          <w:rStyle w:val="FootnoteReference"/>
        </w:rPr>
        <w:footnoteRef/>
      </w:r>
      <w:r w:rsidRPr="00FA7F86">
        <w:t xml:space="preserve"> </w:t>
      </w:r>
      <w:r w:rsidRPr="00FA7F86">
        <w:tab/>
        <w:t xml:space="preserve">In </w:t>
      </w:r>
      <w:r w:rsidRPr="00FA7F86">
        <w:rPr>
          <w:i/>
          <w:iCs/>
        </w:rPr>
        <w:t>Hudson</w:t>
      </w:r>
      <w:r w:rsidR="00C252D1" w:rsidRPr="00C252D1">
        <w:t>,</w:t>
      </w:r>
      <w:r w:rsidRPr="00FA7F86">
        <w:rPr>
          <w:i/>
          <w:iCs/>
        </w:rPr>
        <w:t xml:space="preserve"> </w:t>
      </w:r>
      <w:r w:rsidRPr="00FA7F86">
        <w:t>the Supreme Court noted that, unlike other types of unreliable evidence where the primary controversy turns on the circumstances in which the statements were made, the issue with prison informant evidence is often whether the statements were made at all</w:t>
      </w:r>
      <w:r w:rsidR="00E57FAA">
        <w:t>:</w:t>
      </w:r>
      <w:r w:rsidRPr="00FA7F86">
        <w:t xml:space="preserve"> </w:t>
      </w:r>
      <w:r w:rsidRPr="00FA7F86">
        <w:rPr>
          <w:i/>
          <w:iCs/>
        </w:rPr>
        <w:t xml:space="preserve">Hudson v R </w:t>
      </w:r>
      <w:r w:rsidRPr="00FA7F86">
        <w:t xml:space="preserve">[2011] NZSC 51, [2011] 3 NZLR 289 at [36]. </w:t>
      </w:r>
    </w:p>
  </w:footnote>
  <w:footnote w:id="698">
    <w:p w14:paraId="3D365010" w14:textId="7EA6BA5C" w:rsidR="00116092" w:rsidRPr="00B90039" w:rsidRDefault="00116092" w:rsidP="00116092">
      <w:pPr>
        <w:pStyle w:val="FootnoteText"/>
      </w:pPr>
      <w:r w:rsidRPr="00FA7F86">
        <w:rPr>
          <w:rStyle w:val="FootnoteReference"/>
        </w:rPr>
        <w:footnoteRef/>
      </w:r>
      <w:r w:rsidRPr="00FA7F86">
        <w:t xml:space="preserve"> </w:t>
      </w:r>
      <w:r w:rsidRPr="00FA7F86">
        <w:tab/>
        <w:t xml:space="preserve">Elisabeth McDonald and Scott Optican (eds) </w:t>
      </w:r>
      <w:r w:rsidRPr="00FA7F86">
        <w:rPr>
          <w:i/>
          <w:iCs/>
        </w:rPr>
        <w:t xml:space="preserve">Mahoney on Evidence: Act &amp; Analysis </w:t>
      </w:r>
      <w:r w:rsidRPr="00FA7F86">
        <w:t>(</w:t>
      </w:r>
      <w:r w:rsidR="005A2FE1">
        <w:t>4th</w:t>
      </w:r>
      <w:r w:rsidRPr="00FA7F86">
        <w:t xml:space="preserve"> ed, Thomson Reuters, Wellington, 2018) at [EV122.06].</w:t>
      </w:r>
      <w:r>
        <w:t xml:space="preserve"> </w:t>
      </w:r>
    </w:p>
  </w:footnote>
  <w:footnote w:id="699">
    <w:p w14:paraId="67AA37F9" w14:textId="7A584819" w:rsidR="00116092" w:rsidRPr="00BA0135" w:rsidRDefault="00116092" w:rsidP="00116092">
      <w:pPr>
        <w:pStyle w:val="FootnoteText"/>
      </w:pPr>
      <w:r w:rsidRPr="00BA0135">
        <w:rPr>
          <w:rStyle w:val="FootnoteReference"/>
        </w:rPr>
        <w:footnoteRef/>
      </w:r>
      <w:r w:rsidRPr="00BA0135">
        <w:t xml:space="preserve"> </w:t>
      </w:r>
      <w:r w:rsidRPr="00BA0135">
        <w:tab/>
      </w:r>
      <w:r w:rsidRPr="00BA0135">
        <w:rPr>
          <w:i/>
          <w:iCs/>
        </w:rPr>
        <w:t xml:space="preserve">W (SC 38/2019) v R </w:t>
      </w:r>
      <w:r w:rsidRPr="00BA0135">
        <w:t>[2020] NZSC 93, [2020] 1 NZLR 382 at [91]</w:t>
      </w:r>
      <w:r w:rsidR="00E57FAA">
        <w:t xml:space="preserve"> and </w:t>
      </w:r>
      <w:r w:rsidRPr="00BA0135">
        <w:t>[218].</w:t>
      </w:r>
    </w:p>
  </w:footnote>
  <w:footnote w:id="700">
    <w:p w14:paraId="08323436" w14:textId="77777777" w:rsidR="00116092" w:rsidRPr="00BA0135" w:rsidRDefault="00116092" w:rsidP="00116092">
      <w:pPr>
        <w:pStyle w:val="FootnoteText"/>
      </w:pPr>
      <w:r w:rsidRPr="00BA0135">
        <w:rPr>
          <w:rStyle w:val="FootnoteReference"/>
        </w:rPr>
        <w:footnoteRef/>
      </w:r>
      <w:r w:rsidRPr="00BA0135">
        <w:t xml:space="preserve"> </w:t>
      </w:r>
      <w:r w:rsidRPr="00BA0135">
        <w:tab/>
      </w:r>
      <w:r w:rsidRPr="00BA0135">
        <w:rPr>
          <w:i/>
          <w:iCs/>
        </w:rPr>
        <w:t xml:space="preserve">W (SC 38/2019) v R </w:t>
      </w:r>
      <w:r w:rsidRPr="00BA0135">
        <w:t xml:space="preserve">[2020] NZSC 93, [2020] 1 NZLR 382 at [92]. The Court noted that the Solicitor-General was in the process of formulating such guidance at that time. </w:t>
      </w:r>
    </w:p>
  </w:footnote>
  <w:footnote w:id="701">
    <w:p w14:paraId="0909AC8D" w14:textId="3FB1DF47" w:rsidR="00116092" w:rsidRPr="00BA0135" w:rsidRDefault="00116092" w:rsidP="00116092">
      <w:pPr>
        <w:pStyle w:val="FootnoteText"/>
      </w:pPr>
      <w:r w:rsidRPr="00BA0135">
        <w:rPr>
          <w:rStyle w:val="FootnoteReference"/>
        </w:rPr>
        <w:footnoteRef/>
      </w:r>
      <w:r w:rsidRPr="00BA0135">
        <w:t xml:space="preserve"> </w:t>
      </w:r>
      <w:r w:rsidRPr="00BA0135">
        <w:tab/>
      </w:r>
      <w:r w:rsidRPr="00BA0135">
        <w:rPr>
          <w:i/>
          <w:iCs/>
        </w:rPr>
        <w:t xml:space="preserve">W (SC 38/2019) v R </w:t>
      </w:r>
      <w:r w:rsidRPr="00BA0135">
        <w:t>[2020] NZSC 93, [2020] 1 NZLR 382 at [93]</w:t>
      </w:r>
      <w:r w:rsidR="00E57FAA">
        <w:t xml:space="preserve"> and</w:t>
      </w:r>
      <w:r w:rsidRPr="00BA0135">
        <w:t xml:space="preserve"> [218]. </w:t>
      </w:r>
    </w:p>
  </w:footnote>
  <w:footnote w:id="702">
    <w:p w14:paraId="532D41C9" w14:textId="5F1B6D32" w:rsidR="00116092" w:rsidRPr="00BA0135" w:rsidRDefault="00116092" w:rsidP="00116092">
      <w:pPr>
        <w:pStyle w:val="FootnoteText"/>
      </w:pPr>
      <w:r w:rsidRPr="00BA0135">
        <w:rPr>
          <w:rStyle w:val="FootnoteReference"/>
        </w:rPr>
        <w:footnoteRef/>
      </w:r>
      <w:r w:rsidRPr="00BA0135">
        <w:t xml:space="preserve"> </w:t>
      </w:r>
      <w:r w:rsidRPr="00BA0135">
        <w:tab/>
        <w:t>See</w:t>
      </w:r>
      <w:r w:rsidR="002C0C7E">
        <w:t>,</w:t>
      </w:r>
      <w:r w:rsidRPr="00BA0135">
        <w:t xml:space="preserve"> for example</w:t>
      </w:r>
      <w:r w:rsidR="006E559F">
        <w:t>,</w:t>
      </w:r>
      <w:r w:rsidRPr="00BA0135">
        <w:t xml:space="preserve"> Scott Optican “Evidence” (2021) NZ L Rev 313 at 328</w:t>
      </w:r>
      <w:r w:rsidR="004E1A72">
        <w:t>–329</w:t>
      </w:r>
      <w:r w:rsidRPr="00BA0135">
        <w:t xml:space="preserve">; </w:t>
      </w:r>
      <w:r w:rsidR="00131DD1">
        <w:t>Anna High “The exclusion of prison informant evidence for unreliability in New Zealand” (2021) 25 IJE &amp; P 217</w:t>
      </w:r>
      <w:r w:rsidRPr="00BA0135">
        <w:t>.</w:t>
      </w:r>
    </w:p>
  </w:footnote>
  <w:footnote w:id="703">
    <w:p w14:paraId="0A41AE70" w14:textId="0C7986B7" w:rsidR="00116092" w:rsidRPr="00BA0135" w:rsidRDefault="00116092" w:rsidP="00116092">
      <w:pPr>
        <w:pStyle w:val="FootnoteText"/>
      </w:pPr>
      <w:r w:rsidRPr="00BA0135">
        <w:rPr>
          <w:rStyle w:val="FootnoteReference"/>
        </w:rPr>
        <w:footnoteRef/>
      </w:r>
      <w:r w:rsidRPr="00BA0135">
        <w:t xml:space="preserve"> </w:t>
      </w:r>
      <w:r w:rsidRPr="00BA0135">
        <w:tab/>
        <w:t xml:space="preserve">Mike White “Law Commission will examine ‘jailhouse snitches’” </w:t>
      </w:r>
      <w:r w:rsidR="00684315">
        <w:t>(</w:t>
      </w:r>
      <w:r w:rsidRPr="00BA0135">
        <w:t>1 October 2022)</w:t>
      </w:r>
      <w:r w:rsidR="00684315">
        <w:t xml:space="preserve"> </w:t>
      </w:r>
      <w:r w:rsidR="00684315" w:rsidRPr="0002399E">
        <w:t>Stuff</w:t>
      </w:r>
      <w:r w:rsidR="00684315">
        <w:rPr>
          <w:i/>
          <w:iCs/>
        </w:rPr>
        <w:t xml:space="preserve"> </w:t>
      </w:r>
      <w:r w:rsidR="00684315">
        <w:t>&lt;www.stuff.co.nz&gt;</w:t>
      </w:r>
      <w:r w:rsidRPr="00BA0135">
        <w:t>.</w:t>
      </w:r>
    </w:p>
  </w:footnote>
  <w:footnote w:id="704">
    <w:p w14:paraId="14CDC02E" w14:textId="547DBAB4" w:rsidR="00116092" w:rsidRPr="00BA0135" w:rsidRDefault="00116092" w:rsidP="00116092">
      <w:pPr>
        <w:pStyle w:val="FootnoteText"/>
      </w:pPr>
      <w:r w:rsidRPr="00BA0135">
        <w:rPr>
          <w:rStyle w:val="FootnoteReference"/>
        </w:rPr>
        <w:footnoteRef/>
      </w:r>
      <w:r w:rsidRPr="00BA0135">
        <w:t xml:space="preserve"> </w:t>
      </w:r>
      <w:r w:rsidRPr="00BA0135">
        <w:tab/>
      </w:r>
      <w:r w:rsidR="002F73D9" w:rsidRPr="00BA0135">
        <w:t>Office of the Director of Public Prosecutions</w:t>
      </w:r>
      <w:r w:rsidR="002F73D9">
        <w:t xml:space="preserve"> </w:t>
      </w:r>
      <w:r w:rsidRPr="00BA0135">
        <w:rPr>
          <w:i/>
          <w:iCs/>
        </w:rPr>
        <w:t xml:space="preserve">Guide Book of Policies and Procedures for the Conduct of Criminal Prosecutions in Newfoundland and Labrador </w:t>
      </w:r>
      <w:r w:rsidRPr="00BA0135">
        <w:t>(October 2007) at 22</w:t>
      </w:r>
      <w:r w:rsidR="00F22581">
        <w:t>–</w:t>
      </w:r>
      <w:r w:rsidRPr="00BA0135">
        <w:t>5.</w:t>
      </w:r>
    </w:p>
  </w:footnote>
  <w:footnote w:id="705">
    <w:p w14:paraId="34524EBF" w14:textId="7F92C586" w:rsidR="00116092" w:rsidRPr="00BA0135" w:rsidRDefault="00116092" w:rsidP="00116092">
      <w:pPr>
        <w:pStyle w:val="FootnoteText"/>
      </w:pPr>
      <w:r w:rsidRPr="00BA0135">
        <w:rPr>
          <w:rStyle w:val="FootnoteReference"/>
        </w:rPr>
        <w:footnoteRef/>
      </w:r>
      <w:r w:rsidRPr="00BA0135">
        <w:t xml:space="preserve"> </w:t>
      </w:r>
      <w:r w:rsidRPr="00BA0135">
        <w:tab/>
        <w:t xml:space="preserve">The Manitoba Department of Justice’s in-custody informer policy requires that any in-custody informant found to have lied will be “vigorously prosecuted by a counsel independent of the prosecution”: see “Jailhouse Informants” in </w:t>
      </w:r>
      <w:r w:rsidR="00DB64F0" w:rsidRPr="00BA0135">
        <w:t>Office of the Director of Public Prosecutions</w:t>
      </w:r>
      <w:r w:rsidR="00DB64F0">
        <w:t xml:space="preserve">  </w:t>
      </w:r>
      <w:r w:rsidRPr="00BA0135">
        <w:rPr>
          <w:i/>
          <w:iCs/>
        </w:rPr>
        <w:t xml:space="preserve">Guide Book of Policies and Procedures for the Conduct of Criminal Prosecutions in Newfoundland and Labrador </w:t>
      </w:r>
      <w:r w:rsidRPr="00BA0135">
        <w:t>(October 2007) at 22</w:t>
      </w:r>
      <w:r w:rsidR="00F22581">
        <w:t>–</w:t>
      </w:r>
      <w:r w:rsidRPr="00BA0135">
        <w:t>5.</w:t>
      </w:r>
    </w:p>
  </w:footnote>
  <w:footnote w:id="706">
    <w:p w14:paraId="54A3CB67" w14:textId="73AD2962" w:rsidR="00116092" w:rsidRDefault="00116092" w:rsidP="00116092">
      <w:pPr>
        <w:pStyle w:val="FootnoteText"/>
      </w:pPr>
      <w:r w:rsidRPr="00BA0135">
        <w:rPr>
          <w:rStyle w:val="FootnoteReference"/>
        </w:rPr>
        <w:footnoteRef/>
      </w:r>
      <w:r w:rsidRPr="00BA0135">
        <w:tab/>
        <w:t>See</w:t>
      </w:r>
      <w:r w:rsidR="00C804E4">
        <w:t>,</w:t>
      </w:r>
      <w:r w:rsidRPr="00BA0135">
        <w:t xml:space="preserve"> for example</w:t>
      </w:r>
      <w:r w:rsidR="00C804E4">
        <w:t>,</w:t>
      </w:r>
      <w:r w:rsidRPr="00BA0135">
        <w:t xml:space="preserve"> “In-Custody Informers” in </w:t>
      </w:r>
      <w:r w:rsidR="00DB3224" w:rsidRPr="00BA0135">
        <w:t>Ministry of the Attorney General – Criminal Law Division</w:t>
      </w:r>
      <w:r w:rsidR="00DB3224" w:rsidRPr="00BA0135">
        <w:rPr>
          <w:i/>
          <w:iCs/>
        </w:rPr>
        <w:t xml:space="preserve"> </w:t>
      </w:r>
      <w:r w:rsidRPr="00BA0135">
        <w:rPr>
          <w:i/>
          <w:iCs/>
        </w:rPr>
        <w:t xml:space="preserve">Ontario Crown Prosecution Manual </w:t>
      </w:r>
      <w:r w:rsidRPr="00BA0135">
        <w:t xml:space="preserve">(2017); “In-Custody Informer Policy: Guideline No.2:INF:1” in </w:t>
      </w:r>
      <w:r w:rsidR="00DB64F0" w:rsidRPr="00BA0135">
        <w:t>Manitoba Department of Justice</w:t>
      </w:r>
      <w:r w:rsidR="00DB64F0">
        <w:t xml:space="preserve"> </w:t>
      </w:r>
      <w:r w:rsidRPr="00BA0135">
        <w:rPr>
          <w:i/>
          <w:iCs/>
        </w:rPr>
        <w:t xml:space="preserve">Policy Handbook </w:t>
      </w:r>
      <w:r w:rsidRPr="00BA0135">
        <w:t>(5 November 2001).</w:t>
      </w:r>
    </w:p>
  </w:footnote>
  <w:footnote w:id="707">
    <w:p w14:paraId="2ABF1C57" w14:textId="77777777" w:rsidR="00116092" w:rsidRPr="00BA0135" w:rsidRDefault="00116092" w:rsidP="00116092">
      <w:pPr>
        <w:pStyle w:val="FootnoteText"/>
      </w:pPr>
      <w:r w:rsidRPr="00BA0135">
        <w:rPr>
          <w:rStyle w:val="FootnoteReference"/>
        </w:rPr>
        <w:footnoteRef/>
      </w:r>
      <w:r w:rsidRPr="00BA0135">
        <w:t xml:space="preserve"> </w:t>
      </w:r>
      <w:r w:rsidRPr="00BA0135">
        <w:tab/>
      </w:r>
      <w:r w:rsidRPr="00BA0135">
        <w:rPr>
          <w:i/>
          <w:iCs/>
        </w:rPr>
        <w:t xml:space="preserve">Petition of Lois McGirr for Justice for All Inc and 190 others: Stop jail-house informant testimony from causing wrongful convictions </w:t>
      </w:r>
      <w:r w:rsidRPr="00BA0135">
        <w:t>(2017/434, 13 November 2019).</w:t>
      </w:r>
    </w:p>
  </w:footnote>
  <w:footnote w:id="708">
    <w:p w14:paraId="00AEFAFE" w14:textId="0F4760CA" w:rsidR="00116092" w:rsidRPr="00BA0135" w:rsidRDefault="00116092" w:rsidP="00116092">
      <w:pPr>
        <w:pStyle w:val="FootnoteText"/>
      </w:pPr>
      <w:r w:rsidRPr="00BA0135">
        <w:rPr>
          <w:rStyle w:val="FootnoteReference"/>
        </w:rPr>
        <w:footnoteRef/>
      </w:r>
      <w:r w:rsidRPr="00BA0135">
        <w:tab/>
      </w:r>
      <w:r w:rsidR="00131DD1">
        <w:t>Anna High “The exclusion of prison informant evidence for unreliability in New Zealand” (2021) 25 IJE &amp; P 217</w:t>
      </w:r>
      <w:r w:rsidRPr="00BA0135">
        <w:t xml:space="preserve"> at 233.</w:t>
      </w:r>
    </w:p>
  </w:footnote>
  <w:footnote w:id="709">
    <w:p w14:paraId="53DF9D64" w14:textId="1B90FC2E" w:rsidR="00116092" w:rsidRPr="00BA0135" w:rsidRDefault="00116092" w:rsidP="00116092">
      <w:pPr>
        <w:pStyle w:val="FootnoteText"/>
      </w:pPr>
      <w:r w:rsidRPr="00BA0135">
        <w:rPr>
          <w:rStyle w:val="FootnoteReference"/>
        </w:rPr>
        <w:footnoteRef/>
      </w:r>
      <w:r w:rsidRPr="00BA0135">
        <w:t xml:space="preserve"> </w:t>
      </w:r>
      <w:r w:rsidRPr="00BA0135">
        <w:tab/>
        <w:t xml:space="preserve">See, for example, Mike White “High-profile Crown prosecutor concealed meeting with secret witness in murder case” </w:t>
      </w:r>
      <w:r w:rsidR="00E504D9">
        <w:t>(</w:t>
      </w:r>
      <w:r w:rsidRPr="00BA0135">
        <w:t>27 March 2023)</w:t>
      </w:r>
      <w:r w:rsidR="00E504D9">
        <w:t xml:space="preserve"> </w:t>
      </w:r>
      <w:r w:rsidR="00E504D9" w:rsidRPr="0002399E">
        <w:t>Stuff</w:t>
      </w:r>
      <w:r w:rsidR="00E504D9">
        <w:rPr>
          <w:i/>
          <w:iCs/>
        </w:rPr>
        <w:t xml:space="preserve"> </w:t>
      </w:r>
      <w:r w:rsidR="00E504D9">
        <w:t>&lt;www.stuff.co.nz&gt;</w:t>
      </w:r>
      <w:r w:rsidRPr="00BA0135">
        <w:t xml:space="preserve">, detailing a case where meetings between a prosecutor and a prison informant witness were only discovered through notes in a police officer’s notebook. </w:t>
      </w:r>
    </w:p>
  </w:footnote>
  <w:footnote w:id="710">
    <w:p w14:paraId="44A5EB3B" w14:textId="77777777" w:rsidR="00116092" w:rsidRPr="00BA0135" w:rsidRDefault="00116092" w:rsidP="00116092">
      <w:pPr>
        <w:pStyle w:val="FootnoteText"/>
      </w:pPr>
      <w:r w:rsidRPr="00BA0135">
        <w:rPr>
          <w:rStyle w:val="FootnoteReference"/>
        </w:rPr>
        <w:footnoteRef/>
      </w:r>
      <w:r w:rsidRPr="00BA0135">
        <w:t xml:space="preserve"> </w:t>
      </w:r>
      <w:r w:rsidRPr="00BA0135">
        <w:tab/>
        <w:t xml:space="preserve">By enabling the defence (via disclosure) to more effectively challenge the witness in cross-examination and to be able to more clearly present to the jury what incentives have been offered or received. </w:t>
      </w:r>
    </w:p>
  </w:footnote>
  <w:footnote w:id="711">
    <w:p w14:paraId="2C3E1CF0" w14:textId="06F70537" w:rsidR="00116092" w:rsidRPr="00BA0135" w:rsidRDefault="00116092" w:rsidP="00116092">
      <w:pPr>
        <w:pStyle w:val="FootnoteText"/>
      </w:pPr>
      <w:r w:rsidRPr="00BA0135">
        <w:rPr>
          <w:rStyle w:val="FootnoteReference"/>
        </w:rPr>
        <w:footnoteRef/>
      </w:r>
      <w:r w:rsidRPr="00BA0135">
        <w:t xml:space="preserve"> </w:t>
      </w:r>
      <w:r w:rsidRPr="00BA0135">
        <w:tab/>
      </w:r>
      <w:r w:rsidRPr="00BA0135">
        <w:rPr>
          <w:i/>
          <w:iCs/>
        </w:rPr>
        <w:t xml:space="preserve">W (SC 38/2019) v R </w:t>
      </w:r>
      <w:r w:rsidRPr="00BA0135">
        <w:t>[2020] NZSC 93, [2020] 1 NZLR 382 at [94</w:t>
      </w:r>
      <w:r w:rsidR="00F22581">
        <w:t>]–</w:t>
      </w:r>
      <w:r w:rsidRPr="00BA0135">
        <w:t xml:space="preserve">[95]. </w:t>
      </w:r>
    </w:p>
  </w:footnote>
  <w:footnote w:id="712">
    <w:p w14:paraId="65E8E93E" w14:textId="77777777" w:rsidR="00116092" w:rsidRPr="00BA0135" w:rsidRDefault="00116092" w:rsidP="00116092">
      <w:pPr>
        <w:pStyle w:val="FootnoteText"/>
      </w:pPr>
      <w:r w:rsidRPr="00BA0135">
        <w:rPr>
          <w:rStyle w:val="FootnoteReference"/>
        </w:rPr>
        <w:footnoteRef/>
      </w:r>
      <w:r w:rsidRPr="00BA0135">
        <w:t xml:space="preserve"> </w:t>
      </w:r>
      <w:r w:rsidRPr="00BA0135">
        <w:tab/>
      </w:r>
      <w:r w:rsidRPr="00BA0135">
        <w:rPr>
          <w:i/>
          <w:iCs/>
        </w:rPr>
        <w:t xml:space="preserve">W (SC 38/2019) v R </w:t>
      </w:r>
      <w:r w:rsidRPr="00BA0135">
        <w:t xml:space="preserve">[2020] NZSC 93, [2020] 1 NZLR 382 at [87]. </w:t>
      </w:r>
    </w:p>
  </w:footnote>
  <w:footnote w:id="713">
    <w:p w14:paraId="3348E95C" w14:textId="77777777" w:rsidR="00116092" w:rsidRPr="00BA0135" w:rsidRDefault="00116092" w:rsidP="00116092">
      <w:pPr>
        <w:pStyle w:val="FootnoteText"/>
      </w:pPr>
      <w:r w:rsidRPr="00BA0135">
        <w:rPr>
          <w:rStyle w:val="FootnoteReference"/>
        </w:rPr>
        <w:footnoteRef/>
      </w:r>
      <w:r w:rsidRPr="00BA0135">
        <w:t xml:space="preserve"> </w:t>
      </w:r>
      <w:r w:rsidRPr="00BA0135">
        <w:tab/>
      </w:r>
      <w:r w:rsidRPr="00BA0135">
        <w:rPr>
          <w:i/>
          <w:iCs/>
        </w:rPr>
        <w:t xml:space="preserve">W (SC 38/2019) v R </w:t>
      </w:r>
      <w:r w:rsidRPr="00BA0135">
        <w:t xml:space="preserve">[2020] NZSC 93, [2020] 1 NZLR 382 at n 139. </w:t>
      </w:r>
    </w:p>
  </w:footnote>
  <w:footnote w:id="714">
    <w:p w14:paraId="0F2D2F3D" w14:textId="77777777" w:rsidR="00116092" w:rsidRPr="00071E93" w:rsidRDefault="00116092" w:rsidP="00116092">
      <w:pPr>
        <w:pStyle w:val="FootnoteText"/>
      </w:pPr>
      <w:r w:rsidRPr="00BA0135">
        <w:rPr>
          <w:rStyle w:val="FootnoteReference"/>
        </w:rPr>
        <w:footnoteRef/>
      </w:r>
      <w:r w:rsidRPr="00BA0135">
        <w:t xml:space="preserve"> </w:t>
      </w:r>
      <w:r w:rsidRPr="00BA0135">
        <w:tab/>
      </w:r>
      <w:r w:rsidRPr="00BA0135">
        <w:rPr>
          <w:i/>
          <w:iCs/>
        </w:rPr>
        <w:t xml:space="preserve">W (SC 38/2019) v R </w:t>
      </w:r>
      <w:r w:rsidRPr="00BA0135">
        <w:t>[2020] NZSC 93, [2020] 1 NZLR 382 at [201].</w:t>
      </w:r>
      <w:r>
        <w:t xml:space="preserve"> </w:t>
      </w:r>
    </w:p>
  </w:footnote>
  <w:footnote w:id="715">
    <w:p w14:paraId="5379EF35" w14:textId="77777777" w:rsidR="00116092" w:rsidRPr="00D1191B" w:rsidRDefault="00116092" w:rsidP="00116092">
      <w:pPr>
        <w:pStyle w:val="FootnoteText"/>
      </w:pPr>
      <w:r w:rsidRPr="00D1191B">
        <w:rPr>
          <w:rStyle w:val="FootnoteReference"/>
        </w:rPr>
        <w:footnoteRef/>
      </w:r>
      <w:r w:rsidRPr="00D1191B">
        <w:t xml:space="preserve"> </w:t>
      </w:r>
      <w:r w:rsidRPr="00D1191B">
        <w:tab/>
      </w:r>
      <w:r w:rsidRPr="00D1191B">
        <w:rPr>
          <w:i/>
          <w:iCs/>
        </w:rPr>
        <w:t xml:space="preserve">Baillie v R </w:t>
      </w:r>
      <w:r w:rsidRPr="00D1191B">
        <w:t xml:space="preserve">[2021] NZCA 458 at [69]. </w:t>
      </w:r>
    </w:p>
  </w:footnote>
  <w:footnote w:id="716">
    <w:p w14:paraId="07DA9900" w14:textId="77777777" w:rsidR="00116092" w:rsidRPr="00D1191B" w:rsidRDefault="00116092" w:rsidP="00116092">
      <w:pPr>
        <w:pStyle w:val="FootnoteText"/>
      </w:pPr>
      <w:r w:rsidRPr="00D1191B">
        <w:rPr>
          <w:rStyle w:val="FootnoteReference"/>
        </w:rPr>
        <w:footnoteRef/>
      </w:r>
      <w:r w:rsidRPr="00D1191B">
        <w:t xml:space="preserve"> </w:t>
      </w:r>
      <w:r w:rsidRPr="00D1191B">
        <w:tab/>
      </w:r>
      <w:r w:rsidRPr="00D1191B">
        <w:rPr>
          <w:i/>
          <w:iCs/>
        </w:rPr>
        <w:t xml:space="preserve">Baillie v R </w:t>
      </w:r>
      <w:r w:rsidRPr="00D1191B">
        <w:t>[2021] NZCA 458 at [69].</w:t>
      </w:r>
    </w:p>
  </w:footnote>
  <w:footnote w:id="717">
    <w:p w14:paraId="682C592F" w14:textId="77777777" w:rsidR="00116092" w:rsidRDefault="00116092" w:rsidP="00116092">
      <w:pPr>
        <w:pStyle w:val="FootnoteText"/>
      </w:pPr>
      <w:r w:rsidRPr="00D1191B">
        <w:rPr>
          <w:rStyle w:val="FootnoteReference"/>
        </w:rPr>
        <w:footnoteRef/>
      </w:r>
      <w:r w:rsidRPr="00D1191B">
        <w:t xml:space="preserve"> </w:t>
      </w:r>
      <w:r w:rsidRPr="00D1191B">
        <w:tab/>
      </w:r>
      <w:r w:rsidRPr="00D1191B">
        <w:rPr>
          <w:i/>
          <w:iCs/>
        </w:rPr>
        <w:t xml:space="preserve">Baillie v R </w:t>
      </w:r>
      <w:r w:rsidRPr="00D1191B">
        <w:t>[2021] NZCA 458 at [69].</w:t>
      </w:r>
    </w:p>
  </w:footnote>
  <w:footnote w:id="718">
    <w:p w14:paraId="08664528" w14:textId="77777777" w:rsidR="00116092" w:rsidRPr="00B77DF2" w:rsidRDefault="00116092" w:rsidP="00116092">
      <w:pPr>
        <w:pStyle w:val="FootnoteText"/>
      </w:pPr>
      <w:r>
        <w:rPr>
          <w:rStyle w:val="FootnoteReference"/>
        </w:rPr>
        <w:footnoteRef/>
      </w:r>
      <w:r>
        <w:t xml:space="preserve"> </w:t>
      </w:r>
      <w:r>
        <w:tab/>
      </w:r>
      <w:r w:rsidRPr="00D1191B">
        <w:rPr>
          <w:i/>
          <w:iCs/>
        </w:rPr>
        <w:t xml:space="preserve">W (SC 38/2019) v R </w:t>
      </w:r>
      <w:r w:rsidRPr="00D1191B">
        <w:t>[2020] NZSC 93, [2020] 1 NZLR 382 at [79].</w:t>
      </w:r>
      <w:r>
        <w:t xml:space="preserve"> </w:t>
      </w:r>
    </w:p>
    <w:p w14:paraId="5677C448" w14:textId="77777777" w:rsidR="00116092" w:rsidRDefault="00116092" w:rsidP="00116092">
      <w:pPr>
        <w:pStyle w:val="FootnoteText"/>
      </w:pPr>
    </w:p>
  </w:footnote>
  <w:footnote w:id="719">
    <w:p w14:paraId="10D89162" w14:textId="77777777" w:rsidR="00E13DFB" w:rsidRDefault="00E13DFB" w:rsidP="00E13DFB">
      <w:pPr>
        <w:pStyle w:val="FootnoteText"/>
      </w:pPr>
      <w:r>
        <w:rPr>
          <w:rStyle w:val="FootnoteReference"/>
        </w:rPr>
        <w:footnoteRef/>
      </w:r>
      <w:r>
        <w:t xml:space="preserve"> </w:t>
      </w:r>
      <w:r>
        <w:tab/>
      </w:r>
      <w:r w:rsidRPr="00524FAB">
        <w:t>Evidence Act 2006</w:t>
      </w:r>
      <w:r>
        <w:t xml:space="preserve">, </w:t>
      </w:r>
      <w:r w:rsidRPr="00524FAB">
        <w:t>s 37(5).</w:t>
      </w:r>
    </w:p>
  </w:footnote>
  <w:footnote w:id="720">
    <w:p w14:paraId="5F4E1219" w14:textId="77777777" w:rsidR="00E13DFB" w:rsidRDefault="00E13DFB" w:rsidP="00E13DFB">
      <w:pPr>
        <w:pStyle w:val="FootnoteText"/>
      </w:pPr>
      <w:r>
        <w:rPr>
          <w:rStyle w:val="FootnoteReference"/>
        </w:rPr>
        <w:footnoteRef/>
      </w:r>
      <w:r>
        <w:t xml:space="preserve"> </w:t>
      </w:r>
      <w:r>
        <w:tab/>
      </w:r>
      <w:r w:rsidRPr="00524FAB">
        <w:t xml:space="preserve">Te Aka Matua o te Ture | Law Commission </w:t>
      </w:r>
      <w:r w:rsidRPr="00524FAB">
        <w:rPr>
          <w:i/>
        </w:rPr>
        <w:t xml:space="preserve">Evidence: Evidence Code and Commentary </w:t>
      </w:r>
      <w:r w:rsidRPr="00524FAB">
        <w:t>(NZLC R55 Vol 2, 1999)</w:t>
      </w:r>
      <w:r>
        <w:t xml:space="preserve"> at </w:t>
      </w:r>
      <w:r w:rsidRPr="00524FAB">
        <w:t>102–113</w:t>
      </w:r>
      <w:r>
        <w:t xml:space="preserve">. </w:t>
      </w:r>
    </w:p>
  </w:footnote>
  <w:footnote w:id="721">
    <w:p w14:paraId="51193D72" w14:textId="77777777" w:rsidR="00E13DFB" w:rsidRDefault="00E13DFB" w:rsidP="00E13DFB">
      <w:pPr>
        <w:pStyle w:val="FootnoteText"/>
      </w:pPr>
      <w:r>
        <w:rPr>
          <w:rStyle w:val="FootnoteReference"/>
        </w:rPr>
        <w:footnoteRef/>
      </w:r>
      <w:r>
        <w:t xml:space="preserve"> </w:t>
      </w:r>
      <w:r>
        <w:tab/>
      </w:r>
      <w:r w:rsidRPr="00524FAB">
        <w:t xml:space="preserve">Te Aka Matua o te Ture | Law Commission </w:t>
      </w:r>
      <w:r w:rsidRPr="00524FAB">
        <w:rPr>
          <w:i/>
        </w:rPr>
        <w:t xml:space="preserve">Evidence: Evidence Code and Commentary </w:t>
      </w:r>
      <w:r w:rsidRPr="00524FAB">
        <w:t>(NZLC R55 Vol 2, 1999) at 24.</w:t>
      </w:r>
    </w:p>
  </w:footnote>
  <w:footnote w:id="722">
    <w:p w14:paraId="50571BA0" w14:textId="77777777" w:rsidR="00E13DFB" w:rsidRPr="005D5837" w:rsidRDefault="00E13DFB" w:rsidP="00E13DFB">
      <w:pPr>
        <w:pStyle w:val="FootnoteText"/>
      </w:pPr>
      <w:r>
        <w:rPr>
          <w:rStyle w:val="FootnoteReference"/>
        </w:rPr>
        <w:footnoteRef/>
      </w:r>
      <w:r>
        <w:t xml:space="preserve"> </w:t>
      </w:r>
      <w:r>
        <w:tab/>
      </w:r>
      <w:r w:rsidRPr="00524FAB">
        <w:t xml:space="preserve">Te Aka Matua o te Ture | Law Commission </w:t>
      </w:r>
      <w:r w:rsidRPr="00524FAB">
        <w:rPr>
          <w:i/>
        </w:rPr>
        <w:t xml:space="preserve">Evidence: Evidence Code and Commentary </w:t>
      </w:r>
      <w:r w:rsidRPr="00524FAB">
        <w:t>(NZLC R55 Vol 2, 1999) at 108.</w:t>
      </w:r>
    </w:p>
  </w:footnote>
  <w:footnote w:id="723">
    <w:p w14:paraId="38CBA177" w14:textId="77777777" w:rsidR="00E13DFB" w:rsidRDefault="00E13DFB" w:rsidP="00E13DFB">
      <w:pPr>
        <w:pStyle w:val="FootnoteText"/>
      </w:pPr>
      <w:r>
        <w:rPr>
          <w:rStyle w:val="FootnoteReference"/>
        </w:rPr>
        <w:footnoteRef/>
      </w:r>
      <w:r>
        <w:t xml:space="preserve"> </w:t>
      </w:r>
      <w:r>
        <w:tab/>
      </w:r>
      <w:r w:rsidRPr="00524FAB">
        <w:t xml:space="preserve">Te Aka Matua o te Ture | Law Commission </w:t>
      </w:r>
      <w:r w:rsidRPr="00524FAB">
        <w:rPr>
          <w:i/>
        </w:rPr>
        <w:t xml:space="preserve">Evidence: Evidence Code and Commentary </w:t>
      </w:r>
      <w:r w:rsidRPr="00524FAB">
        <w:t>(NZLC R55 Vol 2, 1999)</w:t>
      </w:r>
      <w:r>
        <w:t xml:space="preserve"> at </w:t>
      </w:r>
      <w:r w:rsidRPr="00524FAB">
        <w:t>[C177].</w:t>
      </w:r>
    </w:p>
  </w:footnote>
  <w:footnote w:id="724">
    <w:p w14:paraId="76FE31FC" w14:textId="77777777" w:rsidR="00E13DFB" w:rsidRDefault="00E13DFB" w:rsidP="00E13DFB">
      <w:pPr>
        <w:pStyle w:val="FootnoteText"/>
      </w:pPr>
      <w:r>
        <w:rPr>
          <w:rStyle w:val="FootnoteReference"/>
        </w:rPr>
        <w:footnoteRef/>
      </w:r>
      <w:r>
        <w:t xml:space="preserve"> </w:t>
      </w:r>
      <w:r>
        <w:tab/>
      </w:r>
      <w:r w:rsidRPr="000E15A1">
        <w:t>Evidence Bill 2005 (256-2) (select committee report)</w:t>
      </w:r>
      <w:r w:rsidRPr="00604B95">
        <w:t xml:space="preserve"> at </w:t>
      </w:r>
      <w:r w:rsidRPr="000E15A1">
        <w:t>5.</w:t>
      </w:r>
    </w:p>
  </w:footnote>
  <w:footnote w:id="725">
    <w:p w14:paraId="10D095FF"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The 2013 Review of the Evidence Act 2006</w:t>
      </w:r>
      <w:r w:rsidRPr="000E15A1">
        <w:t xml:space="preserve"> (NZLC R127, 2013</w:t>
      </w:r>
      <w:r w:rsidRPr="001930B9">
        <w:t>)</w:t>
      </w:r>
      <w:r>
        <w:t xml:space="preserve">, </w:t>
      </w:r>
      <w:r w:rsidRPr="000E15A1">
        <w:t>ch 6.</w:t>
      </w:r>
      <w:r>
        <w:t xml:space="preserve"> </w:t>
      </w:r>
    </w:p>
  </w:footnote>
  <w:footnote w:id="726">
    <w:p w14:paraId="2D171E72" w14:textId="77777777" w:rsidR="00E13DFB" w:rsidRDefault="00E13DFB" w:rsidP="00E13DFB">
      <w:pPr>
        <w:pStyle w:val="FootnoteText"/>
      </w:pPr>
      <w:r>
        <w:rPr>
          <w:rStyle w:val="FootnoteReference"/>
        </w:rPr>
        <w:footnoteRef/>
      </w:r>
      <w:r>
        <w:t xml:space="preserve"> </w:t>
      </w:r>
      <w:r>
        <w:tab/>
      </w:r>
      <w:r w:rsidRPr="000E15A1">
        <w:rPr>
          <w:i/>
        </w:rPr>
        <w:t xml:space="preserve">Hannigan v R </w:t>
      </w:r>
      <w:r w:rsidRPr="000E15A1">
        <w:t>[2013] NZSC 41, [2013] 2 NZLR 612</w:t>
      </w:r>
      <w:r>
        <w:t>.</w:t>
      </w:r>
    </w:p>
  </w:footnote>
  <w:footnote w:id="727">
    <w:p w14:paraId="6AF7C7D7" w14:textId="77777777" w:rsidR="00E13DFB" w:rsidRDefault="00E13DFB" w:rsidP="00E13DFB">
      <w:pPr>
        <w:pStyle w:val="FootnoteText"/>
      </w:pPr>
      <w:r>
        <w:rPr>
          <w:rStyle w:val="FootnoteReference"/>
        </w:rPr>
        <w:footnoteRef/>
      </w:r>
      <w:r>
        <w:t xml:space="preserve"> </w:t>
      </w:r>
      <w:r>
        <w:tab/>
      </w:r>
      <w:r w:rsidRPr="000E15A1">
        <w:rPr>
          <w:i/>
        </w:rPr>
        <w:t xml:space="preserve">Hannigan v R </w:t>
      </w:r>
      <w:r w:rsidRPr="000E15A1">
        <w:t>[2013] NZSC 41, [2013] 2 NZLR 612</w:t>
      </w:r>
      <w:r>
        <w:t xml:space="preserve"> at </w:t>
      </w:r>
      <w:r w:rsidRPr="000E15A1">
        <w:t>[135]</w:t>
      </w:r>
      <w:r>
        <w:t xml:space="preserve"> and [</w:t>
      </w:r>
      <w:r w:rsidRPr="000E15A1">
        <w:t>138].</w:t>
      </w:r>
    </w:p>
  </w:footnote>
  <w:footnote w:id="728">
    <w:p w14:paraId="3EBA676F" w14:textId="77777777" w:rsidR="00E13DFB" w:rsidRDefault="00E13DFB" w:rsidP="00E13DFB">
      <w:pPr>
        <w:pStyle w:val="FootnoteText"/>
      </w:pPr>
      <w:r>
        <w:rPr>
          <w:rStyle w:val="FootnoteReference"/>
        </w:rPr>
        <w:footnoteRef/>
      </w:r>
      <w:r>
        <w:t xml:space="preserve"> </w:t>
      </w:r>
      <w:r>
        <w:tab/>
      </w:r>
      <w:r w:rsidRPr="000E15A1">
        <w:rPr>
          <w:i/>
        </w:rPr>
        <w:t xml:space="preserve">Hannigan v R </w:t>
      </w:r>
      <w:r w:rsidRPr="000E15A1">
        <w:t>[2013] NZSC 41, [2013] 2 NZLR 612</w:t>
      </w:r>
      <w:r>
        <w:t xml:space="preserve"> at [</w:t>
      </w:r>
      <w:r w:rsidRPr="000E15A1">
        <w:t>121].</w:t>
      </w:r>
      <w:r>
        <w:t xml:space="preserve"> The majority explained at n </w:t>
      </w:r>
      <w:r w:rsidRPr="000E15A1">
        <w:t>46</w:t>
      </w:r>
      <w:r>
        <w:t xml:space="preserve"> that evidence indicative of a disposition to tell lies necessarily bears on the disposition of the person in question to refrain from lying, in terms of the definition of veracity in </w:t>
      </w:r>
      <w:r w:rsidRPr="000E15A1">
        <w:t>s 37(5).</w:t>
      </w:r>
    </w:p>
  </w:footnote>
  <w:footnote w:id="729">
    <w:p w14:paraId="101EEF8F" w14:textId="77777777" w:rsidR="00E13DFB" w:rsidRPr="00BC5024" w:rsidRDefault="00E13DFB" w:rsidP="00E13DFB">
      <w:pPr>
        <w:pStyle w:val="FootnoteText"/>
      </w:pPr>
      <w:r>
        <w:rPr>
          <w:rStyle w:val="FootnoteReference"/>
        </w:rPr>
        <w:footnoteRef/>
      </w:r>
      <w:r>
        <w:t xml:space="preserve"> </w:t>
      </w:r>
      <w:r>
        <w:tab/>
      </w:r>
      <w:r w:rsidRPr="000E15A1">
        <w:rPr>
          <w:i/>
        </w:rPr>
        <w:t xml:space="preserve">R v Tepu </w:t>
      </w:r>
      <w:r w:rsidRPr="000E15A1">
        <w:t>[2008] NZCA 460</w:t>
      </w:r>
      <w:r>
        <w:t xml:space="preserve"> at </w:t>
      </w:r>
      <w:r w:rsidRPr="000E15A1">
        <w:t>[19]</w:t>
      </w:r>
      <w:r w:rsidRPr="000E15A1">
        <w:rPr>
          <w:lang w:eastAsia="en-AU"/>
        </w:rPr>
        <w:t>.</w:t>
      </w:r>
      <w:r>
        <w:rPr>
          <w:lang w:eastAsia="en-AU"/>
        </w:rPr>
        <w:t xml:space="preserve"> </w:t>
      </w:r>
      <w:r>
        <w:t xml:space="preserve">This decision concerned an allegation that the defendant lied in their statement to police about the events that were the subject of the charges. As noted above, the Supreme Court has since clarified that the veracity rules do not apply to evidence that is of direct relevance to the case even if that evidence bears on the veracity of a witness or defendant: </w:t>
      </w:r>
      <w:r w:rsidRPr="000E15A1">
        <w:rPr>
          <w:i/>
        </w:rPr>
        <w:t xml:space="preserve">Hannigan v R </w:t>
      </w:r>
      <w:r w:rsidRPr="000E15A1">
        <w:t>[2013] NZSC 41, [2013] 2 NZLR 612 at</w:t>
      </w:r>
      <w:r>
        <w:t xml:space="preserve"> </w:t>
      </w:r>
      <w:r w:rsidRPr="000E15A1">
        <w:t>[135]</w:t>
      </w:r>
      <w:r w:rsidRPr="000E15A1">
        <w:rPr>
          <w:lang w:eastAsia="en-AU"/>
        </w:rPr>
        <w:t>.</w:t>
      </w:r>
      <w:r>
        <w:rPr>
          <w:lang w:eastAsia="en-AU"/>
        </w:rPr>
        <w:t xml:space="preserve"> </w:t>
      </w:r>
    </w:p>
  </w:footnote>
  <w:footnote w:id="730">
    <w:p w14:paraId="0DD8F973" w14:textId="77777777" w:rsidR="00E13DFB" w:rsidRPr="00B02D08" w:rsidRDefault="00E13DFB" w:rsidP="00E13DFB">
      <w:pPr>
        <w:pStyle w:val="FootnoteText"/>
      </w:pPr>
      <w:r>
        <w:rPr>
          <w:rStyle w:val="FootnoteReference"/>
        </w:rPr>
        <w:footnoteRef/>
      </w:r>
      <w:r>
        <w:t xml:space="preserve"> </w:t>
      </w:r>
      <w:r>
        <w:tab/>
      </w:r>
      <w:r w:rsidRPr="000E15A1">
        <w:t xml:space="preserve">Elisabeth McDonald and Scott Optican (eds) </w:t>
      </w:r>
      <w:r w:rsidRPr="000E15A1">
        <w:rPr>
          <w:i/>
        </w:rPr>
        <w:t xml:space="preserve">Mahoney on Evidence: Act &amp; Analysis </w:t>
      </w:r>
      <w:r w:rsidRPr="000E15A1">
        <w:t>(</w:t>
      </w:r>
      <w:r>
        <w:t>4th</w:t>
      </w:r>
      <w:r w:rsidRPr="000E15A1">
        <w:t xml:space="preserve"> ed, Thomson Reuters, Wellington, 2018)</w:t>
      </w:r>
      <w:r w:rsidRPr="00B02D08">
        <w:t xml:space="preserve"> at </w:t>
      </w:r>
      <w:r w:rsidRPr="000E15A1">
        <w:t>[EV37.01(2)].</w:t>
      </w:r>
    </w:p>
  </w:footnote>
  <w:footnote w:id="731">
    <w:p w14:paraId="57E6629B" w14:textId="77777777" w:rsidR="00E13DFB" w:rsidRDefault="00E13DFB" w:rsidP="00E13DFB">
      <w:pPr>
        <w:pStyle w:val="FootnoteText"/>
      </w:pPr>
      <w:r w:rsidRPr="00B02D08">
        <w:rPr>
          <w:rStyle w:val="FootnoteReference"/>
        </w:rPr>
        <w:footnoteRef/>
      </w:r>
      <w:r w:rsidRPr="00B02D08">
        <w:t xml:space="preserve"> </w:t>
      </w:r>
      <w:r w:rsidRPr="00B02D08">
        <w:tab/>
      </w:r>
      <w:r w:rsidRPr="000E15A1">
        <w:t xml:space="preserve">Elisabeth McDonald and Scott Optican (eds) </w:t>
      </w:r>
      <w:r w:rsidRPr="000E15A1">
        <w:rPr>
          <w:i/>
        </w:rPr>
        <w:t xml:space="preserve">Mahoney on Evidence: Act &amp; Analysis </w:t>
      </w:r>
      <w:r w:rsidRPr="000E15A1">
        <w:t>(</w:t>
      </w:r>
      <w:r>
        <w:t>4th</w:t>
      </w:r>
      <w:r w:rsidRPr="000E15A1">
        <w:t xml:space="preserve"> ed, Thomson Reuters, Wellington, 2018)</w:t>
      </w:r>
      <w:r w:rsidRPr="00B02D08">
        <w:t xml:space="preserve"> at </w:t>
      </w:r>
      <w:r w:rsidRPr="000E15A1">
        <w:t>[EV37.01(2)].</w:t>
      </w:r>
      <w:r>
        <w:t xml:space="preserve"> See also </w:t>
      </w:r>
      <w:r w:rsidRPr="000E15A1">
        <w:rPr>
          <w:i/>
        </w:rPr>
        <w:t>Cross on Evidence</w:t>
      </w:r>
      <w:r>
        <w:rPr>
          <w:i/>
          <w:iCs/>
        </w:rPr>
        <w:t xml:space="preserve"> </w:t>
      </w:r>
      <w:r>
        <w:t xml:space="preserve">which notes in the context of s 37(3)(b), that “[i]t is clear from the provision, which refers to “one or more offences”, a single relevant conviction is capable of constituting substantially helpful veracity evidence”: </w:t>
      </w:r>
      <w:r w:rsidRPr="000E15A1">
        <w:t xml:space="preserve">Mathew Downs (ed) </w:t>
      </w:r>
      <w:r w:rsidRPr="000E15A1">
        <w:rPr>
          <w:i/>
        </w:rPr>
        <w:t>Cross on Evidence</w:t>
      </w:r>
      <w:r w:rsidRPr="000E15A1">
        <w:t xml:space="preserve"> (online looseleaf ed, LexisNexis)</w:t>
      </w:r>
      <w:r>
        <w:t xml:space="preserve"> at </w:t>
      </w:r>
      <w:r w:rsidRPr="000E15A1">
        <w:t>[EVA37.5].</w:t>
      </w:r>
    </w:p>
  </w:footnote>
  <w:footnote w:id="732">
    <w:p w14:paraId="3C61A621" w14:textId="77777777" w:rsidR="00E13DFB" w:rsidRDefault="00E13DFB" w:rsidP="00E13DFB">
      <w:pPr>
        <w:pStyle w:val="FootnoteText"/>
      </w:pPr>
      <w:r>
        <w:rPr>
          <w:rStyle w:val="FootnoteReference"/>
        </w:rPr>
        <w:footnoteRef/>
      </w:r>
      <w:r>
        <w:t xml:space="preserve"> </w:t>
      </w:r>
      <w:r>
        <w:tab/>
      </w:r>
      <w:r w:rsidRPr="000E15A1">
        <w:rPr>
          <w:i/>
        </w:rPr>
        <w:t>Best v R</w:t>
      </w:r>
      <w:r w:rsidRPr="000E15A1">
        <w:t xml:space="preserve"> [2016] NZSC 122, [2017] 1 NZLR 186.</w:t>
      </w:r>
    </w:p>
  </w:footnote>
  <w:footnote w:id="733">
    <w:p w14:paraId="092F2751" w14:textId="77777777" w:rsidR="00E13DFB" w:rsidRPr="002C5907" w:rsidRDefault="00E13DFB" w:rsidP="00E13DFB">
      <w:pPr>
        <w:pStyle w:val="FootnoteText"/>
      </w:pPr>
      <w:r>
        <w:rPr>
          <w:rStyle w:val="FootnoteReference"/>
        </w:rPr>
        <w:footnoteRef/>
      </w:r>
      <w:r>
        <w:t xml:space="preserve"> </w:t>
      </w:r>
      <w:r>
        <w:tab/>
      </w:r>
      <w:r w:rsidRPr="000E15A1">
        <w:rPr>
          <w:i/>
        </w:rPr>
        <w:t>Best v R</w:t>
      </w:r>
      <w:r w:rsidRPr="000E15A1">
        <w:t xml:space="preserve"> [2016] NZSC 122, [2017] 1 NZLR 186</w:t>
      </w:r>
      <w:r>
        <w:t xml:space="preserve"> at [</w:t>
      </w:r>
      <w:r w:rsidRPr="000E15A1">
        <w:t>73].</w:t>
      </w:r>
    </w:p>
  </w:footnote>
  <w:footnote w:id="734">
    <w:p w14:paraId="71041468" w14:textId="77777777" w:rsidR="00E13DFB" w:rsidRPr="00C54677" w:rsidRDefault="00E13DFB" w:rsidP="00E13DFB">
      <w:pPr>
        <w:pStyle w:val="FootnoteText"/>
        <w:rPr>
          <w:lang w:val="mi-NZ"/>
        </w:rPr>
      </w:pPr>
      <w:r>
        <w:rPr>
          <w:rStyle w:val="FootnoteReference"/>
        </w:rPr>
        <w:footnoteRef/>
      </w:r>
      <w:r>
        <w:t xml:space="preserve"> </w:t>
      </w:r>
      <w:r>
        <w:rPr>
          <w:lang w:val="mi-NZ"/>
        </w:rPr>
        <w:tab/>
      </w:r>
      <w:r w:rsidRPr="000E15A1">
        <w:rPr>
          <w:i/>
        </w:rPr>
        <w:t>Best v R</w:t>
      </w:r>
      <w:r w:rsidRPr="000E15A1">
        <w:t xml:space="preserve"> [2016] NZSC 122, [2017] 1 NZLR 186</w:t>
      </w:r>
      <w:r>
        <w:t xml:space="preserve"> a</w:t>
      </w:r>
      <w:r>
        <w:rPr>
          <w:lang w:val="mi-NZ"/>
        </w:rPr>
        <w:t xml:space="preserve">t </w:t>
      </w:r>
      <w:r w:rsidRPr="000E15A1">
        <w:rPr>
          <w:lang w:val="mi-NZ"/>
        </w:rPr>
        <w:t>[88].</w:t>
      </w:r>
    </w:p>
  </w:footnote>
  <w:footnote w:id="735">
    <w:p w14:paraId="448FCCA5" w14:textId="77777777" w:rsidR="00E13DFB" w:rsidRPr="00F376AC" w:rsidRDefault="00E13DFB" w:rsidP="00E13DFB">
      <w:pPr>
        <w:pStyle w:val="FootnoteText"/>
      </w:pPr>
      <w:r>
        <w:rPr>
          <w:rStyle w:val="FootnoteReference"/>
        </w:rPr>
        <w:footnoteRef/>
      </w:r>
      <w:r>
        <w:t xml:space="preserve"> </w:t>
      </w:r>
      <w:r>
        <w:tab/>
      </w:r>
      <w:r w:rsidRPr="000E15A1">
        <w:rPr>
          <w:i/>
        </w:rPr>
        <w:t>Best v R</w:t>
      </w:r>
      <w:r w:rsidRPr="000E15A1">
        <w:t xml:space="preserve"> [2016] NZSC 122, [2017] 1 NZLR 186</w:t>
      </w:r>
      <w:r>
        <w:t xml:space="preserve"> at [</w:t>
      </w:r>
      <w:r w:rsidRPr="000E15A1">
        <w:t>97] and</w:t>
      </w:r>
      <w:r>
        <w:t xml:space="preserve"> [</w:t>
      </w:r>
      <w:r w:rsidRPr="000E15A1">
        <w:t>107].</w:t>
      </w:r>
    </w:p>
  </w:footnote>
  <w:footnote w:id="736">
    <w:p w14:paraId="5BAAC150" w14:textId="77777777" w:rsidR="00E13DFB" w:rsidRPr="00F37CB8" w:rsidRDefault="00E13DFB" w:rsidP="00E13DFB">
      <w:pPr>
        <w:pStyle w:val="FootnoteText"/>
      </w:pPr>
      <w:r>
        <w:rPr>
          <w:rStyle w:val="FootnoteReference"/>
        </w:rPr>
        <w:footnoteRef/>
      </w:r>
      <w:r>
        <w:t xml:space="preserve"> </w:t>
      </w:r>
      <w:r>
        <w:tab/>
      </w:r>
      <w:r w:rsidRPr="009F173C">
        <w:rPr>
          <w:lang w:val="mi-NZ"/>
        </w:rPr>
        <w:t xml:space="preserve">This case is </w:t>
      </w:r>
      <w:r w:rsidRPr="009F173C">
        <w:t>subject to publication restrictions</w:t>
      </w:r>
      <w:r>
        <w:t xml:space="preserve"> until final disposition of trial</w:t>
      </w:r>
      <w:r>
        <w:rPr>
          <w:i/>
        </w:rPr>
        <w:t>.</w:t>
      </w:r>
    </w:p>
  </w:footnote>
  <w:footnote w:id="737">
    <w:p w14:paraId="40C6FF11" w14:textId="77777777" w:rsidR="00E13DFB" w:rsidRDefault="00E13DFB" w:rsidP="00E13DFB">
      <w:pPr>
        <w:pStyle w:val="FootnoteText"/>
      </w:pPr>
      <w:r>
        <w:rPr>
          <w:rStyle w:val="FootnoteReference"/>
        </w:rPr>
        <w:footnoteRef/>
      </w:r>
      <w:r>
        <w:t xml:space="preserve"> </w:t>
      </w:r>
      <w:r>
        <w:tab/>
        <w:t xml:space="preserve">As discussed above, the Commission had proposed that any evidence about a person’s truthfulness (their intention to tell the truth) should be admissible only if it is substantially helpful in assessing that person’s truthfulness: </w:t>
      </w:r>
      <w:r w:rsidRPr="000E15A1">
        <w:t xml:space="preserve">Te Aka Matua o te Ture | Law Commission </w:t>
      </w:r>
      <w:r w:rsidRPr="000E15A1">
        <w:rPr>
          <w:i/>
        </w:rPr>
        <w:t xml:space="preserve">Evidence: Evidence Code and Commentary </w:t>
      </w:r>
      <w:r w:rsidRPr="000E15A1">
        <w:t>(NZLC R55 Vol 2, 1999)</w:t>
      </w:r>
      <w:r>
        <w:t xml:space="preserve"> at </w:t>
      </w:r>
      <w:r w:rsidRPr="000E15A1">
        <w:t>24-25</w:t>
      </w:r>
      <w:r>
        <w:t xml:space="preserve"> and 108-109</w:t>
      </w:r>
      <w:r w:rsidRPr="000E15A1">
        <w:t>.</w:t>
      </w:r>
      <w:r>
        <w:t xml:space="preserve"> The Commission’s commentary makes it clear that evidence of single lies were intended to be captured (</w:t>
      </w:r>
      <w:r w:rsidRPr="00A5028E">
        <w:t xml:space="preserve">at </w:t>
      </w:r>
      <w:r w:rsidRPr="000E15A1">
        <w:t>[C180]</w:t>
      </w:r>
      <w:r>
        <w:t>)</w:t>
      </w:r>
      <w:r w:rsidRPr="000E15A1">
        <w:t>.</w:t>
      </w:r>
      <w:r>
        <w:t xml:space="preserve"> The concept of a “disposition” to lie was introduced at select committee stage.</w:t>
      </w:r>
    </w:p>
  </w:footnote>
  <w:footnote w:id="738">
    <w:p w14:paraId="2D340352" w14:textId="77777777" w:rsidR="00E13DFB" w:rsidRPr="00052AF9" w:rsidRDefault="00E13DFB" w:rsidP="00E13DFB">
      <w:pPr>
        <w:pStyle w:val="FootnoteText"/>
      </w:pPr>
      <w:r>
        <w:rPr>
          <w:rStyle w:val="FootnoteReference"/>
        </w:rPr>
        <w:footnoteRef/>
      </w:r>
      <w:r>
        <w:t xml:space="preserve"> </w:t>
      </w:r>
      <w:r>
        <w:tab/>
        <w:t xml:space="preserve">We note, by way of example, the case of </w:t>
      </w:r>
      <w:r>
        <w:rPr>
          <w:i/>
          <w:iCs/>
        </w:rPr>
        <w:t>Ilaoa</w:t>
      </w:r>
      <w:r>
        <w:t>, discussed in Elisabeth McDonald’s research into intimate partner rape trials. In that case, it was suggested in cross-examination that the complainant had lied in her residency application, a suggestion that she strongly denied. The admissibility and use of that evidence was, McDonald states, misguided. It should have been subject to s 37 but was not</w:t>
      </w:r>
      <w:r w:rsidRPr="000E15A1">
        <w:t xml:space="preserve">: Elisabeth McDonald </w:t>
      </w:r>
      <w:r w:rsidRPr="000E15A1">
        <w:rPr>
          <w:i/>
        </w:rPr>
        <w:t xml:space="preserve">Prosecuting Intimate Partner Rape </w:t>
      </w:r>
      <w:r w:rsidRPr="000E15A1">
        <w:t>(Canterbury University Press, Christchurch, 2023)</w:t>
      </w:r>
      <w:r>
        <w:t xml:space="preserve"> at </w:t>
      </w:r>
      <w:r w:rsidRPr="000E15A1">
        <w:t>235–237</w:t>
      </w:r>
      <w:r>
        <w:t xml:space="preserve">. McDonald also discusses another case, </w:t>
      </w:r>
      <w:r>
        <w:rPr>
          <w:i/>
          <w:iCs/>
        </w:rPr>
        <w:t>Nguyen</w:t>
      </w:r>
      <w:r w:rsidRPr="00C252D1">
        <w:t>,</w:t>
      </w:r>
      <w:r>
        <w:t xml:space="preserve"> involving a single lie that was not assessed for admissibility under s 37 (at </w:t>
      </w:r>
      <w:r w:rsidRPr="000E15A1">
        <w:t>146–149).</w:t>
      </w:r>
      <w:r>
        <w:t xml:space="preserve"> </w:t>
      </w:r>
    </w:p>
  </w:footnote>
  <w:footnote w:id="739">
    <w:p w14:paraId="3F7039F4" w14:textId="77777777" w:rsidR="00E13DFB" w:rsidRPr="00693B4E" w:rsidRDefault="00E13DFB" w:rsidP="00E13DFB">
      <w:pPr>
        <w:pStyle w:val="FootnoteText"/>
      </w:pPr>
      <w:r>
        <w:rPr>
          <w:rStyle w:val="FootnoteReference"/>
        </w:rPr>
        <w:footnoteRef/>
      </w:r>
      <w:r>
        <w:t xml:space="preserve"> </w:t>
      </w:r>
      <w:r>
        <w:tab/>
        <w:t xml:space="preserve">Elisabeth McDonald has noted that closer attention needs to be paid to identifying and considering the admission of evidence of the complainant’s veracity at the pre-trial stage in sexual cases, but does not consider that there are any major issues with regard to the </w:t>
      </w:r>
      <w:r w:rsidRPr="00135624">
        <w:t xml:space="preserve">drafting </w:t>
      </w:r>
      <w:r>
        <w:t>of the veracity provisions</w:t>
      </w:r>
      <w:r w:rsidRPr="000E15A1">
        <w:t xml:space="preserve">: Elisabeth McDonald </w:t>
      </w:r>
      <w:r w:rsidRPr="000E15A1">
        <w:rPr>
          <w:i/>
        </w:rPr>
        <w:t xml:space="preserve">Prosecuting Intimate Partner Rape </w:t>
      </w:r>
      <w:r w:rsidRPr="000E15A1">
        <w:t>(Canterbury University Press, Christchurch, 2023)</w:t>
      </w:r>
      <w:r>
        <w:t xml:space="preserve"> at </w:t>
      </w:r>
      <w:r w:rsidRPr="000E15A1">
        <w:t>247.</w:t>
      </w:r>
    </w:p>
  </w:footnote>
  <w:footnote w:id="740">
    <w:p w14:paraId="4F6C2553" w14:textId="77777777" w:rsidR="00E13DFB" w:rsidRDefault="00E13DFB" w:rsidP="00E13DFB">
      <w:pPr>
        <w:pStyle w:val="FootnoteText"/>
      </w:pPr>
      <w:r>
        <w:rPr>
          <w:rStyle w:val="FootnoteReference"/>
        </w:rPr>
        <w:footnoteRef/>
      </w:r>
      <w:r>
        <w:t xml:space="preserve"> </w:t>
      </w:r>
      <w:r>
        <w:tab/>
      </w:r>
      <w:r w:rsidRPr="000E15A1">
        <w:t xml:space="preserve">Simon France (ed) </w:t>
      </w:r>
      <w:r w:rsidRPr="000E15A1">
        <w:rPr>
          <w:i/>
          <w:iCs/>
        </w:rPr>
        <w:t xml:space="preserve">Adams on Criminal Law – Evidence </w:t>
      </w:r>
      <w:r w:rsidRPr="000E15A1">
        <w:t>(online loose leaf ed, Thomson Reuters)</w:t>
      </w:r>
      <w:r>
        <w:t xml:space="preserve"> at </w:t>
      </w:r>
      <w:r w:rsidRPr="000E15A1">
        <w:t>[EA37.03(8)].</w:t>
      </w:r>
      <w:r>
        <w:t xml:space="preserve"> </w:t>
      </w:r>
    </w:p>
  </w:footnote>
  <w:footnote w:id="741">
    <w:p w14:paraId="02E0B946" w14:textId="77777777" w:rsidR="00E13DFB" w:rsidRDefault="00E13DFB" w:rsidP="00E13DFB">
      <w:pPr>
        <w:pStyle w:val="FootnoteText"/>
      </w:pPr>
      <w:r>
        <w:rPr>
          <w:rStyle w:val="FootnoteReference"/>
        </w:rPr>
        <w:footnoteRef/>
      </w:r>
      <w:r>
        <w:t xml:space="preserve"> </w:t>
      </w:r>
      <w:r>
        <w:tab/>
      </w:r>
      <w:r w:rsidRPr="000E15A1">
        <w:rPr>
          <w:lang w:val="mi-NZ"/>
        </w:rPr>
        <w:t xml:space="preserve">Te Aka Matua o te Ture | Law Commission </w:t>
      </w:r>
      <w:r w:rsidRPr="000E15A1">
        <w:rPr>
          <w:i/>
          <w:lang w:val="mi-NZ"/>
        </w:rPr>
        <w:t xml:space="preserve">The Second Review of the Evidence Act 2006 </w:t>
      </w:r>
      <w:r w:rsidRPr="000E15A1">
        <w:rPr>
          <w:lang w:val="mi-NZ"/>
        </w:rPr>
        <w:t xml:space="preserve">| </w:t>
      </w:r>
      <w:r w:rsidRPr="000E15A1">
        <w:rPr>
          <w:i/>
          <w:lang w:val="mi-NZ"/>
        </w:rPr>
        <w:t xml:space="preserve">Te Arotake Tuarua i te Evidence Act 2006 </w:t>
      </w:r>
      <w:r w:rsidRPr="000E15A1">
        <w:rPr>
          <w:lang w:val="mi-NZ"/>
        </w:rPr>
        <w:t>(NZLC R142, 2019)</w:t>
      </w:r>
      <w:r>
        <w:t xml:space="preserve"> at </w:t>
      </w:r>
      <w:r w:rsidRPr="000E15A1">
        <w:t>[14.9]–[14.17].</w:t>
      </w:r>
    </w:p>
  </w:footnote>
  <w:footnote w:id="742">
    <w:p w14:paraId="023056ED" w14:textId="77777777" w:rsidR="00E13DFB" w:rsidRPr="001C4CBF" w:rsidRDefault="00E13DFB" w:rsidP="00E13DFB">
      <w:pPr>
        <w:pStyle w:val="FootnoteText"/>
      </w:pPr>
      <w:r>
        <w:rPr>
          <w:rStyle w:val="FootnoteReference"/>
        </w:rPr>
        <w:footnoteRef/>
      </w:r>
      <w:r>
        <w:t xml:space="preserve"> </w:t>
      </w:r>
      <w:r>
        <w:tab/>
      </w:r>
      <w:r w:rsidRPr="000E15A1">
        <w:rPr>
          <w:i/>
        </w:rPr>
        <w:t xml:space="preserve">Hannigan v R </w:t>
      </w:r>
      <w:r w:rsidRPr="000E15A1">
        <w:t>[2013] NZSC 41, [2013] 2 NZLR 612</w:t>
      </w:r>
      <w:r>
        <w:t xml:space="preserve"> at [</w:t>
      </w:r>
      <w:r w:rsidRPr="000E15A1">
        <w:t>119].</w:t>
      </w:r>
      <w:r>
        <w:t xml:space="preserve"> </w:t>
      </w:r>
    </w:p>
  </w:footnote>
  <w:footnote w:id="743">
    <w:p w14:paraId="138360D3" w14:textId="77777777" w:rsidR="00E13DFB" w:rsidRDefault="00E13DFB" w:rsidP="00E13DFB">
      <w:pPr>
        <w:pStyle w:val="FootnoteText"/>
      </w:pPr>
      <w:r>
        <w:rPr>
          <w:rStyle w:val="FootnoteReference"/>
        </w:rPr>
        <w:footnoteRef/>
      </w:r>
      <w:r>
        <w:t xml:space="preserve"> </w:t>
      </w:r>
      <w:r>
        <w:tab/>
      </w:r>
      <w:r w:rsidRPr="000E15A1">
        <w:rPr>
          <w:lang w:val="mi-NZ"/>
        </w:rPr>
        <w:t xml:space="preserve">Te Aka Matua o te Ture | Law Commission </w:t>
      </w:r>
      <w:r w:rsidRPr="000E15A1">
        <w:rPr>
          <w:i/>
          <w:lang w:val="mi-NZ"/>
        </w:rPr>
        <w:t xml:space="preserve">The Second Review of the Evidence Act 2006 </w:t>
      </w:r>
      <w:r w:rsidRPr="000E15A1">
        <w:rPr>
          <w:lang w:val="mi-NZ"/>
        </w:rPr>
        <w:t xml:space="preserve">| </w:t>
      </w:r>
      <w:r w:rsidRPr="000E15A1">
        <w:rPr>
          <w:i/>
          <w:lang w:val="mi-NZ"/>
        </w:rPr>
        <w:t xml:space="preserve">Te Arotake Tuarua i te Evidence Act 2006 </w:t>
      </w:r>
      <w:r w:rsidRPr="000E15A1">
        <w:rPr>
          <w:lang w:val="mi-NZ"/>
        </w:rPr>
        <w:t>(NZLC R142, 2019),</w:t>
      </w:r>
      <w:r>
        <w:rPr>
          <w:lang w:val="mi-NZ"/>
        </w:rPr>
        <w:t xml:space="preserve"> </w:t>
      </w:r>
      <w:r w:rsidRPr="000E15A1">
        <w:rPr>
          <w:lang w:val="mi-NZ"/>
        </w:rPr>
        <w:t>R24.</w:t>
      </w:r>
    </w:p>
  </w:footnote>
  <w:footnote w:id="744">
    <w:p w14:paraId="322634E6" w14:textId="77777777" w:rsidR="00E13DFB" w:rsidRPr="007C4BC0" w:rsidRDefault="00E13DFB" w:rsidP="00E13DFB">
      <w:pPr>
        <w:pStyle w:val="FootnoteText"/>
        <w:rPr>
          <w:lang w:val="mi-NZ"/>
        </w:rPr>
      </w:pPr>
      <w:r>
        <w:rPr>
          <w:rStyle w:val="FootnoteReference"/>
        </w:rPr>
        <w:footnoteRef/>
      </w:r>
      <w:r>
        <w:t xml:space="preserve"> </w:t>
      </w:r>
      <w:r>
        <w:tab/>
      </w:r>
      <w:r w:rsidRPr="000E15A1">
        <w:rPr>
          <w:lang w:val="mi-NZ"/>
        </w:rPr>
        <w:t>Government Response to Law Commission Report: The Second Review of the Evidence Act 2006 | Te Arotake Tuarua i te Evidence Act 2006 (September 2019)</w:t>
      </w:r>
      <w:r>
        <w:rPr>
          <w:lang w:val="mi-NZ"/>
        </w:rPr>
        <w:t xml:space="preserve"> at </w:t>
      </w:r>
      <w:r w:rsidRPr="000E15A1">
        <w:rPr>
          <w:lang w:val="mi-NZ"/>
        </w:rPr>
        <w:t>6.</w:t>
      </w:r>
    </w:p>
  </w:footnote>
  <w:footnote w:id="745">
    <w:p w14:paraId="7EC81AE2" w14:textId="77777777" w:rsidR="00E13DFB" w:rsidRDefault="00E13DFB" w:rsidP="00E13DFB">
      <w:pPr>
        <w:pStyle w:val="FootnoteText"/>
      </w:pPr>
      <w:r>
        <w:rPr>
          <w:rStyle w:val="FootnoteReference"/>
        </w:rPr>
        <w:footnoteRef/>
      </w:r>
      <w:r>
        <w:t xml:space="preserve"> </w:t>
      </w:r>
      <w:r>
        <w:tab/>
      </w:r>
      <w:r w:rsidRPr="000E15A1">
        <w:rPr>
          <w:i/>
        </w:rPr>
        <w:t xml:space="preserve">Hannigan v R </w:t>
      </w:r>
      <w:r w:rsidRPr="000E15A1">
        <w:t>[2013] NZSC 41, [2013] 2 NZLR 612</w:t>
      </w:r>
      <w:r>
        <w:t xml:space="preserve"> at </w:t>
      </w:r>
      <w:r w:rsidRPr="000E15A1">
        <w:t>[135]</w:t>
      </w:r>
      <w:r>
        <w:t xml:space="preserve"> and </w:t>
      </w:r>
      <w:r w:rsidRPr="000E15A1">
        <w:t>[138].</w:t>
      </w:r>
    </w:p>
  </w:footnote>
  <w:footnote w:id="746">
    <w:p w14:paraId="5DBC5B18" w14:textId="77777777" w:rsidR="00E13DFB" w:rsidRDefault="00E13DFB" w:rsidP="00E13DFB">
      <w:pPr>
        <w:pStyle w:val="FootnoteText"/>
      </w:pPr>
      <w:r>
        <w:rPr>
          <w:rStyle w:val="FootnoteReference"/>
        </w:rPr>
        <w:footnoteRef/>
      </w:r>
      <w:r>
        <w:t xml:space="preserve"> </w:t>
      </w:r>
      <w:r>
        <w:tab/>
      </w:r>
      <w:r w:rsidRPr="000E15A1">
        <w:rPr>
          <w:i/>
        </w:rPr>
        <w:t xml:space="preserve">Hannigan v R </w:t>
      </w:r>
      <w:r w:rsidRPr="000E15A1">
        <w:t>[2013] NZSC 41, [2013] 2 NZLR 612</w:t>
      </w:r>
      <w:r>
        <w:t xml:space="preserve"> at </w:t>
      </w:r>
      <w:r w:rsidRPr="000E15A1">
        <w:t>[121].</w:t>
      </w:r>
    </w:p>
  </w:footnote>
  <w:footnote w:id="747">
    <w:p w14:paraId="1DFF7F76" w14:textId="77777777" w:rsidR="00E13DFB" w:rsidRPr="00711609" w:rsidRDefault="00E13DFB" w:rsidP="00E13DFB">
      <w:pPr>
        <w:pStyle w:val="FootnoteText"/>
      </w:pPr>
      <w:r>
        <w:rPr>
          <w:rStyle w:val="FootnoteReference"/>
        </w:rPr>
        <w:footnoteRef/>
      </w:r>
      <w:r>
        <w:t xml:space="preserve"> </w:t>
      </w:r>
      <w:r>
        <w:tab/>
      </w:r>
      <w:r w:rsidRPr="000E15A1">
        <w:rPr>
          <w:i/>
        </w:rPr>
        <w:t xml:space="preserve">R v Katipa </w:t>
      </w:r>
      <w:r w:rsidRPr="000E15A1">
        <w:t>[2017] NZHC 2169</w:t>
      </w:r>
      <w:r>
        <w:t xml:space="preserve"> at </w:t>
      </w:r>
      <w:r w:rsidRPr="000E15A1">
        <w:t>[8].</w:t>
      </w:r>
    </w:p>
  </w:footnote>
  <w:footnote w:id="748">
    <w:p w14:paraId="6DC9A03D" w14:textId="77777777" w:rsidR="00E13DFB" w:rsidRDefault="00E13DFB" w:rsidP="00E13DFB">
      <w:pPr>
        <w:pStyle w:val="FootnoteText"/>
      </w:pPr>
      <w:r>
        <w:rPr>
          <w:rStyle w:val="FootnoteReference"/>
        </w:rPr>
        <w:footnoteRef/>
      </w:r>
      <w:r>
        <w:t xml:space="preserve"> </w:t>
      </w:r>
      <w:r>
        <w:tab/>
      </w:r>
      <w:r w:rsidRPr="000E15A1">
        <w:t xml:space="preserve">Elisabeth McDonald and Scott Optican (eds) </w:t>
      </w:r>
      <w:r w:rsidRPr="000E15A1">
        <w:rPr>
          <w:i/>
        </w:rPr>
        <w:t xml:space="preserve">Mahoney on Evidence: Act &amp; Analysis </w:t>
      </w:r>
      <w:r w:rsidRPr="000E15A1">
        <w:t>(</w:t>
      </w:r>
      <w:r>
        <w:t>4th</w:t>
      </w:r>
      <w:r w:rsidRPr="000E15A1">
        <w:t xml:space="preserve"> ed, Thomson Reuters, Wellington, 2018)</w:t>
      </w:r>
      <w:r w:rsidRPr="00D02B6E">
        <w:t xml:space="preserve"> at </w:t>
      </w:r>
      <w:r w:rsidRPr="000E15A1">
        <w:t>[EV37.09]–[EV37.10</w:t>
      </w:r>
      <w:r w:rsidRPr="00D02B6E">
        <w:t>].</w:t>
      </w:r>
      <w:r>
        <w:t xml:space="preserve"> See, for example, </w:t>
      </w:r>
      <w:r w:rsidRPr="000E15A1">
        <w:rPr>
          <w:i/>
        </w:rPr>
        <w:t>M (CA438/</w:t>
      </w:r>
      <w:r w:rsidRPr="000E15A1">
        <w:rPr>
          <w:i/>
          <w:iCs/>
        </w:rPr>
        <w:t>2010</w:t>
      </w:r>
      <w:r w:rsidRPr="000E15A1">
        <w:rPr>
          <w:i/>
        </w:rPr>
        <w:t xml:space="preserve">) v R </w:t>
      </w:r>
      <w:r w:rsidRPr="000E15A1">
        <w:t>[2011] NZCA 84</w:t>
      </w:r>
      <w:r>
        <w:t xml:space="preserve">, where the Court of Appeal held that evidence of alleged bias on the part of an expert witness (that the witness lacked objectivity by reason of previous associations) did not engage the veracity provisions because it went to reliability of the witness’ testimony (at </w:t>
      </w:r>
      <w:r w:rsidRPr="000E15A1">
        <w:t>[30]–[37]</w:t>
      </w:r>
      <w:r>
        <w:t>)</w:t>
      </w:r>
      <w:r w:rsidRPr="000E15A1">
        <w:t>.</w:t>
      </w:r>
      <w:r>
        <w:t xml:space="preserve"> See also </w:t>
      </w:r>
      <w:r w:rsidRPr="000E15A1">
        <w:rPr>
          <w:i/>
        </w:rPr>
        <w:t>McKay v R</w:t>
      </w:r>
      <w:r w:rsidRPr="000E15A1">
        <w:t xml:space="preserve"> [2019] NZCA 393</w:t>
      </w:r>
      <w:r>
        <w:t xml:space="preserve">, where the Court of Appeal observed at </w:t>
      </w:r>
      <w:r w:rsidRPr="000E15A1">
        <w:t>[30]</w:t>
      </w:r>
      <w:r>
        <w:t xml:space="preserve"> that “challenging the truthfulness of a complainant’s evidence by reference to a possible motivation to lie” would not amount to a challenge to their veracity (for the purposes of s 38).</w:t>
      </w:r>
    </w:p>
  </w:footnote>
  <w:footnote w:id="749">
    <w:p w14:paraId="6B154436" w14:textId="77777777" w:rsidR="00E13DFB" w:rsidRDefault="00E13DFB" w:rsidP="00E13DFB">
      <w:pPr>
        <w:pStyle w:val="FootnoteText"/>
      </w:pPr>
      <w:r>
        <w:rPr>
          <w:rStyle w:val="FootnoteReference"/>
        </w:rPr>
        <w:footnoteRef/>
      </w:r>
      <w:r>
        <w:t xml:space="preserve"> </w:t>
      </w:r>
      <w:r>
        <w:tab/>
        <w:t xml:space="preserve">For example, in </w:t>
      </w:r>
      <w:r w:rsidRPr="000E15A1">
        <w:rPr>
          <w:i/>
        </w:rPr>
        <w:t xml:space="preserve">R v Alletson </w:t>
      </w:r>
      <w:r w:rsidRPr="000E15A1">
        <w:t>[2009] NZCA 205</w:t>
      </w:r>
      <w:r>
        <w:t xml:space="preserve">, the defence sought to offer as veracity evidence details of lies told by the complainant on previous occasions, which allegedly indicated a bias against the defendant (at </w:t>
      </w:r>
      <w:r w:rsidRPr="000E15A1">
        <w:t>[21]</w:t>
      </w:r>
      <w:r>
        <w:t>)</w:t>
      </w:r>
      <w:r w:rsidRPr="000E15A1">
        <w:t>.</w:t>
      </w:r>
      <w:r>
        <w:t xml:space="preserve"> The trial judge had described the lies as “childhood tittle-tattle” that did not show either a bias on the part of the complainant or a motive for her to be untruthful (at </w:t>
      </w:r>
      <w:r w:rsidRPr="000E15A1">
        <w:t>[22]</w:t>
      </w:r>
      <w:r>
        <w:t>)</w:t>
      </w:r>
      <w:r w:rsidRPr="000E15A1">
        <w:t>.</w:t>
      </w:r>
      <w:r>
        <w:t xml:space="preserve"> On appeal, the Court of Appeal noted that the motive in the earlier lies (to avoid getting into trouble) was different from what the defence said was the motive for the allegations that were the subject of the current charges (attention seeking) and upheld the trial judge’s assessment that the evidence did not meet the substantial helpfulness test (at </w:t>
      </w:r>
      <w:r w:rsidRPr="000E15A1">
        <w:t>[25]</w:t>
      </w:r>
      <w:r>
        <w:t>)</w:t>
      </w:r>
      <w:r w:rsidRPr="000E15A1">
        <w:t>.</w:t>
      </w:r>
      <w:r>
        <w:t xml:space="preserve"> </w:t>
      </w:r>
    </w:p>
  </w:footnote>
  <w:footnote w:id="750">
    <w:p w14:paraId="29E6B5CB" w14:textId="77777777" w:rsidR="00E13DFB" w:rsidRPr="00CD10D2" w:rsidRDefault="00E13DFB" w:rsidP="00E13DFB">
      <w:pPr>
        <w:pStyle w:val="FootnoteText"/>
      </w:pPr>
      <w:r>
        <w:rPr>
          <w:rStyle w:val="FootnoteReference"/>
        </w:rPr>
        <w:footnoteRef/>
      </w:r>
      <w:r>
        <w:t xml:space="preserve"> </w:t>
      </w:r>
      <w:r>
        <w:tab/>
        <w:t xml:space="preserve">We have not identified any cases where veracity evidence has met the substantial helpfulness threshold because it revealed a bias or motive to lie. See, for example, </w:t>
      </w:r>
      <w:r w:rsidRPr="000E15A1">
        <w:rPr>
          <w:i/>
        </w:rPr>
        <w:t xml:space="preserve">Harawira v R </w:t>
      </w:r>
      <w:r w:rsidRPr="000E15A1">
        <w:t>[2019] NZCA 562</w:t>
      </w:r>
      <w:r>
        <w:t xml:space="preserve">, a sexual case in which the defendant sought to offer as veracity evidence to the effect that the 18-year-old complainant, when aged 15, had lied to her aunt about whether her mother had consented to her getting a belly button piercing. The trial judge had explained that, while this may have been evidence of a motive on behalf of the complainant to be untruthful, “if it is it is a motive in the context of a youngish teenage girl trying to get a belly-button piercing rather than a much more serious issue before the jury” (at </w:t>
      </w:r>
      <w:r w:rsidRPr="000E15A1">
        <w:t>[14]</w:t>
      </w:r>
      <w:r>
        <w:t>)</w:t>
      </w:r>
      <w:r w:rsidRPr="000E15A1">
        <w:t>.</w:t>
      </w:r>
      <w:r>
        <w:t xml:space="preserve"> The Court of Appeal agreed with the trial judge’s assessment (at </w:t>
      </w:r>
      <w:r w:rsidRPr="000E15A1">
        <w:t>[40]</w:t>
      </w:r>
      <w:r>
        <w:t xml:space="preserve"> and </w:t>
      </w:r>
      <w:r w:rsidRPr="000E15A1">
        <w:t>[42]</w:t>
      </w:r>
      <w:r>
        <w:t>)</w:t>
      </w:r>
      <w:r w:rsidRPr="000E15A1">
        <w:t>.</w:t>
      </w:r>
      <w:r>
        <w:t xml:space="preserve"> </w:t>
      </w:r>
    </w:p>
  </w:footnote>
  <w:footnote w:id="751">
    <w:p w14:paraId="12D8EF10" w14:textId="77777777" w:rsidR="00E13DFB" w:rsidRPr="008574E8" w:rsidRDefault="00E13DFB" w:rsidP="00E13DFB">
      <w:pPr>
        <w:pStyle w:val="FootnoteText"/>
      </w:pPr>
      <w:r>
        <w:rPr>
          <w:rStyle w:val="FootnoteReference"/>
        </w:rPr>
        <w:footnoteRef/>
      </w:r>
      <w:r>
        <w:t xml:space="preserve"> </w:t>
      </w:r>
      <w:r>
        <w:tab/>
        <w:t xml:space="preserve">See, for example, the Supreme Court’s observations in </w:t>
      </w:r>
      <w:r w:rsidRPr="000E15A1">
        <w:rPr>
          <w:i/>
        </w:rPr>
        <w:t xml:space="preserve">Horton v R </w:t>
      </w:r>
      <w:r w:rsidRPr="000E15A1">
        <w:t>[2021] NZSC 99</w:t>
      </w:r>
      <w:r>
        <w:t xml:space="preserve"> at </w:t>
      </w:r>
      <w:r w:rsidRPr="000E15A1">
        <w:t>[11]</w:t>
      </w:r>
      <w:r>
        <w:t xml:space="preserve"> in the context of prior convictions as veracity evidence.</w:t>
      </w:r>
    </w:p>
  </w:footnote>
  <w:footnote w:id="752">
    <w:p w14:paraId="2757E2C6" w14:textId="77777777" w:rsidR="00E13DFB" w:rsidRDefault="00E13DFB" w:rsidP="00E13DFB">
      <w:pPr>
        <w:pStyle w:val="FootnoteText"/>
      </w:pPr>
      <w:r>
        <w:rPr>
          <w:rStyle w:val="FootnoteReference"/>
        </w:rPr>
        <w:footnoteRef/>
      </w:r>
      <w:r>
        <w:t xml:space="preserve"> </w:t>
      </w:r>
      <w:r>
        <w:tab/>
      </w:r>
      <w:r w:rsidRPr="000E15A1">
        <w:rPr>
          <w:i/>
        </w:rPr>
        <w:t>Best v R</w:t>
      </w:r>
      <w:r w:rsidRPr="000E15A1">
        <w:t xml:space="preserve"> [2016] NZSC 122, [2017] 1 NZLR 186</w:t>
      </w:r>
      <w:r>
        <w:t xml:space="preserve"> at </w:t>
      </w:r>
      <w:r w:rsidRPr="000E15A1">
        <w:t>[72]</w:t>
      </w:r>
      <w:r>
        <w:t xml:space="preserve"> (emphasis added).</w:t>
      </w:r>
    </w:p>
  </w:footnote>
  <w:footnote w:id="753">
    <w:p w14:paraId="71A394FA"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The 2013 Review of the Evidence Act 2006</w:t>
      </w:r>
      <w:r w:rsidRPr="000E15A1">
        <w:t xml:space="preserve"> (NZLC R127, 2013)</w:t>
      </w:r>
      <w:r>
        <w:t xml:space="preserve"> at </w:t>
      </w:r>
      <w:r w:rsidRPr="000E15A1">
        <w:t>[6.75].</w:t>
      </w:r>
    </w:p>
  </w:footnote>
  <w:footnote w:id="754">
    <w:p w14:paraId="2B972CDD" w14:textId="77777777" w:rsidR="00E13DFB" w:rsidRDefault="00E13DFB" w:rsidP="00E13DFB">
      <w:pPr>
        <w:pStyle w:val="FootnoteText"/>
      </w:pPr>
      <w:r>
        <w:rPr>
          <w:rStyle w:val="FootnoteReference"/>
        </w:rPr>
        <w:footnoteRef/>
      </w:r>
      <w:r>
        <w:t xml:space="preserve"> </w:t>
      </w:r>
      <w:r>
        <w:tab/>
      </w:r>
      <w:r w:rsidRPr="000E15A1">
        <w:rPr>
          <w:i/>
        </w:rPr>
        <w:t>Best v R</w:t>
      </w:r>
      <w:r w:rsidRPr="000E15A1">
        <w:t xml:space="preserve"> [2016] NZSC 122, [2017] 1 NZLR 186</w:t>
      </w:r>
      <w:r>
        <w:t xml:space="preserve"> at </w:t>
      </w:r>
      <w:r w:rsidRPr="000E15A1">
        <w:t>[73]–[74].</w:t>
      </w:r>
    </w:p>
  </w:footnote>
  <w:footnote w:id="755">
    <w:p w14:paraId="61A0DF71" w14:textId="77777777" w:rsidR="00E13DFB" w:rsidRPr="002F1EC1" w:rsidRDefault="00E13DFB" w:rsidP="00E13DFB">
      <w:pPr>
        <w:pStyle w:val="FootnoteText"/>
      </w:pPr>
      <w:r>
        <w:rPr>
          <w:rStyle w:val="FootnoteReference"/>
        </w:rPr>
        <w:footnoteRef/>
      </w:r>
      <w:r>
        <w:t xml:space="preserve"> </w:t>
      </w:r>
      <w:r>
        <w:tab/>
      </w:r>
      <w:r w:rsidRPr="000E15A1">
        <w:rPr>
          <w:i/>
        </w:rPr>
        <w:t xml:space="preserve">Horton v R </w:t>
      </w:r>
      <w:r w:rsidRPr="000E15A1">
        <w:t>[2021] NZCA 82</w:t>
      </w:r>
      <w:r>
        <w:t xml:space="preserve"> at </w:t>
      </w:r>
      <w:r w:rsidRPr="000E15A1">
        <w:t>[30].</w:t>
      </w:r>
      <w:r>
        <w:t xml:space="preserve"> </w:t>
      </w:r>
    </w:p>
  </w:footnote>
  <w:footnote w:id="756">
    <w:p w14:paraId="3165B02D" w14:textId="499D31F5" w:rsidR="00E13DFB" w:rsidRDefault="00E13DFB" w:rsidP="00E13DFB">
      <w:pPr>
        <w:pStyle w:val="FootnoteText"/>
      </w:pPr>
      <w:r>
        <w:rPr>
          <w:rStyle w:val="FootnoteReference"/>
        </w:rPr>
        <w:footnoteRef/>
      </w:r>
      <w:r>
        <w:t xml:space="preserve"> </w:t>
      </w:r>
      <w:r>
        <w:tab/>
        <w:t xml:space="preserve">In an early draft the Commission suggested including a requirement to consider the length of time that has elapsed since the acts or events: </w:t>
      </w:r>
      <w:r w:rsidRPr="000E15A1">
        <w:t xml:space="preserve">Te Aka Matua o te Ture | Law Commission </w:t>
      </w:r>
      <w:r w:rsidRPr="000E15A1">
        <w:rPr>
          <w:i/>
        </w:rPr>
        <w:t xml:space="preserve">Evidence Law: Character and Credibility </w:t>
      </w:r>
      <w:r w:rsidRPr="000E15A1">
        <w:t>(NZLC PP27, 1997)</w:t>
      </w:r>
      <w:r>
        <w:t xml:space="preserve"> at </w:t>
      </w:r>
      <w:r w:rsidRPr="000E15A1">
        <w:t>cl 10(2).</w:t>
      </w:r>
      <w:r>
        <w:t xml:space="preserve"> This factor did not appear in the final Evidence Code. </w:t>
      </w:r>
    </w:p>
  </w:footnote>
  <w:footnote w:id="757">
    <w:p w14:paraId="25248857" w14:textId="77777777" w:rsidR="00E13DFB" w:rsidRDefault="00E13DFB" w:rsidP="00E13DFB">
      <w:pPr>
        <w:pStyle w:val="FootnoteText"/>
      </w:pPr>
      <w:r>
        <w:rPr>
          <w:rStyle w:val="FootnoteReference"/>
        </w:rPr>
        <w:footnoteRef/>
      </w:r>
      <w:r>
        <w:t xml:space="preserve"> </w:t>
      </w:r>
      <w:r>
        <w:tab/>
      </w:r>
      <w:r w:rsidRPr="000E15A1">
        <w:t>Evidence Act 2006</w:t>
      </w:r>
      <w:r>
        <w:t xml:space="preserve">, </w:t>
      </w:r>
      <w:r w:rsidRPr="000E15A1">
        <w:t>s 38(2)(b</w:t>
      </w:r>
      <w:r>
        <w:t>).</w:t>
      </w:r>
    </w:p>
  </w:footnote>
  <w:footnote w:id="758">
    <w:p w14:paraId="058F2ADB"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Evidence: Evidence Code and Commentary</w:t>
      </w:r>
      <w:r w:rsidRPr="000E15A1">
        <w:t xml:space="preserve"> (NZLC R55 Vol 2, 1999)</w:t>
      </w:r>
      <w:r>
        <w:t xml:space="preserve"> </w:t>
      </w:r>
      <w:r w:rsidRPr="006B6536">
        <w:t xml:space="preserve">at </w:t>
      </w:r>
      <w:r w:rsidRPr="000E15A1">
        <w:t>[C188].</w:t>
      </w:r>
    </w:p>
  </w:footnote>
  <w:footnote w:id="759">
    <w:p w14:paraId="606BBE57"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Evidence Law: Character and Credibility</w:t>
      </w:r>
      <w:r w:rsidRPr="000E15A1">
        <w:t xml:space="preserve"> (NZLC PP27, 1997)</w:t>
      </w:r>
      <w:r>
        <w:t xml:space="preserve"> </w:t>
      </w:r>
      <w:r w:rsidRPr="007945C7">
        <w:t>at</w:t>
      </w:r>
      <w:r>
        <w:t xml:space="preserve"> </w:t>
      </w:r>
      <w:r w:rsidRPr="000E15A1">
        <w:t>[189]–[190].</w:t>
      </w:r>
      <w:r>
        <w:t xml:space="preserve"> </w:t>
      </w:r>
    </w:p>
  </w:footnote>
  <w:footnote w:id="760">
    <w:p w14:paraId="207204F2"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Evidence Law: Character and Credibility</w:t>
      </w:r>
      <w:r w:rsidRPr="000E15A1">
        <w:t xml:space="preserve"> (NZLC PP27, 1997)</w:t>
      </w:r>
      <w:r>
        <w:t xml:space="preserve"> </w:t>
      </w:r>
      <w:r w:rsidRPr="007945C7">
        <w:t>at [</w:t>
      </w:r>
      <w:r w:rsidRPr="000E15A1">
        <w:t>196]–[197].</w:t>
      </w:r>
      <w:r>
        <w:t xml:space="preserve"> </w:t>
      </w:r>
    </w:p>
  </w:footnote>
  <w:footnote w:id="761">
    <w:p w14:paraId="51347C9F" w14:textId="77777777" w:rsidR="00E13DFB" w:rsidRPr="007945C7"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Evidence Law: Character and Credibility</w:t>
      </w:r>
      <w:r w:rsidRPr="000E15A1">
        <w:t xml:space="preserve"> (NZLC PP27, 1997)</w:t>
      </w:r>
      <w:r>
        <w:t xml:space="preserve"> </w:t>
      </w:r>
      <w:r w:rsidRPr="007945C7">
        <w:t xml:space="preserve">at </w:t>
      </w:r>
      <w:r w:rsidRPr="000E15A1">
        <w:t>[203].</w:t>
      </w:r>
      <w:r>
        <w:t xml:space="preserve"> See also </w:t>
      </w:r>
      <w:r w:rsidRPr="000E15A1">
        <w:t xml:space="preserve">Te Aka Matua o te Ture | Law Commission </w:t>
      </w:r>
      <w:r w:rsidRPr="000E15A1">
        <w:rPr>
          <w:i/>
        </w:rPr>
        <w:t xml:space="preserve">The 2013 Review of the Evidence Act 2006 </w:t>
      </w:r>
      <w:r w:rsidRPr="000E15A1">
        <w:t>(NZLC R127, 2013)</w:t>
      </w:r>
      <w:r>
        <w:t xml:space="preserve"> </w:t>
      </w:r>
      <w:r w:rsidRPr="007945C7">
        <w:t xml:space="preserve">at </w:t>
      </w:r>
      <w:r w:rsidRPr="000E15A1">
        <w:t>[6.95]–[6.96].</w:t>
      </w:r>
    </w:p>
  </w:footnote>
  <w:footnote w:id="762">
    <w:p w14:paraId="659DCF41"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Disclosure to Court of Defendants’ Previous Convictions, Similar Offending, and Bad Character</w:t>
      </w:r>
      <w:r w:rsidRPr="000E15A1">
        <w:t xml:space="preserve"> (NZLC R103, 2008</w:t>
      </w:r>
      <w:r w:rsidRPr="00D204AB">
        <w:t>)</w:t>
      </w:r>
      <w:r>
        <w:t xml:space="preserve">; </w:t>
      </w:r>
      <w:r w:rsidRPr="000E15A1">
        <w:t xml:space="preserve">Te Aka Matua o te Ture | Law Commission </w:t>
      </w:r>
      <w:r w:rsidRPr="000E15A1">
        <w:rPr>
          <w:i/>
        </w:rPr>
        <w:t>The 2013 Review of the Evidence Act 2006</w:t>
      </w:r>
      <w:r w:rsidRPr="000E15A1">
        <w:t xml:space="preserve"> (NZLC R127, 2013);</w:t>
      </w:r>
      <w:r>
        <w:t xml:space="preserve"> and </w:t>
      </w:r>
      <w:r w:rsidRPr="000E15A1">
        <w:rPr>
          <w:lang w:val="mi-NZ"/>
        </w:rPr>
        <w:t xml:space="preserve">Te Aka Matua o te Ture | Law Commission </w:t>
      </w:r>
      <w:r w:rsidRPr="000E15A1">
        <w:rPr>
          <w:i/>
          <w:lang w:val="mi-NZ"/>
        </w:rPr>
        <w:t xml:space="preserve">The Second Review of the Evidence Act 2006 </w:t>
      </w:r>
      <w:r w:rsidRPr="000E15A1">
        <w:rPr>
          <w:lang w:val="mi-NZ"/>
        </w:rPr>
        <w:t xml:space="preserve">| </w:t>
      </w:r>
      <w:r w:rsidRPr="000E15A1">
        <w:rPr>
          <w:i/>
          <w:lang w:val="mi-NZ"/>
        </w:rPr>
        <w:t xml:space="preserve">Te Arotake Tuarua i te Evidence Act 2006 </w:t>
      </w:r>
      <w:r w:rsidRPr="000E15A1">
        <w:rPr>
          <w:lang w:val="mi-NZ"/>
        </w:rPr>
        <w:t>(NZLC R142, 2019).</w:t>
      </w:r>
    </w:p>
  </w:footnote>
  <w:footnote w:id="763">
    <w:p w14:paraId="7224D53D"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 xml:space="preserve">Disclosure to Court of Defendants’ Previous Convictions, Similar Offending, and Bad Character </w:t>
      </w:r>
      <w:r w:rsidRPr="000E15A1">
        <w:t>(NZLC R103, 2008)</w:t>
      </w:r>
      <w:r>
        <w:t xml:space="preserve"> at </w:t>
      </w:r>
      <w:r w:rsidRPr="000E15A1">
        <w:t>[3.32]</w:t>
      </w:r>
      <w:r>
        <w:t xml:space="preserve"> and </w:t>
      </w:r>
      <w:r w:rsidRPr="000E15A1">
        <w:t>[3.37]–[3.38]</w:t>
      </w:r>
      <w:r>
        <w:t xml:space="preserve"> discussing the rule in </w:t>
      </w:r>
      <w:r w:rsidRPr="000E15A1">
        <w:rPr>
          <w:i/>
          <w:lang w:val="mi-NZ"/>
        </w:rPr>
        <w:t>R v Butterwasser</w:t>
      </w:r>
      <w:r w:rsidRPr="000E15A1">
        <w:rPr>
          <w:lang w:val="mi-NZ"/>
        </w:rPr>
        <w:t xml:space="preserve"> [1948] 1 KB 4, [1947] 2 All ER 415</w:t>
      </w:r>
      <w:r w:rsidRPr="00CA4A4E">
        <w:rPr>
          <w:lang w:val="mi-NZ"/>
        </w:rPr>
        <w:t xml:space="preserve">; </w:t>
      </w:r>
      <w:r>
        <w:rPr>
          <w:lang w:val="mi-NZ"/>
        </w:rPr>
        <w:t xml:space="preserve">affirmed in </w:t>
      </w:r>
      <w:r w:rsidRPr="000E15A1">
        <w:rPr>
          <w:i/>
          <w:lang w:val="mi-NZ"/>
        </w:rPr>
        <w:t>R v Kino and Mete</w:t>
      </w:r>
      <w:r w:rsidRPr="000E15A1">
        <w:rPr>
          <w:lang w:val="mi-NZ"/>
        </w:rPr>
        <w:t xml:space="preserve"> [1997] 3 NZLR 24</w:t>
      </w:r>
      <w:r w:rsidRPr="00CA4A4E">
        <w:rPr>
          <w:lang w:val="mi-NZ"/>
        </w:rPr>
        <w:t xml:space="preserve">; and </w:t>
      </w:r>
      <w:r w:rsidRPr="000E15A1">
        <w:rPr>
          <w:i/>
          <w:lang w:val="mi-NZ"/>
        </w:rPr>
        <w:t xml:space="preserve">Williams v R </w:t>
      </w:r>
      <w:r w:rsidRPr="000E15A1">
        <w:rPr>
          <w:lang w:val="mi-NZ"/>
        </w:rPr>
        <w:t>[2017] NZCA 329</w:t>
      </w:r>
      <w:r w:rsidRPr="00CA4A4E">
        <w:rPr>
          <w:lang w:val="mi-NZ"/>
        </w:rPr>
        <w:t xml:space="preserve">. </w:t>
      </w:r>
    </w:p>
  </w:footnote>
  <w:footnote w:id="764">
    <w:p w14:paraId="0A158331"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 xml:space="preserve">Disclosure to Court of Defendants’ Previous Convictions, Similar Offending, and Bad Character </w:t>
      </w:r>
      <w:r w:rsidRPr="000E15A1">
        <w:t>(NZLC R103, 2008)</w:t>
      </w:r>
      <w:r>
        <w:t xml:space="preserve"> at </w:t>
      </w:r>
      <w:r w:rsidRPr="000E15A1">
        <w:t>[2.12].</w:t>
      </w:r>
    </w:p>
  </w:footnote>
  <w:footnote w:id="765">
    <w:p w14:paraId="7656B65B" w14:textId="77777777" w:rsidR="00E13DFB" w:rsidRDefault="00E13DFB" w:rsidP="00E13DFB">
      <w:pPr>
        <w:pStyle w:val="FootnoteText"/>
      </w:pPr>
      <w:r>
        <w:rPr>
          <w:rStyle w:val="FootnoteReference"/>
        </w:rPr>
        <w:footnoteRef/>
      </w:r>
      <w:r>
        <w:t xml:space="preserve"> </w:t>
      </w:r>
      <w:r>
        <w:tab/>
      </w:r>
      <w:r w:rsidRPr="000E15A1">
        <w:t>Evidence Act 2006</w:t>
      </w:r>
      <w:r>
        <w:t xml:space="preserve">, </w:t>
      </w:r>
      <w:r w:rsidRPr="000E15A1">
        <w:t>s 21.</w:t>
      </w:r>
    </w:p>
  </w:footnote>
  <w:footnote w:id="766">
    <w:p w14:paraId="779EACCD"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 xml:space="preserve">Disclosure to Court of Defendants’ Previous Convictions, Similar Offending, and Bad Character </w:t>
      </w:r>
      <w:r w:rsidRPr="000E15A1">
        <w:t>(NZLC R103, 2008)</w:t>
      </w:r>
      <w:r>
        <w:t xml:space="preserve"> at </w:t>
      </w:r>
      <w:r w:rsidRPr="000E15A1">
        <w:t>[3.38].</w:t>
      </w:r>
    </w:p>
  </w:footnote>
  <w:footnote w:id="767">
    <w:p w14:paraId="1D583C78" w14:textId="77777777" w:rsidR="00E13DFB" w:rsidRDefault="00E13DFB" w:rsidP="00E13DFB">
      <w:pPr>
        <w:pStyle w:val="FootnoteText"/>
      </w:pPr>
      <w:r w:rsidRPr="007945C7">
        <w:rPr>
          <w:rStyle w:val="FootnoteReference"/>
        </w:rPr>
        <w:footnoteRef/>
      </w:r>
      <w:r w:rsidRPr="007945C7">
        <w:t xml:space="preserve"> </w:t>
      </w:r>
      <w:r w:rsidRPr="007945C7">
        <w:tab/>
      </w:r>
      <w:r w:rsidRPr="000E15A1">
        <w:t xml:space="preserve">Te Aka Matua o te Ture | Law Commission </w:t>
      </w:r>
      <w:r w:rsidRPr="000E15A1">
        <w:rPr>
          <w:i/>
        </w:rPr>
        <w:t>Evidence Law: Character and Credibility</w:t>
      </w:r>
      <w:r w:rsidRPr="000E15A1">
        <w:t xml:space="preserve"> (NZLC PP27, 1997)</w:t>
      </w:r>
      <w:r w:rsidRPr="007945C7">
        <w:t xml:space="preserve"> at </w:t>
      </w:r>
      <w:r w:rsidRPr="000E15A1">
        <w:t>[218].</w:t>
      </w:r>
      <w:r>
        <w:t xml:space="preserve"> </w:t>
      </w:r>
    </w:p>
  </w:footnote>
  <w:footnote w:id="768">
    <w:p w14:paraId="5D149525"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Evidence: Evidence Code and Commentary</w:t>
      </w:r>
      <w:r w:rsidRPr="000E15A1">
        <w:t xml:space="preserve"> (NZLC R55 Vol 2, 1999)</w:t>
      </w:r>
      <w:r>
        <w:t xml:space="preserve"> at 110 and [</w:t>
      </w:r>
      <w:r w:rsidRPr="000E15A1">
        <w:t>C188].</w:t>
      </w:r>
      <w:r>
        <w:t xml:space="preserve"> That provision made an exception in relation to evidence that the defendant had committed or been charged with an offence relevant to truthfulness (such as perjury). Such evidence would only be able to be offered if the defendant “offered evidence about the defendant’s truthfulness or challenging the truthfulness of a prosecution witness”, and the judge gave permission. At select committee, the relevant provision in the Evidence Bill was changed to limit the prosecution offering </w:t>
      </w:r>
      <w:r>
        <w:rPr>
          <w:i/>
          <w:iCs/>
        </w:rPr>
        <w:t xml:space="preserve">any </w:t>
      </w:r>
      <w:r>
        <w:t xml:space="preserve">veracity evidence about the defendant to where the defendant puts veracity in issue: </w:t>
      </w:r>
      <w:r w:rsidRPr="000E15A1">
        <w:t>Evidence Bill 2005 (256-2),</w:t>
      </w:r>
      <w:r>
        <w:t xml:space="preserve"> </w:t>
      </w:r>
      <w:r w:rsidRPr="000E15A1">
        <w:t>cl 34(2)(a).</w:t>
      </w:r>
      <w:r>
        <w:t xml:space="preserve"> </w:t>
      </w:r>
    </w:p>
  </w:footnote>
  <w:footnote w:id="769">
    <w:p w14:paraId="79AA8634" w14:textId="77777777" w:rsidR="00E13DFB" w:rsidRDefault="00E13DFB" w:rsidP="00E13DFB">
      <w:pPr>
        <w:pStyle w:val="FootnoteText"/>
      </w:pPr>
      <w:r>
        <w:rPr>
          <w:rStyle w:val="FootnoteReference"/>
        </w:rPr>
        <w:footnoteRef/>
      </w:r>
      <w:r>
        <w:t xml:space="preserve"> </w:t>
      </w:r>
      <w:r>
        <w:tab/>
        <w:t xml:space="preserve">See discussion in </w:t>
      </w:r>
      <w:r w:rsidRPr="000E15A1">
        <w:t xml:space="preserve">Te Aka Matua o te Ture | Law Commission </w:t>
      </w:r>
      <w:r w:rsidRPr="000E15A1">
        <w:rPr>
          <w:i/>
        </w:rPr>
        <w:t xml:space="preserve">Disclosure to Court of Defendants’ Previous Convictions, Similar Offending, and Bad Character </w:t>
      </w:r>
      <w:r w:rsidRPr="000E15A1">
        <w:t>(NZLC R103, 2008)</w:t>
      </w:r>
      <w:r>
        <w:t xml:space="preserve"> at </w:t>
      </w:r>
      <w:r w:rsidRPr="000E15A1">
        <w:t>[3.33]–[3.36].</w:t>
      </w:r>
    </w:p>
  </w:footnote>
  <w:footnote w:id="770">
    <w:p w14:paraId="1DEB69F6" w14:textId="77777777" w:rsidR="00E13DFB" w:rsidRDefault="00E13DFB" w:rsidP="00E13DFB">
      <w:pPr>
        <w:pStyle w:val="FootnoteText"/>
      </w:pPr>
      <w:r>
        <w:rPr>
          <w:rStyle w:val="FootnoteReference"/>
        </w:rPr>
        <w:footnoteRef/>
      </w:r>
      <w:r>
        <w:t xml:space="preserve"> </w:t>
      </w:r>
      <w:r>
        <w:tab/>
      </w:r>
      <w:r w:rsidRPr="000E15A1">
        <w:t>Evidence Bill 2005 (256-2) (select committee report)</w:t>
      </w:r>
      <w:r>
        <w:t xml:space="preserve"> at </w:t>
      </w:r>
      <w:r w:rsidRPr="000E15A1">
        <w:t>6.</w:t>
      </w:r>
    </w:p>
  </w:footnote>
  <w:footnote w:id="771">
    <w:p w14:paraId="6B4CB996" w14:textId="77777777" w:rsidR="00E13DFB" w:rsidRDefault="00E13DFB" w:rsidP="00E13DFB">
      <w:pPr>
        <w:pStyle w:val="FootnoteText"/>
      </w:pPr>
      <w:r>
        <w:rPr>
          <w:rStyle w:val="FootnoteReference"/>
        </w:rPr>
        <w:footnoteRef/>
      </w:r>
      <w:r>
        <w:t xml:space="preserve"> </w:t>
      </w:r>
      <w:r>
        <w:tab/>
        <w:t xml:space="preserve">See discussion in </w:t>
      </w:r>
      <w:r w:rsidRPr="000E15A1">
        <w:t xml:space="preserve">Te Aka Matua o te Ture | Law Commission </w:t>
      </w:r>
      <w:r w:rsidRPr="000E15A1">
        <w:rPr>
          <w:i/>
        </w:rPr>
        <w:t xml:space="preserve">Disclosure to Court of Defendants’ Previous Convictions, Similar Offending, and Bad Character </w:t>
      </w:r>
      <w:r w:rsidRPr="000E15A1">
        <w:t>(NZLC R103, 2008)</w:t>
      </w:r>
      <w:r>
        <w:t xml:space="preserve"> at </w:t>
      </w:r>
      <w:r w:rsidRPr="000E15A1">
        <w:t>[3.37]–[3.40]</w:t>
      </w:r>
      <w:r>
        <w:t xml:space="preserve"> and </w:t>
      </w:r>
      <w:r w:rsidRPr="000E15A1">
        <w:t>[9.15].</w:t>
      </w:r>
    </w:p>
  </w:footnote>
  <w:footnote w:id="772">
    <w:p w14:paraId="7978AAAC" w14:textId="4185A95D"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 xml:space="preserve">The 2013 Review of the Evidence Act 2006 </w:t>
      </w:r>
      <w:r w:rsidRPr="000E15A1">
        <w:t>(NZLC R127, 2013)</w:t>
      </w:r>
      <w:r>
        <w:t xml:space="preserve"> at </w:t>
      </w:r>
      <w:r w:rsidRPr="000E15A1">
        <w:t>[6.104]–[6.108]</w:t>
      </w:r>
      <w:r>
        <w:t xml:space="preserve"> and </w:t>
      </w:r>
      <w:r w:rsidRPr="000E15A1">
        <w:t>R13.</w:t>
      </w:r>
    </w:p>
  </w:footnote>
  <w:footnote w:id="773">
    <w:p w14:paraId="25387A01"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 xml:space="preserve">The Second Review of the Evidence Act 2006 </w:t>
      </w:r>
      <w:r w:rsidRPr="000E15A1">
        <w:t xml:space="preserve">| </w:t>
      </w:r>
      <w:r w:rsidRPr="000E15A1">
        <w:rPr>
          <w:i/>
        </w:rPr>
        <w:t xml:space="preserve">Te Arotake Tuarua i te Evidence Act 2006 </w:t>
      </w:r>
      <w:r w:rsidRPr="000E15A1">
        <w:t>(NZLC R142, 2019)</w:t>
      </w:r>
      <w:r>
        <w:t xml:space="preserve"> at </w:t>
      </w:r>
      <w:r w:rsidRPr="000E15A1">
        <w:t>[14.27].</w:t>
      </w:r>
    </w:p>
  </w:footnote>
  <w:footnote w:id="774">
    <w:p w14:paraId="02AD3309" w14:textId="77777777" w:rsidR="00E13DFB"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 xml:space="preserve">The Second Review of the Evidence Act 2006 </w:t>
      </w:r>
      <w:r w:rsidRPr="000E15A1">
        <w:t xml:space="preserve">| </w:t>
      </w:r>
      <w:r w:rsidRPr="000E15A1">
        <w:rPr>
          <w:i/>
        </w:rPr>
        <w:t xml:space="preserve">Te Arotake Tuarua i te Evidence Act 2006 </w:t>
      </w:r>
      <w:r w:rsidRPr="000E15A1">
        <w:t>(NZLC R142, 2019),</w:t>
      </w:r>
      <w:r>
        <w:t xml:space="preserve"> </w:t>
      </w:r>
      <w:r w:rsidRPr="000E15A1">
        <w:t>R25</w:t>
      </w:r>
      <w:r>
        <w:t xml:space="preserve"> and </w:t>
      </w:r>
      <w:r w:rsidRPr="000E15A1">
        <w:t>[14.29].</w:t>
      </w:r>
      <w:r>
        <w:t xml:space="preserve"> This recommendation was accepted by the </w:t>
      </w:r>
      <w:r w:rsidRPr="000E15A1">
        <w:t xml:space="preserve">Government: </w:t>
      </w:r>
      <w:r w:rsidRPr="00E90EDF">
        <w:rPr>
          <w:i/>
          <w:lang w:val="en-US"/>
        </w:rPr>
        <w:t>Government Response to Law Commission Report: The Second Review of the Evidence Act 2006 Te Arotake Tuarua i te Evidence Act 2006</w:t>
      </w:r>
      <w:r w:rsidRPr="000E15A1">
        <w:rPr>
          <w:lang w:val="en-US"/>
        </w:rPr>
        <w:t xml:space="preserve"> (September 2019)</w:t>
      </w:r>
      <w:r w:rsidRPr="00A778C4">
        <w:t xml:space="preserve"> at </w:t>
      </w:r>
      <w:r w:rsidRPr="000E15A1">
        <w:t>7</w:t>
      </w:r>
      <w:r>
        <w:t xml:space="preserve">. At the time of writing, an evidence amendment bill progressing this recommendation has not been introduced to the House. </w:t>
      </w:r>
    </w:p>
  </w:footnote>
  <w:footnote w:id="775">
    <w:p w14:paraId="498B9C5D" w14:textId="77777777" w:rsidR="00E13DFB" w:rsidRDefault="00E13DFB" w:rsidP="00E13DFB">
      <w:pPr>
        <w:pStyle w:val="FootnoteText"/>
      </w:pPr>
      <w:r>
        <w:rPr>
          <w:rStyle w:val="FootnoteReference"/>
        </w:rPr>
        <w:footnoteRef/>
      </w:r>
      <w:r>
        <w:t xml:space="preserve"> </w:t>
      </w:r>
      <w:r>
        <w:tab/>
        <w:t xml:space="preserve">See, for example, </w:t>
      </w:r>
      <w:r w:rsidRPr="000E15A1">
        <w:t xml:space="preserve">Te Aka Matua o te Ture | Law Commission </w:t>
      </w:r>
      <w:r w:rsidRPr="000E15A1">
        <w:rPr>
          <w:i/>
        </w:rPr>
        <w:t>Evidence: Evidence Code and Commentary</w:t>
      </w:r>
      <w:r w:rsidRPr="000E15A1">
        <w:t xml:space="preserve"> (NZLC R55 Vol 2, 1999)</w:t>
      </w:r>
      <w:r>
        <w:t xml:space="preserve"> at </w:t>
      </w:r>
      <w:r w:rsidRPr="000E15A1">
        <w:t>[C189]</w:t>
      </w:r>
      <w:r>
        <w:t xml:space="preserve">, which discusses the possibility of either the defendant </w:t>
      </w:r>
      <w:r w:rsidRPr="004551B3">
        <w:t>or a defence witness</w:t>
      </w:r>
      <w:r>
        <w:rPr>
          <w:i/>
          <w:iCs/>
        </w:rPr>
        <w:t xml:space="preserve"> </w:t>
      </w:r>
      <w:r>
        <w:t xml:space="preserve">impugning the truthfulness of a prosecution witness. </w:t>
      </w:r>
    </w:p>
  </w:footnote>
  <w:footnote w:id="776">
    <w:p w14:paraId="0BFA6931" w14:textId="77777777" w:rsidR="00E13DFB" w:rsidRDefault="00E13DFB" w:rsidP="00E13DFB">
      <w:pPr>
        <w:pStyle w:val="FootnoteText"/>
      </w:pPr>
      <w:r>
        <w:rPr>
          <w:rStyle w:val="FootnoteReference"/>
        </w:rPr>
        <w:footnoteRef/>
      </w:r>
      <w:r>
        <w:t xml:space="preserve"> </w:t>
      </w:r>
      <w:r>
        <w:tab/>
      </w:r>
      <w:r w:rsidRPr="000E15A1">
        <w:t>Criminal Evidence Act 1898 (UK),</w:t>
      </w:r>
      <w:r>
        <w:t xml:space="preserve"> </w:t>
      </w:r>
      <w:r w:rsidRPr="000E15A1">
        <w:t>s 1(f),</w:t>
      </w:r>
      <w:r>
        <w:t xml:space="preserve"> applied by </w:t>
      </w:r>
      <w:r w:rsidRPr="000E15A1">
        <w:rPr>
          <w:i/>
        </w:rPr>
        <w:t xml:space="preserve">R v Clark </w:t>
      </w:r>
      <w:r w:rsidRPr="000E15A1">
        <w:t>[1953] NZLR 823 (CA)</w:t>
      </w:r>
      <w:r>
        <w:t xml:space="preserve"> at </w:t>
      </w:r>
      <w:r w:rsidRPr="000E15A1">
        <w:t>830</w:t>
      </w:r>
      <w:r>
        <w:t xml:space="preserve">. See discussion in </w:t>
      </w:r>
      <w:r w:rsidRPr="000E15A1">
        <w:t xml:space="preserve">Te Aka Matua o te Ture | Law Commission </w:t>
      </w:r>
      <w:r w:rsidRPr="000E15A1">
        <w:rPr>
          <w:i/>
        </w:rPr>
        <w:t>Evidence Law: Character and Credibility</w:t>
      </w:r>
      <w:r w:rsidRPr="000E15A1">
        <w:t xml:space="preserve"> (NZLC PP27, 1997)</w:t>
      </w:r>
      <w:r w:rsidRPr="007945C7">
        <w:t xml:space="preserve"> at</w:t>
      </w:r>
      <w:r>
        <w:t xml:space="preserve"> </w:t>
      </w:r>
      <w:r w:rsidRPr="000E15A1">
        <w:t>[196]–[197].</w:t>
      </w:r>
      <w:r>
        <w:t xml:space="preserve"> The position in England and Wales is now governed by </w:t>
      </w:r>
      <w:r w:rsidRPr="000E15A1">
        <w:t>ss 101</w:t>
      </w:r>
      <w:r>
        <w:t xml:space="preserve"> and </w:t>
      </w:r>
      <w:r w:rsidRPr="000E15A1">
        <w:t>106</w:t>
      </w:r>
      <w:r>
        <w:t xml:space="preserve"> of the </w:t>
      </w:r>
      <w:r w:rsidRPr="000E15A1">
        <w:t>Criminal Justice Act 2003 (UK).</w:t>
      </w:r>
    </w:p>
  </w:footnote>
  <w:footnote w:id="777">
    <w:p w14:paraId="20A23945" w14:textId="77777777" w:rsidR="00E13DFB" w:rsidRDefault="00E13DFB" w:rsidP="00E13DFB">
      <w:pPr>
        <w:pStyle w:val="FootnoteText"/>
      </w:pPr>
      <w:r>
        <w:rPr>
          <w:rStyle w:val="FootnoteReference"/>
        </w:rPr>
        <w:footnoteRef/>
      </w:r>
      <w:r>
        <w:t xml:space="preserve"> </w:t>
      </w:r>
      <w:r>
        <w:tab/>
      </w:r>
      <w:r w:rsidRPr="000E15A1">
        <w:t>Criminal Justice Act 2003 (UK),</w:t>
      </w:r>
      <w:r>
        <w:t xml:space="preserve"> s </w:t>
      </w:r>
      <w:r w:rsidRPr="000E15A1">
        <w:t>101(1)(f)–(g).</w:t>
      </w:r>
    </w:p>
  </w:footnote>
  <w:footnote w:id="778">
    <w:p w14:paraId="0A7BD5F3" w14:textId="77777777" w:rsidR="00E13DFB" w:rsidRDefault="00E13DFB" w:rsidP="00E13DFB">
      <w:pPr>
        <w:pStyle w:val="FootnoteText"/>
      </w:pPr>
      <w:r>
        <w:rPr>
          <w:rStyle w:val="FootnoteReference"/>
        </w:rPr>
        <w:footnoteRef/>
      </w:r>
      <w:r>
        <w:t xml:space="preserve"> </w:t>
      </w:r>
      <w:r>
        <w:tab/>
      </w:r>
      <w:r w:rsidRPr="000E15A1">
        <w:t>Criminal Justice Act 2003 (UK),</w:t>
      </w:r>
      <w:r>
        <w:t xml:space="preserve"> </w:t>
      </w:r>
      <w:r w:rsidRPr="000E15A1">
        <w:t>s 105(1)(a).</w:t>
      </w:r>
    </w:p>
  </w:footnote>
  <w:footnote w:id="779">
    <w:p w14:paraId="4BCB8280" w14:textId="77777777" w:rsidR="00E13DFB" w:rsidRDefault="00E13DFB" w:rsidP="00E13DFB">
      <w:pPr>
        <w:pStyle w:val="FootnoteText"/>
      </w:pPr>
      <w:r>
        <w:rPr>
          <w:rStyle w:val="FootnoteReference"/>
        </w:rPr>
        <w:footnoteRef/>
      </w:r>
      <w:r>
        <w:t xml:space="preserve"> </w:t>
      </w:r>
      <w:r>
        <w:tab/>
      </w:r>
      <w:r w:rsidRPr="000E15A1">
        <w:t>Criminal Justice Act 2003 (UK),</w:t>
      </w:r>
      <w:r>
        <w:t xml:space="preserve"> </w:t>
      </w:r>
      <w:r w:rsidRPr="000E15A1">
        <w:t>s 105(2).</w:t>
      </w:r>
    </w:p>
  </w:footnote>
  <w:footnote w:id="780">
    <w:p w14:paraId="595A3D51" w14:textId="77777777" w:rsidR="00E13DFB" w:rsidRDefault="00E13DFB" w:rsidP="00E13DFB">
      <w:pPr>
        <w:pStyle w:val="FootnoteText"/>
      </w:pPr>
      <w:r>
        <w:rPr>
          <w:rStyle w:val="FootnoteReference"/>
        </w:rPr>
        <w:footnoteRef/>
      </w:r>
      <w:r>
        <w:t xml:space="preserve"> </w:t>
      </w:r>
      <w:r>
        <w:tab/>
      </w:r>
      <w:r w:rsidRPr="000E15A1">
        <w:t>Criminal Justice Act 2003 (UK),</w:t>
      </w:r>
      <w:r>
        <w:t xml:space="preserve"> </w:t>
      </w:r>
      <w:r w:rsidRPr="000E15A1">
        <w:t>s 106(1).</w:t>
      </w:r>
      <w:r>
        <w:t xml:space="preserve"> Paragraph (a) is interpreted to cover evidence given by any witness called by the defendant and, presumably, evidence given by the defendant themselves: </w:t>
      </w:r>
      <w:r w:rsidRPr="000E15A1">
        <w:t xml:space="preserve">Ian Dennis </w:t>
      </w:r>
      <w:r w:rsidRPr="000E15A1">
        <w:rPr>
          <w:i/>
          <w:iCs/>
        </w:rPr>
        <w:t xml:space="preserve">The Law of Evidence </w:t>
      </w:r>
      <w:r w:rsidRPr="000E15A1">
        <w:t>(</w:t>
      </w:r>
      <w:r>
        <w:t>7th</w:t>
      </w:r>
      <w:r w:rsidRPr="000E15A1">
        <w:t xml:space="preserve"> ed, Sweet &amp; Maxwell, London, 2020)</w:t>
      </w:r>
      <w:r w:rsidRPr="00B51BFA">
        <w:t xml:space="preserve"> at </w:t>
      </w:r>
      <w:r w:rsidRPr="000E15A1">
        <w:t>[19–042].</w:t>
      </w:r>
    </w:p>
  </w:footnote>
  <w:footnote w:id="781">
    <w:p w14:paraId="75EF3DF0" w14:textId="77777777" w:rsidR="00E13DFB" w:rsidRDefault="00E13DFB" w:rsidP="00E13DFB">
      <w:pPr>
        <w:pStyle w:val="FootnoteText"/>
      </w:pPr>
      <w:r>
        <w:rPr>
          <w:rStyle w:val="FootnoteReference"/>
        </w:rPr>
        <w:footnoteRef/>
      </w:r>
      <w:r>
        <w:t xml:space="preserve"> </w:t>
      </w:r>
      <w:r>
        <w:tab/>
      </w:r>
      <w:r w:rsidRPr="000E15A1">
        <w:t>Evidence Act 2006,</w:t>
      </w:r>
      <w:r>
        <w:t xml:space="preserve"> </w:t>
      </w:r>
      <w:r w:rsidRPr="000E15A1">
        <w:t>s 4(1).</w:t>
      </w:r>
    </w:p>
  </w:footnote>
  <w:footnote w:id="782">
    <w:p w14:paraId="76282781" w14:textId="77777777" w:rsidR="00E13DFB" w:rsidRDefault="00E13DFB" w:rsidP="00E13DFB">
      <w:pPr>
        <w:pStyle w:val="FootnoteText"/>
      </w:pPr>
      <w:r>
        <w:rPr>
          <w:rStyle w:val="FootnoteReference"/>
        </w:rPr>
        <w:footnoteRef/>
      </w:r>
      <w:r>
        <w:t xml:space="preserve"> </w:t>
      </w:r>
      <w:r>
        <w:tab/>
      </w:r>
      <w:r w:rsidRPr="000E15A1">
        <w:t>Evidence Act 2006</w:t>
      </w:r>
      <w:r>
        <w:t xml:space="preserve">, </w:t>
      </w:r>
      <w:r w:rsidRPr="000E15A1">
        <w:t>s 4(1)</w:t>
      </w:r>
      <w:r>
        <w:t xml:space="preserve"> (definition of “veracity”).</w:t>
      </w:r>
    </w:p>
  </w:footnote>
  <w:footnote w:id="783">
    <w:p w14:paraId="7D8081DC" w14:textId="77777777" w:rsidR="00E13DFB" w:rsidRDefault="00E13DFB" w:rsidP="00E13DFB">
      <w:pPr>
        <w:pStyle w:val="FootnoteText"/>
      </w:pPr>
      <w:r>
        <w:rPr>
          <w:rStyle w:val="FootnoteReference"/>
        </w:rPr>
        <w:footnoteRef/>
      </w:r>
      <w:r>
        <w:t xml:space="preserve"> </w:t>
      </w:r>
      <w:r>
        <w:tab/>
        <w:t xml:space="preserve">The definition of “hostile” in the Commission’s proposed Evidence Code referred to a person who “exhibits, or appears to exhibit, a lack of truthfulness when giving evidence”, and “truthfulness” was defined as being “concerned with a person’s intention to tell the truth…”: </w:t>
      </w:r>
      <w:r w:rsidRPr="000E15A1">
        <w:t xml:space="preserve">Te Aka Matua o te Ture | Law Commission </w:t>
      </w:r>
      <w:r w:rsidRPr="000E15A1">
        <w:rPr>
          <w:i/>
        </w:rPr>
        <w:t xml:space="preserve">Evidence: Evidence Code and Commentary </w:t>
      </w:r>
      <w:r w:rsidRPr="000E15A1">
        <w:t>(NZLC R55 Vol 2, 1999)</w:t>
      </w:r>
      <w:r>
        <w:t xml:space="preserve"> </w:t>
      </w:r>
      <w:r w:rsidRPr="000E15A1">
        <w:t>at 24.</w:t>
      </w:r>
      <w:r>
        <w:t xml:space="preserve"> </w:t>
      </w:r>
    </w:p>
  </w:footnote>
  <w:footnote w:id="784">
    <w:p w14:paraId="4602DAD2" w14:textId="77777777" w:rsidR="00E13DFB" w:rsidRPr="008F3172" w:rsidRDefault="00E13DFB" w:rsidP="00E13DFB">
      <w:pPr>
        <w:pStyle w:val="FootnoteText"/>
      </w:pPr>
      <w:r>
        <w:rPr>
          <w:rStyle w:val="FootnoteReference"/>
        </w:rPr>
        <w:footnoteRef/>
      </w:r>
      <w:r>
        <w:t xml:space="preserve"> </w:t>
      </w:r>
      <w:r>
        <w:tab/>
        <w:t xml:space="preserve">See </w:t>
      </w:r>
      <w:r w:rsidRPr="000E15A1">
        <w:t xml:space="preserve">Elisabeth McDonald and Scott Optican (eds) </w:t>
      </w:r>
      <w:r w:rsidRPr="000E15A1">
        <w:rPr>
          <w:i/>
        </w:rPr>
        <w:t xml:space="preserve">Mahoney on Evidence: Act &amp; Analysis </w:t>
      </w:r>
      <w:r w:rsidRPr="000E15A1">
        <w:t>(</w:t>
      </w:r>
      <w:r>
        <w:t>4th</w:t>
      </w:r>
      <w:r w:rsidRPr="000E15A1">
        <w:t xml:space="preserve"> ed, Thomson Reuters, Wellington, 2018)</w:t>
      </w:r>
      <w:r w:rsidRPr="00AB5292">
        <w:t xml:space="preserve"> at </w:t>
      </w:r>
      <w:r w:rsidRPr="000E15A1">
        <w:t>[EV4.21.02(1)</w:t>
      </w:r>
      <w:r>
        <w:t xml:space="preserve">] and </w:t>
      </w:r>
      <w:r w:rsidRPr="000E15A1">
        <w:t xml:space="preserve">Simon France (eds) </w:t>
      </w:r>
      <w:r w:rsidRPr="000E15A1">
        <w:rPr>
          <w:i/>
        </w:rPr>
        <w:t xml:space="preserve">Adams on Criminal Law – Evidence </w:t>
      </w:r>
      <w:r w:rsidRPr="000E15A1">
        <w:t>(online loose leaf ed, Thomson Reuters)</w:t>
      </w:r>
      <w:r>
        <w:t xml:space="preserve"> at </w:t>
      </w:r>
      <w:r w:rsidRPr="000E15A1">
        <w:t>[EA94.01].</w:t>
      </w:r>
      <w:r>
        <w:t xml:space="preserve"> </w:t>
      </w:r>
    </w:p>
  </w:footnote>
  <w:footnote w:id="785">
    <w:p w14:paraId="7691748A" w14:textId="77777777" w:rsidR="00E13DFB" w:rsidRPr="00AE66D1" w:rsidRDefault="00E13DFB" w:rsidP="00E13DFB">
      <w:pPr>
        <w:pStyle w:val="FootnoteText"/>
      </w:pPr>
      <w:r>
        <w:rPr>
          <w:rStyle w:val="FootnoteReference"/>
        </w:rPr>
        <w:footnoteRef/>
      </w:r>
      <w:r>
        <w:t xml:space="preserve"> </w:t>
      </w:r>
      <w:r>
        <w:tab/>
        <w:t xml:space="preserve">See </w:t>
      </w:r>
      <w:r w:rsidRPr="000E15A1">
        <w:t xml:space="preserve">Elisabeth McDonald and Scott Optican (eds) </w:t>
      </w:r>
      <w:r w:rsidRPr="000E15A1">
        <w:rPr>
          <w:i/>
        </w:rPr>
        <w:t xml:space="preserve">Mahoney on Evidence: Act &amp; Analysis </w:t>
      </w:r>
      <w:r w:rsidRPr="000E15A1">
        <w:t>(</w:t>
      </w:r>
      <w:r>
        <w:t>4th</w:t>
      </w:r>
      <w:r w:rsidRPr="000E15A1">
        <w:t xml:space="preserve"> ed, Thomson Reuters, Wellington 2018)</w:t>
      </w:r>
      <w:r w:rsidRPr="00AB5292">
        <w:t xml:space="preserve"> at </w:t>
      </w:r>
      <w:r w:rsidRPr="000E15A1">
        <w:t>[EV35.04(4)(a)</w:t>
      </w:r>
      <w:r>
        <w:t xml:space="preserve">] and </w:t>
      </w:r>
      <w:r w:rsidRPr="000E15A1">
        <w:t xml:space="preserve">Simon France (eds) </w:t>
      </w:r>
      <w:r w:rsidRPr="000E15A1">
        <w:rPr>
          <w:i/>
        </w:rPr>
        <w:t xml:space="preserve">Adams on Criminal Law – Evidence </w:t>
      </w:r>
      <w:r w:rsidRPr="000E15A1">
        <w:t>(online loose leaf ed, Thomson Reuters)</w:t>
      </w:r>
      <w:r>
        <w:t xml:space="preserve"> at </w:t>
      </w:r>
      <w:r w:rsidRPr="000E15A1">
        <w:t>[EA35.11].</w:t>
      </w:r>
      <w:r>
        <w:t xml:space="preserve"> </w:t>
      </w:r>
    </w:p>
  </w:footnote>
  <w:footnote w:id="786">
    <w:p w14:paraId="4530D28F" w14:textId="77777777" w:rsidR="00E13DFB" w:rsidRPr="00D96F28" w:rsidRDefault="00E13DFB" w:rsidP="00E13DFB">
      <w:pPr>
        <w:pStyle w:val="FootnoteText"/>
      </w:pPr>
      <w:r>
        <w:rPr>
          <w:rStyle w:val="FootnoteReference"/>
        </w:rPr>
        <w:footnoteRef/>
      </w:r>
      <w:r>
        <w:t xml:space="preserve"> </w:t>
      </w:r>
      <w:r>
        <w:tab/>
      </w:r>
      <w:r w:rsidRPr="000E15A1">
        <w:t xml:space="preserve">Te Aka Matua o te Ture | Law Commission </w:t>
      </w:r>
      <w:r w:rsidRPr="000E15A1">
        <w:rPr>
          <w:i/>
        </w:rPr>
        <w:t xml:space="preserve">The Second Review of the Evidence Act 2006 </w:t>
      </w:r>
      <w:r w:rsidRPr="000E15A1">
        <w:t xml:space="preserve">| </w:t>
      </w:r>
      <w:r w:rsidRPr="000E15A1">
        <w:rPr>
          <w:i/>
        </w:rPr>
        <w:t xml:space="preserve">Te Arotake Tuarua i te Evidence Act 2006 </w:t>
      </w:r>
      <w:r w:rsidRPr="000E15A1">
        <w:t>(NZLC R142, 2019)</w:t>
      </w:r>
      <w:r>
        <w:t xml:space="preserve"> at </w:t>
      </w:r>
      <w:r w:rsidRPr="000E15A1">
        <w:t>[14.44].</w:t>
      </w:r>
      <w:r>
        <w:t xml:space="preserve"> </w:t>
      </w:r>
    </w:p>
  </w:footnote>
  <w:footnote w:id="787">
    <w:p w14:paraId="7D0A9EAC" w14:textId="77777777" w:rsidR="00E13DFB" w:rsidRPr="00EC0054" w:rsidRDefault="00E13DFB" w:rsidP="00E13DFB">
      <w:pPr>
        <w:pStyle w:val="FootnoteText"/>
      </w:pPr>
      <w:r>
        <w:rPr>
          <w:rStyle w:val="FootnoteReference"/>
        </w:rPr>
        <w:footnoteRef/>
      </w:r>
      <w:r>
        <w:t xml:space="preserve"> </w:t>
      </w:r>
      <w:r>
        <w:tab/>
        <w:t xml:space="preserve">See, for example, </w:t>
      </w:r>
      <w:r w:rsidRPr="000E15A1">
        <w:rPr>
          <w:i/>
          <w:iCs/>
        </w:rPr>
        <w:t xml:space="preserve">Body v R </w:t>
      </w:r>
      <w:r w:rsidRPr="000E15A1">
        <w:t>[2019] NZCA 378</w:t>
      </w:r>
      <w:r>
        <w:t xml:space="preserve"> at</w:t>
      </w:r>
      <w:r w:rsidRPr="000E15A1">
        <w:t xml:space="preserve"> n 4</w:t>
      </w:r>
      <w:r>
        <w:t>, where the Court of Appeal held that the cross-examination of the complainant concerning the contents of a letter of retraction was a challenge to her veracity for the purposes of s 35(2), explaining in a footnote: “As that phrase is understood in the context of s 35”.</w:t>
      </w:r>
    </w:p>
  </w:footnote>
  <w:footnote w:id="788">
    <w:p w14:paraId="1B762DD0" w14:textId="77777777" w:rsidR="00E13DFB" w:rsidRDefault="00E13DFB" w:rsidP="00E13DFB">
      <w:pPr>
        <w:pStyle w:val="FootnoteText"/>
      </w:pPr>
      <w:r>
        <w:rPr>
          <w:rStyle w:val="FootnoteReference"/>
        </w:rPr>
        <w:footnoteRef/>
      </w:r>
      <w:r>
        <w:t xml:space="preserve"> </w:t>
      </w:r>
      <w:r>
        <w:tab/>
        <w:t xml:space="preserve">As per one of the stated purposes of the </w:t>
      </w:r>
      <w:r w:rsidRPr="000E15A1">
        <w:t>Evidence Act 2006</w:t>
      </w:r>
      <w:r>
        <w:t xml:space="preserve"> “enhancing access to the law of evidence” under </w:t>
      </w:r>
      <w:r w:rsidRPr="000E15A1">
        <w:t>s 6(f).</w:t>
      </w:r>
      <w:r>
        <w:t xml:space="preserve"> </w:t>
      </w:r>
    </w:p>
  </w:footnote>
  <w:footnote w:id="789">
    <w:p w14:paraId="1FC84BD2" w14:textId="77777777" w:rsidR="00E13DFB" w:rsidRDefault="00E13DFB" w:rsidP="00E13DFB">
      <w:pPr>
        <w:pStyle w:val="FootnoteText"/>
      </w:pPr>
      <w:r>
        <w:rPr>
          <w:rStyle w:val="FootnoteReference"/>
        </w:rPr>
        <w:footnoteRef/>
      </w:r>
      <w:r>
        <w:t xml:space="preserve"> </w:t>
      </w:r>
      <w:r>
        <w:tab/>
        <w:t xml:space="preserve">This would include retaining the reference to “veracity” under the definition of veracity under </w:t>
      </w:r>
      <w:r w:rsidRPr="000E15A1">
        <w:t>s 4(1</w:t>
      </w:r>
      <w:r>
        <w:t xml:space="preserve">) of the </w:t>
      </w:r>
      <w:r w:rsidRPr="000E15A1">
        <w:t>Evidence Act 2006</w:t>
      </w:r>
      <w:r>
        <w:t xml:space="preserve">, which refers to the veracity having “the meaning given in section 37”. The term “veracity” would also remain in the s 16 guidance on the interpretation of the hearsay rules. </w:t>
      </w:r>
    </w:p>
  </w:footnote>
  <w:footnote w:id="790">
    <w:p w14:paraId="62118729" w14:textId="77777777" w:rsidR="00E13DFB" w:rsidRPr="00D15013" w:rsidRDefault="00E13DFB" w:rsidP="00E13DFB">
      <w:pPr>
        <w:pStyle w:val="FootnoteText"/>
      </w:pPr>
      <w:r w:rsidRPr="00D15013">
        <w:rPr>
          <w:rStyle w:val="FootnoteReference"/>
        </w:rPr>
        <w:footnoteRef/>
      </w:r>
      <w:r w:rsidRPr="00D15013">
        <w:t xml:space="preserve"> </w:t>
      </w:r>
      <w:r w:rsidRPr="00D15013">
        <w:tab/>
        <w:t>Evidence Act 2006, s 40(1)(a).</w:t>
      </w:r>
    </w:p>
  </w:footnote>
  <w:footnote w:id="791">
    <w:p w14:paraId="557B21DC" w14:textId="77777777" w:rsidR="00E13DFB" w:rsidRPr="00E47F9B" w:rsidRDefault="00E13DFB" w:rsidP="00E13DFB">
      <w:pPr>
        <w:pStyle w:val="FootnoteText"/>
      </w:pPr>
      <w:r w:rsidRPr="00D15013">
        <w:rPr>
          <w:rStyle w:val="FootnoteReference"/>
        </w:rPr>
        <w:footnoteRef/>
      </w:r>
      <w:r w:rsidRPr="00D15013">
        <w:t xml:space="preserve"> </w:t>
      </w:r>
      <w:r w:rsidRPr="00D15013">
        <w:tab/>
      </w:r>
      <w:r w:rsidRPr="00D15013">
        <w:rPr>
          <w:i/>
          <w:iCs/>
        </w:rPr>
        <w:t>Mahomed v R</w:t>
      </w:r>
      <w:r w:rsidRPr="00D15013">
        <w:t xml:space="preserve"> [2011] NZSC 52, [2011] 3 NZLR 145 at [3] per Tipping J for the majority and at [51] and [81] per William Young J for the minority; affirmed in </w:t>
      </w:r>
      <w:r w:rsidRPr="00D15013">
        <w:rPr>
          <w:i/>
          <w:iCs/>
        </w:rPr>
        <w:t xml:space="preserve">Taniwha v R </w:t>
      </w:r>
      <w:r w:rsidRPr="00D15013">
        <w:t>[2016] NZSC 123 at [62].</w:t>
      </w:r>
    </w:p>
  </w:footnote>
  <w:footnote w:id="792">
    <w:p w14:paraId="6FCED953"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As at 14 October 2022, a Lexis Advance search for cases citing s 43 of the Evidence Act 2006 returned 969 results. </w:t>
      </w:r>
      <w:r w:rsidRPr="00D15013">
        <w:rPr>
          <w:lang w:eastAsia="en-AU"/>
        </w:rPr>
        <w:t xml:space="preserve">Most s 43 cases deal with the appropriate application of the s 43(1) test: </w:t>
      </w:r>
      <w:r w:rsidRPr="00D15013">
        <w:t>Scott Optican “Evidence” [2019] 4 NZ L Rev 565 at 577.</w:t>
      </w:r>
    </w:p>
  </w:footnote>
  <w:footnote w:id="793">
    <w:p w14:paraId="6D742E46" w14:textId="77777777" w:rsidR="00E13DFB" w:rsidRDefault="00E13DFB" w:rsidP="00E13DFB">
      <w:pPr>
        <w:pStyle w:val="FootnoteText"/>
      </w:pPr>
      <w:r w:rsidRPr="00D15013">
        <w:rPr>
          <w:rStyle w:val="FootnoteReference"/>
        </w:rPr>
        <w:footnoteRef/>
      </w:r>
      <w:r w:rsidRPr="00D15013">
        <w:t xml:space="preserve"> </w:t>
      </w:r>
      <w:r w:rsidRPr="00D15013">
        <w:tab/>
        <w:t xml:space="preserve">Decisions on the admissibility of propensity evidence are usually highly significant in how a trial is conducted: Ian Murray and Anne Stevens KC </w:t>
      </w:r>
      <w:r w:rsidRPr="00D15013">
        <w:rPr>
          <w:i/>
          <w:iCs/>
        </w:rPr>
        <w:t xml:space="preserve">Criminal Law: Evidence Act Update </w:t>
      </w:r>
      <w:r w:rsidRPr="00D15013">
        <w:t>(paper presented to the New Zealand Law Society Criminal Law: Evidence Act Update Webinar, March 2022) at 7.</w:t>
      </w:r>
    </w:p>
  </w:footnote>
  <w:footnote w:id="794">
    <w:p w14:paraId="1D202DA4"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For example, </w:t>
      </w:r>
      <w:r w:rsidRPr="00D15013">
        <w:rPr>
          <w:lang w:eastAsia="en-AU"/>
        </w:rPr>
        <w:t xml:space="preserve">Bernard Robertson has suggested that it seems to be becoming routine in trials for sexual offending for the prosecution to </w:t>
      </w:r>
      <w:r>
        <w:rPr>
          <w:lang w:eastAsia="en-AU"/>
        </w:rPr>
        <w:t>offer</w:t>
      </w:r>
      <w:r w:rsidRPr="00D15013">
        <w:rPr>
          <w:lang w:eastAsia="en-AU"/>
        </w:rPr>
        <w:t xml:space="preserve"> evidence of other sexual offending, charged or uncharged: </w:t>
      </w:r>
      <w:r w:rsidRPr="00D15013">
        <w:t>Bernard Robertson “Evidence” [2018] NZLJ 314 at 316.</w:t>
      </w:r>
      <w:r w:rsidRPr="00D15013">
        <w:rPr>
          <w:lang w:eastAsia="en-AU"/>
        </w:rPr>
        <w:t xml:space="preserve"> </w:t>
      </w:r>
      <w:r w:rsidRPr="00D15013">
        <w:t>Richard Mahoney wrote in 2011 that “what has become clear is that a substantial sector of our judiciary no longer holds the same concern for the prejudicial effect of propensity evidence that was formerly deeply ingrained in our law</w:t>
      </w:r>
      <w:r>
        <w:t xml:space="preserve"> </w:t>
      </w:r>
      <w:r w:rsidRPr="00D15013">
        <w:t>… the change we are living through seems to be inexorably heading in one direction only”: Richard Mahoney “Evidence” [2011] NZ L Rev 547 at 552.</w:t>
      </w:r>
    </w:p>
  </w:footnote>
  <w:footnote w:id="795">
    <w:p w14:paraId="7683A9F1" w14:textId="77777777" w:rsidR="00E13DFB" w:rsidRPr="00D15013" w:rsidRDefault="00E13DFB" w:rsidP="00E13DFB">
      <w:pPr>
        <w:pStyle w:val="FootnoteText"/>
        <w:tabs>
          <w:tab w:val="left" w:pos="720"/>
          <w:tab w:val="left" w:pos="1440"/>
          <w:tab w:val="left" w:pos="2160"/>
          <w:tab w:val="left" w:pos="2880"/>
          <w:tab w:val="left" w:pos="3600"/>
          <w:tab w:val="left" w:pos="4320"/>
          <w:tab w:val="left" w:pos="5040"/>
          <w:tab w:val="left" w:pos="5760"/>
          <w:tab w:val="left" w:pos="7200"/>
        </w:tabs>
      </w:pPr>
      <w:r w:rsidRPr="00D15013">
        <w:rPr>
          <w:rStyle w:val="FootnoteReference"/>
        </w:rPr>
        <w:footnoteRef/>
      </w:r>
      <w:r w:rsidRPr="00D15013">
        <w:t xml:space="preserve"> </w:t>
      </w:r>
      <w:r w:rsidRPr="00D15013">
        <w:tab/>
        <w:t>See for example</w:t>
      </w:r>
      <w:r>
        <w:t>,</w:t>
      </w:r>
      <w:r w:rsidRPr="00D15013">
        <w:t xml:space="preserve"> Bernard Robertson “Evidence” [2018] NZLJ 314 at 316; Matthew Downs “A Commentary on the Presentation by Justice Virginia Bell AC: Propensity Evidence under the Evidence Act 2006” (paper presented at the Legal Research Foundation Conference – The Evidence Act 2006 10 Years On, Auckland, September 2016) at [41]; and Richard Mahoney “Evidence” [2010] NZ L Rev 433 at 434.</w:t>
      </w:r>
    </w:p>
  </w:footnote>
  <w:footnote w:id="796">
    <w:p w14:paraId="341B79B0" w14:textId="77777777" w:rsidR="00E13DFB" w:rsidRPr="00D15013" w:rsidRDefault="00E13DFB" w:rsidP="00E13DFB">
      <w:pPr>
        <w:pStyle w:val="FootnoteText"/>
      </w:pPr>
      <w:r w:rsidRPr="00D15013">
        <w:rPr>
          <w:rStyle w:val="FootnoteReference"/>
        </w:rPr>
        <w:footnoteRef/>
      </w:r>
      <w:r w:rsidRPr="00D15013">
        <w:t xml:space="preserve"> </w:t>
      </w:r>
      <w:r w:rsidRPr="00D15013">
        <w:tab/>
        <w:t>See, for example</w:t>
      </w:r>
      <w:r>
        <w:t>,</w:t>
      </w:r>
      <w:r w:rsidRPr="00D15013">
        <w:t xml:space="preserve"> </w:t>
      </w:r>
      <w:r w:rsidRPr="00D15013">
        <w:rPr>
          <w:i/>
          <w:iCs/>
        </w:rPr>
        <w:t xml:space="preserve">R v Stewart </w:t>
      </w:r>
      <w:r w:rsidRPr="00D15013">
        <w:t xml:space="preserve">[2008] NZCA 429, [2010] 1 NZLR 197 at [17]; </w:t>
      </w:r>
      <w:r w:rsidRPr="00D15013">
        <w:rPr>
          <w:i/>
          <w:iCs/>
        </w:rPr>
        <w:t xml:space="preserve">Vuletich v R </w:t>
      </w:r>
      <w:r w:rsidRPr="00D15013">
        <w:t xml:space="preserve">[2010] NZCA 102 at [52]; and </w:t>
      </w:r>
      <w:r w:rsidRPr="00D15013">
        <w:rPr>
          <w:i/>
          <w:iCs/>
        </w:rPr>
        <w:t xml:space="preserve">R v RM </w:t>
      </w:r>
      <w:r w:rsidRPr="00D15013">
        <w:t>HC Napier CRI 2008-041-819, 14 July 2008 at [67], where Priestley J observed that “The statutory prohibition on excluding propensity evidence if the risk of its unfairly prejudicial nature outweighs its probative value is clear. The route to that conclusion, however, is, as with similar fact cases, obscure”.</w:t>
      </w:r>
    </w:p>
  </w:footnote>
  <w:footnote w:id="797">
    <w:p w14:paraId="1D182796"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Vuletich v R </w:t>
      </w:r>
      <w:r w:rsidRPr="00D15013">
        <w:t>[2010] NZCA 102 at [52].</w:t>
      </w:r>
    </w:p>
  </w:footnote>
  <w:footnote w:id="798">
    <w:p w14:paraId="42B36661"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Vuletich v R </w:t>
      </w:r>
      <w:r w:rsidRPr="00D15013">
        <w:t>[2010] NZCA 102 at [61]–[62].</w:t>
      </w:r>
    </w:p>
  </w:footnote>
  <w:footnote w:id="799">
    <w:p w14:paraId="776B7C9D"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Vuletich v R </w:t>
      </w:r>
      <w:r w:rsidRPr="00D15013">
        <w:t>[2010] NZCA 102 at [64]–[65].</w:t>
      </w:r>
    </w:p>
  </w:footnote>
  <w:footnote w:id="800">
    <w:p w14:paraId="71988A05"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Vuletich v R </w:t>
      </w:r>
      <w:r w:rsidRPr="00D15013">
        <w:t>[2010] NZCA 102 at [27] per Glazebrook J and [96] per Randerson J.</w:t>
      </w:r>
    </w:p>
  </w:footnote>
  <w:footnote w:id="801">
    <w:p w14:paraId="03F3CCBE"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Mahomed v R</w:t>
      </w:r>
      <w:r w:rsidRPr="00D15013">
        <w:t xml:space="preserve"> [2011] NZSC 52, [2011] 3 NZLR 145. </w:t>
      </w:r>
    </w:p>
  </w:footnote>
  <w:footnote w:id="802">
    <w:p w14:paraId="3B02504B" w14:textId="77777777" w:rsidR="00E13DFB" w:rsidRPr="00E04FAF" w:rsidRDefault="00E13DFB" w:rsidP="00E13DFB">
      <w:pPr>
        <w:pStyle w:val="FootnoteText"/>
      </w:pPr>
      <w:r w:rsidRPr="00D15013">
        <w:rPr>
          <w:rStyle w:val="FootnoteReference"/>
        </w:rPr>
        <w:footnoteRef/>
      </w:r>
      <w:r w:rsidRPr="00D15013">
        <w:t xml:space="preserve"> </w:t>
      </w:r>
      <w:r w:rsidRPr="00D15013">
        <w:tab/>
        <w:t xml:space="preserve">Scott Optican “The Supreme Court and the Law of Evidence” in Andrew Stockley and Michael Littlewood (eds) </w:t>
      </w:r>
      <w:r w:rsidRPr="00D15013">
        <w:rPr>
          <w:i/>
          <w:iCs/>
        </w:rPr>
        <w:t xml:space="preserve">The New Zealand Supreme Court: The First Ten Years </w:t>
      </w:r>
      <w:r w:rsidRPr="00D15013">
        <w:t xml:space="preserve">(LexisNexis, Wellington, 2015) 409 at 414–418. </w:t>
      </w:r>
      <w:r>
        <w:t>See also</w:t>
      </w:r>
      <w:r w:rsidRPr="00D15013">
        <w:t xml:space="preserve"> Richard Mahoney “Evidence” [2012] NZ L Rev 721 at 729.</w:t>
      </w:r>
    </w:p>
  </w:footnote>
  <w:footnote w:id="803">
    <w:p w14:paraId="62CF1AB8"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Elisabeth McDonald and Scott Optican (eds) </w:t>
      </w:r>
      <w:r w:rsidRPr="00D15013">
        <w:rPr>
          <w:i/>
          <w:iCs/>
        </w:rPr>
        <w:t xml:space="preserve">Mahoney on Evidence: Act &amp; Analysis </w:t>
      </w:r>
      <w:r w:rsidRPr="00D15013">
        <w:t>(</w:t>
      </w:r>
      <w:r>
        <w:t>4th</w:t>
      </w:r>
      <w:r w:rsidRPr="00D15013">
        <w:t xml:space="preserve"> ed, Thomson Reuters, Wellington, 2018)</w:t>
      </w:r>
      <w:r w:rsidRPr="00D15013">
        <w:rPr>
          <w:i/>
          <w:iCs/>
        </w:rPr>
        <w:t xml:space="preserve"> </w:t>
      </w:r>
      <w:r w:rsidRPr="00D15013">
        <w:t>at [EV43.04(2)].</w:t>
      </w:r>
    </w:p>
  </w:footnote>
  <w:footnote w:id="804">
    <w:p w14:paraId="3E40FE01"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Richard Mahoney “Evidence” [2011] NZ L Rev 547 at 549. </w:t>
      </w:r>
    </w:p>
  </w:footnote>
  <w:footnote w:id="805">
    <w:p w14:paraId="5E5D3B30" w14:textId="77777777" w:rsidR="00E13DFB" w:rsidRPr="00D15013" w:rsidRDefault="00E13DFB" w:rsidP="00E13DFB">
      <w:pPr>
        <w:pStyle w:val="FootnoteText"/>
        <w:rPr>
          <w:i/>
          <w:iCs/>
        </w:rPr>
      </w:pPr>
      <w:r w:rsidRPr="00D15013">
        <w:rPr>
          <w:rStyle w:val="FootnoteReference"/>
        </w:rPr>
        <w:footnoteRef/>
      </w:r>
      <w:r w:rsidRPr="00D15013">
        <w:t xml:space="preserve"> </w:t>
      </w:r>
      <w:r w:rsidRPr="00D15013">
        <w:tab/>
      </w:r>
      <w:r w:rsidRPr="00D15013">
        <w:rPr>
          <w:i/>
          <w:iCs/>
        </w:rPr>
        <w:t xml:space="preserve">Grigg v R </w:t>
      </w:r>
      <w:r w:rsidRPr="00D15013">
        <w:t>[2015] NZCA 27 at [17].</w:t>
      </w:r>
    </w:p>
  </w:footnote>
  <w:footnote w:id="806">
    <w:p w14:paraId="39B47D93"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Grigg v R </w:t>
      </w:r>
      <w:r w:rsidRPr="00D15013">
        <w:t xml:space="preserve">[2015] NZCA 27 at [17]. </w:t>
      </w:r>
    </w:p>
  </w:footnote>
  <w:footnote w:id="807">
    <w:p w14:paraId="5C4241C6" w14:textId="77777777" w:rsidR="00E13DFB" w:rsidRPr="00D15013" w:rsidRDefault="00E13DFB" w:rsidP="00E13DFB">
      <w:pPr>
        <w:pStyle w:val="FootnoteText"/>
      </w:pPr>
      <w:r w:rsidRPr="00D15013">
        <w:rPr>
          <w:rStyle w:val="FootnoteReference"/>
        </w:rPr>
        <w:footnoteRef/>
      </w:r>
      <w:r w:rsidRPr="00D15013">
        <w:t xml:space="preserve"> </w:t>
      </w:r>
      <w:r w:rsidRPr="00D15013">
        <w:tab/>
        <w:t>This case is subject to publication restrictions until final disposition of trial.</w:t>
      </w:r>
    </w:p>
  </w:footnote>
  <w:footnote w:id="808">
    <w:p w14:paraId="74E22CCE"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The authors of </w:t>
      </w:r>
      <w:r w:rsidRPr="00D15013">
        <w:rPr>
          <w:i/>
          <w:iCs/>
        </w:rPr>
        <w:t>Cross</w:t>
      </w:r>
      <w:r w:rsidRPr="00D15013">
        <w:t xml:space="preserve"> </w:t>
      </w:r>
      <w:r w:rsidRPr="00D15013">
        <w:rPr>
          <w:i/>
          <w:iCs/>
        </w:rPr>
        <w:t xml:space="preserve">on Evidence </w:t>
      </w:r>
      <w:r w:rsidRPr="00D15013">
        <w:t xml:space="preserve">observe that “admissibility determinations of propensity evidence are intensely fact-specific, as divergent outcomes in relation to photographs of young children as legitimate propensity evidence reveal”: Mathew Downs (ed) </w:t>
      </w:r>
      <w:r w:rsidRPr="00D15013">
        <w:rPr>
          <w:i/>
          <w:iCs/>
        </w:rPr>
        <w:t>Cross on Evidence</w:t>
      </w:r>
      <w:r w:rsidRPr="00D15013">
        <w:t xml:space="preserve"> (online looseleaf ed, LexisNexis) at [EVA43.3], referring to </w:t>
      </w:r>
      <w:r w:rsidRPr="00D15013">
        <w:rPr>
          <w:i/>
          <w:iCs/>
        </w:rPr>
        <w:t>SC v R</w:t>
      </w:r>
      <w:r w:rsidRPr="00D15013">
        <w:t xml:space="preserve"> [2015] NZCA 195 and </w:t>
      </w:r>
      <w:r w:rsidRPr="00D15013">
        <w:rPr>
          <w:i/>
          <w:iCs/>
        </w:rPr>
        <w:t>B (CA313/2010) v R</w:t>
      </w:r>
      <w:r w:rsidRPr="00D15013">
        <w:t xml:space="preserve"> [2010] NZCA 326, (2010) 25 CRNZ 6. Commentators have sometimes noted how similar cases have resulted in different outcomes. See, for example, Elisabeth McDonald and others </w:t>
      </w:r>
      <w:r w:rsidRPr="00D15013">
        <w:rPr>
          <w:i/>
          <w:iCs/>
        </w:rPr>
        <w:t>Rape Myths as Barriers to Fair Trial Process: Comparing adult rape trials with those in the Aotearoa Sexual Violence Court Pilot</w:t>
      </w:r>
      <w:r w:rsidRPr="00D15013">
        <w:t xml:space="preserve"> (Canterbury University Press, Christchurch, 2020). McDonald noted some inconsistencies in the application of s 43 in the cases analysed (at 231) but did not make any reform recommendations given that the jurisprudence under </w:t>
      </w:r>
      <w:r>
        <w:t>s</w:t>
      </w:r>
      <w:r w:rsidRPr="00D15013">
        <w:t xml:space="preserve"> 43 is still developing and the number of cases analysed was small (at 243). See also Scott Optican “Evidence” [2015] NZ L Rev 473 at 482-486, describing case outcomes under the </w:t>
      </w:r>
      <w:r>
        <w:t>s</w:t>
      </w:r>
      <w:r w:rsidRPr="00D15013">
        <w:t xml:space="preserve"> 43 test as “highly idiosyncratic”.</w:t>
      </w:r>
    </w:p>
  </w:footnote>
  <w:footnote w:id="809">
    <w:p w14:paraId="23DDDFE9" w14:textId="77777777" w:rsidR="00E13DFB" w:rsidRPr="001B776F" w:rsidRDefault="00E13DFB" w:rsidP="00E13DFB">
      <w:pPr>
        <w:pStyle w:val="FootnoteText"/>
      </w:pPr>
      <w:r w:rsidRPr="00D15013">
        <w:rPr>
          <w:rStyle w:val="FootnoteReference"/>
        </w:rPr>
        <w:footnoteRef/>
      </w:r>
      <w:r w:rsidRPr="00D15013">
        <w:t xml:space="preserve"> </w:t>
      </w:r>
      <w:r w:rsidRPr="00D15013">
        <w:tab/>
        <w:t xml:space="preserve">Te Aka Matua o te Ture | Law Commission </w:t>
      </w:r>
      <w:r w:rsidRPr="00D15013">
        <w:rPr>
          <w:i/>
          <w:iCs/>
        </w:rPr>
        <w:t xml:space="preserve">Disclosure to Court of Defendants’ Previous Convictions, Similar Offending, and Bad Character </w:t>
      </w:r>
      <w:r w:rsidRPr="00D15013">
        <w:t>(NZLC R103, 2008) at [35].</w:t>
      </w:r>
    </w:p>
  </w:footnote>
  <w:footnote w:id="810">
    <w:p w14:paraId="11E3B7E7"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Te Aka Matua o te Ture | Law Commission </w:t>
      </w:r>
      <w:r w:rsidRPr="00D15013">
        <w:rPr>
          <w:i/>
          <w:iCs/>
        </w:rPr>
        <w:t xml:space="preserve">Evidence Law: Character and Credibility </w:t>
      </w:r>
      <w:r w:rsidRPr="00D15013">
        <w:t>(NZLC PP27, 1997) at 9–10 and [249].</w:t>
      </w:r>
    </w:p>
  </w:footnote>
  <w:footnote w:id="811">
    <w:p w14:paraId="6812CC9E"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Te Aka Matua o te Ture | Law Commission </w:t>
      </w:r>
      <w:r w:rsidRPr="00D15013">
        <w:rPr>
          <w:i/>
          <w:iCs/>
        </w:rPr>
        <w:t xml:space="preserve">Evidence Law: Character and Credibility </w:t>
      </w:r>
      <w:r w:rsidRPr="00D15013">
        <w:t>(NZLC PP27, 1997) at [291].</w:t>
      </w:r>
    </w:p>
  </w:footnote>
  <w:footnote w:id="812">
    <w:p w14:paraId="3440AFFA"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Te Aka Matua o te Ture | Law Commission </w:t>
      </w:r>
      <w:r w:rsidRPr="00D15013">
        <w:rPr>
          <w:i/>
          <w:iCs/>
        </w:rPr>
        <w:t xml:space="preserve">Evidence Law: Character and Credibility </w:t>
      </w:r>
      <w:r w:rsidRPr="00D15013">
        <w:t>(NZLC PP27, 1997) at 134.</w:t>
      </w:r>
    </w:p>
  </w:footnote>
  <w:footnote w:id="813">
    <w:p w14:paraId="30ABD6D9"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Te Aka Matua o te Ture | Law Commission </w:t>
      </w:r>
      <w:r w:rsidRPr="00D15013">
        <w:rPr>
          <w:i/>
          <w:iCs/>
        </w:rPr>
        <w:t>Evidence: Evidence Code and Commentary</w:t>
      </w:r>
      <w:r w:rsidRPr="00D15013">
        <w:t xml:space="preserve"> (NZLC R55 Vol 2, 1999) at 120 (emphasis added). </w:t>
      </w:r>
    </w:p>
  </w:footnote>
  <w:footnote w:id="814">
    <w:p w14:paraId="4B5E122E"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Te Aka Matua o te Ture | Law Commission </w:t>
      </w:r>
      <w:r w:rsidRPr="00D15013">
        <w:rPr>
          <w:i/>
          <w:iCs/>
        </w:rPr>
        <w:t xml:space="preserve">Evidence: Evidence Code and Commentary </w:t>
      </w:r>
      <w:r w:rsidRPr="00D15013">
        <w:t>(NZLC R55 Vol 2, 1999) at [C201].</w:t>
      </w:r>
    </w:p>
  </w:footnote>
  <w:footnote w:id="815">
    <w:p w14:paraId="72EC5642" w14:textId="77777777" w:rsidR="00E13DFB" w:rsidRDefault="00E13DFB" w:rsidP="00E13DFB">
      <w:pPr>
        <w:pStyle w:val="FootnoteText"/>
      </w:pPr>
      <w:r w:rsidRPr="00D15013">
        <w:rPr>
          <w:rStyle w:val="FootnoteReference"/>
        </w:rPr>
        <w:footnoteRef/>
      </w:r>
      <w:r w:rsidRPr="00D15013">
        <w:t xml:space="preserve"> </w:t>
      </w:r>
      <w:r w:rsidRPr="00D15013">
        <w:tab/>
        <w:t xml:space="preserve">Evidence Act 2006, s 8(1)(a). This language largely reflected the Commission’s proposed wording: Te Aka Matua o te Ture | Law Commission </w:t>
      </w:r>
      <w:r w:rsidRPr="00D15013">
        <w:rPr>
          <w:i/>
          <w:iCs/>
        </w:rPr>
        <w:t xml:space="preserve">Evidence: Evidence Code and Commentary </w:t>
      </w:r>
      <w:r w:rsidRPr="00D15013">
        <w:t>(NZLC R55 Vol 2, 1999) at 32.</w:t>
      </w:r>
      <w:r>
        <w:t xml:space="preserve"> </w:t>
      </w:r>
    </w:p>
  </w:footnote>
  <w:footnote w:id="816">
    <w:p w14:paraId="6FB6233A" w14:textId="77777777" w:rsidR="00E13DFB" w:rsidRDefault="00E13DFB" w:rsidP="00E13DFB">
      <w:pPr>
        <w:pStyle w:val="FootnoteText"/>
      </w:pPr>
      <w:r w:rsidRPr="00D63744">
        <w:rPr>
          <w:rStyle w:val="FootnoteReference"/>
        </w:rPr>
        <w:footnoteRef/>
      </w:r>
      <w:r w:rsidRPr="00D63744">
        <w:t xml:space="preserve"> </w:t>
      </w:r>
      <w:r w:rsidRPr="00D63744">
        <w:tab/>
      </w:r>
      <w:r w:rsidRPr="00322B21">
        <w:t xml:space="preserve">Cabinet </w:t>
      </w:r>
      <w:r>
        <w:t>Minute</w:t>
      </w:r>
      <w:r w:rsidRPr="00322B21">
        <w:t xml:space="preserve"> “Evidence Bill: Overview Paper” (</w:t>
      </w:r>
      <w:r>
        <w:t>8</w:t>
      </w:r>
      <w:r w:rsidRPr="00322B21">
        <w:t xml:space="preserve"> </w:t>
      </w:r>
      <w:r>
        <w:t>October</w:t>
      </w:r>
      <w:r w:rsidRPr="00322B21">
        <w:t xml:space="preserve"> 2003) at 4.</w:t>
      </w:r>
    </w:p>
  </w:footnote>
  <w:footnote w:id="817">
    <w:p w14:paraId="39724EA6" w14:textId="193B7710" w:rsidR="00E13DFB" w:rsidRDefault="00E13DFB" w:rsidP="00E13DFB">
      <w:pPr>
        <w:pStyle w:val="FootnoteText"/>
      </w:pPr>
      <w:r w:rsidRPr="00D15013">
        <w:rPr>
          <w:rStyle w:val="FootnoteReference"/>
        </w:rPr>
        <w:footnoteRef/>
      </w:r>
      <w:r w:rsidRPr="00D15013">
        <w:t xml:space="preserve"> </w:t>
      </w:r>
      <w:r w:rsidRPr="00D15013">
        <w:tab/>
        <w:t>Richard Mahoney “Evidence</w:t>
      </w:r>
      <w:r w:rsidR="00193A2C">
        <w:t>”</w:t>
      </w:r>
      <w:r w:rsidRPr="00D15013">
        <w:t xml:space="preserve"> [2010] NZ L Rev 433 at 435.</w:t>
      </w:r>
    </w:p>
  </w:footnote>
  <w:footnote w:id="818">
    <w:p w14:paraId="71400367" w14:textId="77777777" w:rsidR="00E13DFB" w:rsidRPr="00D15013" w:rsidRDefault="00E13DFB" w:rsidP="00E13DFB">
      <w:pPr>
        <w:pStyle w:val="FootnoteText"/>
      </w:pPr>
      <w:r w:rsidRPr="00D15013">
        <w:rPr>
          <w:rStyle w:val="FootnoteReference"/>
        </w:rPr>
        <w:footnoteRef/>
      </w:r>
      <w:r w:rsidRPr="00D15013">
        <w:t xml:space="preserve"> </w:t>
      </w:r>
      <w:r w:rsidRPr="00D15013">
        <w:tab/>
        <w:t>Richard Mahoney “Evidence” [2010] NZ L Rev 433 at 435.</w:t>
      </w:r>
    </w:p>
  </w:footnote>
  <w:footnote w:id="819">
    <w:p w14:paraId="3FCF8319"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See, for example, </w:t>
      </w:r>
      <w:r w:rsidRPr="00D15013">
        <w:rPr>
          <w:i/>
          <w:iCs/>
        </w:rPr>
        <w:t xml:space="preserve">R v Healy </w:t>
      </w:r>
      <w:r w:rsidRPr="00D15013">
        <w:t>[2007] NZCA 451 at [46].</w:t>
      </w:r>
    </w:p>
  </w:footnote>
  <w:footnote w:id="820">
    <w:p w14:paraId="16E53984"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Te Aka Matua o te Ture | Law Commission </w:t>
      </w:r>
      <w:r w:rsidRPr="00D15013">
        <w:rPr>
          <w:i/>
          <w:iCs/>
        </w:rPr>
        <w:t xml:space="preserve">Disclosure to Court of Defendants’ Previous Convictions, Similar Offending, and Bad Character </w:t>
      </w:r>
      <w:r w:rsidRPr="00D15013">
        <w:t>(NZLC R103, 2008) at [3.71].</w:t>
      </w:r>
    </w:p>
  </w:footnote>
  <w:footnote w:id="821">
    <w:p w14:paraId="72DC31DA"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R v Healy </w:t>
      </w:r>
      <w:r w:rsidRPr="00D15013">
        <w:t>[2007] NZCA 451 at [52].</w:t>
      </w:r>
    </w:p>
  </w:footnote>
  <w:footnote w:id="822">
    <w:p w14:paraId="04715B2E" w14:textId="77777777" w:rsidR="00E13DFB" w:rsidRPr="00921C7A" w:rsidRDefault="00E13DFB" w:rsidP="00E13DFB">
      <w:pPr>
        <w:pStyle w:val="FootnoteText"/>
      </w:pPr>
      <w:r w:rsidRPr="00D15013">
        <w:rPr>
          <w:rStyle w:val="FootnoteReference"/>
        </w:rPr>
        <w:footnoteRef/>
      </w:r>
      <w:r w:rsidRPr="00D15013">
        <w:t xml:space="preserve"> </w:t>
      </w:r>
      <w:r w:rsidRPr="00D15013">
        <w:tab/>
        <w:t xml:space="preserve">Scott Optican “Evidence” [2015] NZ L Rev 473 at 485–486. </w:t>
      </w:r>
      <w:r>
        <w:t>See also</w:t>
      </w:r>
      <w:r w:rsidRPr="00D15013">
        <w:t xml:space="preserve"> discussion in Richard Mahoney “Evidence” [2010] NZ L Rev 433 at 442 where he observed “I find nothing in s 43(1) to help me understand just when probative value outweighs prejudicial effect. Does “very strong” probative value outweigh “very serious” prejudicial effect? Perhaps</w:t>
      </w:r>
      <w:r>
        <w:t xml:space="preserve"> “fairly strong” probative value outweighs “quite high” prejudicial effect. Who can tell? We will never progress in our treatment of evidence about a defendant’s propensities until our appellate courts grasp the nettle and articulate what the weighing up process really involves”. </w:t>
      </w:r>
    </w:p>
  </w:footnote>
  <w:footnote w:id="823">
    <w:p w14:paraId="0BC3A53E" w14:textId="77777777" w:rsidR="00E13DFB" w:rsidRPr="00D15013" w:rsidRDefault="00E13DFB" w:rsidP="00E13DFB">
      <w:pPr>
        <w:pStyle w:val="FootnoteText"/>
      </w:pPr>
      <w:r w:rsidRPr="00C80BC5">
        <w:rPr>
          <w:rStyle w:val="FootnoteReference"/>
        </w:rPr>
        <w:footnoteRef/>
      </w:r>
      <w:r w:rsidRPr="00C80BC5">
        <w:t xml:space="preserve"> </w:t>
      </w:r>
      <w:r w:rsidRPr="00C80BC5">
        <w:tab/>
      </w:r>
      <w:r w:rsidRPr="002C5B38">
        <w:t xml:space="preserve">Mathew Downs (ed) </w:t>
      </w:r>
      <w:r w:rsidRPr="002C5B38">
        <w:rPr>
          <w:i/>
        </w:rPr>
        <w:t>Cross on Evidence</w:t>
      </w:r>
      <w:r w:rsidRPr="002C5B38">
        <w:t xml:space="preserve"> (online looseleaf ed, LexisNexis)</w:t>
      </w:r>
      <w:r w:rsidRPr="00C80BC5">
        <w:t xml:space="preserve"> at </w:t>
      </w:r>
      <w:r w:rsidRPr="002C5B38">
        <w:t>[EVA43.15].</w:t>
      </w:r>
    </w:p>
  </w:footnote>
  <w:footnote w:id="824">
    <w:p w14:paraId="6BA6F178"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Te Aka Matua o te Ture | Law Commission </w:t>
      </w:r>
      <w:r w:rsidRPr="00D15013">
        <w:rPr>
          <w:i/>
          <w:iCs/>
        </w:rPr>
        <w:t xml:space="preserve">Evidence: Reform of the Law </w:t>
      </w:r>
      <w:r w:rsidRPr="00D15013">
        <w:t>(NZLC R55 Vol 1, 1999) at [167] and [169].</w:t>
      </w:r>
    </w:p>
  </w:footnote>
  <w:footnote w:id="825">
    <w:p w14:paraId="7E8A8067"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Mahomed v R</w:t>
      </w:r>
      <w:r w:rsidRPr="00D15013">
        <w:t xml:space="preserve"> [2011] NZSC 52, [2011] 3 NZLR 145 at [60]–[61] per William Young J for the minority. While the minority’s express comments on this matter are often cited, as Bernard Robertson notes, in fact the whole Court treated the evidence as falling within the definition in </w:t>
      </w:r>
      <w:r>
        <w:t>s</w:t>
      </w:r>
      <w:r w:rsidRPr="00D15013">
        <w:t xml:space="preserve"> 40(1) despite it being what is described as “relationship” propensity evidence: Bernard Robertson “Evidence” [2020] NZLJ 16 at 20.</w:t>
      </w:r>
    </w:p>
  </w:footnote>
  <w:footnote w:id="826">
    <w:p w14:paraId="226CDA58"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For example, Elisabeth McDonald notes that the current approach does not prevent evidence of other relevant behaviour by the defendant towards the complainant </w:t>
      </w:r>
      <w:r w:rsidRPr="00D15013">
        <w:rPr>
          <w:lang w:eastAsia="en-AU"/>
        </w:rPr>
        <w:t xml:space="preserve">from being admitted as relationship propensity evidence in family violence cases even if that propensity evidence is different to the index offending: Elisabeth McDonald </w:t>
      </w:r>
      <w:r w:rsidRPr="00D15013">
        <w:rPr>
          <w:i/>
          <w:iCs/>
          <w:lang w:eastAsia="en-AU"/>
        </w:rPr>
        <w:t>Prosecuting Intimate Partner Rape</w:t>
      </w:r>
      <w:r w:rsidRPr="00D15013">
        <w:rPr>
          <w:lang w:eastAsia="en-AU"/>
        </w:rPr>
        <w:t xml:space="preserve"> (Canterbury University Press, Christchurch, 2023) at 229.</w:t>
      </w:r>
    </w:p>
  </w:footnote>
  <w:footnote w:id="827">
    <w:p w14:paraId="45011D3D"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See </w:t>
      </w:r>
      <w:r>
        <w:t>Mathew Downs (ed)</w:t>
      </w:r>
      <w:r w:rsidRPr="00D15013">
        <w:t xml:space="preserve"> </w:t>
      </w:r>
      <w:r w:rsidRPr="00D15013">
        <w:rPr>
          <w:i/>
          <w:iCs/>
        </w:rPr>
        <w:t>Adams on Criminal Law – Evidence</w:t>
      </w:r>
      <w:r w:rsidRPr="00D15013">
        <w:t xml:space="preserve"> (online looseleaf ed, Thomson Reuters) at [EA40.02(1)].</w:t>
      </w:r>
    </w:p>
  </w:footnote>
  <w:footnote w:id="828">
    <w:p w14:paraId="56CB7AA3" w14:textId="77777777" w:rsidR="00E13DFB" w:rsidRDefault="00E13DFB" w:rsidP="00E13DFB">
      <w:pPr>
        <w:pStyle w:val="FootnoteText"/>
      </w:pPr>
      <w:r w:rsidRPr="00D15013">
        <w:rPr>
          <w:rStyle w:val="FootnoteReference"/>
        </w:rPr>
        <w:footnoteRef/>
      </w:r>
      <w:r w:rsidRPr="00D15013">
        <w:t xml:space="preserve"> </w:t>
      </w:r>
      <w:r w:rsidRPr="00D15013">
        <w:tab/>
      </w:r>
      <w:r w:rsidRPr="00D15013">
        <w:rPr>
          <w:i/>
          <w:iCs/>
        </w:rPr>
        <w:t>Mahomed v R</w:t>
      </w:r>
      <w:r w:rsidRPr="00D15013">
        <w:t xml:space="preserve"> [2011] NZSC 52, [2011] 3 NZLR 145 at [66]–[67] per William Young J. </w:t>
      </w:r>
      <w:r>
        <w:t>See also</w:t>
      </w:r>
      <w:r w:rsidRPr="00D15013">
        <w:t xml:space="preserve"> [5] per Tipping J.</w:t>
      </w:r>
    </w:p>
  </w:footnote>
  <w:footnote w:id="829">
    <w:p w14:paraId="572C9202" w14:textId="77777777" w:rsidR="00E13DFB" w:rsidRPr="00D15013" w:rsidRDefault="00E13DFB" w:rsidP="00E13DFB">
      <w:pPr>
        <w:pStyle w:val="FootnoteText"/>
      </w:pPr>
      <w:r w:rsidRPr="00D15013">
        <w:rPr>
          <w:rStyle w:val="FootnoteReference"/>
        </w:rPr>
        <w:footnoteRef/>
      </w:r>
      <w:r w:rsidRPr="00D15013">
        <w:t xml:space="preserve"> </w:t>
      </w:r>
      <w:r w:rsidRPr="00D15013">
        <w:tab/>
        <w:t xml:space="preserve">See, for example, </w:t>
      </w:r>
      <w:r w:rsidRPr="00D15013">
        <w:rPr>
          <w:i/>
          <w:iCs/>
        </w:rPr>
        <w:t xml:space="preserve">P (CA354/17) v R </w:t>
      </w:r>
      <w:r w:rsidRPr="00D15013">
        <w:t xml:space="preserve">[2018] NZCA 361 at [34], citing </w:t>
      </w:r>
      <w:r w:rsidRPr="00D15013">
        <w:rPr>
          <w:i/>
          <w:iCs/>
        </w:rPr>
        <w:t>Mahomed v R</w:t>
      </w:r>
      <w:r w:rsidRPr="00D15013">
        <w:t xml:space="preserve"> [2011] NZSC 52, [2011] 3 NZLR 145 at [90].</w:t>
      </w:r>
    </w:p>
  </w:footnote>
  <w:footnote w:id="830">
    <w:p w14:paraId="63EA4BEA" w14:textId="77777777" w:rsidR="00E13DFB" w:rsidRDefault="00E13DFB" w:rsidP="00E13DFB">
      <w:pPr>
        <w:pStyle w:val="FootnoteText"/>
      </w:pPr>
      <w:r w:rsidRPr="00D15013">
        <w:rPr>
          <w:rStyle w:val="FootnoteReference"/>
        </w:rPr>
        <w:footnoteRef/>
      </w:r>
      <w:r w:rsidRPr="00D15013">
        <w:t xml:space="preserve"> </w:t>
      </w:r>
      <w:r w:rsidRPr="00D15013">
        <w:tab/>
        <w:t xml:space="preserve">Te Aka Matua o te Ture | Law Commission </w:t>
      </w:r>
      <w:r w:rsidRPr="00D15013">
        <w:rPr>
          <w:i/>
          <w:iCs/>
        </w:rPr>
        <w:t xml:space="preserve">Evidence Law: Character and Credibility </w:t>
      </w:r>
      <w:r w:rsidRPr="00D15013">
        <w:t>(NZLC PP27, 1997) at 134.</w:t>
      </w:r>
    </w:p>
  </w:footnote>
  <w:footnote w:id="831">
    <w:p w14:paraId="2E6F2D25" w14:textId="77777777" w:rsidR="00E13DFB" w:rsidRPr="00D65676" w:rsidRDefault="00E13DFB" w:rsidP="00E13DFB">
      <w:pPr>
        <w:pStyle w:val="FootnoteText"/>
      </w:pPr>
      <w:r w:rsidRPr="00BC3D53">
        <w:rPr>
          <w:rStyle w:val="FootnoteReference"/>
        </w:rPr>
        <w:footnoteRef/>
      </w:r>
      <w:r w:rsidRPr="00BC3D53">
        <w:t xml:space="preserve"> </w:t>
      </w:r>
      <w:r w:rsidRPr="00BC3D53">
        <w:tab/>
      </w:r>
      <w:r w:rsidRPr="00D65676">
        <w:t>Evidence Act 1995 (Cth), s 101(2). This requirement is based on the Uniform Evidence Law and has also been adopted in  Victoria: Evidence Act 2008 (VIC), s 101(2).</w:t>
      </w:r>
    </w:p>
  </w:footnote>
  <w:footnote w:id="832">
    <w:p w14:paraId="7A23B5CF" w14:textId="77777777" w:rsidR="00E13DFB" w:rsidRPr="00D65676" w:rsidRDefault="00E13DFB" w:rsidP="00E13DFB">
      <w:pPr>
        <w:pStyle w:val="FootnoteText"/>
      </w:pPr>
      <w:r w:rsidRPr="00D65676">
        <w:rPr>
          <w:rStyle w:val="FootnoteReference"/>
        </w:rPr>
        <w:footnoteRef/>
      </w:r>
      <w:r w:rsidRPr="00D65676">
        <w:t xml:space="preserve"> </w:t>
      </w:r>
      <w:r w:rsidRPr="00D65676">
        <w:tab/>
        <w:t xml:space="preserve">Law Reform Commission of Western Australia </w:t>
      </w:r>
      <w:r w:rsidRPr="002C5B38">
        <w:rPr>
          <w:i/>
        </w:rPr>
        <w:t xml:space="preserve">Admissibility of propensity and relationship evidence </w:t>
      </w:r>
      <w:r w:rsidRPr="00D65676">
        <w:rPr>
          <w:i/>
          <w:iCs/>
        </w:rPr>
        <w:t xml:space="preserve">in WA </w:t>
      </w:r>
      <w:r w:rsidRPr="00D65676">
        <w:t xml:space="preserve">(Report 112, 2022) at 17.  </w:t>
      </w:r>
    </w:p>
  </w:footnote>
  <w:footnote w:id="833">
    <w:p w14:paraId="4702D071" w14:textId="77777777" w:rsidR="00E13DFB" w:rsidRPr="00D65676" w:rsidRDefault="00E13DFB" w:rsidP="00E13DFB">
      <w:pPr>
        <w:pStyle w:val="FootnoteText"/>
      </w:pPr>
      <w:r w:rsidRPr="00D65676">
        <w:rPr>
          <w:rStyle w:val="FootnoteReference"/>
        </w:rPr>
        <w:footnoteRef/>
      </w:r>
      <w:r w:rsidRPr="00D65676">
        <w:t xml:space="preserve"> </w:t>
      </w:r>
      <w:r w:rsidRPr="00D65676">
        <w:tab/>
      </w:r>
      <w:r w:rsidRPr="00D65676">
        <w:rPr>
          <w:lang w:eastAsia="en-AU"/>
        </w:rPr>
        <w:t xml:space="preserve">Royal Commission into Institutional Responses to Child Sexual Abuse </w:t>
      </w:r>
      <w:r w:rsidRPr="00D65676">
        <w:rPr>
          <w:i/>
          <w:lang w:eastAsia="en-AU"/>
        </w:rPr>
        <w:t xml:space="preserve">Criminal Justice Report </w:t>
      </w:r>
      <w:r w:rsidRPr="00D65676">
        <w:rPr>
          <w:lang w:eastAsia="en-AU"/>
        </w:rPr>
        <w:t>(August 2017) at VI.</w:t>
      </w:r>
    </w:p>
  </w:footnote>
  <w:footnote w:id="834">
    <w:p w14:paraId="52035DD6" w14:textId="77777777" w:rsidR="00E13DFB" w:rsidRDefault="00E13DFB" w:rsidP="00E13DFB">
      <w:pPr>
        <w:pStyle w:val="FootnoteText"/>
      </w:pPr>
      <w:r w:rsidRPr="00D65676">
        <w:rPr>
          <w:rStyle w:val="FootnoteReference"/>
        </w:rPr>
        <w:footnoteRef/>
      </w:r>
      <w:r w:rsidRPr="00D65676">
        <w:t xml:space="preserve"> </w:t>
      </w:r>
      <w:r w:rsidRPr="00D65676">
        <w:tab/>
        <w:t xml:space="preserve">Evidence Act 2011 (ACT), s 101(2); Evidence Act 1995 (NSW), s 101(2); Evidence (National Uniform Legislation) Act 2011 (NT), s 101(2); Evidence Act 2001 (TAS), s 101(2). </w:t>
      </w:r>
      <w:r w:rsidRPr="00D65676">
        <w:rPr>
          <w:lang w:eastAsia="en-AU"/>
        </w:rPr>
        <w:t xml:space="preserve">Also see recommendations in </w:t>
      </w:r>
      <w:r w:rsidRPr="00D65676">
        <w:t xml:space="preserve">Law Reform Commission of Western Australia </w:t>
      </w:r>
      <w:r w:rsidRPr="002C5B38">
        <w:rPr>
          <w:i/>
        </w:rPr>
        <w:t xml:space="preserve">Admissibility of propensity and relationship evidence </w:t>
      </w:r>
      <w:r w:rsidRPr="00D65676">
        <w:rPr>
          <w:i/>
          <w:iCs/>
        </w:rPr>
        <w:t xml:space="preserve">in WA </w:t>
      </w:r>
      <w:r w:rsidRPr="00D65676">
        <w:t>(Report 112, 2022).</w:t>
      </w:r>
    </w:p>
  </w:footnote>
  <w:footnote w:id="835">
    <w:p w14:paraId="6633ABF6" w14:textId="77777777" w:rsidR="00E13DFB" w:rsidRPr="00D65676" w:rsidRDefault="00E13DFB" w:rsidP="00E13DFB">
      <w:pPr>
        <w:pStyle w:val="FootnoteText"/>
      </w:pPr>
      <w:r w:rsidRPr="00D15013">
        <w:rPr>
          <w:rStyle w:val="FootnoteReference"/>
        </w:rPr>
        <w:footnoteRef/>
      </w:r>
      <w:r w:rsidRPr="00D15013">
        <w:t xml:space="preserve"> </w:t>
      </w:r>
      <w:r w:rsidRPr="00D15013">
        <w:tab/>
      </w:r>
      <w:r w:rsidRPr="00D65676">
        <w:t xml:space="preserve">Te Aka Matua o te Ture | Law Commission </w:t>
      </w:r>
      <w:r w:rsidRPr="00D65676">
        <w:rPr>
          <w:i/>
          <w:iCs/>
        </w:rPr>
        <w:t xml:space="preserve">Evidence Law: Character and Credibility </w:t>
      </w:r>
      <w:r w:rsidRPr="00D65676">
        <w:t>(NZLC PP27, 1997) at [8].</w:t>
      </w:r>
    </w:p>
  </w:footnote>
  <w:footnote w:id="836">
    <w:p w14:paraId="6758F8AC" w14:textId="77777777" w:rsidR="00E13DFB" w:rsidRDefault="00E13DFB" w:rsidP="00E13DFB">
      <w:pPr>
        <w:pStyle w:val="FootnoteText"/>
      </w:pPr>
      <w:r w:rsidRPr="00D65676">
        <w:rPr>
          <w:rStyle w:val="FootnoteReference"/>
        </w:rPr>
        <w:footnoteRef/>
      </w:r>
      <w:r w:rsidRPr="00D65676">
        <w:t xml:space="preserve"> </w:t>
      </w:r>
      <w:r w:rsidRPr="00D65676">
        <w:tab/>
        <w:t xml:space="preserve">Evidence Act 1995 (Cth), ss 97(1)(b) and 98(1)(b). This has also been adopted in New South Wales, Victoria, Australian Capital Territory and Northern Territory: Evidence Act 1995 (NSW), ss 97(1)(b) and 98(1)(b); Evidence Act 2008 (VIC), ss 97(1)(b) and 98(1)(b); Evidence Act 2011 (ACT), ss 97(1)(b) and 98(1)(b); Evidence (National Uniform Legislation) Act 2011 (NT), ss 97(1) and 98(1)(b). See discussion in Stephen Odgers </w:t>
      </w:r>
      <w:r w:rsidRPr="00D65676">
        <w:rPr>
          <w:i/>
          <w:iCs/>
        </w:rPr>
        <w:t>Uniform Evidence Law</w:t>
      </w:r>
      <w:r w:rsidRPr="00D65676">
        <w:t xml:space="preserve"> (17th ed, Thomson Reuters, Pyrmont, 2022) at [EA.97.120] and [EA.98.120]. Some jurisdictions have introduced a presumption that certain tendency evidence has significant probative value in proceedings involving child sexual offending in response to recommendations made by the </w:t>
      </w:r>
      <w:r w:rsidRPr="00D65676">
        <w:rPr>
          <w:lang w:eastAsia="en-AU"/>
        </w:rPr>
        <w:t xml:space="preserve">Royal Commission into Institutional Responses to Child Sexual Abuse </w:t>
      </w:r>
      <w:r w:rsidRPr="00D65676">
        <w:rPr>
          <w:i/>
          <w:iCs/>
          <w:lang w:eastAsia="en-AU"/>
        </w:rPr>
        <w:t xml:space="preserve">Criminal Justice </w:t>
      </w:r>
      <w:r w:rsidRPr="00D65676">
        <w:rPr>
          <w:lang w:eastAsia="en-AU"/>
        </w:rPr>
        <w:t xml:space="preserve">(August 2017): see </w:t>
      </w:r>
      <w:r w:rsidRPr="00D65676">
        <w:t xml:space="preserve">Stephen Odgers </w:t>
      </w:r>
      <w:r w:rsidRPr="00D65676">
        <w:rPr>
          <w:i/>
          <w:iCs/>
        </w:rPr>
        <w:t>Uniform Evidence Law</w:t>
      </w:r>
      <w:r w:rsidRPr="00D65676">
        <w:t xml:space="preserve"> (17th ed, Thomson Reuters, Pyrmont, 2022) at [EA.97A.30] and [EA.98.200].</w:t>
      </w:r>
    </w:p>
  </w:footnote>
  <w:footnote w:id="837">
    <w:p w14:paraId="5B48C56F"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Hughes v The Queen </w:t>
      </w:r>
      <w:r w:rsidRPr="00D15013">
        <w:t>[2017] HCA 20 at [16].</w:t>
      </w:r>
    </w:p>
  </w:footnote>
  <w:footnote w:id="838">
    <w:p w14:paraId="11CB2332" w14:textId="77777777" w:rsidR="00E13DFB" w:rsidRPr="00763709"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Hughes v The Queen </w:t>
      </w:r>
      <w:r w:rsidRPr="00D15013">
        <w:t>[2017] HCA 20 at [41].</w:t>
      </w:r>
      <w:r>
        <w:t xml:space="preserve"> </w:t>
      </w:r>
    </w:p>
  </w:footnote>
  <w:footnote w:id="839">
    <w:p w14:paraId="3911EFE9"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Fenemor v R </w:t>
      </w:r>
      <w:r w:rsidRPr="00D15013">
        <w:t xml:space="preserve">[2011] NZSC 127, [2012] 1 NZLR 298 at [4]. </w:t>
      </w:r>
    </w:p>
  </w:footnote>
  <w:footnote w:id="840">
    <w:p w14:paraId="002D80B6"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Fenemor v R </w:t>
      </w:r>
      <w:r w:rsidRPr="00D15013">
        <w:t>[2011] NZSC 127, [2012] 1 NZLR 298 at [8].</w:t>
      </w:r>
    </w:p>
  </w:footnote>
  <w:footnote w:id="841">
    <w:p w14:paraId="6CAF6908"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Fenemor v R </w:t>
      </w:r>
      <w:r w:rsidRPr="00D15013">
        <w:t>[2011] NZSC 127, [2012] 1 NZLR 298 at [9].</w:t>
      </w:r>
    </w:p>
  </w:footnote>
  <w:footnote w:id="842">
    <w:p w14:paraId="205D4A7A"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Fenemor v R </w:t>
      </w:r>
      <w:r w:rsidRPr="00D15013">
        <w:t>[2011] NZSC 127, [2012] 1 NZLR 298 at [10].</w:t>
      </w:r>
    </w:p>
  </w:footnote>
  <w:footnote w:id="843">
    <w:p w14:paraId="35FEE1D8"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Fenemor v R </w:t>
      </w:r>
      <w:r w:rsidRPr="00D15013">
        <w:t>[2011] NZSC 127, [2012] 1 NZLR 298 at [10].</w:t>
      </w:r>
    </w:p>
  </w:footnote>
  <w:footnote w:id="844">
    <w:p w14:paraId="0E2AE5CD" w14:textId="77777777" w:rsidR="00E13DFB" w:rsidRPr="00D15013"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Fenemor v R </w:t>
      </w:r>
      <w:r w:rsidRPr="00D15013">
        <w:t xml:space="preserve">[2011] NZSC 127, [2012] 1 NZLR 298 at [12]. </w:t>
      </w:r>
    </w:p>
  </w:footnote>
  <w:footnote w:id="845">
    <w:p w14:paraId="1EBEA425" w14:textId="77777777" w:rsidR="00E13DFB" w:rsidRPr="00D15013" w:rsidRDefault="00E13DFB" w:rsidP="00E13DFB">
      <w:pPr>
        <w:pStyle w:val="FootnoteText"/>
      </w:pPr>
      <w:r w:rsidRPr="00D15013">
        <w:rPr>
          <w:rStyle w:val="FootnoteReference"/>
        </w:rPr>
        <w:footnoteRef/>
      </w:r>
      <w:r w:rsidRPr="00D15013">
        <w:t xml:space="preserve"> </w:t>
      </w:r>
      <w:r w:rsidRPr="00D15013">
        <w:tab/>
        <w:t>Scott Optican “Evidence” [2019] NZ L Rev 565 at 582.</w:t>
      </w:r>
    </w:p>
  </w:footnote>
  <w:footnote w:id="846">
    <w:p w14:paraId="12ABDB89" w14:textId="77777777" w:rsidR="00E13DFB" w:rsidRDefault="00E13DFB" w:rsidP="00E13DFB">
      <w:pPr>
        <w:pStyle w:val="FootnoteText"/>
      </w:pPr>
      <w:r w:rsidRPr="00D15013">
        <w:rPr>
          <w:rStyle w:val="FootnoteReference"/>
        </w:rPr>
        <w:footnoteRef/>
      </w:r>
      <w:r w:rsidRPr="00D15013">
        <w:t xml:space="preserve"> </w:t>
      </w:r>
      <w:r w:rsidRPr="00D15013">
        <w:tab/>
      </w:r>
      <w:r w:rsidRPr="00D15013">
        <w:rPr>
          <w:i/>
          <w:iCs/>
        </w:rPr>
        <w:t xml:space="preserve">Mead v R </w:t>
      </w:r>
      <w:r w:rsidRPr="00D15013">
        <w:t xml:space="preserve">[2013] NZCA 59; </w:t>
      </w:r>
      <w:r w:rsidRPr="00D15013">
        <w:rPr>
          <w:i/>
          <w:iCs/>
        </w:rPr>
        <w:t xml:space="preserve">RPG v R </w:t>
      </w:r>
      <w:r w:rsidRPr="00D15013">
        <w:t xml:space="preserve">[2015] NZCA 275; and </w:t>
      </w:r>
      <w:r w:rsidRPr="00D15013">
        <w:rPr>
          <w:i/>
          <w:iCs/>
        </w:rPr>
        <w:t xml:space="preserve">Saumanaia v R </w:t>
      </w:r>
      <w:r w:rsidRPr="00D15013">
        <w:t>[2017] NZCA 224.</w:t>
      </w:r>
    </w:p>
  </w:footnote>
  <w:footnote w:id="847">
    <w:p w14:paraId="6611E42B" w14:textId="77777777" w:rsidR="00E13DFB" w:rsidRPr="004D3A66" w:rsidRDefault="00E13DFB" w:rsidP="00E13DFB">
      <w:pPr>
        <w:pStyle w:val="FootnoteText"/>
      </w:pPr>
      <w:r w:rsidRPr="001A6AF5">
        <w:rPr>
          <w:rStyle w:val="FootnoteReference"/>
        </w:rPr>
        <w:footnoteRef/>
      </w:r>
      <w:r w:rsidRPr="001A6AF5">
        <w:t xml:space="preserve"> </w:t>
      </w:r>
      <w:r w:rsidRPr="001A6AF5">
        <w:tab/>
        <w:t xml:space="preserve">In </w:t>
      </w:r>
      <w:r w:rsidRPr="004D3A66">
        <w:rPr>
          <w:i/>
        </w:rPr>
        <w:t xml:space="preserve">Mead v R </w:t>
      </w:r>
      <w:r w:rsidRPr="004D3A66">
        <w:t>[2013] NZCA 59</w:t>
      </w:r>
      <w:r w:rsidRPr="001A6AF5">
        <w:t>, the prior acquittal evidence related to a 1990 acquittal for rape. Neither the court file nor the police file was available, only a statement made by the complainant in relation to the incident in 2012. A risk of unfair prejudice was said to arise from the non-availability of earlier evidence for the purposes of cross</w:t>
      </w:r>
      <w:r>
        <w:t>-</w:t>
      </w:r>
      <w:r w:rsidRPr="001A6AF5">
        <w:t>examination in the present trial</w:t>
      </w:r>
      <w:r>
        <w:t xml:space="preserve"> (</w:t>
      </w:r>
      <w:r w:rsidRPr="004D3A66">
        <w:t>at [19]</w:t>
      </w:r>
      <w:r>
        <w:t>)</w:t>
      </w:r>
      <w:r w:rsidRPr="004D3A66">
        <w:t>.</w:t>
      </w:r>
      <w:r w:rsidRPr="001A6AF5">
        <w:t xml:space="preserve"> </w:t>
      </w:r>
    </w:p>
  </w:footnote>
  <w:footnote w:id="848">
    <w:p w14:paraId="576B37D0" w14:textId="77777777" w:rsidR="00E13DFB" w:rsidRPr="004D3A66" w:rsidRDefault="00E13DFB" w:rsidP="00E13DFB">
      <w:pPr>
        <w:pStyle w:val="FootnoteText"/>
      </w:pPr>
      <w:r w:rsidRPr="00490769">
        <w:rPr>
          <w:rStyle w:val="FootnoteReference"/>
        </w:rPr>
        <w:footnoteRef/>
      </w:r>
      <w:r w:rsidRPr="00490769">
        <w:t xml:space="preserve"> </w:t>
      </w:r>
      <w:r w:rsidRPr="00490769">
        <w:tab/>
        <w:t xml:space="preserve">In </w:t>
      </w:r>
      <w:r w:rsidRPr="004D3A66">
        <w:rPr>
          <w:i/>
        </w:rPr>
        <w:t xml:space="preserve">RPG v R </w:t>
      </w:r>
      <w:r w:rsidRPr="004D3A66">
        <w:t>[2015] NZCA 275,</w:t>
      </w:r>
      <w:r w:rsidRPr="00490769">
        <w:t xml:space="preserve"> the prior acquittal evidence related to more serious offending than the present charges and had already been the subject of three earlier trials. While the propensity evidence was highly probative, it created a risk that it would overwhelm the present trial given that all the evidence from the earlier trials would need to be </w:t>
      </w:r>
      <w:r>
        <w:t>offered</w:t>
      </w:r>
      <w:r w:rsidRPr="00490769">
        <w:t>, and that it would be difficult for the jury not to give that disproportionate weight in their assessment of the present charges</w:t>
      </w:r>
      <w:r>
        <w:t xml:space="preserve"> (</w:t>
      </w:r>
      <w:r w:rsidRPr="00490769">
        <w:t xml:space="preserve">at </w:t>
      </w:r>
      <w:r w:rsidRPr="004D3A66">
        <w:t>[25]</w:t>
      </w:r>
      <w:r>
        <w:t>)</w:t>
      </w:r>
      <w:r w:rsidRPr="004D3A66">
        <w:t>.</w:t>
      </w:r>
      <w:r w:rsidRPr="00490769">
        <w:t xml:space="preserve"> </w:t>
      </w:r>
    </w:p>
  </w:footnote>
  <w:footnote w:id="849">
    <w:p w14:paraId="4748F982" w14:textId="77777777" w:rsidR="00E13DFB" w:rsidRPr="00230843" w:rsidRDefault="00E13DFB" w:rsidP="00E13DFB">
      <w:pPr>
        <w:pStyle w:val="FootnoteText"/>
      </w:pPr>
      <w:r w:rsidRPr="00230843">
        <w:rPr>
          <w:rStyle w:val="FootnoteReference"/>
        </w:rPr>
        <w:footnoteRef/>
      </w:r>
      <w:r w:rsidRPr="00230843">
        <w:t xml:space="preserve"> </w:t>
      </w:r>
      <w:r w:rsidRPr="00230843">
        <w:tab/>
        <w:t xml:space="preserve">In addition to </w:t>
      </w:r>
      <w:r w:rsidRPr="004D3A66">
        <w:rPr>
          <w:i/>
        </w:rPr>
        <w:t xml:space="preserve">Brooks v R </w:t>
      </w:r>
      <w:r w:rsidRPr="004D3A66">
        <w:t>[2019] NZCA 280, [2020] 2 NZLR 161</w:t>
      </w:r>
      <w:r w:rsidRPr="00230843">
        <w:t xml:space="preserve"> discussed below, we are also aware of several other Court of Appeal and Supreme Court cases </w:t>
      </w:r>
      <w:r>
        <w:t>that</w:t>
      </w:r>
      <w:r w:rsidRPr="00230843">
        <w:t xml:space="preserve"> are subject to publication restrictions pending final disposition at trial. </w:t>
      </w:r>
    </w:p>
  </w:footnote>
  <w:footnote w:id="850">
    <w:p w14:paraId="5598CCFD" w14:textId="77777777" w:rsidR="00E13DFB" w:rsidRPr="004D3A66" w:rsidRDefault="00E13DFB" w:rsidP="00E13DFB">
      <w:pPr>
        <w:pStyle w:val="FootnoteText"/>
      </w:pPr>
      <w:r w:rsidRPr="00230843">
        <w:rPr>
          <w:rStyle w:val="FootnoteReference"/>
        </w:rPr>
        <w:footnoteRef/>
      </w:r>
      <w:r w:rsidRPr="00230843">
        <w:t xml:space="preserve"> </w:t>
      </w:r>
      <w:r w:rsidRPr="00230843">
        <w:tab/>
      </w:r>
      <w:r w:rsidRPr="004D3A66">
        <w:rPr>
          <w:i/>
        </w:rPr>
        <w:t xml:space="preserve">Brooks v R </w:t>
      </w:r>
      <w:r w:rsidRPr="004D3A66">
        <w:t>[2019] NZCA 280, [2020] 2 NZLR 161.</w:t>
      </w:r>
    </w:p>
  </w:footnote>
  <w:footnote w:id="851">
    <w:p w14:paraId="61FCDACD" w14:textId="77777777" w:rsidR="00E13DFB" w:rsidRPr="00230843" w:rsidRDefault="00E13DFB" w:rsidP="00E13DFB">
      <w:pPr>
        <w:pStyle w:val="FootnoteText"/>
      </w:pPr>
      <w:r w:rsidRPr="00230843">
        <w:rPr>
          <w:rStyle w:val="FootnoteReference"/>
        </w:rPr>
        <w:footnoteRef/>
      </w:r>
      <w:r w:rsidRPr="00230843">
        <w:t xml:space="preserve"> </w:t>
      </w:r>
      <w:r w:rsidRPr="00230843">
        <w:tab/>
      </w:r>
      <w:r w:rsidRPr="004D3A66">
        <w:rPr>
          <w:i/>
        </w:rPr>
        <w:t xml:space="preserve">Brooks v R </w:t>
      </w:r>
      <w:r w:rsidRPr="004D3A66">
        <w:t>[2019] NZCA 280, [2020] 2 NZLR 161</w:t>
      </w:r>
      <w:r w:rsidRPr="00230843">
        <w:t xml:space="preserve"> at </w:t>
      </w:r>
      <w:r w:rsidRPr="004D3A66">
        <w:t>[28</w:t>
      </w:r>
      <w:r w:rsidRPr="00810141">
        <w:t xml:space="preserve">], citing </w:t>
      </w:r>
      <w:r w:rsidRPr="00810141">
        <w:rPr>
          <w:i/>
          <w:iCs/>
        </w:rPr>
        <w:t xml:space="preserve">Fenemor v R </w:t>
      </w:r>
      <w:r w:rsidRPr="00810141">
        <w:t>[2011] NZSC 127, [2012] 1 NZLR 298 at [10</w:t>
      </w:r>
      <w:r w:rsidRPr="004D3A66">
        <w:t>].</w:t>
      </w:r>
    </w:p>
  </w:footnote>
  <w:footnote w:id="852">
    <w:p w14:paraId="3C62E2F5" w14:textId="77777777" w:rsidR="00E13DFB" w:rsidRPr="00230843" w:rsidRDefault="00E13DFB" w:rsidP="00E13DFB">
      <w:pPr>
        <w:pStyle w:val="FootnoteText"/>
      </w:pPr>
      <w:r w:rsidRPr="00230843">
        <w:rPr>
          <w:rStyle w:val="FootnoteReference"/>
        </w:rPr>
        <w:footnoteRef/>
      </w:r>
      <w:r w:rsidRPr="00230843">
        <w:t xml:space="preserve"> </w:t>
      </w:r>
      <w:r w:rsidRPr="00230843">
        <w:tab/>
      </w:r>
      <w:r w:rsidRPr="004D3A66">
        <w:rPr>
          <w:i/>
        </w:rPr>
        <w:t xml:space="preserve">Brooks v R </w:t>
      </w:r>
      <w:r w:rsidRPr="004D3A66">
        <w:t>[2019] NZCA 280, [2020] 2 NZLR 161</w:t>
      </w:r>
      <w:r w:rsidRPr="00230843">
        <w:t xml:space="preserve"> at </w:t>
      </w:r>
      <w:r w:rsidRPr="004D3A66">
        <w:t>[35].</w:t>
      </w:r>
    </w:p>
  </w:footnote>
  <w:footnote w:id="853">
    <w:p w14:paraId="38A9ADD7" w14:textId="77777777" w:rsidR="00E13DFB" w:rsidRPr="00230843" w:rsidRDefault="00E13DFB" w:rsidP="00E13DFB">
      <w:pPr>
        <w:pStyle w:val="FootnoteText"/>
      </w:pPr>
      <w:r w:rsidRPr="00230843">
        <w:rPr>
          <w:rStyle w:val="FootnoteReference"/>
        </w:rPr>
        <w:footnoteRef/>
      </w:r>
      <w:r w:rsidRPr="00230843">
        <w:t xml:space="preserve"> </w:t>
      </w:r>
      <w:r w:rsidRPr="00230843">
        <w:tab/>
      </w:r>
      <w:r w:rsidRPr="004D3A66">
        <w:rPr>
          <w:i/>
        </w:rPr>
        <w:t xml:space="preserve">Brooks v R </w:t>
      </w:r>
      <w:r w:rsidRPr="004D3A66">
        <w:t>[2019] NZCA 280, [2020] 2 NZLR 161</w:t>
      </w:r>
      <w:r w:rsidRPr="00230843">
        <w:t xml:space="preserve"> at </w:t>
      </w:r>
      <w:r w:rsidRPr="004D3A66">
        <w:t>[35(a)].</w:t>
      </w:r>
    </w:p>
  </w:footnote>
  <w:footnote w:id="854">
    <w:p w14:paraId="607EECF7" w14:textId="77777777" w:rsidR="00E13DFB" w:rsidRPr="00230843" w:rsidRDefault="00E13DFB" w:rsidP="00E13DFB">
      <w:pPr>
        <w:pStyle w:val="FootnoteText"/>
      </w:pPr>
      <w:r w:rsidRPr="00230843">
        <w:rPr>
          <w:rStyle w:val="FootnoteReference"/>
        </w:rPr>
        <w:footnoteRef/>
      </w:r>
      <w:r w:rsidRPr="00230843">
        <w:t xml:space="preserve"> </w:t>
      </w:r>
      <w:r w:rsidRPr="00230843">
        <w:tab/>
      </w:r>
      <w:r w:rsidRPr="004D3A66">
        <w:rPr>
          <w:i/>
        </w:rPr>
        <w:t xml:space="preserve">Brooks v R </w:t>
      </w:r>
      <w:r w:rsidRPr="004D3A66">
        <w:t>[2019] NZCA 280, [2020] 2 NZLR 161</w:t>
      </w:r>
      <w:r w:rsidRPr="00230843">
        <w:t xml:space="preserve"> at </w:t>
      </w:r>
      <w:r w:rsidRPr="004D3A66">
        <w:t>[35(b)].</w:t>
      </w:r>
    </w:p>
  </w:footnote>
  <w:footnote w:id="855">
    <w:p w14:paraId="0055B419" w14:textId="77777777" w:rsidR="00E13DFB" w:rsidRDefault="00E13DFB" w:rsidP="00E13DFB">
      <w:pPr>
        <w:pStyle w:val="FootnoteText"/>
      </w:pPr>
      <w:r w:rsidRPr="00230843">
        <w:rPr>
          <w:rStyle w:val="FootnoteReference"/>
        </w:rPr>
        <w:footnoteRef/>
      </w:r>
      <w:r w:rsidRPr="00230843">
        <w:t xml:space="preserve"> </w:t>
      </w:r>
      <w:r w:rsidRPr="00230843">
        <w:tab/>
      </w:r>
      <w:r w:rsidRPr="004D3A66">
        <w:rPr>
          <w:i/>
        </w:rPr>
        <w:t xml:space="preserve">Brooks v R </w:t>
      </w:r>
      <w:r w:rsidRPr="004D3A66">
        <w:t>[2019] NZCA 280, [2020] 2 NZLR 161</w:t>
      </w:r>
      <w:r w:rsidRPr="00230843">
        <w:t xml:space="preserve"> at </w:t>
      </w:r>
      <w:r w:rsidRPr="004D3A66">
        <w:t>[35(c)].</w:t>
      </w:r>
    </w:p>
  </w:footnote>
  <w:footnote w:id="856">
    <w:p w14:paraId="72EAD9ED" w14:textId="77777777" w:rsidR="00E13DFB" w:rsidRPr="00230843" w:rsidRDefault="00E13DFB" w:rsidP="00E13DFB">
      <w:pPr>
        <w:pStyle w:val="FootnoteText"/>
      </w:pPr>
      <w:r w:rsidRPr="00230843">
        <w:rPr>
          <w:rStyle w:val="FootnoteReference"/>
        </w:rPr>
        <w:footnoteRef/>
      </w:r>
      <w:r w:rsidRPr="00230843">
        <w:t xml:space="preserve"> </w:t>
      </w:r>
      <w:r w:rsidRPr="00230843">
        <w:tab/>
      </w:r>
      <w:r w:rsidRPr="004D3A66">
        <w:rPr>
          <w:i/>
        </w:rPr>
        <w:t xml:space="preserve">Brooks v R </w:t>
      </w:r>
      <w:r w:rsidRPr="004D3A66">
        <w:t>[2019] NZCA 280, [2020] 2 NZLR 161</w:t>
      </w:r>
      <w:r w:rsidRPr="00230843">
        <w:t xml:space="preserve"> at </w:t>
      </w:r>
      <w:r w:rsidRPr="004D3A66">
        <w:t>[58]</w:t>
      </w:r>
      <w:r w:rsidRPr="00230843">
        <w:t xml:space="preserve"> and </w:t>
      </w:r>
      <w:r w:rsidRPr="004D3A66">
        <w:t>[75].</w:t>
      </w:r>
    </w:p>
  </w:footnote>
  <w:footnote w:id="857">
    <w:p w14:paraId="36B757CE" w14:textId="77777777" w:rsidR="00E13DFB" w:rsidRPr="00230843" w:rsidRDefault="00E13DFB" w:rsidP="00E13DFB">
      <w:pPr>
        <w:pStyle w:val="FootnoteText"/>
      </w:pPr>
      <w:r w:rsidRPr="00230843">
        <w:rPr>
          <w:rStyle w:val="FootnoteReference"/>
        </w:rPr>
        <w:footnoteRef/>
      </w:r>
      <w:r w:rsidRPr="00230843">
        <w:t xml:space="preserve"> </w:t>
      </w:r>
      <w:r w:rsidRPr="00230843">
        <w:tab/>
      </w:r>
      <w:r w:rsidRPr="004D3A66">
        <w:rPr>
          <w:i/>
        </w:rPr>
        <w:t xml:space="preserve">Brooks v R </w:t>
      </w:r>
      <w:r w:rsidRPr="004D3A66">
        <w:t>[2019] NZCA 280, [2020] 2 NZLR 161</w:t>
      </w:r>
      <w:r w:rsidRPr="00230843">
        <w:t xml:space="preserve"> at </w:t>
      </w:r>
      <w:r w:rsidRPr="004D3A66">
        <w:t>[60].</w:t>
      </w:r>
    </w:p>
  </w:footnote>
  <w:footnote w:id="858">
    <w:p w14:paraId="32B041B1" w14:textId="77777777" w:rsidR="00E13DFB" w:rsidRPr="00230843" w:rsidRDefault="00E13DFB" w:rsidP="00E13DFB">
      <w:pPr>
        <w:pStyle w:val="FootnoteText"/>
      </w:pPr>
      <w:r w:rsidRPr="00230843">
        <w:rPr>
          <w:rStyle w:val="FootnoteReference"/>
        </w:rPr>
        <w:footnoteRef/>
      </w:r>
      <w:r w:rsidRPr="00230843">
        <w:t xml:space="preserve"> </w:t>
      </w:r>
      <w:r w:rsidRPr="00230843">
        <w:tab/>
      </w:r>
      <w:r w:rsidRPr="004D3A66">
        <w:rPr>
          <w:i/>
        </w:rPr>
        <w:t xml:space="preserve">Brooks v R </w:t>
      </w:r>
      <w:r w:rsidRPr="004D3A66">
        <w:t>[2019] NZCA 280, [2020] 2 NZLR 161</w:t>
      </w:r>
      <w:r w:rsidRPr="00230843">
        <w:t xml:space="preserve"> at [</w:t>
      </w:r>
      <w:r w:rsidRPr="004D3A66">
        <w:t>62]–[63].</w:t>
      </w:r>
    </w:p>
  </w:footnote>
  <w:footnote w:id="859">
    <w:p w14:paraId="2ED5048F" w14:textId="77777777" w:rsidR="00E13DFB" w:rsidRPr="007A0436" w:rsidRDefault="00E13DFB" w:rsidP="00E13DFB">
      <w:pPr>
        <w:pStyle w:val="FootnoteText"/>
      </w:pPr>
      <w:r w:rsidRPr="007A0436">
        <w:rPr>
          <w:rStyle w:val="FootnoteReference"/>
        </w:rPr>
        <w:footnoteRef/>
      </w:r>
      <w:r w:rsidRPr="007A0436">
        <w:t xml:space="preserve"> </w:t>
      </w:r>
      <w:r w:rsidRPr="007A0436">
        <w:tab/>
        <w:t xml:space="preserve">An example of where the acquittal dimension has been found to result in unfair prejudice under the current approach is </w:t>
      </w:r>
      <w:r w:rsidRPr="00892535">
        <w:rPr>
          <w:i/>
          <w:iCs/>
        </w:rPr>
        <w:t xml:space="preserve">R v F </w:t>
      </w:r>
      <w:r w:rsidRPr="004D3A66">
        <w:t>[2022] NZHC 2710</w:t>
      </w:r>
      <w:r w:rsidRPr="007A0436">
        <w:t>. In that case, the prior acquittal evidence was excluded in circumstances where it</w:t>
      </w:r>
      <w:r w:rsidRPr="007A0436">
        <w:rPr>
          <w:lang w:eastAsia="en-AU"/>
        </w:rPr>
        <w:t xml:space="preserve"> related to</w:t>
      </w:r>
      <w:r w:rsidRPr="00230843">
        <w:rPr>
          <w:lang w:eastAsia="en-AU"/>
        </w:rPr>
        <w:t xml:space="preserve"> </w:t>
      </w:r>
      <w:r w:rsidRPr="007A0436">
        <w:rPr>
          <w:lang w:eastAsia="en-AU"/>
        </w:rPr>
        <w:t xml:space="preserve">allegations made over 10 years ago, the court file could not be located </w:t>
      </w:r>
      <w:r w:rsidRPr="00892535">
        <w:rPr>
          <w:i/>
          <w:iCs/>
          <w:lang w:eastAsia="en-AU"/>
        </w:rPr>
        <w:t>and</w:t>
      </w:r>
      <w:r w:rsidRPr="007A0436">
        <w:rPr>
          <w:lang w:eastAsia="en-AU"/>
        </w:rPr>
        <w:t xml:space="preserve"> it appeared that the defendant had called a witness at the trial who potentially gave alibi evidence, or at least evidence relevant to the acquittal, and that witness had since died</w:t>
      </w:r>
      <w:r w:rsidRPr="00892535">
        <w:t xml:space="preserve"> (at [44]). The Court said that was </w:t>
      </w:r>
      <w:r w:rsidRPr="007A0436">
        <w:rPr>
          <w:lang w:eastAsia="en-AU"/>
        </w:rPr>
        <w:t>“a good example of how unfair prejudice can arise in relation to a prior acquittal</w:t>
      </w:r>
      <w:r w:rsidRPr="004D3A66">
        <w:rPr>
          <w:lang w:eastAsia="en-AU"/>
        </w:rPr>
        <w:t xml:space="preserve">” </w:t>
      </w:r>
      <w:r>
        <w:rPr>
          <w:lang w:eastAsia="en-AU"/>
        </w:rPr>
        <w:t>(</w:t>
      </w:r>
      <w:r w:rsidRPr="007A0436">
        <w:rPr>
          <w:lang w:eastAsia="en-AU"/>
        </w:rPr>
        <w:t xml:space="preserve">at </w:t>
      </w:r>
      <w:r w:rsidRPr="004D3A66">
        <w:rPr>
          <w:lang w:eastAsia="en-AU"/>
        </w:rPr>
        <w:t>[44]</w:t>
      </w:r>
      <w:r>
        <w:rPr>
          <w:lang w:eastAsia="en-AU"/>
        </w:rPr>
        <w:t>)</w:t>
      </w:r>
      <w:r w:rsidRPr="004D3A66">
        <w:rPr>
          <w:lang w:eastAsia="en-AU"/>
        </w:rPr>
        <w:t>.</w:t>
      </w:r>
    </w:p>
  </w:footnote>
  <w:footnote w:id="860">
    <w:p w14:paraId="3D1CB2F2" w14:textId="77777777" w:rsidR="00E13DFB" w:rsidRPr="004D3A66" w:rsidRDefault="00E13DFB" w:rsidP="00E13DFB">
      <w:pPr>
        <w:pStyle w:val="FootnoteText"/>
      </w:pPr>
      <w:r w:rsidRPr="00485676">
        <w:rPr>
          <w:rStyle w:val="FootnoteReference"/>
        </w:rPr>
        <w:footnoteRef/>
      </w:r>
      <w:r w:rsidRPr="00485676">
        <w:t xml:space="preserve"> </w:t>
      </w:r>
      <w:r w:rsidRPr="00485676">
        <w:tab/>
      </w:r>
      <w:r w:rsidRPr="004D3A66">
        <w:t xml:space="preserve">Scott Optican “Evidence” [2019] </w:t>
      </w:r>
      <w:r w:rsidRPr="00E17992">
        <w:t xml:space="preserve">4 </w:t>
      </w:r>
      <w:r w:rsidRPr="004D3A66">
        <w:t>NZ L Rev 565</w:t>
      </w:r>
      <w:r w:rsidRPr="00485676">
        <w:t xml:space="preserve"> at </w:t>
      </w:r>
      <w:r w:rsidRPr="004D3A66">
        <w:t>582</w:t>
      </w:r>
      <w:r w:rsidRPr="00E17992">
        <w:t>-</w:t>
      </w:r>
      <w:r w:rsidRPr="004D3A66">
        <w:t>583.</w:t>
      </w:r>
      <w:r w:rsidRPr="00485676">
        <w:t xml:space="preserve"> Don Mathias suggests this case “is an indication of how difficult this evaluative judgement can be”: </w:t>
      </w:r>
      <w:r w:rsidRPr="00E17992">
        <w:t>Don Mathias “Probative value and prejudicial effect: when weighing is not balancing” (08 October 2019) Criminal Law Casebook – Developments in Leading Appellate Courts &lt;www.donmathias.wordpress.com&gt;.</w:t>
      </w:r>
    </w:p>
  </w:footnote>
  <w:footnote w:id="861">
    <w:p w14:paraId="1109D551" w14:textId="77777777" w:rsidR="00E13DFB" w:rsidRPr="00586B5C" w:rsidRDefault="00E13DFB" w:rsidP="00E13DFB">
      <w:pPr>
        <w:pStyle w:val="FootnoteText"/>
      </w:pPr>
      <w:r w:rsidRPr="00650E28">
        <w:rPr>
          <w:rStyle w:val="FootnoteReference"/>
        </w:rPr>
        <w:footnoteRef/>
      </w:r>
      <w:r w:rsidRPr="00650E28">
        <w:t xml:space="preserve"> </w:t>
      </w:r>
      <w:r w:rsidRPr="00650E28">
        <w:tab/>
      </w:r>
      <w:r w:rsidRPr="004D3A66">
        <w:rPr>
          <w:i/>
          <w:iCs/>
        </w:rPr>
        <w:t xml:space="preserve">Brooks v R </w:t>
      </w:r>
      <w:r w:rsidRPr="004D3A66">
        <w:t>[2019] NZSC 107</w:t>
      </w:r>
      <w:r w:rsidRPr="00650E28">
        <w:rPr>
          <w:i/>
          <w:iCs/>
        </w:rPr>
        <w:t xml:space="preserve"> </w:t>
      </w:r>
      <w:r w:rsidRPr="00650E28">
        <w:t xml:space="preserve">at </w:t>
      </w:r>
      <w:r w:rsidRPr="004D3A66">
        <w:t>[16].</w:t>
      </w:r>
    </w:p>
  </w:footnote>
  <w:footnote w:id="862">
    <w:p w14:paraId="41495161" w14:textId="77777777" w:rsidR="00E13DFB" w:rsidRPr="00D15013" w:rsidRDefault="00E13DFB" w:rsidP="00E13DFB">
      <w:pPr>
        <w:pStyle w:val="FootnoteText"/>
        <w:rPr>
          <w:highlight w:val="yellow"/>
        </w:rPr>
      </w:pPr>
      <w:r w:rsidRPr="00885053">
        <w:rPr>
          <w:rStyle w:val="FootnoteReference"/>
        </w:rPr>
        <w:footnoteRef/>
      </w:r>
      <w:r w:rsidRPr="00885053">
        <w:t xml:space="preserve"> </w:t>
      </w:r>
      <w:r w:rsidRPr="00885053">
        <w:tab/>
        <w:t xml:space="preserve">Another option, suggested by Scott Optican, is a presumption of unfair prejudice where there are significant gaps in, or the complete absence of, records connected with the earlier case: </w:t>
      </w:r>
      <w:r w:rsidRPr="004D3A66">
        <w:t xml:space="preserve">Scott Optican “Evidence” [2019] </w:t>
      </w:r>
      <w:r w:rsidRPr="00DE3F94">
        <w:t xml:space="preserve">4 </w:t>
      </w:r>
      <w:r w:rsidRPr="004D3A66">
        <w:t>NZ L Rev 565</w:t>
      </w:r>
      <w:r w:rsidRPr="00885053">
        <w:t xml:space="preserve"> at </w:t>
      </w:r>
      <w:r w:rsidRPr="00DE3F94">
        <w:t>582</w:t>
      </w:r>
      <w:r w:rsidRPr="004D3A66">
        <w:t>.</w:t>
      </w:r>
      <w:r w:rsidRPr="00885053">
        <w:t xml:space="preserve"> Our suggested reform would elevate this matter to a mandatory consideration</w:t>
      </w:r>
      <w:r>
        <w:t>,</w:t>
      </w:r>
      <w:r w:rsidRPr="00885053">
        <w:t xml:space="preserve"> which avoids altering the existing structure of s 43. </w:t>
      </w:r>
    </w:p>
  </w:footnote>
  <w:footnote w:id="863">
    <w:p w14:paraId="34C3BE9F" w14:textId="77777777" w:rsidR="00E13DFB" w:rsidRPr="004D3A66" w:rsidRDefault="00E13DFB" w:rsidP="00E13DFB">
      <w:pPr>
        <w:pStyle w:val="FootnoteText"/>
      </w:pPr>
      <w:r w:rsidRPr="00BE7C25">
        <w:rPr>
          <w:rStyle w:val="FootnoteReference"/>
        </w:rPr>
        <w:footnoteRef/>
      </w:r>
      <w:r w:rsidRPr="00BE7C25">
        <w:t xml:space="preserve"> </w:t>
      </w:r>
      <w:r w:rsidRPr="00BE7C25">
        <w:tab/>
        <w:t xml:space="preserve">See, for example, discussion in Elisabeth McDonald </w:t>
      </w:r>
      <w:r w:rsidRPr="00BE7C25">
        <w:rPr>
          <w:i/>
          <w:iCs/>
        </w:rPr>
        <w:t xml:space="preserve">Principles of Evidence in Criminal Cases </w:t>
      </w:r>
      <w:r w:rsidRPr="00BE7C25">
        <w:t xml:space="preserve">(Thompson Reuters, Wellington, 2012) at 195–197 </w:t>
      </w:r>
      <w:r w:rsidRPr="004F194A">
        <w:t xml:space="preserve">and </w:t>
      </w:r>
      <w:r w:rsidRPr="004D3A66">
        <w:rPr>
          <w:i/>
          <w:iCs/>
        </w:rPr>
        <w:t xml:space="preserve">Preston v R </w:t>
      </w:r>
      <w:r w:rsidRPr="004D3A66">
        <w:t>[2012] NZCA 542</w:t>
      </w:r>
      <w:r w:rsidRPr="004F194A">
        <w:t xml:space="preserve"> at </w:t>
      </w:r>
      <w:r w:rsidRPr="004D3A66">
        <w:t>[52].</w:t>
      </w:r>
    </w:p>
  </w:footnote>
  <w:footnote w:id="864">
    <w:p w14:paraId="54749F12" w14:textId="77777777" w:rsidR="00E13DFB" w:rsidRDefault="00E13DFB" w:rsidP="00E13DFB">
      <w:pPr>
        <w:pStyle w:val="FootnoteText"/>
      </w:pPr>
      <w:r w:rsidRPr="00854F6F">
        <w:rPr>
          <w:rStyle w:val="FootnoteReference"/>
        </w:rPr>
        <w:footnoteRef/>
      </w:r>
      <w:r w:rsidRPr="00854F6F">
        <w:t xml:space="preserve"> </w:t>
      </w:r>
      <w:r w:rsidRPr="00854F6F">
        <w:tab/>
      </w:r>
      <w:r w:rsidRPr="004D3A66">
        <w:t xml:space="preserve">Te Aka Matua o te Ture | Law Commission </w:t>
      </w:r>
      <w:r w:rsidRPr="004D3A66">
        <w:rPr>
          <w:i/>
          <w:iCs/>
        </w:rPr>
        <w:t xml:space="preserve">The Second Review of the Evidence Act 2006 </w:t>
      </w:r>
      <w:r w:rsidRPr="004D3A66">
        <w:t xml:space="preserve">| </w:t>
      </w:r>
      <w:r w:rsidRPr="004D3A66">
        <w:rPr>
          <w:i/>
          <w:iCs/>
        </w:rPr>
        <w:t xml:space="preserve">Te Arotake Tuarua i te Evidence Act 2006 </w:t>
      </w:r>
      <w:r w:rsidRPr="004D3A66">
        <w:t>(NZLC R142, 2019)</w:t>
      </w:r>
      <w:r w:rsidRPr="00854F6F">
        <w:t xml:space="preserve"> at </w:t>
      </w:r>
      <w:r w:rsidRPr="004D3A66">
        <w:t>[18.29].</w:t>
      </w:r>
      <w:r w:rsidRPr="00854F6F">
        <w:t xml:space="preserve"> </w:t>
      </w:r>
      <w:r>
        <w:t>See also</w:t>
      </w:r>
      <w:r w:rsidRPr="00854F6F">
        <w:t xml:space="preserve"> </w:t>
      </w:r>
      <w:r w:rsidRPr="004D3A66">
        <w:t xml:space="preserve">Mathew Downs (ed) </w:t>
      </w:r>
      <w:r w:rsidRPr="004D3A66">
        <w:rPr>
          <w:i/>
          <w:iCs/>
        </w:rPr>
        <w:t>Cross on Evidence</w:t>
      </w:r>
      <w:r w:rsidRPr="004D3A66">
        <w:t xml:space="preserve"> (online looseleaf ed, LexisNexis)</w:t>
      </w:r>
      <w:r w:rsidRPr="00854F6F">
        <w:t xml:space="preserve"> at </w:t>
      </w:r>
      <w:r w:rsidRPr="004D3A66">
        <w:t>[EVA43.14].</w:t>
      </w:r>
    </w:p>
  </w:footnote>
  <w:footnote w:id="865">
    <w:p w14:paraId="1907500E" w14:textId="77777777" w:rsidR="00E13DFB" w:rsidRPr="00854F6F" w:rsidRDefault="00E13DFB" w:rsidP="00E13DFB">
      <w:pPr>
        <w:pStyle w:val="FootnoteText"/>
      </w:pPr>
      <w:r w:rsidRPr="00854F6F">
        <w:rPr>
          <w:rStyle w:val="FootnoteReference"/>
        </w:rPr>
        <w:footnoteRef/>
      </w:r>
      <w:r w:rsidRPr="00854F6F">
        <w:t xml:space="preserve"> </w:t>
      </w:r>
      <w:r w:rsidRPr="00854F6F">
        <w:tab/>
      </w:r>
      <w:r w:rsidRPr="004D3A66">
        <w:t xml:space="preserve">Te Aka Matua o te Ture | Law Commission </w:t>
      </w:r>
      <w:r w:rsidRPr="004D3A66">
        <w:rPr>
          <w:i/>
          <w:iCs/>
        </w:rPr>
        <w:t xml:space="preserve">The Second Review of the Evidence Act 2006 </w:t>
      </w:r>
      <w:r w:rsidRPr="004D3A66">
        <w:t xml:space="preserve">| </w:t>
      </w:r>
      <w:r w:rsidRPr="004D3A66">
        <w:rPr>
          <w:i/>
          <w:iCs/>
        </w:rPr>
        <w:t xml:space="preserve">Te Arotake Tuarua i te Evidence Act 2006 </w:t>
      </w:r>
      <w:r w:rsidRPr="004D3A66">
        <w:t>(NZLC R142, 2019)</w:t>
      </w:r>
      <w:r w:rsidRPr="00854F6F">
        <w:t xml:space="preserve"> at </w:t>
      </w:r>
      <w:r w:rsidRPr="004D3A66">
        <w:t>[18.33].</w:t>
      </w:r>
    </w:p>
  </w:footnote>
  <w:footnote w:id="866">
    <w:p w14:paraId="4896ECBF" w14:textId="77777777" w:rsidR="00E13DFB" w:rsidRPr="004D3A66" w:rsidRDefault="00E13DFB" w:rsidP="00E13DFB">
      <w:pPr>
        <w:pStyle w:val="FootnoteText"/>
      </w:pPr>
      <w:r w:rsidRPr="00854F6F">
        <w:rPr>
          <w:rStyle w:val="FootnoteReference"/>
        </w:rPr>
        <w:footnoteRef/>
      </w:r>
      <w:r w:rsidRPr="00854F6F">
        <w:t xml:space="preserve"> </w:t>
      </w:r>
      <w:r w:rsidRPr="00854F6F">
        <w:tab/>
        <w:t xml:space="preserve">Many cases we are aware of are subject to publication restrictions until final disposition at trial. Some of these cases are discussed in </w:t>
      </w:r>
      <w:r>
        <w:t>Mathew Downs (ed)</w:t>
      </w:r>
      <w:r w:rsidRPr="004D3A66">
        <w:t xml:space="preserve"> </w:t>
      </w:r>
      <w:r w:rsidRPr="004D3A66">
        <w:rPr>
          <w:i/>
          <w:iCs/>
        </w:rPr>
        <w:t>Adams on Criminal Law – Evidence</w:t>
      </w:r>
      <w:r w:rsidRPr="004D3A66">
        <w:t xml:space="preserve"> (online looseleaf ed, Thomson Reuters</w:t>
      </w:r>
      <w:r w:rsidRPr="00854F6F">
        <w:t xml:space="preserve">) at </w:t>
      </w:r>
      <w:r w:rsidRPr="004D3A66">
        <w:t>[EA43.07(5)].</w:t>
      </w:r>
    </w:p>
  </w:footnote>
  <w:footnote w:id="867">
    <w:p w14:paraId="6105360C" w14:textId="77777777" w:rsidR="00E13DFB" w:rsidRPr="00D15013" w:rsidRDefault="00E13DFB" w:rsidP="00E13DFB">
      <w:pPr>
        <w:pStyle w:val="FootnoteText"/>
        <w:rPr>
          <w:highlight w:val="yellow"/>
        </w:rPr>
      </w:pPr>
      <w:r w:rsidRPr="00D67019">
        <w:rPr>
          <w:rStyle w:val="FootnoteReference"/>
        </w:rPr>
        <w:footnoteRef/>
      </w:r>
      <w:r w:rsidRPr="00D67019">
        <w:t xml:space="preserve"> </w:t>
      </w:r>
      <w:r w:rsidRPr="00D67019">
        <w:tab/>
        <w:t xml:space="preserve">See, for example, </w:t>
      </w:r>
      <w:r w:rsidRPr="004D3A66">
        <w:rPr>
          <w:i/>
          <w:iCs/>
        </w:rPr>
        <w:t xml:space="preserve">Rowell v R </w:t>
      </w:r>
      <w:r w:rsidRPr="004D3A66">
        <w:t>[2020] NZCA 9</w:t>
      </w:r>
      <w:r w:rsidRPr="00D67019">
        <w:t xml:space="preserve"> at </w:t>
      </w:r>
      <w:r w:rsidRPr="004D3A66">
        <w:t>[13]–[16];</w:t>
      </w:r>
      <w:r w:rsidRPr="00D67019">
        <w:t xml:space="preserve"> </w:t>
      </w:r>
      <w:r w:rsidRPr="004D3A66">
        <w:rPr>
          <w:i/>
          <w:iCs/>
        </w:rPr>
        <w:t xml:space="preserve">R v C </w:t>
      </w:r>
      <w:r w:rsidRPr="004D3A66">
        <w:t>[2021] NZHC 1715</w:t>
      </w:r>
      <w:r w:rsidRPr="00D67019">
        <w:t xml:space="preserve"> at </w:t>
      </w:r>
      <w:r w:rsidRPr="004D3A66">
        <w:t>[46]–[48].</w:t>
      </w:r>
      <w:r w:rsidRPr="00D67019">
        <w:t xml:space="preserve"> See also </w:t>
      </w:r>
      <w:r w:rsidRPr="004D3A66">
        <w:rPr>
          <w:i/>
          <w:iCs/>
        </w:rPr>
        <w:t xml:space="preserve">Armishaw v R </w:t>
      </w:r>
      <w:r w:rsidRPr="004D3A66">
        <w:t>[2019] NZCA 456</w:t>
      </w:r>
      <w:r w:rsidRPr="00D67019">
        <w:t xml:space="preserve"> at [</w:t>
      </w:r>
      <w:r w:rsidRPr="004D3A66">
        <w:t>36];</w:t>
      </w:r>
      <w:r w:rsidRPr="00D67019">
        <w:t xml:space="preserve"> </w:t>
      </w:r>
      <w:r w:rsidRPr="004D3A66">
        <w:rPr>
          <w:i/>
          <w:iCs/>
        </w:rPr>
        <w:t xml:space="preserve">Faaosofia v R </w:t>
      </w:r>
      <w:r w:rsidRPr="004D3A66">
        <w:t>[2020] NZCA 405</w:t>
      </w:r>
      <w:r w:rsidRPr="00D67019">
        <w:t xml:space="preserve"> at </w:t>
      </w:r>
      <w:r w:rsidRPr="004D3A66">
        <w:t>[32];</w:t>
      </w:r>
      <w:r w:rsidRPr="00D67019">
        <w:t xml:space="preserve"> </w:t>
      </w:r>
      <w:r w:rsidRPr="004D3A66">
        <w:rPr>
          <w:i/>
          <w:iCs/>
        </w:rPr>
        <w:t xml:space="preserve">R v Stevens </w:t>
      </w:r>
      <w:r w:rsidRPr="004D3A66">
        <w:t>[2020] NZHC 760</w:t>
      </w:r>
      <w:r w:rsidRPr="00D67019">
        <w:rPr>
          <w:i/>
          <w:iCs/>
        </w:rPr>
        <w:t xml:space="preserve"> </w:t>
      </w:r>
      <w:r w:rsidRPr="00D67019">
        <w:t xml:space="preserve">at </w:t>
      </w:r>
      <w:r w:rsidRPr="004D3A66">
        <w:t>[31]–[36];</w:t>
      </w:r>
      <w:r w:rsidRPr="00D67019">
        <w:t xml:space="preserve"> </w:t>
      </w:r>
      <w:r w:rsidRPr="004D3A66">
        <w:rPr>
          <w:i/>
          <w:iCs/>
        </w:rPr>
        <w:t xml:space="preserve">T v R </w:t>
      </w:r>
      <w:r w:rsidRPr="004D3A66">
        <w:t>[2022] NZHC 189 at</w:t>
      </w:r>
      <w:r w:rsidRPr="00D67019">
        <w:t xml:space="preserve"> [</w:t>
      </w:r>
      <w:r w:rsidRPr="004D3A66">
        <w:t>19];</w:t>
      </w:r>
      <w:r w:rsidRPr="00D67019">
        <w:t xml:space="preserve"> </w:t>
      </w:r>
      <w:r w:rsidRPr="004D3A66">
        <w:rPr>
          <w:i/>
          <w:iCs/>
        </w:rPr>
        <w:t xml:space="preserve">R v F </w:t>
      </w:r>
      <w:r w:rsidRPr="004D3A66">
        <w:t>[2022] NZHC 1341</w:t>
      </w:r>
      <w:r w:rsidRPr="00D67019">
        <w:t xml:space="preserve"> at </w:t>
      </w:r>
      <w:r w:rsidRPr="004D3A66">
        <w:t>[48];</w:t>
      </w:r>
      <w:r w:rsidRPr="00D67019">
        <w:t xml:space="preserve"> and </w:t>
      </w:r>
      <w:r w:rsidRPr="00D67019">
        <w:rPr>
          <w:i/>
          <w:iCs/>
        </w:rPr>
        <w:t>K</w:t>
      </w:r>
      <w:r w:rsidRPr="004D3A66">
        <w:rPr>
          <w:i/>
          <w:iCs/>
        </w:rPr>
        <w:t xml:space="preserve">ennedy v R </w:t>
      </w:r>
      <w:r w:rsidRPr="004D3A66">
        <w:t>[2022] NZHC 2977</w:t>
      </w:r>
      <w:r w:rsidRPr="00D67019">
        <w:t xml:space="preserve"> at </w:t>
      </w:r>
      <w:r w:rsidRPr="004D3A66">
        <w:t>[27].</w:t>
      </w:r>
    </w:p>
  </w:footnote>
  <w:footnote w:id="868">
    <w:p w14:paraId="1FF76252" w14:textId="77777777" w:rsidR="00E13DFB" w:rsidRPr="00CE585A" w:rsidRDefault="00E13DFB" w:rsidP="00E13DFB">
      <w:pPr>
        <w:pStyle w:val="FootnoteText"/>
      </w:pPr>
      <w:r w:rsidRPr="00CE585A">
        <w:rPr>
          <w:rStyle w:val="FootnoteReference"/>
        </w:rPr>
        <w:footnoteRef/>
      </w:r>
      <w:r w:rsidRPr="00CE585A">
        <w:t xml:space="preserve"> </w:t>
      </w:r>
      <w:r w:rsidRPr="00CE585A">
        <w:tab/>
      </w:r>
      <w:r w:rsidRPr="004D3A66">
        <w:rPr>
          <w:i/>
          <w:iCs/>
        </w:rPr>
        <w:t xml:space="preserve">R v Ahlawat </w:t>
      </w:r>
      <w:r w:rsidRPr="004D3A66">
        <w:t>[2021] NZCA 610</w:t>
      </w:r>
      <w:r w:rsidRPr="00CE585A">
        <w:t xml:space="preserve"> at </w:t>
      </w:r>
      <w:r w:rsidRPr="004D3A66">
        <w:t>[37].</w:t>
      </w:r>
    </w:p>
  </w:footnote>
  <w:footnote w:id="869">
    <w:p w14:paraId="7083B635" w14:textId="77777777" w:rsidR="00E13DFB" w:rsidRPr="00CE585A" w:rsidRDefault="00E13DFB" w:rsidP="00E13DFB">
      <w:pPr>
        <w:pStyle w:val="FootnoteText"/>
      </w:pPr>
      <w:r w:rsidRPr="00CE585A">
        <w:rPr>
          <w:rStyle w:val="FootnoteReference"/>
        </w:rPr>
        <w:footnoteRef/>
      </w:r>
      <w:r w:rsidRPr="00CE585A">
        <w:t xml:space="preserve"> </w:t>
      </w:r>
      <w:r w:rsidRPr="00CE585A">
        <w:tab/>
      </w:r>
      <w:r w:rsidRPr="004D3A66">
        <w:rPr>
          <w:i/>
          <w:iCs/>
        </w:rPr>
        <w:t xml:space="preserve">Goel v R </w:t>
      </w:r>
      <w:r w:rsidRPr="004D3A66">
        <w:t>[2022] NZCA 263.</w:t>
      </w:r>
    </w:p>
  </w:footnote>
  <w:footnote w:id="870">
    <w:p w14:paraId="07F207F8" w14:textId="77777777" w:rsidR="00E13DFB" w:rsidRPr="00CE585A" w:rsidRDefault="00E13DFB" w:rsidP="00E13DFB">
      <w:pPr>
        <w:pStyle w:val="FootnoteText"/>
      </w:pPr>
      <w:r w:rsidRPr="00CE585A">
        <w:rPr>
          <w:rStyle w:val="FootnoteReference"/>
        </w:rPr>
        <w:footnoteRef/>
      </w:r>
      <w:r w:rsidRPr="00CE585A">
        <w:t xml:space="preserve"> </w:t>
      </w:r>
      <w:r w:rsidRPr="00CE585A">
        <w:tab/>
      </w:r>
      <w:r w:rsidRPr="004D3A66">
        <w:rPr>
          <w:i/>
          <w:iCs/>
        </w:rPr>
        <w:t xml:space="preserve">Goel v R </w:t>
      </w:r>
      <w:r w:rsidRPr="004D3A66">
        <w:t>[2022] NZCA 263</w:t>
      </w:r>
      <w:r w:rsidRPr="00CE585A">
        <w:t xml:space="preserve"> at </w:t>
      </w:r>
      <w:r w:rsidRPr="004D3A66">
        <w:t>[63].</w:t>
      </w:r>
    </w:p>
  </w:footnote>
  <w:footnote w:id="871">
    <w:p w14:paraId="6B285A2E" w14:textId="77777777" w:rsidR="00E13DFB" w:rsidRDefault="00E13DFB" w:rsidP="00E13DFB">
      <w:pPr>
        <w:pStyle w:val="FootnoteText"/>
      </w:pPr>
      <w:r w:rsidRPr="00CE585A">
        <w:rPr>
          <w:rStyle w:val="FootnoteReference"/>
        </w:rPr>
        <w:footnoteRef/>
      </w:r>
      <w:r w:rsidRPr="00CE585A">
        <w:t xml:space="preserve"> </w:t>
      </w:r>
      <w:r w:rsidRPr="00CE585A">
        <w:tab/>
      </w:r>
      <w:r w:rsidRPr="004D3A66">
        <w:t xml:space="preserve">Cases we are aware of </w:t>
      </w:r>
      <w:r>
        <w:t>that</w:t>
      </w:r>
      <w:r w:rsidRPr="004D3A66">
        <w:t xml:space="preserve"> apply this approach are subject to publication restrictions until final disposition of trial.</w:t>
      </w:r>
      <w:r>
        <w:t xml:space="preserve"> </w:t>
      </w:r>
    </w:p>
  </w:footnote>
  <w:footnote w:id="872">
    <w:p w14:paraId="0618938C" w14:textId="77777777" w:rsidR="00E13DFB" w:rsidRPr="00CE585A" w:rsidRDefault="00E13DFB" w:rsidP="00E13DFB">
      <w:pPr>
        <w:pStyle w:val="FootnoteText"/>
      </w:pPr>
      <w:r w:rsidRPr="00CE585A">
        <w:rPr>
          <w:rStyle w:val="FootnoteReference"/>
        </w:rPr>
        <w:footnoteRef/>
      </w:r>
      <w:r w:rsidRPr="00CE585A">
        <w:t xml:space="preserve"> </w:t>
      </w:r>
      <w:r w:rsidRPr="00CE585A">
        <w:tab/>
      </w:r>
      <w:r w:rsidRPr="004D3A66">
        <w:rPr>
          <w:lang w:val="mi-NZ"/>
        </w:rPr>
        <w:t xml:space="preserve">Te Aka Matua o te Ture | Law Commission </w:t>
      </w:r>
      <w:r w:rsidRPr="004D3A66">
        <w:rPr>
          <w:i/>
          <w:iCs/>
          <w:lang w:val="mi-NZ"/>
        </w:rPr>
        <w:t xml:space="preserve">The Second Review of the Evidence Act 2006 </w:t>
      </w:r>
      <w:r w:rsidRPr="004D3A66">
        <w:rPr>
          <w:lang w:val="mi-NZ"/>
        </w:rPr>
        <w:t xml:space="preserve">| </w:t>
      </w:r>
      <w:r w:rsidRPr="004D3A66">
        <w:rPr>
          <w:i/>
          <w:iCs/>
          <w:lang w:val="mi-NZ"/>
        </w:rPr>
        <w:t xml:space="preserve">Te Arotake Tuarua i te Evidence Act 2006 </w:t>
      </w:r>
      <w:r w:rsidRPr="004D3A66">
        <w:rPr>
          <w:lang w:val="mi-NZ"/>
        </w:rPr>
        <w:t>(NZLC R142, 2019)</w:t>
      </w:r>
      <w:r w:rsidRPr="00CE585A">
        <w:rPr>
          <w:lang w:val="mi-NZ"/>
        </w:rPr>
        <w:t xml:space="preserve"> at </w:t>
      </w:r>
      <w:r w:rsidRPr="004D3A66">
        <w:rPr>
          <w:lang w:val="mi-NZ"/>
        </w:rPr>
        <w:t>[18.30],</w:t>
      </w:r>
      <w:r w:rsidRPr="00CE585A">
        <w:rPr>
          <w:lang w:val="mi-NZ"/>
        </w:rPr>
        <w:t xml:space="preserve"> citing concerns identified in </w:t>
      </w:r>
      <w:r w:rsidRPr="00663AA4">
        <w:t xml:space="preserve">Elisabeth McDonald </w:t>
      </w:r>
      <w:r w:rsidRPr="00663AA4">
        <w:rPr>
          <w:i/>
          <w:iCs/>
        </w:rPr>
        <w:t>Principles of Evidence in Criminal Cases</w:t>
      </w:r>
      <w:r w:rsidRPr="00663AA4">
        <w:t xml:space="preserve"> (Brookers, Wellington, 2012) at 194-197</w:t>
      </w:r>
      <w:r>
        <w:t>.</w:t>
      </w:r>
    </w:p>
  </w:footnote>
  <w:footnote w:id="873">
    <w:p w14:paraId="77E106A5" w14:textId="77777777" w:rsidR="00E13DFB" w:rsidRPr="00CE585A" w:rsidRDefault="00E13DFB" w:rsidP="00E13DFB">
      <w:pPr>
        <w:pStyle w:val="FootnoteText"/>
      </w:pPr>
      <w:r w:rsidRPr="00CE585A">
        <w:rPr>
          <w:rStyle w:val="FootnoteReference"/>
        </w:rPr>
        <w:footnoteRef/>
      </w:r>
      <w:r w:rsidRPr="00CE585A">
        <w:t xml:space="preserve"> </w:t>
      </w:r>
      <w:r w:rsidRPr="00CE585A">
        <w:tab/>
      </w:r>
      <w:r w:rsidRPr="004D3A66">
        <w:rPr>
          <w:lang w:val="mi-NZ"/>
        </w:rPr>
        <w:t xml:space="preserve">Te Aka Matua o te Ture | Law Commission </w:t>
      </w:r>
      <w:r w:rsidRPr="004D3A66">
        <w:rPr>
          <w:i/>
          <w:iCs/>
          <w:lang w:val="mi-NZ"/>
        </w:rPr>
        <w:t xml:space="preserve">The Second Review of the Evidence Act 2006 </w:t>
      </w:r>
      <w:r w:rsidRPr="004D3A66">
        <w:rPr>
          <w:lang w:val="mi-NZ"/>
        </w:rPr>
        <w:t xml:space="preserve">| </w:t>
      </w:r>
      <w:r w:rsidRPr="004D3A66">
        <w:rPr>
          <w:i/>
          <w:iCs/>
          <w:lang w:val="mi-NZ"/>
        </w:rPr>
        <w:t xml:space="preserve">Te Arotake Tuarua i te Evidence Act 2006 </w:t>
      </w:r>
      <w:r w:rsidRPr="004D3A66">
        <w:rPr>
          <w:lang w:val="mi-NZ"/>
        </w:rPr>
        <w:t>(NZLC R142, 2019)</w:t>
      </w:r>
      <w:r w:rsidRPr="00CE585A">
        <w:rPr>
          <w:lang w:val="mi-NZ"/>
        </w:rPr>
        <w:t xml:space="preserve"> at </w:t>
      </w:r>
      <w:r w:rsidRPr="004D3A66">
        <w:rPr>
          <w:lang w:val="mi-NZ"/>
        </w:rPr>
        <w:t>[18.31].</w:t>
      </w:r>
    </w:p>
  </w:footnote>
  <w:footnote w:id="874">
    <w:p w14:paraId="0EC8EF44" w14:textId="77777777" w:rsidR="00E13DFB" w:rsidRDefault="00E13DFB" w:rsidP="00E13DFB">
      <w:pPr>
        <w:pStyle w:val="FootnoteText"/>
      </w:pPr>
      <w:r w:rsidRPr="00CE585A">
        <w:rPr>
          <w:rStyle w:val="FootnoteReference"/>
        </w:rPr>
        <w:footnoteRef/>
      </w:r>
      <w:r w:rsidRPr="00CE585A">
        <w:t xml:space="preserve"> </w:t>
      </w:r>
      <w:r w:rsidRPr="00CE585A">
        <w:tab/>
      </w:r>
      <w:r w:rsidRPr="004D3A66">
        <w:rPr>
          <w:i/>
          <w:iCs/>
        </w:rPr>
        <w:t>R v Vernon</w:t>
      </w:r>
      <w:r w:rsidRPr="004D3A66">
        <w:t xml:space="preserve"> [2009] NZCA 551</w:t>
      </w:r>
      <w:r w:rsidRPr="00CE585A">
        <w:t xml:space="preserve"> at </w:t>
      </w:r>
      <w:r w:rsidRPr="004D3A66">
        <w:t>[23]</w:t>
      </w:r>
      <w:r w:rsidRPr="00CE585A">
        <w:t xml:space="preserve"> and </w:t>
      </w:r>
      <w:r w:rsidRPr="004D3A66">
        <w:rPr>
          <w:i/>
          <w:iCs/>
        </w:rPr>
        <w:t>R v Khan</w:t>
      </w:r>
      <w:r w:rsidRPr="004D3A66">
        <w:t xml:space="preserve"> [2010] NZCA 510</w:t>
      </w:r>
      <w:r w:rsidRPr="00CE585A">
        <w:t xml:space="preserve"> at </w:t>
      </w:r>
      <w:r w:rsidRPr="004D3A66">
        <w:t>[24]</w:t>
      </w:r>
      <w:r>
        <w:t>.</w:t>
      </w:r>
    </w:p>
  </w:footnote>
  <w:footnote w:id="875">
    <w:p w14:paraId="4D8FB8FA" w14:textId="77777777" w:rsidR="00E13DFB" w:rsidRPr="00D15013" w:rsidRDefault="00E13DFB" w:rsidP="00E13DFB">
      <w:pPr>
        <w:pStyle w:val="FootnoteText"/>
        <w:rPr>
          <w:highlight w:val="yellow"/>
        </w:rPr>
      </w:pPr>
      <w:r w:rsidRPr="0033560C">
        <w:rPr>
          <w:rStyle w:val="FootnoteReference"/>
        </w:rPr>
        <w:footnoteRef/>
      </w:r>
      <w:r w:rsidRPr="0033560C">
        <w:t xml:space="preserve"> </w:t>
      </w:r>
      <w:r w:rsidRPr="0033560C">
        <w:tab/>
      </w:r>
      <w:r>
        <w:t>Mathew Downs (ed)</w:t>
      </w:r>
      <w:r w:rsidRPr="0033560C">
        <w:t xml:space="preserve"> </w:t>
      </w:r>
      <w:r w:rsidRPr="0033560C">
        <w:rPr>
          <w:i/>
          <w:iCs/>
        </w:rPr>
        <w:t xml:space="preserve">Adams on Criminal Law – Evidence </w:t>
      </w:r>
      <w:r w:rsidRPr="0033560C">
        <w:t xml:space="preserve">(online </w:t>
      </w:r>
      <w:r>
        <w:t xml:space="preserve">looseleaf </w:t>
      </w:r>
      <w:r w:rsidRPr="0033560C">
        <w:t xml:space="preserve">ed, Thomson Reuters) at EA43.07(1)(b); </w:t>
      </w:r>
      <w:r w:rsidRPr="008767A5">
        <w:t>and Andrea Ewing “Disputed Propensity Evidence” [2013] NZ L Rev 35.</w:t>
      </w:r>
    </w:p>
  </w:footnote>
  <w:footnote w:id="876">
    <w:p w14:paraId="1DB82E48" w14:textId="77777777" w:rsidR="00E13DFB" w:rsidRPr="00234823" w:rsidRDefault="00E13DFB" w:rsidP="00E13DFB">
      <w:pPr>
        <w:pStyle w:val="FootnoteText"/>
      </w:pPr>
      <w:r w:rsidRPr="00234823">
        <w:rPr>
          <w:rStyle w:val="FootnoteReference"/>
        </w:rPr>
        <w:footnoteRef/>
      </w:r>
      <w:r w:rsidRPr="00234823">
        <w:t xml:space="preserve"> </w:t>
      </w:r>
      <w:r w:rsidRPr="00234823">
        <w:tab/>
      </w:r>
      <w:r w:rsidRPr="00234823">
        <w:rPr>
          <w:i/>
          <w:iCs/>
        </w:rPr>
        <w:t xml:space="preserve">R v H </w:t>
      </w:r>
      <w:r w:rsidRPr="00234823">
        <w:t xml:space="preserve">[1995] 2 AC 596 (HL), discussed in Elisabeth McDonald and Scott Optican (eds) </w:t>
      </w:r>
      <w:r w:rsidRPr="00234823">
        <w:rPr>
          <w:i/>
          <w:iCs/>
        </w:rPr>
        <w:t xml:space="preserve">Mahoney on Evidence: Act &amp; Analysis </w:t>
      </w:r>
      <w:r w:rsidRPr="00234823">
        <w:t>(</w:t>
      </w:r>
      <w:r>
        <w:t>4th</w:t>
      </w:r>
      <w:r w:rsidRPr="00234823">
        <w:t xml:space="preserve"> ed, Thomson Reuters, Wellington)</w:t>
      </w:r>
      <w:r w:rsidRPr="00234823">
        <w:rPr>
          <w:i/>
          <w:iCs/>
        </w:rPr>
        <w:t xml:space="preserve"> </w:t>
      </w:r>
      <w:r w:rsidRPr="00234823">
        <w:t>at EV43.04(7).</w:t>
      </w:r>
    </w:p>
  </w:footnote>
  <w:footnote w:id="877">
    <w:p w14:paraId="3DD4435E" w14:textId="77777777" w:rsidR="00E13DFB" w:rsidRPr="00D15013" w:rsidRDefault="00E13DFB" w:rsidP="00E13DFB">
      <w:pPr>
        <w:pStyle w:val="FootnoteText"/>
        <w:rPr>
          <w:highlight w:val="yellow"/>
        </w:rPr>
      </w:pPr>
      <w:r w:rsidRPr="003917CE">
        <w:rPr>
          <w:rStyle w:val="FootnoteReference"/>
        </w:rPr>
        <w:footnoteRef/>
      </w:r>
      <w:r w:rsidRPr="003917CE">
        <w:t xml:space="preserve"> </w:t>
      </w:r>
      <w:r w:rsidRPr="003917CE">
        <w:tab/>
      </w:r>
      <w:r w:rsidRPr="003917CE">
        <w:rPr>
          <w:i/>
          <w:iCs/>
        </w:rPr>
        <w:t>R (CA458/2015) v R</w:t>
      </w:r>
      <w:r w:rsidRPr="003917CE">
        <w:t xml:space="preserve"> [2015] NZCA 457 at [4] and [22]–[23].</w:t>
      </w:r>
    </w:p>
  </w:footnote>
  <w:footnote w:id="878">
    <w:p w14:paraId="1329445E" w14:textId="77777777" w:rsidR="00E13DFB" w:rsidRPr="00D15013" w:rsidRDefault="00E13DFB" w:rsidP="00E13DFB">
      <w:pPr>
        <w:pStyle w:val="FootnoteText"/>
        <w:rPr>
          <w:highlight w:val="yellow"/>
        </w:rPr>
      </w:pPr>
      <w:r w:rsidRPr="0025285F">
        <w:rPr>
          <w:rStyle w:val="FootnoteReference"/>
        </w:rPr>
        <w:footnoteRef/>
      </w:r>
      <w:r w:rsidRPr="0025285F">
        <w:t xml:space="preserve"> </w:t>
      </w:r>
      <w:r w:rsidRPr="0025285F">
        <w:tab/>
        <w:t xml:space="preserve">See discussion in </w:t>
      </w:r>
      <w:r>
        <w:t>Mathew Downs (ed)</w:t>
      </w:r>
      <w:r w:rsidRPr="0025285F">
        <w:t xml:space="preserve"> </w:t>
      </w:r>
      <w:r w:rsidRPr="0025285F">
        <w:rPr>
          <w:i/>
          <w:iCs/>
        </w:rPr>
        <w:t xml:space="preserve">Adams on Criminal Law – Evidence </w:t>
      </w:r>
      <w:r w:rsidRPr="0025285F">
        <w:t>(online looseleaf ed, Thomson Reuters) at EA43.07(1)(b) and cases cited therein.</w:t>
      </w:r>
    </w:p>
  </w:footnote>
  <w:footnote w:id="879">
    <w:p w14:paraId="31308E1C" w14:textId="77777777" w:rsidR="00E13DFB" w:rsidRPr="00D15013" w:rsidRDefault="00E13DFB" w:rsidP="00E13DFB">
      <w:pPr>
        <w:pStyle w:val="FootnoteText"/>
        <w:rPr>
          <w:highlight w:val="yellow"/>
        </w:rPr>
      </w:pPr>
      <w:r w:rsidRPr="002D35CD">
        <w:rPr>
          <w:rStyle w:val="FootnoteReference"/>
        </w:rPr>
        <w:footnoteRef/>
      </w:r>
      <w:r w:rsidRPr="002D35CD">
        <w:t xml:space="preserve"> </w:t>
      </w:r>
      <w:r w:rsidRPr="002D35CD">
        <w:tab/>
      </w:r>
      <w:r w:rsidRPr="002D35CD">
        <w:rPr>
          <w:i/>
          <w:iCs/>
        </w:rPr>
        <w:t>Fraser v R</w:t>
      </w:r>
      <w:r w:rsidRPr="002D35CD">
        <w:t xml:space="preserve"> [2019] NZCA 662 at [27], citing </w:t>
      </w:r>
      <w:r w:rsidRPr="002D35CD">
        <w:rPr>
          <w:i/>
          <w:iCs/>
        </w:rPr>
        <w:t>Lyons v R</w:t>
      </w:r>
      <w:r w:rsidRPr="002D35CD">
        <w:t xml:space="preserve"> [2015] NZCA 318 at [28]; and </w:t>
      </w:r>
      <w:r w:rsidRPr="002D35CD">
        <w:rPr>
          <w:i/>
          <w:iCs/>
        </w:rPr>
        <w:t>W (CA290/2017) v R</w:t>
      </w:r>
      <w:r w:rsidRPr="002D35CD">
        <w:t xml:space="preserve"> [2017] NZCA 405 at [19].</w:t>
      </w:r>
    </w:p>
  </w:footnote>
  <w:footnote w:id="880">
    <w:p w14:paraId="2EC89859" w14:textId="77777777" w:rsidR="00E13DFB" w:rsidRPr="00D15013" w:rsidRDefault="00E13DFB" w:rsidP="00E13DFB">
      <w:pPr>
        <w:pStyle w:val="FootnoteText"/>
        <w:rPr>
          <w:highlight w:val="yellow"/>
        </w:rPr>
      </w:pPr>
      <w:r w:rsidRPr="004205D0">
        <w:rPr>
          <w:rStyle w:val="FootnoteReference"/>
        </w:rPr>
        <w:footnoteRef/>
      </w:r>
      <w:r w:rsidRPr="004205D0">
        <w:t xml:space="preserve"> </w:t>
      </w:r>
      <w:r w:rsidRPr="004205D0">
        <w:tab/>
      </w:r>
      <w:r w:rsidRPr="004205D0">
        <w:rPr>
          <w:i/>
          <w:iCs/>
        </w:rPr>
        <w:t xml:space="preserve">George v R </w:t>
      </w:r>
      <w:r w:rsidRPr="004205D0">
        <w:t>[2017] NZCA 318 at [26].</w:t>
      </w:r>
    </w:p>
  </w:footnote>
  <w:footnote w:id="881">
    <w:p w14:paraId="60894F71" w14:textId="77777777" w:rsidR="00E13DFB" w:rsidRPr="00481D4E" w:rsidRDefault="00E13DFB" w:rsidP="00E13DFB">
      <w:pPr>
        <w:pStyle w:val="FootnoteText"/>
      </w:pPr>
      <w:r w:rsidRPr="00E75398">
        <w:rPr>
          <w:rStyle w:val="FootnoteReference"/>
        </w:rPr>
        <w:footnoteRef/>
      </w:r>
      <w:r w:rsidRPr="00E75398">
        <w:t xml:space="preserve"> </w:t>
      </w:r>
      <w:r w:rsidRPr="00E75398">
        <w:tab/>
      </w:r>
      <w:r w:rsidRPr="00E75398">
        <w:rPr>
          <w:i/>
          <w:iCs/>
        </w:rPr>
        <w:t xml:space="preserve">W (SC 38/2019) v R </w:t>
      </w:r>
      <w:r w:rsidRPr="00E75398">
        <w:t>[2020] NZSC 93, [2020] 1 NZLR 382.</w:t>
      </w:r>
      <w:r w:rsidRPr="00D36552">
        <w:t xml:space="preserve"> </w:t>
      </w:r>
    </w:p>
  </w:footnote>
  <w:footnote w:id="882">
    <w:p w14:paraId="0EB99C56" w14:textId="77777777" w:rsidR="00E13DFB" w:rsidRPr="00D15013" w:rsidRDefault="00E13DFB" w:rsidP="00E13DFB">
      <w:pPr>
        <w:pStyle w:val="FootnoteText"/>
        <w:rPr>
          <w:highlight w:val="yellow"/>
        </w:rPr>
      </w:pPr>
      <w:r w:rsidRPr="00E75398">
        <w:rPr>
          <w:rStyle w:val="FootnoteReference"/>
        </w:rPr>
        <w:footnoteRef/>
      </w:r>
      <w:r w:rsidRPr="00E75398">
        <w:t xml:space="preserve"> </w:t>
      </w:r>
      <w:r w:rsidRPr="00E75398">
        <w:tab/>
      </w:r>
      <w:r w:rsidRPr="00E75398">
        <w:rPr>
          <w:i/>
          <w:iCs/>
        </w:rPr>
        <w:t>Mahomed v R</w:t>
      </w:r>
      <w:r w:rsidRPr="00E75398">
        <w:t xml:space="preserve"> [2011] NZSC 52, [2011] 3 NZLR 145 at [66]–[67]</w:t>
      </w:r>
      <w:r>
        <w:t xml:space="preserve">. </w:t>
      </w:r>
    </w:p>
  </w:footnote>
  <w:footnote w:id="883">
    <w:p w14:paraId="01AF5382" w14:textId="77777777" w:rsidR="00E13DFB" w:rsidRPr="00D15013" w:rsidRDefault="00E13DFB" w:rsidP="00E13DFB">
      <w:pPr>
        <w:pStyle w:val="FootnoteText"/>
        <w:rPr>
          <w:highlight w:val="yellow"/>
        </w:rPr>
      </w:pPr>
      <w:r w:rsidRPr="00622FEA">
        <w:rPr>
          <w:rStyle w:val="FootnoteReference"/>
        </w:rPr>
        <w:footnoteRef/>
      </w:r>
      <w:r w:rsidRPr="00622FEA">
        <w:t xml:space="preserve"> </w:t>
      </w:r>
      <w:r w:rsidRPr="00622FEA">
        <w:tab/>
      </w:r>
      <w:r w:rsidRPr="00622FEA">
        <w:rPr>
          <w:i/>
          <w:iCs/>
        </w:rPr>
        <w:t xml:space="preserve">W (SC 38/2019) v R </w:t>
      </w:r>
      <w:r w:rsidRPr="00622FEA">
        <w:t>[2020] NZSC 93, [2020] 1 NZLR 382 at [48] per Ellen France J for the majority. At [191] Winkelmann CJ for the minority states “We agree with the reasons of the majority as to the extent to which reliability may be considered in determining issues of admissibility under s 8 of the Evidence Act”.</w:t>
      </w:r>
    </w:p>
  </w:footnote>
  <w:footnote w:id="884">
    <w:p w14:paraId="3E23418C" w14:textId="77777777" w:rsidR="00E13DFB" w:rsidRPr="00D15013" w:rsidRDefault="00E13DFB" w:rsidP="00E13DFB">
      <w:pPr>
        <w:pStyle w:val="FootnoteText"/>
        <w:rPr>
          <w:highlight w:val="yellow"/>
        </w:rPr>
      </w:pPr>
      <w:r w:rsidRPr="00092F7B">
        <w:rPr>
          <w:rStyle w:val="FootnoteReference"/>
        </w:rPr>
        <w:footnoteRef/>
      </w:r>
      <w:r w:rsidRPr="00092F7B">
        <w:t xml:space="preserve"> </w:t>
      </w:r>
      <w:r w:rsidRPr="00092F7B">
        <w:tab/>
      </w:r>
      <w:r w:rsidRPr="00092F7B">
        <w:rPr>
          <w:i/>
          <w:iCs/>
        </w:rPr>
        <w:t xml:space="preserve">W (SC 38/2019) v R </w:t>
      </w:r>
      <w:r w:rsidRPr="00092F7B">
        <w:t xml:space="preserve">[2020] NZSC 93, [2020] 1 NZLR 382 at [70] (citations omitted). </w:t>
      </w:r>
    </w:p>
  </w:footnote>
  <w:footnote w:id="885">
    <w:p w14:paraId="69966EDA" w14:textId="77777777" w:rsidR="00E13DFB" w:rsidRPr="00D15013" w:rsidRDefault="00E13DFB" w:rsidP="00E13DFB">
      <w:pPr>
        <w:pStyle w:val="FootnoteText"/>
        <w:rPr>
          <w:highlight w:val="yellow"/>
        </w:rPr>
      </w:pPr>
      <w:r w:rsidRPr="00E80C19">
        <w:rPr>
          <w:rStyle w:val="FootnoteReference"/>
        </w:rPr>
        <w:footnoteRef/>
      </w:r>
      <w:r w:rsidRPr="00E80C19">
        <w:t xml:space="preserve"> </w:t>
      </w:r>
      <w:r w:rsidRPr="00E80C19">
        <w:tab/>
        <w:t xml:space="preserve">See, for example, </w:t>
      </w:r>
      <w:r w:rsidRPr="00E80C19">
        <w:rPr>
          <w:i/>
          <w:iCs/>
        </w:rPr>
        <w:t xml:space="preserve">Bathurst Resources Ltd v L &amp; M Coal Holdings Ltd </w:t>
      </w:r>
      <w:r w:rsidRPr="00E80C19">
        <w:t>[2021] NZSC 85, [2021] 1 NZLR 696 at n 60</w:t>
      </w:r>
      <w:r w:rsidRPr="00761748">
        <w:t xml:space="preserve">. See also the reference to </w:t>
      </w:r>
      <w:r w:rsidRPr="00761748">
        <w:rPr>
          <w:i/>
          <w:iCs/>
        </w:rPr>
        <w:t xml:space="preserve">W (SC 38/2019) v R </w:t>
      </w:r>
      <w:r w:rsidRPr="00761748">
        <w:t xml:space="preserve">in </w:t>
      </w:r>
      <w:r w:rsidRPr="00761748">
        <w:rPr>
          <w:i/>
          <w:iCs/>
        </w:rPr>
        <w:t xml:space="preserve">R v Opetaia </w:t>
      </w:r>
      <w:r w:rsidRPr="00761748">
        <w:t>[2021] NZHC 99 at [82] and n 90, in support of the Court’s acceptance that the probative value of a hearsay statement under s 8 is affected by the circumstances going to its reliability.</w:t>
      </w:r>
    </w:p>
  </w:footnote>
  <w:footnote w:id="886">
    <w:p w14:paraId="4B278D9E" w14:textId="77777777" w:rsidR="00E13DFB" w:rsidRPr="00D15013" w:rsidRDefault="00E13DFB" w:rsidP="00E13DFB">
      <w:pPr>
        <w:pStyle w:val="FootnoteText"/>
        <w:rPr>
          <w:highlight w:val="yellow"/>
        </w:rPr>
      </w:pPr>
      <w:r w:rsidRPr="00B669A2">
        <w:rPr>
          <w:rStyle w:val="FootnoteReference"/>
        </w:rPr>
        <w:footnoteRef/>
      </w:r>
      <w:r w:rsidRPr="00B669A2">
        <w:t xml:space="preserve"> </w:t>
      </w:r>
      <w:r w:rsidRPr="00B669A2">
        <w:tab/>
      </w:r>
      <w:r w:rsidRPr="00B669A2">
        <w:rPr>
          <w:i/>
          <w:iCs/>
        </w:rPr>
        <w:t xml:space="preserve">R v Wallace </w:t>
      </w:r>
      <w:r w:rsidRPr="00B669A2">
        <w:t xml:space="preserve">[2020] NZHC 2559 at [29]–[31]. </w:t>
      </w:r>
      <w:r w:rsidRPr="00F50192">
        <w:t xml:space="preserve">On appeal the Court of Appeal upheld the High Court’s decision and agreed that the evidence was sufficiently reliable and that no unfairness arose from it being </w:t>
      </w:r>
      <w:r>
        <w:t>offered</w:t>
      </w:r>
      <w:r w:rsidRPr="00F50192">
        <w:t xml:space="preserve"> as propensity evidence: </w:t>
      </w:r>
      <w:r w:rsidRPr="00F50192">
        <w:rPr>
          <w:i/>
          <w:iCs/>
        </w:rPr>
        <w:t xml:space="preserve">Wallace v R </w:t>
      </w:r>
      <w:r w:rsidRPr="00F50192">
        <w:t>[2020] NZCA 678 at [25].</w:t>
      </w:r>
    </w:p>
  </w:footnote>
  <w:footnote w:id="887">
    <w:p w14:paraId="4770B9DE" w14:textId="77777777" w:rsidR="00E13DFB" w:rsidRDefault="00E13DFB" w:rsidP="00E13DFB">
      <w:pPr>
        <w:pStyle w:val="FootnoteText"/>
      </w:pPr>
      <w:r w:rsidRPr="00807244">
        <w:rPr>
          <w:rStyle w:val="FootnoteReference"/>
        </w:rPr>
        <w:footnoteRef/>
      </w:r>
      <w:r w:rsidRPr="00807244">
        <w:t xml:space="preserve"> </w:t>
      </w:r>
      <w:r w:rsidRPr="00807244">
        <w:tab/>
      </w:r>
      <w:r w:rsidRPr="00807244">
        <w:rPr>
          <w:i/>
          <w:iCs/>
        </w:rPr>
        <w:t xml:space="preserve">R v Wallace </w:t>
      </w:r>
      <w:r w:rsidRPr="00807244">
        <w:t>[2020] NZHC 2559 at [34]</w:t>
      </w:r>
      <w:r>
        <w:t>.</w:t>
      </w:r>
    </w:p>
  </w:footnote>
  <w:footnote w:id="888">
    <w:p w14:paraId="4A9760D3" w14:textId="77777777" w:rsidR="00E13DFB" w:rsidRPr="00D15013" w:rsidRDefault="00E13DFB" w:rsidP="00E13DFB">
      <w:pPr>
        <w:pStyle w:val="FootnoteText"/>
        <w:rPr>
          <w:highlight w:val="yellow"/>
        </w:rPr>
      </w:pPr>
      <w:r w:rsidRPr="004471C9">
        <w:rPr>
          <w:rStyle w:val="FootnoteReference"/>
        </w:rPr>
        <w:footnoteRef/>
      </w:r>
      <w:r w:rsidRPr="004471C9">
        <w:t xml:space="preserve"> </w:t>
      </w:r>
      <w:r w:rsidRPr="004471C9">
        <w:tab/>
        <w:t xml:space="preserve">The Evidence Code included a requirement, in relation to propensity evidence, that “there is sufficient evidence for a fact-finder acting reasonably to find that the defendant was the person involved”: Te Aka Matua o te Ture | Law Commission </w:t>
      </w:r>
      <w:r w:rsidRPr="004471C9">
        <w:rPr>
          <w:i/>
          <w:iCs/>
        </w:rPr>
        <w:t>Evidence: Evidence Code and Commentary</w:t>
      </w:r>
      <w:r w:rsidRPr="004471C9">
        <w:t xml:space="preserve"> (NZLC R55 Vol 2, 1999) at 120. </w:t>
      </w:r>
      <w:r w:rsidRPr="00CE6BE8">
        <w:t xml:space="preserve">That requirement was not included in the Evidence Bill due to concerns that it would exclude too much propensity evidence rather than with the reliability assessment the wording would have imposed: </w:t>
      </w:r>
      <w:r w:rsidRPr="006C2B7F">
        <w:t xml:space="preserve">Cabinet </w:t>
      </w:r>
      <w:r>
        <w:t xml:space="preserve">Paper </w:t>
      </w:r>
      <w:r w:rsidRPr="006C2B7F">
        <w:t>“Evidence Bill: Changes to Policy Decisions and Approval for Introduction” (</w:t>
      </w:r>
      <w:r>
        <w:t>8 March</w:t>
      </w:r>
      <w:r w:rsidRPr="006C2B7F">
        <w:t xml:space="preserve"> 2005) </w:t>
      </w:r>
      <w:r w:rsidRPr="00CE6BE8">
        <w:t>at [9]–[1</w:t>
      </w:r>
      <w:r>
        <w:t>2</w:t>
      </w:r>
      <w:r w:rsidRPr="00CE6BE8">
        <w:t xml:space="preserve">]. </w:t>
      </w:r>
    </w:p>
  </w:footnote>
  <w:footnote w:id="889">
    <w:p w14:paraId="2C6A5D10" w14:textId="77777777" w:rsidR="00E13DFB" w:rsidRPr="00D15013" w:rsidRDefault="00E13DFB" w:rsidP="00E13DFB">
      <w:pPr>
        <w:pStyle w:val="FootnoteText"/>
        <w:rPr>
          <w:highlight w:val="yellow"/>
        </w:rPr>
      </w:pPr>
      <w:r w:rsidRPr="00C031AA">
        <w:rPr>
          <w:rStyle w:val="FootnoteReference"/>
        </w:rPr>
        <w:footnoteRef/>
      </w:r>
      <w:r w:rsidRPr="00C031AA">
        <w:t xml:space="preserve"> </w:t>
      </w:r>
      <w:r w:rsidRPr="00C031AA">
        <w:tab/>
        <w:t xml:space="preserve">Elisabeth McDonald and Scott Optican (eds) </w:t>
      </w:r>
      <w:r w:rsidRPr="00C031AA">
        <w:rPr>
          <w:i/>
          <w:iCs/>
        </w:rPr>
        <w:t xml:space="preserve">Mahoney on Evidence: Act &amp; Analysis </w:t>
      </w:r>
      <w:r w:rsidRPr="00C031AA">
        <w:t>(</w:t>
      </w:r>
      <w:r>
        <w:t>4th</w:t>
      </w:r>
      <w:r w:rsidRPr="00C031AA">
        <w:t xml:space="preserve"> ed, Thomson Reuters, Wellington, 2012)</w:t>
      </w:r>
      <w:r w:rsidRPr="00C031AA">
        <w:rPr>
          <w:i/>
          <w:iCs/>
        </w:rPr>
        <w:t xml:space="preserve"> </w:t>
      </w:r>
      <w:r w:rsidRPr="00C031AA">
        <w:t>at [43.04(7)(b)]. For an opposing view</w:t>
      </w:r>
      <w:r>
        <w:t>,</w:t>
      </w:r>
      <w:r w:rsidRPr="00C031AA">
        <w:t xml:space="preserve"> see Andrea Ewing “Disputed Propensity Evidence” [2013] NZ L Rev 35. Ewing argued that disputed propensity evidence should be subject to a low minimum threshold of reliability rather than requiring reliability be assessed in every case as part of the judge’s assessment of the probative weight of the propensity evidence (at 39). However that article pre</w:t>
      </w:r>
      <w:r>
        <w:t>-</w:t>
      </w:r>
      <w:r w:rsidRPr="00C031AA">
        <w:t xml:space="preserve">dates the Supreme Court’s decision in </w:t>
      </w:r>
      <w:r w:rsidRPr="00C031AA">
        <w:rPr>
          <w:i/>
          <w:iCs/>
        </w:rPr>
        <w:t xml:space="preserve">W (SC 38/2019) v R </w:t>
      </w:r>
      <w:r w:rsidRPr="00C031AA">
        <w:t>[2020] NZSC 93, [2020] 1 NZLR 382.</w:t>
      </w:r>
    </w:p>
  </w:footnote>
  <w:footnote w:id="890">
    <w:p w14:paraId="0781038F" w14:textId="77777777" w:rsidR="00E13DFB" w:rsidRDefault="00E13DFB" w:rsidP="00E13DFB">
      <w:pPr>
        <w:pStyle w:val="FootnoteText"/>
      </w:pPr>
      <w:r w:rsidRPr="00C031AA">
        <w:rPr>
          <w:rStyle w:val="FootnoteReference"/>
        </w:rPr>
        <w:footnoteRef/>
      </w:r>
      <w:r w:rsidRPr="00C031AA">
        <w:t xml:space="preserve"> </w:t>
      </w:r>
      <w:r w:rsidRPr="00C031AA">
        <w:tab/>
        <w:t>This case is subject to publication restrictions until final disposition of trial.</w:t>
      </w:r>
      <w:r>
        <w:t xml:space="preserve"> </w:t>
      </w:r>
    </w:p>
  </w:footnote>
  <w:footnote w:id="891">
    <w:p w14:paraId="7B724921" w14:textId="77777777" w:rsidR="00E13DFB" w:rsidRPr="006245C1" w:rsidRDefault="00E13DFB" w:rsidP="00E13DFB">
      <w:pPr>
        <w:pStyle w:val="FootnoteText"/>
      </w:pPr>
      <w:r w:rsidRPr="006245C1">
        <w:rPr>
          <w:rStyle w:val="FootnoteReference"/>
        </w:rPr>
        <w:footnoteRef/>
      </w:r>
      <w:r w:rsidRPr="006245C1">
        <w:t xml:space="preserve"> </w:t>
      </w:r>
      <w:r w:rsidRPr="006245C1">
        <w:tab/>
        <w:t>Evidence Act 2006, s 4(1).</w:t>
      </w:r>
    </w:p>
  </w:footnote>
  <w:footnote w:id="892">
    <w:p w14:paraId="6A6C826D" w14:textId="77777777" w:rsidR="00E13DFB" w:rsidRPr="006245C1" w:rsidRDefault="00E13DFB" w:rsidP="00E13DFB">
      <w:pPr>
        <w:pStyle w:val="FootnoteText"/>
      </w:pPr>
      <w:r w:rsidRPr="006245C1">
        <w:rPr>
          <w:rStyle w:val="FootnoteReference"/>
        </w:rPr>
        <w:footnoteRef/>
      </w:r>
      <w:r w:rsidRPr="006245C1">
        <w:t xml:space="preserve"> </w:t>
      </w:r>
      <w:r w:rsidRPr="006245C1">
        <w:tab/>
        <w:t xml:space="preserve">Te Aka Matua o te Ture | Law Commission </w:t>
      </w:r>
      <w:r w:rsidRPr="006245C1">
        <w:rPr>
          <w:i/>
          <w:iCs/>
        </w:rPr>
        <w:t xml:space="preserve">Evidence: Reform of the Law </w:t>
      </w:r>
      <w:r w:rsidRPr="006245C1">
        <w:t>(NZLC R55 Vol 1, 1999) at [188].</w:t>
      </w:r>
    </w:p>
  </w:footnote>
  <w:footnote w:id="893">
    <w:p w14:paraId="5FD49126" w14:textId="77777777" w:rsidR="00E13DFB" w:rsidRPr="006245C1" w:rsidRDefault="00E13DFB" w:rsidP="00E13DFB">
      <w:pPr>
        <w:pStyle w:val="FootnoteText"/>
      </w:pPr>
      <w:r w:rsidRPr="006245C1">
        <w:rPr>
          <w:rStyle w:val="FootnoteReference"/>
        </w:rPr>
        <w:footnoteRef/>
      </w:r>
      <w:r w:rsidRPr="006245C1">
        <w:t xml:space="preserve"> </w:t>
      </w:r>
      <w:r w:rsidRPr="006245C1">
        <w:tab/>
        <w:t>Evidence Act 2006, s 45(4)(d).</w:t>
      </w:r>
    </w:p>
  </w:footnote>
  <w:footnote w:id="894">
    <w:p w14:paraId="78D13AD0" w14:textId="77777777" w:rsidR="00E13DFB" w:rsidRPr="006245C1" w:rsidRDefault="00E13DFB" w:rsidP="00E13DFB">
      <w:pPr>
        <w:pStyle w:val="FootnoteText"/>
      </w:pPr>
      <w:r w:rsidRPr="006245C1">
        <w:rPr>
          <w:rStyle w:val="FootnoteReference"/>
        </w:rPr>
        <w:footnoteRef/>
      </w:r>
      <w:r w:rsidRPr="006245C1">
        <w:t xml:space="preserve"> </w:t>
      </w:r>
      <w:r w:rsidRPr="006245C1">
        <w:tab/>
        <w:t>Evidence Act 2006, s 126(1).</w:t>
      </w:r>
    </w:p>
  </w:footnote>
  <w:footnote w:id="895">
    <w:p w14:paraId="0DCA3FDE" w14:textId="77777777" w:rsidR="00E13DFB" w:rsidRPr="006245C1" w:rsidRDefault="00E13DFB" w:rsidP="00E13DFB">
      <w:pPr>
        <w:pStyle w:val="FootnoteText"/>
      </w:pPr>
      <w:r w:rsidRPr="00193A2C">
        <w:rPr>
          <w:sz w:val="18"/>
          <w:szCs w:val="18"/>
          <w:vertAlign w:val="superscript"/>
        </w:rPr>
        <w:footnoteRef/>
      </w:r>
      <w:r w:rsidRPr="00193A2C">
        <w:rPr>
          <w:sz w:val="18"/>
          <w:szCs w:val="18"/>
          <w:vertAlign w:val="superscript"/>
        </w:rPr>
        <w:t xml:space="preserve"> </w:t>
      </w:r>
      <w:r w:rsidRPr="006245C1">
        <w:tab/>
        <w:t xml:space="preserve">See, for example, discussion in </w:t>
      </w:r>
      <w:r w:rsidRPr="006245C1">
        <w:rPr>
          <w:i/>
          <w:iCs/>
        </w:rPr>
        <w:t>Peato v R</w:t>
      </w:r>
      <w:r w:rsidRPr="006245C1">
        <w:t xml:space="preserve"> [2009] NZCA 333, [2010] 1 NZLR 788 at [26</w:t>
      </w:r>
      <w:r>
        <w:t>]–</w:t>
      </w:r>
      <w:r w:rsidRPr="006245C1">
        <w:t xml:space="preserve">[27]; </w:t>
      </w:r>
      <w:r w:rsidRPr="006245C1">
        <w:rPr>
          <w:i/>
          <w:iCs/>
        </w:rPr>
        <w:t>Pink v R</w:t>
      </w:r>
      <w:r w:rsidRPr="006245C1">
        <w:t xml:space="preserve"> [2022] NZCA 306 at [49]; </w:t>
      </w:r>
      <w:r w:rsidRPr="006245C1">
        <w:rPr>
          <w:i/>
          <w:iCs/>
        </w:rPr>
        <w:t>Witehira v R</w:t>
      </w:r>
      <w:r w:rsidRPr="006245C1">
        <w:t xml:space="preserve"> [2011] NZCA 658 at [46</w:t>
      </w:r>
      <w:r>
        <w:t>]–</w:t>
      </w:r>
      <w:r w:rsidRPr="006245C1">
        <w:t xml:space="preserve">[47]; Elisabeth McDonald and Scott Optican (eds) </w:t>
      </w:r>
      <w:r w:rsidRPr="006245C1">
        <w:rPr>
          <w:i/>
          <w:iCs/>
        </w:rPr>
        <w:t>Mahoney on Evidence: Act &amp; Analysis</w:t>
      </w:r>
      <w:r w:rsidRPr="006245C1">
        <w:t xml:space="preserve"> (</w:t>
      </w:r>
      <w:r>
        <w:t>4th</w:t>
      </w:r>
      <w:r w:rsidRPr="006245C1">
        <w:t xml:space="preserve"> ed, Thomson Reuters, Wellington, 2018) at EA4.44.01((1)(c); and Nick Chisnall “Reducing the risk of misidentification: it starts with the Evidence Act 2006’s definition of “Visual Identification Evidence”</w:t>
      </w:r>
      <w:r>
        <w:t>”</w:t>
      </w:r>
      <w:r w:rsidRPr="006245C1">
        <w:t xml:space="preserve"> [2015] NZLJ 299.</w:t>
      </w:r>
    </w:p>
  </w:footnote>
  <w:footnote w:id="896">
    <w:p w14:paraId="2300D655" w14:textId="77777777" w:rsidR="00E13DFB" w:rsidRPr="006245C1" w:rsidRDefault="00E13DFB" w:rsidP="00E13DFB">
      <w:pPr>
        <w:pStyle w:val="FootnoteText"/>
      </w:pPr>
      <w:r w:rsidRPr="006245C1">
        <w:rPr>
          <w:rStyle w:val="FootnoteReference"/>
        </w:rPr>
        <w:footnoteRef/>
      </w:r>
      <w:r w:rsidRPr="006245C1">
        <w:t xml:space="preserve"> </w:t>
      </w:r>
      <w:r w:rsidRPr="006245C1">
        <w:tab/>
      </w:r>
      <w:r w:rsidRPr="006245C1">
        <w:rPr>
          <w:i/>
          <w:iCs/>
        </w:rPr>
        <w:t>R v Turaki</w:t>
      </w:r>
      <w:r w:rsidRPr="006245C1">
        <w:t xml:space="preserve"> [2009] NZCA 310 at [65]–[73] and [92]–[93], and </w:t>
      </w:r>
      <w:r w:rsidRPr="006245C1">
        <w:rPr>
          <w:i/>
          <w:iCs/>
        </w:rPr>
        <w:t>R v Edmonds</w:t>
      </w:r>
      <w:r w:rsidRPr="006245C1">
        <w:t xml:space="preserve"> [2009] NZCA 303, [2010] 1 NZLR 762 at [42]. These cases were written by the same panel of judges and published in the same month.</w:t>
      </w:r>
    </w:p>
  </w:footnote>
  <w:footnote w:id="897">
    <w:p w14:paraId="722B3492" w14:textId="77777777" w:rsidR="00E13DFB" w:rsidRPr="006245C1" w:rsidRDefault="00E13DFB" w:rsidP="00E13DFB">
      <w:pPr>
        <w:pStyle w:val="FootnoteText"/>
      </w:pPr>
      <w:r w:rsidRPr="006245C1">
        <w:rPr>
          <w:rStyle w:val="FootnoteReference"/>
        </w:rPr>
        <w:footnoteRef/>
      </w:r>
      <w:r w:rsidRPr="006245C1">
        <w:t xml:space="preserve"> </w:t>
      </w:r>
      <w:r w:rsidRPr="006245C1">
        <w:tab/>
        <w:t xml:space="preserve">However, the Court of Appeal in </w:t>
      </w:r>
      <w:r w:rsidRPr="006245C1">
        <w:rPr>
          <w:i/>
          <w:iCs/>
        </w:rPr>
        <w:t xml:space="preserve">Turaki </w:t>
      </w:r>
      <w:r w:rsidRPr="006245C1">
        <w:t xml:space="preserve">and </w:t>
      </w:r>
      <w:r w:rsidRPr="006245C1">
        <w:rPr>
          <w:i/>
          <w:iCs/>
        </w:rPr>
        <w:t>Edmonds</w:t>
      </w:r>
      <w:r w:rsidRPr="006245C1">
        <w:t xml:space="preserve"> went further than noting the difference between contested identification and contested conduct. Rather, they held that the scope of excluded observation evidence also included an offender’s alleged participation in a group attack once their presence is admitted: </w:t>
      </w:r>
      <w:r w:rsidRPr="006245C1">
        <w:rPr>
          <w:i/>
          <w:iCs/>
        </w:rPr>
        <w:t>R v Turaki</w:t>
      </w:r>
      <w:r w:rsidRPr="006245C1">
        <w:t xml:space="preserve"> [2009] NZCA 310 at [93]; </w:t>
      </w:r>
      <w:r w:rsidRPr="006245C1">
        <w:rPr>
          <w:i/>
          <w:iCs/>
        </w:rPr>
        <w:t>R v Edmonds</w:t>
      </w:r>
      <w:r w:rsidRPr="006245C1">
        <w:t xml:space="preserve"> [2009] NZCA 303 at [130</w:t>
      </w:r>
      <w:r>
        <w:t>]–</w:t>
      </w:r>
      <w:r w:rsidRPr="006245C1">
        <w:t>[131].</w:t>
      </w:r>
    </w:p>
  </w:footnote>
  <w:footnote w:id="898">
    <w:p w14:paraId="7E8CBFFE" w14:textId="77777777" w:rsidR="00E13DFB" w:rsidRPr="006245C1" w:rsidRDefault="00E13DFB" w:rsidP="00E13DFB">
      <w:pPr>
        <w:pStyle w:val="FootnoteText"/>
      </w:pPr>
      <w:r w:rsidRPr="006245C1">
        <w:rPr>
          <w:rStyle w:val="FootnoteReference"/>
        </w:rPr>
        <w:footnoteRef/>
      </w:r>
      <w:r w:rsidRPr="006245C1">
        <w:t xml:space="preserve"> </w:t>
      </w:r>
      <w:r w:rsidRPr="006245C1">
        <w:tab/>
      </w:r>
      <w:r w:rsidRPr="006245C1">
        <w:rPr>
          <w:i/>
          <w:iCs/>
        </w:rPr>
        <w:t>R v Uasi</w:t>
      </w:r>
      <w:r w:rsidRPr="006245C1">
        <w:t xml:space="preserve"> [2009] NZCA 236, [2010] 1 NZLR 733; </w:t>
      </w:r>
      <w:r w:rsidRPr="006245C1">
        <w:rPr>
          <w:i/>
          <w:iCs/>
        </w:rPr>
        <w:t>Peato v R</w:t>
      </w:r>
      <w:r w:rsidRPr="006245C1">
        <w:t xml:space="preserve"> [2009] NZCA 333, [2010] 1 NZLR 788.</w:t>
      </w:r>
    </w:p>
  </w:footnote>
  <w:footnote w:id="899">
    <w:p w14:paraId="78AE7652" w14:textId="77777777" w:rsidR="00E13DFB" w:rsidRPr="006245C1" w:rsidRDefault="00E13DFB" w:rsidP="00E13DFB">
      <w:pPr>
        <w:pStyle w:val="FootnoteText"/>
      </w:pPr>
      <w:r w:rsidRPr="00193A2C">
        <w:rPr>
          <w:sz w:val="18"/>
          <w:szCs w:val="18"/>
          <w:vertAlign w:val="superscript"/>
        </w:rPr>
        <w:footnoteRef/>
      </w:r>
      <w:r w:rsidRPr="006245C1">
        <w:t xml:space="preserve"> </w:t>
      </w:r>
      <w:r w:rsidRPr="006245C1">
        <w:tab/>
      </w:r>
      <w:r w:rsidRPr="006245C1">
        <w:rPr>
          <w:i/>
          <w:iCs/>
        </w:rPr>
        <w:t>Peato v R</w:t>
      </w:r>
      <w:r w:rsidRPr="006245C1">
        <w:t xml:space="preserve"> [2009] NZCA 333, [2010] 1 NZLR 788 at [29</w:t>
      </w:r>
      <w:r>
        <w:t>]–</w:t>
      </w:r>
      <w:r w:rsidRPr="006245C1">
        <w:t>[31].</w:t>
      </w:r>
    </w:p>
  </w:footnote>
  <w:footnote w:id="900">
    <w:p w14:paraId="57FE1C27" w14:textId="77777777" w:rsidR="00E13DFB" w:rsidRPr="006245C1" w:rsidRDefault="00E13DFB" w:rsidP="00E13DFB">
      <w:pPr>
        <w:pStyle w:val="FootnoteText"/>
      </w:pPr>
      <w:r w:rsidRPr="006245C1">
        <w:rPr>
          <w:rStyle w:val="FootnoteReference"/>
        </w:rPr>
        <w:footnoteRef/>
      </w:r>
      <w:r w:rsidRPr="006245C1">
        <w:t xml:space="preserve"> </w:t>
      </w:r>
      <w:r w:rsidRPr="006245C1">
        <w:tab/>
      </w:r>
      <w:r w:rsidRPr="006245C1">
        <w:rPr>
          <w:i/>
          <w:iCs/>
        </w:rPr>
        <w:t>Peato v R</w:t>
      </w:r>
      <w:r w:rsidRPr="006245C1">
        <w:t xml:space="preserve"> [2009] NZCA 333, [2010] 1 NZLR 788 at [36</w:t>
      </w:r>
      <w:r>
        <w:t>]–</w:t>
      </w:r>
      <w:r w:rsidRPr="006245C1">
        <w:t>[39].</w:t>
      </w:r>
    </w:p>
  </w:footnote>
  <w:footnote w:id="901">
    <w:p w14:paraId="4A8AE174" w14:textId="77777777" w:rsidR="00E13DFB" w:rsidRPr="006245C1" w:rsidRDefault="00E13DFB" w:rsidP="00E13DFB">
      <w:pPr>
        <w:pStyle w:val="FootnoteText"/>
      </w:pPr>
      <w:r w:rsidRPr="00193A2C">
        <w:rPr>
          <w:sz w:val="18"/>
          <w:szCs w:val="18"/>
          <w:vertAlign w:val="superscript"/>
        </w:rPr>
        <w:footnoteRef/>
      </w:r>
      <w:r w:rsidRPr="006245C1">
        <w:t xml:space="preserve"> </w:t>
      </w:r>
      <w:r w:rsidRPr="006245C1">
        <w:tab/>
      </w:r>
      <w:r w:rsidRPr="006245C1">
        <w:rPr>
          <w:i/>
          <w:iCs/>
        </w:rPr>
        <w:t>E (CA113/2009) (NO 2) v R</w:t>
      </w:r>
      <w:r w:rsidRPr="006245C1">
        <w:t xml:space="preserve"> [2010] NZCA 280 at [65]; </w:t>
      </w:r>
      <w:r w:rsidRPr="006245C1">
        <w:rPr>
          <w:i/>
          <w:iCs/>
        </w:rPr>
        <w:t>Witehira v R</w:t>
      </w:r>
      <w:r w:rsidRPr="006245C1">
        <w:t xml:space="preserve"> [2011] NZCA 658 at [41</w:t>
      </w:r>
      <w:r>
        <w:t>]–</w:t>
      </w:r>
      <w:r w:rsidRPr="006245C1">
        <w:t>[47].</w:t>
      </w:r>
    </w:p>
  </w:footnote>
  <w:footnote w:id="902">
    <w:p w14:paraId="4CF7FE73" w14:textId="77777777" w:rsidR="00E13DFB" w:rsidRPr="006245C1" w:rsidRDefault="00E13DFB" w:rsidP="00E13DFB">
      <w:pPr>
        <w:pStyle w:val="FootnoteText"/>
      </w:pPr>
      <w:r w:rsidRPr="00193A2C">
        <w:rPr>
          <w:sz w:val="18"/>
          <w:szCs w:val="18"/>
          <w:vertAlign w:val="superscript"/>
        </w:rPr>
        <w:footnoteRef/>
      </w:r>
      <w:r w:rsidRPr="006245C1">
        <w:rPr>
          <w:vertAlign w:val="superscript"/>
        </w:rPr>
        <w:t xml:space="preserve"> </w:t>
      </w:r>
      <w:r w:rsidRPr="006245C1">
        <w:rPr>
          <w:vertAlign w:val="superscript"/>
        </w:rPr>
        <w:tab/>
      </w:r>
      <w:r w:rsidRPr="006245C1">
        <w:t xml:space="preserve">Te Aka Matua o te Ture | Law Commission </w:t>
      </w:r>
      <w:r w:rsidRPr="006245C1">
        <w:rPr>
          <w:i/>
          <w:iCs/>
        </w:rPr>
        <w:t xml:space="preserve">The 2013 Review of the Evidence Act 2006 </w:t>
      </w:r>
      <w:r w:rsidRPr="006245C1">
        <w:t xml:space="preserve">(NZLC R127, 2013) at [8.23]–[8.40]. </w:t>
      </w:r>
    </w:p>
  </w:footnote>
  <w:footnote w:id="903">
    <w:p w14:paraId="60E95D6A" w14:textId="77777777" w:rsidR="00E13DFB" w:rsidRPr="006245C1" w:rsidRDefault="00E13DFB" w:rsidP="00E13DFB">
      <w:pPr>
        <w:pStyle w:val="FootnoteText"/>
      </w:pPr>
      <w:r w:rsidRPr="006245C1">
        <w:rPr>
          <w:rStyle w:val="FootnoteReference"/>
        </w:rPr>
        <w:footnoteRef/>
      </w:r>
      <w:r w:rsidRPr="006245C1">
        <w:t xml:space="preserve"> </w:t>
      </w:r>
      <w:r w:rsidRPr="006245C1">
        <w:tab/>
        <w:t xml:space="preserve">Te Aka Matua o te Ture | Law Commission </w:t>
      </w:r>
      <w:r w:rsidRPr="006245C1">
        <w:rPr>
          <w:i/>
          <w:iCs/>
        </w:rPr>
        <w:t xml:space="preserve">The 2013 Review of the Evidence Act 2006 </w:t>
      </w:r>
      <w:r w:rsidRPr="006245C1">
        <w:t>(NZLC R127, 2013) at [8.37].</w:t>
      </w:r>
    </w:p>
  </w:footnote>
  <w:footnote w:id="904">
    <w:p w14:paraId="73B18AF7" w14:textId="77777777" w:rsidR="00E13DFB" w:rsidRPr="006245C1" w:rsidRDefault="00E13DFB" w:rsidP="00E13DFB">
      <w:pPr>
        <w:pStyle w:val="FootnoteText"/>
      </w:pPr>
      <w:r w:rsidRPr="006245C1">
        <w:rPr>
          <w:rStyle w:val="FootnoteReference"/>
        </w:rPr>
        <w:footnoteRef/>
      </w:r>
      <w:r w:rsidRPr="006245C1">
        <w:t xml:space="preserve"> </w:t>
      </w:r>
      <w:r w:rsidRPr="006245C1">
        <w:tab/>
        <w:t xml:space="preserve">Te Aka Matua o te Ture | Law Commission </w:t>
      </w:r>
      <w:r w:rsidRPr="006245C1">
        <w:rPr>
          <w:i/>
          <w:iCs/>
        </w:rPr>
        <w:t xml:space="preserve">The 2013 Review of the Evidence Act 2006 </w:t>
      </w:r>
      <w:r w:rsidRPr="006245C1">
        <w:t xml:space="preserve">(NZLC R127, 2013) at [8.38]. The Commission </w:t>
      </w:r>
      <w:r w:rsidRPr="006245C1">
        <w:rPr>
          <w:color w:val="262626" w:themeColor="text1" w:themeTint="D9"/>
        </w:rPr>
        <w:t xml:space="preserve">declined to revisit this issue in the </w:t>
      </w:r>
      <w:r>
        <w:rPr>
          <w:color w:val="262626" w:themeColor="text1" w:themeTint="D9"/>
        </w:rPr>
        <w:t>S</w:t>
      </w:r>
      <w:r w:rsidRPr="006245C1">
        <w:rPr>
          <w:color w:val="262626" w:themeColor="text1" w:themeTint="D9"/>
        </w:rPr>
        <w:t xml:space="preserve">econd </w:t>
      </w:r>
      <w:r>
        <w:rPr>
          <w:color w:val="262626" w:themeColor="text1" w:themeTint="D9"/>
        </w:rPr>
        <w:t>R</w:t>
      </w:r>
      <w:r w:rsidRPr="006245C1">
        <w:rPr>
          <w:color w:val="262626" w:themeColor="text1" w:themeTint="D9"/>
        </w:rPr>
        <w:t xml:space="preserve">eview of the Evidence Act because it deemed there was no recent appellate controversy in relation to the issues: Te Aka Matua o te Ture | Law Commission </w:t>
      </w:r>
      <w:r w:rsidRPr="006245C1">
        <w:rPr>
          <w:i/>
          <w:iCs/>
          <w:color w:val="262626" w:themeColor="text1" w:themeTint="D9"/>
        </w:rPr>
        <w:t>Second Review of the Evidence Act 2006 | Te Arotake Tuarua i te Evidence Act 2006</w:t>
      </w:r>
      <w:r w:rsidRPr="006245C1">
        <w:rPr>
          <w:color w:val="262626" w:themeColor="text1" w:themeTint="D9"/>
        </w:rPr>
        <w:t xml:space="preserve"> (NZLC IP42, 2018) at [8.11].</w:t>
      </w:r>
    </w:p>
  </w:footnote>
  <w:footnote w:id="905">
    <w:p w14:paraId="7D2D0F4D" w14:textId="77777777" w:rsidR="00E13DFB" w:rsidRPr="006245C1" w:rsidRDefault="00E13DFB" w:rsidP="00E13DFB">
      <w:pPr>
        <w:pStyle w:val="FootnoteText"/>
      </w:pPr>
      <w:r w:rsidRPr="00193A2C">
        <w:rPr>
          <w:sz w:val="18"/>
          <w:szCs w:val="18"/>
          <w:vertAlign w:val="superscript"/>
        </w:rPr>
        <w:footnoteRef/>
      </w:r>
      <w:r w:rsidRPr="006245C1">
        <w:rPr>
          <w:vertAlign w:val="superscript"/>
        </w:rPr>
        <w:t xml:space="preserve"> </w:t>
      </w:r>
      <w:r w:rsidRPr="006245C1">
        <w:tab/>
      </w:r>
      <w:r w:rsidRPr="006245C1">
        <w:rPr>
          <w:i/>
          <w:iCs/>
        </w:rPr>
        <w:t xml:space="preserve">R v Eruera </w:t>
      </w:r>
      <w:r w:rsidRPr="006245C1">
        <w:t xml:space="preserve">[2015] NZHC 2655 at [59]. </w:t>
      </w:r>
    </w:p>
  </w:footnote>
  <w:footnote w:id="906">
    <w:p w14:paraId="44B0FAA1" w14:textId="77777777" w:rsidR="00E13DFB" w:rsidRPr="006245C1" w:rsidRDefault="00E13DFB" w:rsidP="00E13DFB">
      <w:pPr>
        <w:pStyle w:val="FootnoteText"/>
      </w:pPr>
      <w:r w:rsidRPr="00193A2C">
        <w:rPr>
          <w:sz w:val="18"/>
          <w:szCs w:val="18"/>
          <w:vertAlign w:val="superscript"/>
        </w:rPr>
        <w:footnoteRef/>
      </w:r>
      <w:r w:rsidRPr="006245C1">
        <w:rPr>
          <w:vertAlign w:val="superscript"/>
        </w:rPr>
        <w:t xml:space="preserve"> </w:t>
      </w:r>
      <w:r w:rsidRPr="006245C1">
        <w:rPr>
          <w:vertAlign w:val="superscript"/>
        </w:rPr>
        <w:tab/>
      </w:r>
      <w:r w:rsidRPr="006245C1">
        <w:rPr>
          <w:i/>
          <w:iCs/>
        </w:rPr>
        <w:t>R v Eruera</w:t>
      </w:r>
      <w:r w:rsidRPr="006245C1">
        <w:t xml:space="preserve"> [2015] NZHC 2655 at [67]. </w:t>
      </w:r>
    </w:p>
  </w:footnote>
  <w:footnote w:id="907">
    <w:p w14:paraId="548BBD7E" w14:textId="77777777" w:rsidR="00E13DFB" w:rsidRPr="006245C1" w:rsidRDefault="00E13DFB" w:rsidP="00E13DFB">
      <w:pPr>
        <w:pStyle w:val="FootnoteText"/>
      </w:pPr>
      <w:r w:rsidRPr="006245C1">
        <w:rPr>
          <w:rStyle w:val="FootnoteReference"/>
        </w:rPr>
        <w:footnoteRef/>
      </w:r>
      <w:r w:rsidRPr="006245C1">
        <w:t xml:space="preserve"> </w:t>
      </w:r>
      <w:r w:rsidRPr="006245C1">
        <w:tab/>
      </w:r>
      <w:r w:rsidRPr="006245C1">
        <w:rPr>
          <w:i/>
          <w:iCs/>
        </w:rPr>
        <w:t xml:space="preserve">R v Howard </w:t>
      </w:r>
      <w:r w:rsidRPr="006245C1">
        <w:t>[2017] NZCA 159 at [26].</w:t>
      </w:r>
    </w:p>
  </w:footnote>
  <w:footnote w:id="908">
    <w:p w14:paraId="0FF15DCC" w14:textId="77777777" w:rsidR="00E13DFB" w:rsidRPr="006245C1" w:rsidRDefault="00E13DFB" w:rsidP="00E13DFB">
      <w:pPr>
        <w:pStyle w:val="FootnoteText"/>
      </w:pPr>
      <w:r w:rsidRPr="00193A2C">
        <w:rPr>
          <w:sz w:val="18"/>
          <w:szCs w:val="18"/>
          <w:vertAlign w:val="superscript"/>
        </w:rPr>
        <w:footnoteRef/>
      </w:r>
      <w:r w:rsidRPr="006245C1">
        <w:rPr>
          <w:vertAlign w:val="superscript"/>
        </w:rPr>
        <w:t xml:space="preserve"> </w:t>
      </w:r>
      <w:r w:rsidRPr="006245C1">
        <w:tab/>
      </w:r>
      <w:r w:rsidRPr="006245C1">
        <w:rPr>
          <w:i/>
          <w:iCs/>
        </w:rPr>
        <w:t>R v Howard</w:t>
      </w:r>
      <w:r w:rsidRPr="006245C1">
        <w:t xml:space="preserve"> [2017] NZCA 159 at [27].</w:t>
      </w:r>
    </w:p>
  </w:footnote>
  <w:footnote w:id="909">
    <w:p w14:paraId="39A8187A" w14:textId="77777777" w:rsidR="00E13DFB" w:rsidRPr="006245C1" w:rsidRDefault="00E13DFB" w:rsidP="00E13DFB">
      <w:pPr>
        <w:pStyle w:val="FootnoteText"/>
      </w:pPr>
      <w:r w:rsidRPr="006245C1">
        <w:rPr>
          <w:rStyle w:val="FootnoteReference"/>
        </w:rPr>
        <w:footnoteRef/>
      </w:r>
      <w:r w:rsidRPr="006245C1">
        <w:t xml:space="preserve"> </w:t>
      </w:r>
      <w:r w:rsidRPr="006245C1">
        <w:tab/>
      </w:r>
      <w:r w:rsidRPr="006245C1">
        <w:rPr>
          <w:i/>
          <w:iCs/>
        </w:rPr>
        <w:t>R v Ake</w:t>
      </w:r>
      <w:r w:rsidRPr="006245C1">
        <w:t xml:space="preserve"> DC Tauranga CRI-2012-070-5921, 7 August 2014 at [15]–[16]. The decision is discussed in Nick Chisnall “Reducing the risk of misidentification: it starts with the Evidence Act 2006’s definition of “Visual Identification Evidence”</w:t>
      </w:r>
      <w:r>
        <w:t>”</w:t>
      </w:r>
      <w:r w:rsidRPr="006245C1">
        <w:t xml:space="preserve"> [2015] NZLJ 299 at 300.</w:t>
      </w:r>
    </w:p>
  </w:footnote>
  <w:footnote w:id="910">
    <w:p w14:paraId="00BFD119" w14:textId="77777777" w:rsidR="00E13DFB" w:rsidRPr="006245C1" w:rsidRDefault="00E13DFB" w:rsidP="00E13DFB">
      <w:pPr>
        <w:pStyle w:val="FootnoteText"/>
      </w:pPr>
      <w:r w:rsidRPr="0076550A">
        <w:rPr>
          <w:rStyle w:val="FootnoteReference"/>
          <w:color w:val="auto"/>
        </w:rPr>
        <w:footnoteRef/>
      </w:r>
      <w:r w:rsidRPr="006245C1">
        <w:t xml:space="preserve"> </w:t>
      </w:r>
      <w:r w:rsidRPr="006245C1">
        <w:tab/>
      </w:r>
      <w:r w:rsidRPr="006245C1">
        <w:rPr>
          <w:i/>
          <w:iCs/>
        </w:rPr>
        <w:t xml:space="preserve">Ake v R </w:t>
      </w:r>
      <w:r w:rsidRPr="006245C1">
        <w:t>[2015] NZCA 334 at [4].</w:t>
      </w:r>
    </w:p>
  </w:footnote>
  <w:footnote w:id="911">
    <w:p w14:paraId="59C55837" w14:textId="77777777" w:rsidR="00E13DFB" w:rsidRPr="006245C1" w:rsidRDefault="00E13DFB" w:rsidP="00E13DFB">
      <w:pPr>
        <w:pStyle w:val="FootnoteText"/>
      </w:pPr>
      <w:r w:rsidRPr="0076550A">
        <w:rPr>
          <w:rStyle w:val="FootnoteReference"/>
          <w:color w:val="auto"/>
        </w:rPr>
        <w:footnoteRef/>
      </w:r>
      <w:r w:rsidRPr="006245C1">
        <w:t xml:space="preserve"> </w:t>
      </w:r>
      <w:r w:rsidRPr="006245C1">
        <w:tab/>
        <w:t>See, for example, Nick Chisnall “Reducing the risk of misidentification: it starts with the Evidence Act 2006’s definition of “Visual Identification Evidence”” [2015] NZLJ 299 at 299. He also argues that until the restrictive approach is unequivocally overturned the Act’s expanded formal procedures in s 45 will not be utilised in all cases carrying a risk of misidentification</w:t>
      </w:r>
      <w:r>
        <w:t xml:space="preserve"> (</w:t>
      </w:r>
      <w:r w:rsidRPr="006245C1">
        <w:t>at 302</w:t>
      </w:r>
      <w:r>
        <w:t>)</w:t>
      </w:r>
      <w:r w:rsidRPr="006245C1">
        <w:t>.</w:t>
      </w:r>
    </w:p>
  </w:footnote>
  <w:footnote w:id="912">
    <w:p w14:paraId="02D60F4D" w14:textId="77777777" w:rsidR="00E13DFB" w:rsidRPr="006245C1" w:rsidRDefault="00E13DFB" w:rsidP="00E13DFB">
      <w:pPr>
        <w:pStyle w:val="FootnoteText"/>
      </w:pPr>
      <w:r w:rsidRPr="00193A2C">
        <w:rPr>
          <w:sz w:val="18"/>
          <w:szCs w:val="24"/>
          <w:vertAlign w:val="superscript"/>
        </w:rPr>
        <w:footnoteRef/>
      </w:r>
      <w:r w:rsidRPr="006245C1">
        <w:rPr>
          <w:vertAlign w:val="superscript"/>
        </w:rPr>
        <w:t xml:space="preserve"> </w:t>
      </w:r>
      <w:r w:rsidRPr="006245C1">
        <w:tab/>
        <w:t xml:space="preserve">Elisabeth McDonald and Scott Optican (eds) </w:t>
      </w:r>
      <w:r w:rsidRPr="006245C1">
        <w:rPr>
          <w:i/>
        </w:rPr>
        <w:t>Mahoney on Evidence: Act &amp; Analysis</w:t>
      </w:r>
      <w:r w:rsidRPr="006245C1">
        <w:t xml:space="preserve"> (4th ed, Thomson Reuters, Wellington, 2018) at EV126.02(3).</w:t>
      </w:r>
    </w:p>
  </w:footnote>
  <w:footnote w:id="913">
    <w:p w14:paraId="6915A954" w14:textId="77777777" w:rsidR="00E13DFB" w:rsidRPr="006245C1" w:rsidRDefault="00E13DFB" w:rsidP="00E13DFB">
      <w:pPr>
        <w:pStyle w:val="FootnoteText"/>
      </w:pPr>
      <w:r w:rsidRPr="00193A2C">
        <w:rPr>
          <w:sz w:val="18"/>
          <w:szCs w:val="24"/>
          <w:vertAlign w:val="superscript"/>
        </w:rPr>
        <w:footnoteRef/>
      </w:r>
      <w:r w:rsidRPr="006245C1">
        <w:rPr>
          <w:vertAlign w:val="superscript"/>
        </w:rPr>
        <w:t xml:space="preserve"> </w:t>
      </w:r>
      <w:r w:rsidRPr="006245C1">
        <w:tab/>
        <w:t xml:space="preserve">Elisabeth McDonald and Scott Optican (eds) </w:t>
      </w:r>
      <w:r w:rsidRPr="006245C1">
        <w:rPr>
          <w:i/>
        </w:rPr>
        <w:t>Mahoney on Evidence: Act &amp; Analysis</w:t>
      </w:r>
      <w:r w:rsidRPr="006245C1">
        <w:t xml:space="preserve"> (4th ed, Thomson Reuters, Wellington, 2018) at EA4.44.01((1)(c).</w:t>
      </w:r>
    </w:p>
  </w:footnote>
  <w:footnote w:id="914">
    <w:p w14:paraId="7F0DE9BC" w14:textId="77777777" w:rsidR="00E13DFB" w:rsidRPr="006245C1" w:rsidRDefault="00E13DFB" w:rsidP="00E13DFB">
      <w:pPr>
        <w:pStyle w:val="FootnoteText"/>
      </w:pPr>
      <w:r w:rsidRPr="00193A2C">
        <w:rPr>
          <w:sz w:val="18"/>
          <w:szCs w:val="24"/>
          <w:vertAlign w:val="superscript"/>
        </w:rPr>
        <w:footnoteRef/>
      </w:r>
      <w:r w:rsidRPr="006245C1">
        <w:rPr>
          <w:vertAlign w:val="superscript"/>
        </w:rPr>
        <w:t xml:space="preserve"> </w:t>
      </w:r>
      <w:r w:rsidRPr="006245C1">
        <w:tab/>
      </w:r>
      <w:r w:rsidRPr="006245C1">
        <w:rPr>
          <w:i/>
          <w:iCs/>
        </w:rPr>
        <w:t>Pink v R</w:t>
      </w:r>
      <w:r w:rsidRPr="006245C1">
        <w:t xml:space="preserve"> [2022] NZCA 306.</w:t>
      </w:r>
    </w:p>
  </w:footnote>
  <w:footnote w:id="915">
    <w:p w14:paraId="53CCC98E" w14:textId="77777777" w:rsidR="00E13DFB" w:rsidRPr="006245C1" w:rsidRDefault="00E13DFB" w:rsidP="00E13DFB">
      <w:pPr>
        <w:pStyle w:val="FootnoteText"/>
      </w:pPr>
      <w:r w:rsidRPr="00193A2C">
        <w:rPr>
          <w:sz w:val="18"/>
          <w:szCs w:val="24"/>
          <w:vertAlign w:val="superscript"/>
        </w:rPr>
        <w:footnoteRef/>
      </w:r>
      <w:r w:rsidRPr="006245C1">
        <w:rPr>
          <w:vertAlign w:val="superscript"/>
        </w:rPr>
        <w:t xml:space="preserve"> </w:t>
      </w:r>
      <w:r w:rsidRPr="006245C1">
        <w:tab/>
      </w:r>
      <w:r w:rsidRPr="006245C1">
        <w:rPr>
          <w:i/>
          <w:iCs/>
        </w:rPr>
        <w:t>Pink v R</w:t>
      </w:r>
      <w:r w:rsidRPr="006245C1">
        <w:t xml:space="preserve"> [2022] NZCA 306 at [49].</w:t>
      </w:r>
    </w:p>
  </w:footnote>
  <w:footnote w:id="916">
    <w:p w14:paraId="725D3AF4" w14:textId="77777777" w:rsidR="00E13DFB" w:rsidRPr="006245C1" w:rsidRDefault="00E13DFB" w:rsidP="00E13DFB">
      <w:pPr>
        <w:pStyle w:val="FootnoteText"/>
      </w:pPr>
      <w:r w:rsidRPr="00193A2C">
        <w:rPr>
          <w:sz w:val="18"/>
          <w:szCs w:val="24"/>
          <w:vertAlign w:val="superscript"/>
        </w:rPr>
        <w:footnoteRef/>
      </w:r>
      <w:r w:rsidRPr="006245C1">
        <w:rPr>
          <w:vertAlign w:val="superscript"/>
        </w:rPr>
        <w:t xml:space="preserve"> </w:t>
      </w:r>
      <w:r w:rsidRPr="006245C1">
        <w:tab/>
      </w:r>
      <w:r w:rsidRPr="006245C1">
        <w:rPr>
          <w:i/>
          <w:iCs/>
        </w:rPr>
        <w:t>Pink v R</w:t>
      </w:r>
      <w:r w:rsidRPr="006245C1">
        <w:t xml:space="preserve"> [2022] NZCA 306 at [59].</w:t>
      </w:r>
    </w:p>
  </w:footnote>
  <w:footnote w:id="917">
    <w:p w14:paraId="7DAB91D5" w14:textId="77777777" w:rsidR="00E13DFB" w:rsidRPr="006245C1" w:rsidRDefault="00E13DFB" w:rsidP="00E13DFB">
      <w:pPr>
        <w:pStyle w:val="FootnoteText"/>
      </w:pPr>
      <w:r w:rsidRPr="006245C1">
        <w:rPr>
          <w:rStyle w:val="FootnoteReference"/>
        </w:rPr>
        <w:footnoteRef/>
      </w:r>
      <w:r w:rsidRPr="006245C1">
        <w:t xml:space="preserve"> </w:t>
      </w:r>
      <w:r w:rsidRPr="006245C1">
        <w:tab/>
      </w:r>
      <w:r w:rsidRPr="006245C1">
        <w:rPr>
          <w:i/>
          <w:iCs/>
        </w:rPr>
        <w:t>Pink v R</w:t>
      </w:r>
      <w:r w:rsidRPr="006245C1">
        <w:t xml:space="preserve"> [2022] NZCA 306 at [62].</w:t>
      </w:r>
    </w:p>
  </w:footnote>
  <w:footnote w:id="918">
    <w:p w14:paraId="3A068780" w14:textId="77777777" w:rsidR="00E13DFB" w:rsidRPr="006245C1" w:rsidRDefault="00E13DFB" w:rsidP="00E13DFB">
      <w:pPr>
        <w:pStyle w:val="FootnoteText"/>
      </w:pPr>
      <w:r w:rsidRPr="00193A2C">
        <w:rPr>
          <w:sz w:val="18"/>
          <w:szCs w:val="24"/>
          <w:vertAlign w:val="superscript"/>
        </w:rPr>
        <w:footnoteRef/>
      </w:r>
      <w:r w:rsidRPr="006245C1">
        <w:rPr>
          <w:vertAlign w:val="superscript"/>
        </w:rPr>
        <w:t xml:space="preserve"> </w:t>
      </w:r>
      <w:r w:rsidRPr="006245C1">
        <w:tab/>
      </w:r>
      <w:r w:rsidRPr="006245C1">
        <w:rPr>
          <w:i/>
          <w:iCs/>
        </w:rPr>
        <w:t>Pink v R</w:t>
      </w:r>
      <w:r w:rsidRPr="006245C1">
        <w:t xml:space="preserve"> [2022] NZCA 306 at [61</w:t>
      </w:r>
      <w:r>
        <w:t>]–</w:t>
      </w:r>
      <w:r w:rsidRPr="006245C1">
        <w:t xml:space="preserve">[63]. As noted in </w:t>
      </w:r>
      <w:r w:rsidRPr="006245C1">
        <w:rPr>
          <w:i/>
          <w:iCs/>
        </w:rPr>
        <w:t>Pink</w:t>
      </w:r>
      <w:r w:rsidRPr="006245C1">
        <w:t xml:space="preserve">, a similar situation involving an implicit misidentification argument by a defence counsel also occurred in </w:t>
      </w:r>
      <w:r w:rsidRPr="006245C1">
        <w:rPr>
          <w:i/>
          <w:iCs/>
        </w:rPr>
        <w:t>Witehira v R</w:t>
      </w:r>
      <w:r w:rsidRPr="006245C1">
        <w:t xml:space="preserve"> [2011] NZCA 658.</w:t>
      </w:r>
    </w:p>
  </w:footnote>
  <w:footnote w:id="919">
    <w:p w14:paraId="2788FB5D" w14:textId="77777777" w:rsidR="00E13DFB" w:rsidRPr="006245C1" w:rsidRDefault="00E13DFB" w:rsidP="00E13DFB">
      <w:pPr>
        <w:pStyle w:val="FootnoteText"/>
      </w:pPr>
      <w:r w:rsidRPr="006245C1">
        <w:rPr>
          <w:rStyle w:val="FootnoteReference"/>
        </w:rPr>
        <w:footnoteRef/>
      </w:r>
      <w:r w:rsidRPr="006245C1">
        <w:t xml:space="preserve"> </w:t>
      </w:r>
      <w:r w:rsidRPr="006245C1">
        <w:tab/>
      </w:r>
      <w:r w:rsidRPr="006245C1">
        <w:rPr>
          <w:i/>
          <w:iCs/>
        </w:rPr>
        <w:t>Peato v R</w:t>
      </w:r>
      <w:r w:rsidRPr="006245C1">
        <w:t xml:space="preserve"> [2009] NZCA 333, [2010] 1 NZLR 788 at [35], cited in</w:t>
      </w:r>
      <w:r w:rsidRPr="006245C1">
        <w:rPr>
          <w:i/>
          <w:iCs/>
        </w:rPr>
        <w:t xml:space="preserve"> Pink v R</w:t>
      </w:r>
      <w:r w:rsidRPr="006245C1">
        <w:t xml:space="preserve"> [2022] NZCA 306 at [53].</w:t>
      </w:r>
    </w:p>
  </w:footnote>
  <w:footnote w:id="920">
    <w:p w14:paraId="4D1FEBA9" w14:textId="77777777" w:rsidR="00E13DFB" w:rsidRPr="006245C1" w:rsidRDefault="00E13DFB" w:rsidP="00E13DFB">
      <w:pPr>
        <w:pStyle w:val="FootnoteText"/>
      </w:pPr>
      <w:r w:rsidRPr="0076550A">
        <w:rPr>
          <w:rStyle w:val="FootnoteReference"/>
          <w:color w:val="auto"/>
        </w:rPr>
        <w:footnoteRef/>
      </w:r>
      <w:r w:rsidRPr="006245C1">
        <w:t xml:space="preserve"> </w:t>
      </w:r>
      <w:r w:rsidRPr="006245C1">
        <w:tab/>
      </w:r>
      <w:r>
        <w:t xml:space="preserve">Evidence Act 2006, s </w:t>
      </w:r>
      <w:r w:rsidRPr="006245C1">
        <w:t>45(1).</w:t>
      </w:r>
    </w:p>
  </w:footnote>
  <w:footnote w:id="921">
    <w:p w14:paraId="5CA09A2B" w14:textId="77777777" w:rsidR="00E13DFB" w:rsidRPr="006245C1" w:rsidRDefault="00E13DFB" w:rsidP="00E13DFB">
      <w:pPr>
        <w:pStyle w:val="FootnoteText"/>
      </w:pPr>
      <w:r w:rsidRPr="0076550A">
        <w:rPr>
          <w:rStyle w:val="FootnoteReference"/>
          <w:color w:val="auto"/>
        </w:rPr>
        <w:footnoteRef/>
      </w:r>
      <w:r w:rsidRPr="006245C1">
        <w:t xml:space="preserve"> </w:t>
      </w:r>
      <w:r w:rsidRPr="006245C1">
        <w:tab/>
      </w:r>
      <w:r>
        <w:t>Evidence Act 2006, s</w:t>
      </w:r>
      <w:r w:rsidRPr="006245C1">
        <w:t xml:space="preserve"> 45(4)(d).</w:t>
      </w:r>
    </w:p>
  </w:footnote>
  <w:footnote w:id="922">
    <w:p w14:paraId="1847536B" w14:textId="77777777" w:rsidR="00E13DFB" w:rsidRPr="006245C1" w:rsidRDefault="00E13DFB" w:rsidP="00E13DFB">
      <w:pPr>
        <w:pStyle w:val="FootnoteText"/>
      </w:pPr>
      <w:r w:rsidRPr="0076550A">
        <w:rPr>
          <w:sz w:val="18"/>
          <w:szCs w:val="18"/>
          <w:vertAlign w:val="superscript"/>
        </w:rPr>
        <w:footnoteRef/>
      </w:r>
      <w:r w:rsidRPr="006245C1">
        <w:rPr>
          <w:vertAlign w:val="superscript"/>
        </w:rPr>
        <w:t xml:space="preserve"> </w:t>
      </w:r>
      <w:r w:rsidRPr="006245C1">
        <w:tab/>
      </w:r>
      <w:r>
        <w:t xml:space="preserve">Evidence Act 2006, s </w:t>
      </w:r>
      <w:r w:rsidRPr="006245C1">
        <w:t xml:space="preserve">45(4)(d). See </w:t>
      </w:r>
      <w:r w:rsidRPr="006245C1">
        <w:rPr>
          <w:i/>
          <w:iCs/>
        </w:rPr>
        <w:t>R v Edmonds</w:t>
      </w:r>
      <w:r w:rsidRPr="006245C1">
        <w:t xml:space="preserve"> [2009] NZCA 303, [2010] 1 NZLR 762 at [73], and </w:t>
      </w:r>
      <w:r w:rsidRPr="006245C1">
        <w:rPr>
          <w:i/>
          <w:iCs/>
        </w:rPr>
        <w:t xml:space="preserve">Harney v Police </w:t>
      </w:r>
      <w:r w:rsidRPr="006245C1">
        <w:t xml:space="preserve">[2011] NZSC 107, [2012] 1 NZLR 725 at [26]. See also </w:t>
      </w:r>
      <w:r w:rsidRPr="006245C1">
        <w:rPr>
          <w:i/>
          <w:iCs/>
        </w:rPr>
        <w:t>Howard</w:t>
      </w:r>
      <w:r w:rsidRPr="006245C1">
        <w:t xml:space="preserve">, in which the defendant was found to be well acquainted with the witness even though the defendant alleged mistaken identity: </w:t>
      </w:r>
      <w:r w:rsidRPr="006245C1">
        <w:rPr>
          <w:i/>
          <w:iCs/>
        </w:rPr>
        <w:t>R v Howard</w:t>
      </w:r>
      <w:r w:rsidRPr="006245C1">
        <w:t xml:space="preserve"> [2017] NZCA 159 at [35</w:t>
      </w:r>
      <w:r>
        <w:t>]–</w:t>
      </w:r>
      <w:r w:rsidRPr="006245C1">
        <w:t xml:space="preserve">[39]. Another relevant </w:t>
      </w:r>
      <w:r>
        <w:t>section</w:t>
      </w:r>
      <w:r w:rsidRPr="006245C1">
        <w:t xml:space="preserve"> is </w:t>
      </w:r>
      <w:r>
        <w:t>s</w:t>
      </w:r>
      <w:r w:rsidRPr="006245C1">
        <w:t xml:space="preserve"> 45(4)(e): “if an identification of a person alleged to have committed an offence has been made to an officer of an enforcement agency soon after the offence occurred and in the course of that officer’s initial investigation”. See </w:t>
      </w:r>
      <w:r w:rsidRPr="006245C1">
        <w:rPr>
          <w:i/>
          <w:iCs/>
        </w:rPr>
        <w:t>R v Carroll</w:t>
      </w:r>
      <w:r w:rsidRPr="006245C1">
        <w:t xml:space="preserve"> [2018] DCR 602, [2016] NZDC 15549 in which, as backup reasoning to an argument founded on observation evidence, the District Court suggested that </w:t>
      </w:r>
      <w:r>
        <w:t>s</w:t>
      </w:r>
      <w:r w:rsidRPr="006245C1">
        <w:t xml:space="preserve"> 45(4)(e) could apply to a situation in which a police officer witnessed an assault on another person, followed the perpetrator and was subsequently assaulted by the same person.</w:t>
      </w:r>
    </w:p>
  </w:footnote>
  <w:footnote w:id="923">
    <w:p w14:paraId="0357E3A7" w14:textId="77777777" w:rsidR="00E13DFB" w:rsidRPr="006245C1" w:rsidRDefault="00E13DFB" w:rsidP="00E13DFB">
      <w:pPr>
        <w:pStyle w:val="FootnoteText"/>
      </w:pPr>
      <w:r w:rsidRPr="0076550A">
        <w:rPr>
          <w:rStyle w:val="FootnoteReference"/>
          <w:color w:val="auto"/>
        </w:rPr>
        <w:footnoteRef/>
      </w:r>
      <w:r w:rsidRPr="006245C1">
        <w:t xml:space="preserve"> </w:t>
      </w:r>
      <w:r w:rsidRPr="006245C1">
        <w:tab/>
      </w:r>
      <w:r>
        <w:t xml:space="preserve">Evidence Act 2006, s </w:t>
      </w:r>
      <w:r w:rsidRPr="006245C1">
        <w:t>45(1).</w:t>
      </w:r>
    </w:p>
  </w:footnote>
  <w:footnote w:id="924">
    <w:p w14:paraId="5DC51E7C" w14:textId="77777777" w:rsidR="00E13DFB" w:rsidRPr="006245C1" w:rsidRDefault="00E13DFB" w:rsidP="00E13DFB">
      <w:pPr>
        <w:pStyle w:val="FootnoteText"/>
      </w:pPr>
      <w:r w:rsidRPr="006245C1">
        <w:rPr>
          <w:rStyle w:val="FootnoteReference"/>
          <w:rFonts w:eastAsiaTheme="minorHAnsi"/>
        </w:rPr>
        <w:footnoteRef/>
      </w:r>
      <w:r w:rsidRPr="006245C1">
        <w:t xml:space="preserve"> </w:t>
      </w:r>
      <w:r w:rsidRPr="006245C1">
        <w:tab/>
        <w:t xml:space="preserve">An identification parade involves the presence of at least </w:t>
      </w:r>
      <w:r>
        <w:t>eight</w:t>
      </w:r>
      <w:r w:rsidRPr="006245C1">
        <w:t xml:space="preserve"> similar looking persons, usually including the suspect. The witness views the lineup through one-way glass. A photo</w:t>
      </w:r>
      <w:r>
        <w:t xml:space="preserve"> </w:t>
      </w:r>
      <w:r w:rsidRPr="006245C1">
        <w:t xml:space="preserve">lineup involves a witness viewing photographs of at least </w:t>
      </w:r>
      <w:r>
        <w:t>eight</w:t>
      </w:r>
      <w:r w:rsidRPr="006245C1">
        <w:t xml:space="preserve"> similar looking persons and also potentially includes the suspect. Photo</w:t>
      </w:r>
      <w:r>
        <w:t xml:space="preserve"> </w:t>
      </w:r>
      <w:r w:rsidRPr="006245C1">
        <w:t xml:space="preserve">lineups are much more common in Aotearoa New Zealand than identification parades: Elisabeth McDonald and Scott Optican (eds) </w:t>
      </w:r>
      <w:r w:rsidRPr="006245C1">
        <w:rPr>
          <w:i/>
          <w:iCs/>
        </w:rPr>
        <w:t>Mahoney on Evidence: Act &amp; Analysis</w:t>
      </w:r>
      <w:r w:rsidRPr="006245C1">
        <w:t xml:space="preserve"> (4th ed, Thomson Reuters, Wellington, 2018) at 45.05(1). </w:t>
      </w:r>
    </w:p>
  </w:footnote>
  <w:footnote w:id="925">
    <w:p w14:paraId="6E2F6A50" w14:textId="77777777" w:rsidR="00E13DFB" w:rsidRPr="00C50728" w:rsidRDefault="00E13DFB" w:rsidP="00E13DFB">
      <w:pPr>
        <w:pStyle w:val="FootnoteText"/>
      </w:pPr>
      <w:r w:rsidRPr="00C50728">
        <w:rPr>
          <w:rStyle w:val="FootnoteReference"/>
        </w:rPr>
        <w:footnoteRef/>
      </w:r>
      <w:r w:rsidRPr="00C50728">
        <w:t xml:space="preserve"> </w:t>
      </w:r>
      <w:r w:rsidRPr="00C50728">
        <w:tab/>
      </w:r>
      <w:r w:rsidRPr="00C50728">
        <w:rPr>
          <w:i/>
          <w:iCs/>
        </w:rPr>
        <w:t xml:space="preserve">C v Complaints Assessment Committee </w:t>
      </w:r>
      <w:r w:rsidRPr="00C50728">
        <w:t xml:space="preserve">[2006] NZSC 48 at [13]. </w:t>
      </w:r>
    </w:p>
  </w:footnote>
  <w:footnote w:id="926">
    <w:p w14:paraId="2C0E7527" w14:textId="77777777" w:rsidR="00E13DFB" w:rsidRPr="00C50728" w:rsidRDefault="00E13DFB" w:rsidP="00E13DFB">
      <w:pPr>
        <w:pStyle w:val="FootnoteText"/>
      </w:pPr>
      <w:r w:rsidRPr="00C50728">
        <w:rPr>
          <w:rStyle w:val="FootnoteReference"/>
        </w:rPr>
        <w:footnoteRef/>
      </w:r>
      <w:r w:rsidRPr="00C50728">
        <w:t xml:space="preserve"> </w:t>
      </w:r>
      <w:r w:rsidRPr="00C50728">
        <w:tab/>
        <w:t xml:space="preserve">Clinical psychologist is defined in s 59(6) </w:t>
      </w:r>
      <w:r>
        <w:t xml:space="preserve">of the Evidence Act 2006 </w:t>
      </w:r>
      <w:r w:rsidRPr="00C50728">
        <w:t xml:space="preserve">as someone registered with the Psychologists Board (as per the Health Practitioners Competence Assurance Act 2003) permitted to diagnose and treat persons suffering from mental and emotional problems. Medical practitioner is to be given its ordinary meaning under the Health Practitioners Competence Assurance Act 2003. </w:t>
      </w:r>
    </w:p>
  </w:footnote>
  <w:footnote w:id="927">
    <w:p w14:paraId="41B116D6" w14:textId="77777777" w:rsidR="00E13DFB" w:rsidRPr="00C50728" w:rsidRDefault="00E13DFB" w:rsidP="00E13DFB">
      <w:pPr>
        <w:pStyle w:val="FootnoteText"/>
      </w:pPr>
      <w:r w:rsidRPr="00C50728">
        <w:rPr>
          <w:rStyle w:val="FootnoteReference"/>
        </w:rPr>
        <w:footnoteRef/>
      </w:r>
      <w:r w:rsidRPr="00C50728">
        <w:t xml:space="preserve"> </w:t>
      </w:r>
      <w:r w:rsidRPr="00C50728">
        <w:tab/>
        <w:t xml:space="preserve">Evidence Act 2006, ss 59(1)(a) and 59(2)–(4). Where a patient is being examined or treated for a number of conditions, s 59 can apply if </w:t>
      </w:r>
      <w:r w:rsidRPr="00C50728">
        <w:rPr>
          <w:i/>
          <w:iCs/>
        </w:rPr>
        <w:t>an</w:t>
      </w:r>
      <w:r w:rsidRPr="00C50728">
        <w:t xml:space="preserve"> underlying cause is a condition that </w:t>
      </w:r>
      <w:r w:rsidRPr="00C50728">
        <w:rPr>
          <w:i/>
          <w:iCs/>
        </w:rPr>
        <w:t>may</w:t>
      </w:r>
      <w:r w:rsidRPr="00C50728">
        <w:t xml:space="preserve"> manifest itself in criminal conduct</w:t>
      </w:r>
      <w:r>
        <w:t xml:space="preserve">: </w:t>
      </w:r>
      <w:r w:rsidRPr="00C50728">
        <w:rPr>
          <w:i/>
          <w:iCs/>
        </w:rPr>
        <w:t xml:space="preserve">R v Parkinson </w:t>
      </w:r>
      <w:r w:rsidRPr="00C50728">
        <w:t xml:space="preserve">[2017] NZCA 600. </w:t>
      </w:r>
    </w:p>
  </w:footnote>
  <w:footnote w:id="928">
    <w:p w14:paraId="41C5D606" w14:textId="77777777" w:rsidR="00E13DFB" w:rsidRPr="00C50728" w:rsidRDefault="00E13DFB" w:rsidP="00E13DFB">
      <w:pPr>
        <w:pStyle w:val="FootnoteText"/>
      </w:pPr>
      <w:r w:rsidRPr="00C50728">
        <w:rPr>
          <w:rStyle w:val="FootnoteReference"/>
        </w:rPr>
        <w:footnoteRef/>
      </w:r>
      <w:r w:rsidRPr="00C50728">
        <w:t xml:space="preserve"> </w:t>
      </w:r>
      <w:r w:rsidRPr="00C50728">
        <w:tab/>
        <w:t xml:space="preserve">Evidence Act 2006, s 59(5). </w:t>
      </w:r>
    </w:p>
  </w:footnote>
  <w:footnote w:id="929">
    <w:p w14:paraId="5DB08C8E" w14:textId="77777777" w:rsidR="00E13DFB" w:rsidRPr="00FE7BF8" w:rsidRDefault="00E13DFB" w:rsidP="00E13DFB">
      <w:pPr>
        <w:pStyle w:val="FootnoteText"/>
      </w:pPr>
      <w:r w:rsidRPr="00C50728">
        <w:rPr>
          <w:rStyle w:val="FootnoteReference"/>
        </w:rPr>
        <w:footnoteRef/>
      </w:r>
      <w:r w:rsidRPr="00C50728">
        <w:t xml:space="preserve"> </w:t>
      </w:r>
      <w:r w:rsidRPr="00C50728">
        <w:tab/>
        <w:t xml:space="preserve">Te Aka Matua o te Ture | Law Commission </w:t>
      </w:r>
      <w:r w:rsidRPr="00C50728">
        <w:rPr>
          <w:i/>
          <w:iCs/>
        </w:rPr>
        <w:t xml:space="preserve">Evidence Law: Privilege </w:t>
      </w:r>
      <w:r w:rsidRPr="00C50728">
        <w:t>(NZLC PP23, 1994) at [308].</w:t>
      </w:r>
      <w:r>
        <w:t xml:space="preserve"> </w:t>
      </w:r>
    </w:p>
  </w:footnote>
  <w:footnote w:id="930">
    <w:p w14:paraId="590CFE66" w14:textId="77777777" w:rsidR="00E13DFB" w:rsidRPr="00237616" w:rsidRDefault="00E13DFB" w:rsidP="00E13DFB">
      <w:pPr>
        <w:pStyle w:val="FootnoteText"/>
      </w:pPr>
      <w:r w:rsidRPr="00237616">
        <w:rPr>
          <w:rStyle w:val="FootnoteReference"/>
        </w:rPr>
        <w:footnoteRef/>
      </w:r>
      <w:r w:rsidRPr="00237616">
        <w:t xml:space="preserve"> </w:t>
      </w:r>
      <w:r w:rsidRPr="00237616">
        <w:tab/>
        <w:t xml:space="preserve">Te Aka Matua o te Ture | Law Commission </w:t>
      </w:r>
      <w:r w:rsidRPr="00237616">
        <w:rPr>
          <w:i/>
          <w:iCs/>
        </w:rPr>
        <w:t xml:space="preserve">The 2013 Review of the Evidence Act 2006 </w:t>
      </w:r>
      <w:r w:rsidRPr="00237616">
        <w:t>(NZLC R127, 2013) at [10.123].</w:t>
      </w:r>
    </w:p>
  </w:footnote>
  <w:footnote w:id="931">
    <w:p w14:paraId="62886E96" w14:textId="77777777" w:rsidR="00E13DFB" w:rsidRPr="00237616" w:rsidRDefault="00E13DFB" w:rsidP="00E13DFB">
      <w:pPr>
        <w:pStyle w:val="FootnoteText"/>
      </w:pPr>
      <w:r w:rsidRPr="00237616">
        <w:rPr>
          <w:rStyle w:val="FootnoteReference"/>
        </w:rPr>
        <w:footnoteRef/>
      </w:r>
      <w:r w:rsidRPr="00237616">
        <w:t xml:space="preserve"> </w:t>
      </w:r>
      <w:r w:rsidRPr="00237616">
        <w:tab/>
        <w:t xml:space="preserve">Te Aka Matua o te Ture | Law Commission </w:t>
      </w:r>
      <w:r w:rsidRPr="00237616">
        <w:rPr>
          <w:i/>
          <w:iCs/>
        </w:rPr>
        <w:t xml:space="preserve">Evidence Law: Privilege </w:t>
      </w:r>
      <w:r w:rsidRPr="00237616">
        <w:t>(NZLC PP23, 1994) at [290</w:t>
      </w:r>
      <w:r>
        <w:t>]–[</w:t>
      </w:r>
      <w:r w:rsidRPr="00237616">
        <w:t xml:space="preserve">293]. </w:t>
      </w:r>
    </w:p>
  </w:footnote>
  <w:footnote w:id="932">
    <w:p w14:paraId="27076109" w14:textId="77777777" w:rsidR="00E13DFB" w:rsidRPr="00237616" w:rsidRDefault="00E13DFB" w:rsidP="00E13DFB">
      <w:pPr>
        <w:pStyle w:val="FootnoteText"/>
      </w:pPr>
      <w:r w:rsidRPr="00237616">
        <w:rPr>
          <w:rStyle w:val="FootnoteReference"/>
        </w:rPr>
        <w:footnoteRef/>
      </w:r>
      <w:r w:rsidRPr="00237616">
        <w:t xml:space="preserve"> </w:t>
      </w:r>
      <w:r w:rsidRPr="00237616">
        <w:tab/>
        <w:t xml:space="preserve">Te Aka Matua o te Ture | Law Commission </w:t>
      </w:r>
      <w:r w:rsidRPr="00237616">
        <w:rPr>
          <w:i/>
          <w:iCs/>
        </w:rPr>
        <w:t xml:space="preserve">Evidence Law: Privilege </w:t>
      </w:r>
      <w:r w:rsidRPr="00237616">
        <w:t xml:space="preserve">(NZLC PP23, 1994) at [305]. </w:t>
      </w:r>
    </w:p>
  </w:footnote>
  <w:footnote w:id="933">
    <w:p w14:paraId="6122695D" w14:textId="77777777" w:rsidR="00E13DFB" w:rsidRPr="00237616" w:rsidRDefault="00E13DFB" w:rsidP="00E13DFB">
      <w:pPr>
        <w:pStyle w:val="FootnoteText"/>
      </w:pPr>
      <w:r w:rsidRPr="00237616">
        <w:rPr>
          <w:rStyle w:val="FootnoteReference"/>
        </w:rPr>
        <w:footnoteRef/>
      </w:r>
      <w:r w:rsidRPr="00237616">
        <w:t xml:space="preserve"> </w:t>
      </w:r>
      <w:r w:rsidRPr="00237616">
        <w:tab/>
        <w:t xml:space="preserve">Te Aka Matua o te Ture | Law Commission </w:t>
      </w:r>
      <w:r w:rsidRPr="00237616">
        <w:rPr>
          <w:i/>
          <w:iCs/>
        </w:rPr>
        <w:t xml:space="preserve">Evidence Law: Privilege </w:t>
      </w:r>
      <w:r w:rsidRPr="00237616">
        <w:t xml:space="preserve">(NZLC PP23, 1994) at [1]. </w:t>
      </w:r>
    </w:p>
  </w:footnote>
  <w:footnote w:id="934">
    <w:p w14:paraId="0030FF7D" w14:textId="77777777" w:rsidR="00E13DFB" w:rsidRPr="00237616" w:rsidRDefault="00E13DFB" w:rsidP="00E13DFB">
      <w:pPr>
        <w:pStyle w:val="FootnoteText"/>
      </w:pPr>
      <w:r w:rsidRPr="00237616">
        <w:rPr>
          <w:rStyle w:val="FootnoteReference"/>
        </w:rPr>
        <w:footnoteRef/>
      </w:r>
      <w:r w:rsidRPr="00237616">
        <w:t xml:space="preserve"> </w:t>
      </w:r>
      <w:r w:rsidRPr="00237616">
        <w:tab/>
        <w:t xml:space="preserve">See s 7 of the Evidence Further Amendment Act 1885 (No 14) for the first statutory medical privilege provision. This section was confined to civil proceedings </w:t>
      </w:r>
      <w:r>
        <w:t>10</w:t>
      </w:r>
      <w:r w:rsidRPr="00237616">
        <w:t xml:space="preserve"> years later by s 9 of the Evidence Further Amendment Act 1895 (No 10) before being taken forward as s 8 in the Evidence Act 1908. Medical privilege in criminal proceedings was subsequently re-enacted (following consideration of the Torts and General Law Reform Committee) in s 33 of the Evidence Amendment Act (No 2) 1980. </w:t>
      </w:r>
    </w:p>
  </w:footnote>
  <w:footnote w:id="935">
    <w:p w14:paraId="72C604B2" w14:textId="77777777" w:rsidR="00E13DFB" w:rsidRDefault="00E13DFB" w:rsidP="00E13DFB">
      <w:pPr>
        <w:pStyle w:val="FootnoteText"/>
      </w:pPr>
      <w:r w:rsidRPr="00237616">
        <w:rPr>
          <w:rStyle w:val="FootnoteReference"/>
        </w:rPr>
        <w:footnoteRef/>
      </w:r>
      <w:r w:rsidRPr="00237616">
        <w:t xml:space="preserve"> </w:t>
      </w:r>
      <w:r w:rsidRPr="00237616">
        <w:tab/>
        <w:t xml:space="preserve">Torts and General Law Reform Committee </w:t>
      </w:r>
      <w:r w:rsidRPr="00237616">
        <w:rPr>
          <w:i/>
          <w:iCs/>
        </w:rPr>
        <w:t xml:space="preserve">Professional Privilege in the Law of Evidence </w:t>
      </w:r>
      <w:r>
        <w:t>(</w:t>
      </w:r>
      <w:r w:rsidRPr="00237616">
        <w:t>March 1977</w:t>
      </w:r>
      <w:r>
        <w:t>) a</w:t>
      </w:r>
      <w:r w:rsidRPr="00237616">
        <w:t>t Appendix I “Report on Medical Privilege”.</w:t>
      </w:r>
    </w:p>
  </w:footnote>
  <w:footnote w:id="936">
    <w:p w14:paraId="31AF19E7" w14:textId="77777777" w:rsidR="00E13DFB" w:rsidRPr="002903C5" w:rsidRDefault="00E13DFB" w:rsidP="00E13DFB">
      <w:pPr>
        <w:pStyle w:val="FootnoteText"/>
      </w:pPr>
      <w:r w:rsidRPr="002903C5">
        <w:rPr>
          <w:rStyle w:val="FootnoteReference"/>
        </w:rPr>
        <w:footnoteRef/>
      </w:r>
      <w:r w:rsidRPr="002903C5">
        <w:t xml:space="preserve"> </w:t>
      </w:r>
      <w:r w:rsidRPr="002903C5">
        <w:tab/>
        <w:t xml:space="preserve">Evidence Amendment Act (No 2) 1980, s 33(3). </w:t>
      </w:r>
    </w:p>
  </w:footnote>
  <w:footnote w:id="937">
    <w:p w14:paraId="258170BC" w14:textId="77777777" w:rsidR="00E13DFB" w:rsidRPr="002903C5" w:rsidRDefault="00E13DFB" w:rsidP="00E13DFB">
      <w:pPr>
        <w:pStyle w:val="FootnoteText"/>
      </w:pPr>
      <w:r w:rsidRPr="002903C5">
        <w:rPr>
          <w:rStyle w:val="FootnoteReference"/>
        </w:rPr>
        <w:footnoteRef/>
      </w:r>
      <w:r w:rsidRPr="002903C5">
        <w:t xml:space="preserve"> </w:t>
      </w:r>
      <w:r w:rsidRPr="002903C5">
        <w:tab/>
        <w:t xml:space="preserve">Evidence Amendment Act 1989 (No 104), s 4. </w:t>
      </w:r>
    </w:p>
  </w:footnote>
  <w:footnote w:id="938">
    <w:p w14:paraId="71CEB083" w14:textId="77777777" w:rsidR="00E13DFB" w:rsidRPr="002903C5" w:rsidRDefault="00E13DFB" w:rsidP="00E13DFB">
      <w:pPr>
        <w:pStyle w:val="FootnoteText"/>
      </w:pPr>
      <w:r w:rsidRPr="002903C5">
        <w:rPr>
          <w:rStyle w:val="FootnoteReference"/>
        </w:rPr>
        <w:footnoteRef/>
      </w:r>
      <w:r w:rsidRPr="002903C5">
        <w:t xml:space="preserve"> </w:t>
      </w:r>
      <w:r w:rsidRPr="002903C5">
        <w:tab/>
        <w:t xml:space="preserve">Te Aka Matua o te Ture | Law Commission </w:t>
      </w:r>
      <w:r w:rsidRPr="002903C5">
        <w:rPr>
          <w:i/>
          <w:iCs/>
        </w:rPr>
        <w:t xml:space="preserve">Evidence Law: Privilege </w:t>
      </w:r>
      <w:r w:rsidRPr="002903C5">
        <w:t xml:space="preserve">(NZLC PP23, 1994) at [307]. </w:t>
      </w:r>
    </w:p>
  </w:footnote>
  <w:footnote w:id="939">
    <w:p w14:paraId="21569817" w14:textId="77777777" w:rsidR="00E13DFB" w:rsidRPr="002903C5" w:rsidRDefault="00E13DFB" w:rsidP="00E13DFB">
      <w:pPr>
        <w:pStyle w:val="FootnoteText"/>
      </w:pPr>
      <w:r w:rsidRPr="002903C5">
        <w:rPr>
          <w:rStyle w:val="FootnoteReference"/>
        </w:rPr>
        <w:footnoteRef/>
      </w:r>
      <w:r w:rsidRPr="002903C5">
        <w:t xml:space="preserve"> </w:t>
      </w:r>
      <w:r w:rsidRPr="002903C5">
        <w:tab/>
        <w:t>On the basis that relevant cases would be better served by a proposed discretionary provision to apply to confidential information generally</w:t>
      </w:r>
      <w:r>
        <w:t>:</w:t>
      </w:r>
      <w:r w:rsidRPr="002903C5">
        <w:t xml:space="preserve"> Te Aka Matua o te Ture | Law Commission </w:t>
      </w:r>
      <w:r w:rsidRPr="002903C5">
        <w:rPr>
          <w:i/>
          <w:iCs/>
        </w:rPr>
        <w:t xml:space="preserve">Evidence Law: Privilege </w:t>
      </w:r>
      <w:r w:rsidRPr="002903C5">
        <w:t xml:space="preserve">(NZLC PP23, 1994) at [302]. </w:t>
      </w:r>
    </w:p>
  </w:footnote>
  <w:footnote w:id="940">
    <w:p w14:paraId="12155FA2" w14:textId="77777777" w:rsidR="00E13DFB" w:rsidRDefault="00E13DFB" w:rsidP="00E13DFB">
      <w:pPr>
        <w:pStyle w:val="FootnoteText"/>
      </w:pPr>
      <w:r w:rsidRPr="002903C5">
        <w:rPr>
          <w:rStyle w:val="FootnoteReference"/>
        </w:rPr>
        <w:footnoteRef/>
      </w:r>
      <w:r w:rsidRPr="002903C5">
        <w:t xml:space="preserve"> </w:t>
      </w:r>
      <w:r w:rsidRPr="002903C5">
        <w:tab/>
        <w:t xml:space="preserve">Te Aka Matua o te Ture | Law Commission </w:t>
      </w:r>
      <w:r w:rsidRPr="002903C5">
        <w:rPr>
          <w:i/>
          <w:iCs/>
        </w:rPr>
        <w:t xml:space="preserve">Evidence Law: Privilege </w:t>
      </w:r>
      <w:r w:rsidRPr="002903C5">
        <w:t>(NZLC PP23, 1994) at [308]. In particular, the Commission considered the status of rongoā practitioners and concluded that communications with these practitioners would be protected by the general discretion to protect confidential information</w:t>
      </w:r>
      <w:r>
        <w:t>:</w:t>
      </w:r>
      <w:r w:rsidRPr="002903C5">
        <w:t xml:space="preserve"> Te Aka Matua o te Ture | Law Commission </w:t>
      </w:r>
      <w:r w:rsidRPr="002903C5">
        <w:rPr>
          <w:i/>
          <w:iCs/>
        </w:rPr>
        <w:t>Evidence: Code and Commentary</w:t>
      </w:r>
      <w:r w:rsidRPr="002903C5">
        <w:t xml:space="preserve"> (NZLC R55 Vol 2, 1999) at 157.</w:t>
      </w:r>
      <w:r>
        <w:t xml:space="preserve"> </w:t>
      </w:r>
    </w:p>
  </w:footnote>
  <w:footnote w:id="941">
    <w:p w14:paraId="590282F2" w14:textId="77777777" w:rsidR="00E13DFB" w:rsidRPr="001F6256" w:rsidRDefault="00E13DFB" w:rsidP="00E13DFB">
      <w:pPr>
        <w:pStyle w:val="FootnoteText"/>
      </w:pPr>
      <w:r w:rsidRPr="001F6256">
        <w:rPr>
          <w:rStyle w:val="FootnoteReference"/>
        </w:rPr>
        <w:footnoteRef/>
      </w:r>
      <w:r w:rsidRPr="001F6256">
        <w:t xml:space="preserve"> </w:t>
      </w:r>
      <w:r w:rsidRPr="001F6256">
        <w:tab/>
        <w:t xml:space="preserve">See, for example, </w:t>
      </w:r>
      <w:r w:rsidRPr="001F6256">
        <w:rPr>
          <w:i/>
          <w:iCs/>
        </w:rPr>
        <w:t xml:space="preserve">R v King </w:t>
      </w:r>
      <w:r w:rsidRPr="001F6256">
        <w:t xml:space="preserve">CA162/05 18 July 2005 where evidence of admissions of further offending made to a psychiatrist and psychologist for the purpose of an assessment for preventive detention was admissible in the defendant’s retrial, where additional charges were added based on the information disclosed. </w:t>
      </w:r>
    </w:p>
  </w:footnote>
  <w:footnote w:id="942">
    <w:p w14:paraId="5066677D" w14:textId="77777777" w:rsidR="00E13DFB" w:rsidRPr="001F6256" w:rsidRDefault="00E13DFB" w:rsidP="00E13DFB">
      <w:pPr>
        <w:pStyle w:val="FootnoteText"/>
      </w:pPr>
      <w:r w:rsidRPr="001F6256">
        <w:rPr>
          <w:rStyle w:val="FootnoteReference"/>
        </w:rPr>
        <w:footnoteRef/>
      </w:r>
      <w:r w:rsidRPr="001F6256">
        <w:t xml:space="preserve"> </w:t>
      </w:r>
      <w:r w:rsidRPr="001F6256">
        <w:tab/>
        <w:t xml:space="preserve">Te Aka Matua o te Ture | Law Commission </w:t>
      </w:r>
      <w:r w:rsidRPr="001F6256">
        <w:rPr>
          <w:i/>
          <w:iCs/>
        </w:rPr>
        <w:t xml:space="preserve">The 2013 Review of the Evidence Act 2006 </w:t>
      </w:r>
      <w:r w:rsidRPr="001F6256">
        <w:t>(NZLC R127, 2013) at [10.111</w:t>
      </w:r>
      <w:r>
        <w:t>]–</w:t>
      </w:r>
      <w:r w:rsidRPr="001F6256">
        <w:t xml:space="preserve">[10.119]. </w:t>
      </w:r>
    </w:p>
  </w:footnote>
  <w:footnote w:id="943">
    <w:p w14:paraId="039CFDA1" w14:textId="77777777" w:rsidR="00E13DFB" w:rsidRPr="001F6256" w:rsidRDefault="00E13DFB" w:rsidP="00E13DFB">
      <w:pPr>
        <w:pStyle w:val="FootnoteText"/>
      </w:pPr>
      <w:r w:rsidRPr="001F6256">
        <w:rPr>
          <w:rStyle w:val="FootnoteReference"/>
        </w:rPr>
        <w:footnoteRef/>
      </w:r>
      <w:r w:rsidRPr="001F6256">
        <w:t xml:space="preserve"> </w:t>
      </w:r>
      <w:r w:rsidRPr="001F6256">
        <w:tab/>
        <w:t xml:space="preserve">Torts and General Law Reform Committee </w:t>
      </w:r>
      <w:r w:rsidRPr="001F6256">
        <w:rPr>
          <w:i/>
          <w:iCs/>
        </w:rPr>
        <w:t xml:space="preserve">Professional Privilege in the Law of Evidence </w:t>
      </w:r>
      <w:r w:rsidRPr="001F6256">
        <w:t>(March 1977) at Appendix I, “Report on Medical Privilege” 13; Evidence Amendment Act (No 2) 1980 s 32(2)(a) dealt with medical privilege in civil proceedings and held that it did not apply “in respect of any proceeding in which the sanity, testamentary capacity or other legal capacity of the patient is the matter in dispute</w:t>
      </w:r>
      <w:r>
        <w:t>”.</w:t>
      </w:r>
    </w:p>
  </w:footnote>
  <w:footnote w:id="944">
    <w:p w14:paraId="38BACD73" w14:textId="77777777" w:rsidR="00E13DFB" w:rsidRPr="001F6256" w:rsidRDefault="00E13DFB" w:rsidP="00E13DFB">
      <w:pPr>
        <w:pStyle w:val="FootnoteText"/>
      </w:pPr>
      <w:r w:rsidRPr="001F6256">
        <w:rPr>
          <w:rStyle w:val="FootnoteReference"/>
        </w:rPr>
        <w:footnoteRef/>
      </w:r>
      <w:r w:rsidRPr="001F6256">
        <w:t xml:space="preserve"> </w:t>
      </w:r>
      <w:r w:rsidRPr="001F6256">
        <w:tab/>
        <w:t xml:space="preserve">Te Aka Matua o te Ture | Law Commission </w:t>
      </w:r>
      <w:r w:rsidRPr="001F6256">
        <w:rPr>
          <w:i/>
          <w:iCs/>
        </w:rPr>
        <w:t xml:space="preserve">Evidence: Reform of the Law </w:t>
      </w:r>
      <w:r w:rsidRPr="001F6256">
        <w:t>(NZLC R55 Vol 1, 1999) at [270] (emphasis added).</w:t>
      </w:r>
    </w:p>
  </w:footnote>
  <w:footnote w:id="945">
    <w:p w14:paraId="716884F3" w14:textId="77777777" w:rsidR="00E13DFB" w:rsidRPr="001F6256" w:rsidRDefault="00E13DFB" w:rsidP="00E13DFB">
      <w:pPr>
        <w:pStyle w:val="FootnoteText"/>
      </w:pPr>
      <w:r w:rsidRPr="001F6256">
        <w:rPr>
          <w:rStyle w:val="FootnoteReference"/>
        </w:rPr>
        <w:footnoteRef/>
      </w:r>
      <w:r w:rsidRPr="001F6256">
        <w:t xml:space="preserve"> </w:t>
      </w:r>
      <w:r w:rsidRPr="001F6256">
        <w:tab/>
        <w:t xml:space="preserve">Te Aka Matua o te Ture | Law Commission </w:t>
      </w:r>
      <w:r w:rsidRPr="001F6256">
        <w:rPr>
          <w:i/>
          <w:iCs/>
        </w:rPr>
        <w:t xml:space="preserve">Evidence: Evidence Code and Commentary </w:t>
      </w:r>
      <w:r w:rsidRPr="001F6256">
        <w:t>(NZLC R55 Vol 2, 1999)</w:t>
      </w:r>
      <w:r>
        <w:t xml:space="preserve"> at 156</w:t>
      </w:r>
      <w:r w:rsidRPr="001F6256">
        <w:t>.</w:t>
      </w:r>
    </w:p>
  </w:footnote>
  <w:footnote w:id="946">
    <w:p w14:paraId="51C145C1" w14:textId="77777777" w:rsidR="00E13DFB" w:rsidRPr="001F6256" w:rsidRDefault="00E13DFB" w:rsidP="00E13DFB">
      <w:pPr>
        <w:pStyle w:val="FootnoteText"/>
        <w:rPr>
          <w:b/>
          <w:bCs/>
        </w:rPr>
      </w:pPr>
      <w:r w:rsidRPr="001F6256">
        <w:rPr>
          <w:rStyle w:val="FootnoteReference"/>
          <w:sz w:val="16"/>
          <w:szCs w:val="22"/>
        </w:rPr>
        <w:footnoteRef/>
      </w:r>
      <w:r w:rsidRPr="001F6256">
        <w:rPr>
          <w:sz w:val="16"/>
          <w:szCs w:val="22"/>
        </w:rPr>
        <w:t xml:space="preserve"> </w:t>
      </w:r>
      <w:r w:rsidRPr="001F6256">
        <w:rPr>
          <w:sz w:val="16"/>
          <w:szCs w:val="22"/>
        </w:rPr>
        <w:tab/>
        <w:t>Evidence Bill 2005 (256-1) cl 55(1)(b).</w:t>
      </w:r>
      <w:r w:rsidRPr="003A6E53">
        <w:rPr>
          <w:sz w:val="16"/>
          <w:szCs w:val="22"/>
        </w:rPr>
        <w:t xml:space="preserve"> </w:t>
      </w:r>
    </w:p>
  </w:footnote>
  <w:footnote w:id="947">
    <w:p w14:paraId="7E9DD11B" w14:textId="77777777" w:rsidR="00E13DFB" w:rsidRPr="00077B53" w:rsidRDefault="00E13DFB" w:rsidP="00E13DFB">
      <w:pPr>
        <w:pStyle w:val="FootnoteText"/>
        <w:rPr>
          <w:szCs w:val="15"/>
        </w:rPr>
      </w:pPr>
      <w:r w:rsidRPr="00077B53">
        <w:rPr>
          <w:rStyle w:val="FootnoteReference"/>
          <w:szCs w:val="15"/>
        </w:rPr>
        <w:footnoteRef/>
      </w:r>
      <w:r w:rsidRPr="00077B53">
        <w:rPr>
          <w:szCs w:val="15"/>
        </w:rPr>
        <w:t xml:space="preserve"> </w:t>
      </w:r>
      <w:r w:rsidRPr="00077B53">
        <w:rPr>
          <w:szCs w:val="15"/>
        </w:rPr>
        <w:tab/>
        <w:t xml:space="preserve">See, for example, the limited reference to s 59(1)(b) in </w:t>
      </w:r>
      <w:r w:rsidRPr="00077B53">
        <w:rPr>
          <w:i/>
          <w:iCs/>
          <w:szCs w:val="15"/>
        </w:rPr>
        <w:t xml:space="preserve">R v Tamati </w:t>
      </w:r>
      <w:r w:rsidRPr="00077B53">
        <w:rPr>
          <w:szCs w:val="15"/>
        </w:rPr>
        <w:t xml:space="preserve">[2021] NZHC 1451 HC. This did not comment on the meaning of “any other purpose”. </w:t>
      </w:r>
    </w:p>
  </w:footnote>
  <w:footnote w:id="948">
    <w:p w14:paraId="076BEA67" w14:textId="77777777" w:rsidR="00E13DFB" w:rsidRPr="00077B53" w:rsidRDefault="00E13DFB" w:rsidP="00E13DFB">
      <w:pPr>
        <w:pStyle w:val="FootnoteText"/>
        <w:rPr>
          <w:szCs w:val="15"/>
        </w:rPr>
      </w:pPr>
      <w:r w:rsidRPr="00077B53">
        <w:rPr>
          <w:rStyle w:val="FootnoteReference"/>
          <w:szCs w:val="15"/>
        </w:rPr>
        <w:footnoteRef/>
      </w:r>
      <w:r w:rsidRPr="00077B53">
        <w:rPr>
          <w:szCs w:val="15"/>
        </w:rPr>
        <w:t xml:space="preserve"> </w:t>
      </w:r>
      <w:r w:rsidRPr="00077B53">
        <w:rPr>
          <w:szCs w:val="15"/>
        </w:rPr>
        <w:tab/>
        <w:t xml:space="preserve">Te Aka Matua o te Ture | Law Commission </w:t>
      </w:r>
      <w:r w:rsidRPr="00077B53">
        <w:rPr>
          <w:i/>
          <w:iCs/>
          <w:szCs w:val="15"/>
        </w:rPr>
        <w:t xml:space="preserve">The 2013 Review of the Evidence Act 2006 </w:t>
      </w:r>
      <w:r w:rsidRPr="00077B53">
        <w:rPr>
          <w:szCs w:val="15"/>
        </w:rPr>
        <w:t>(NZLC R127, 2013) at [10.107].</w:t>
      </w:r>
    </w:p>
  </w:footnote>
  <w:footnote w:id="949">
    <w:p w14:paraId="520C32FB" w14:textId="77777777" w:rsidR="00E13DFB" w:rsidRPr="00077B53" w:rsidRDefault="00E13DFB" w:rsidP="00E13DFB">
      <w:pPr>
        <w:pStyle w:val="FootnoteText"/>
        <w:rPr>
          <w:szCs w:val="15"/>
        </w:rPr>
      </w:pPr>
      <w:r w:rsidRPr="00077B53">
        <w:rPr>
          <w:rStyle w:val="FootnoteReference"/>
          <w:szCs w:val="15"/>
        </w:rPr>
        <w:footnoteRef/>
      </w:r>
      <w:r w:rsidRPr="00077B53">
        <w:rPr>
          <w:szCs w:val="15"/>
        </w:rPr>
        <w:t xml:space="preserve"> </w:t>
      </w:r>
      <w:r w:rsidRPr="00077B53">
        <w:rPr>
          <w:szCs w:val="15"/>
        </w:rPr>
        <w:tab/>
        <w:t xml:space="preserve">Te Aka Matua o te Ture | Law Commission </w:t>
      </w:r>
      <w:r w:rsidRPr="00077B53">
        <w:rPr>
          <w:i/>
          <w:iCs/>
          <w:szCs w:val="15"/>
        </w:rPr>
        <w:t xml:space="preserve">The 2013 Review of the Evidence Act 2006 </w:t>
      </w:r>
      <w:r w:rsidRPr="00077B53">
        <w:rPr>
          <w:szCs w:val="15"/>
        </w:rPr>
        <w:t xml:space="preserve">(NZLC R127, 2013) at [10.109]. </w:t>
      </w:r>
    </w:p>
  </w:footnote>
  <w:footnote w:id="950">
    <w:p w14:paraId="390C9E8D" w14:textId="77777777" w:rsidR="00E13DFB" w:rsidRPr="00077B53" w:rsidRDefault="00E13DFB" w:rsidP="00E13DFB">
      <w:pPr>
        <w:pStyle w:val="FootnoteText"/>
        <w:rPr>
          <w:szCs w:val="15"/>
        </w:rPr>
      </w:pPr>
      <w:r w:rsidRPr="00077B53">
        <w:rPr>
          <w:rStyle w:val="FootnoteReference"/>
          <w:szCs w:val="15"/>
        </w:rPr>
        <w:footnoteRef/>
      </w:r>
      <w:r w:rsidRPr="00077B53">
        <w:rPr>
          <w:szCs w:val="15"/>
        </w:rPr>
        <w:t xml:space="preserve"> </w:t>
      </w:r>
      <w:r w:rsidRPr="00077B53">
        <w:rPr>
          <w:szCs w:val="15"/>
        </w:rPr>
        <w:tab/>
        <w:t xml:space="preserve">Te Aka Matua o te Ture | Law Commission </w:t>
      </w:r>
      <w:r w:rsidRPr="00077B53">
        <w:rPr>
          <w:i/>
          <w:iCs/>
          <w:szCs w:val="15"/>
        </w:rPr>
        <w:t xml:space="preserve">The 2013 Review of the Evidence Act 2006 </w:t>
      </w:r>
      <w:r w:rsidRPr="00077B53">
        <w:rPr>
          <w:szCs w:val="15"/>
        </w:rPr>
        <w:t xml:space="preserve">(NZLC R127, 2013) at [10.111]. </w:t>
      </w:r>
    </w:p>
  </w:footnote>
  <w:footnote w:id="951">
    <w:p w14:paraId="342B591F" w14:textId="77777777" w:rsidR="00E13DFB" w:rsidRPr="00077B53" w:rsidRDefault="00E13DFB" w:rsidP="00E13DFB">
      <w:pPr>
        <w:pStyle w:val="FootnoteText"/>
      </w:pPr>
      <w:r w:rsidRPr="00077B53">
        <w:rPr>
          <w:rStyle w:val="FootnoteReference"/>
          <w:szCs w:val="15"/>
        </w:rPr>
        <w:footnoteRef/>
      </w:r>
      <w:r w:rsidRPr="00077B53">
        <w:rPr>
          <w:szCs w:val="15"/>
        </w:rPr>
        <w:t xml:space="preserve"> </w:t>
      </w:r>
      <w:r w:rsidRPr="00077B53">
        <w:rPr>
          <w:szCs w:val="15"/>
        </w:rPr>
        <w:tab/>
        <w:t>At para [</w:t>
      </w:r>
      <w:r>
        <w:rPr>
          <w:szCs w:val="15"/>
        </w:rPr>
        <w:t>12.12</w:t>
      </w:r>
      <w:r w:rsidRPr="00077B53">
        <w:rPr>
          <w:szCs w:val="15"/>
        </w:rPr>
        <w:t>].</w:t>
      </w:r>
      <w:r w:rsidRPr="00077B53">
        <w:t xml:space="preserve"> </w:t>
      </w:r>
    </w:p>
  </w:footnote>
  <w:footnote w:id="952">
    <w:p w14:paraId="7E06C230" w14:textId="77777777" w:rsidR="00E13DFB" w:rsidRPr="005327C6" w:rsidRDefault="00E13DFB" w:rsidP="00E13DFB">
      <w:pPr>
        <w:pStyle w:val="FootnoteText"/>
      </w:pPr>
      <w:r w:rsidRPr="00077B53">
        <w:rPr>
          <w:rStyle w:val="FootnoteReference"/>
        </w:rPr>
        <w:footnoteRef/>
      </w:r>
      <w:r w:rsidRPr="00077B53">
        <w:t xml:space="preserve"> </w:t>
      </w:r>
      <w:r w:rsidRPr="00077B53">
        <w:tab/>
        <w:t xml:space="preserve">Te Aka Matua o te Ture | Law Commission </w:t>
      </w:r>
      <w:r w:rsidRPr="00077B53">
        <w:rPr>
          <w:i/>
          <w:iCs/>
        </w:rPr>
        <w:t xml:space="preserve">The 2013 Review of the Evidence Act 2006 </w:t>
      </w:r>
      <w:r w:rsidRPr="00077B53">
        <w:t>(NZLC R127, 2013) at [10.109].</w:t>
      </w:r>
      <w:r>
        <w:t xml:space="preserve"> </w:t>
      </w:r>
    </w:p>
  </w:footnote>
  <w:footnote w:id="953">
    <w:p w14:paraId="6454BA06" w14:textId="77777777" w:rsidR="00E13DFB" w:rsidRPr="00CA282D" w:rsidRDefault="00E13DFB" w:rsidP="00E13DFB">
      <w:pPr>
        <w:pStyle w:val="FootnoteText"/>
      </w:pPr>
      <w:r w:rsidRPr="00CA282D">
        <w:rPr>
          <w:rStyle w:val="FootnoteReference"/>
        </w:rPr>
        <w:footnoteRef/>
      </w:r>
      <w:r w:rsidRPr="00CA282D">
        <w:t xml:space="preserve"> </w:t>
      </w:r>
      <w:r w:rsidRPr="00CA282D">
        <w:tab/>
        <w:t xml:space="preserve">The Mental Health (Compulsory Treatment and Assessment) Act 1992 governs the compulsory assessment or treatment of individuals experiencing a mental disorder. Applications for compulsory treatment orders are heard by a Family Court or District Court Judge (s 17) who will then make a determination of whether or not a compulsory treatment order is necessary (s 27) and if so, whether the order will be for community or inpatient treatment (s 28). </w:t>
      </w:r>
    </w:p>
  </w:footnote>
  <w:footnote w:id="954">
    <w:p w14:paraId="21716B7F" w14:textId="77777777" w:rsidR="00E13DFB" w:rsidRDefault="00E13DFB" w:rsidP="00E13DFB">
      <w:pPr>
        <w:pStyle w:val="FootnoteText"/>
      </w:pPr>
      <w:r w:rsidRPr="00CA282D">
        <w:rPr>
          <w:rStyle w:val="FootnoteReference"/>
        </w:rPr>
        <w:footnoteRef/>
      </w:r>
      <w:r w:rsidRPr="00CA282D">
        <w:t xml:space="preserve"> </w:t>
      </w:r>
      <w:r w:rsidRPr="00CA282D">
        <w:tab/>
        <w:t xml:space="preserve">In </w:t>
      </w:r>
      <w:r w:rsidRPr="00CA282D">
        <w:rPr>
          <w:i/>
          <w:iCs/>
        </w:rPr>
        <w:t xml:space="preserve">R v X (CA553/2009) </w:t>
      </w:r>
      <w:r w:rsidRPr="00CA282D">
        <w:t>[2009] NZCA 531, [2010] 2 NZLR 181, the majority did not believe that there was a firm enough evidential basis for the assertion that there was a risk of harm to the relationship between patients and forensic nurses such that it would inhibit individuals from participating in the examination. Ronald Young J delivered a dissenting judgment where he took the view that any suggestion that the process will be used to obtain information “by the back door” would compromise the assessment process. The Law Commission has also noted scepticism about the argument that the existence (or non-existence) of a privilege makes a difference to people</w:t>
      </w:r>
      <w:r>
        <w:t>’</w:t>
      </w:r>
      <w:r w:rsidRPr="00CA282D">
        <w:t xml:space="preserve">s behaviour, largely due to the lack of empirical evidence to support it: Te Aka Matua o te Ture | Law Commission </w:t>
      </w:r>
      <w:r w:rsidRPr="00CA282D">
        <w:rPr>
          <w:i/>
          <w:iCs/>
        </w:rPr>
        <w:t xml:space="preserve">Evidence Law: Privilege </w:t>
      </w:r>
      <w:r w:rsidRPr="00CA282D">
        <w:t>(NZLC PP23, 1994) at [291].</w:t>
      </w:r>
    </w:p>
  </w:footnote>
  <w:footnote w:id="955">
    <w:p w14:paraId="1735AF85" w14:textId="77777777" w:rsidR="00E13DFB" w:rsidRDefault="00E13DFB" w:rsidP="00E13DFB">
      <w:pPr>
        <w:pStyle w:val="FootnoteText"/>
      </w:pPr>
      <w:r w:rsidRPr="00CA282D">
        <w:rPr>
          <w:rStyle w:val="FootnoteReference"/>
        </w:rPr>
        <w:footnoteRef/>
      </w:r>
      <w:r w:rsidRPr="00CA282D">
        <w:t xml:space="preserve"> </w:t>
      </w:r>
      <w:r w:rsidRPr="00CA282D">
        <w:tab/>
        <w:t>See</w:t>
      </w:r>
      <w:r>
        <w:t>,</w:t>
      </w:r>
      <w:r w:rsidRPr="00CA282D">
        <w:t xml:space="preserve"> for example, Rules 10 and 11 of the Health Information Privacy Code 2020.</w:t>
      </w:r>
      <w:r>
        <w:t xml:space="preserve"> </w:t>
      </w:r>
    </w:p>
  </w:footnote>
  <w:footnote w:id="956">
    <w:p w14:paraId="019B46A1" w14:textId="77777777" w:rsidR="00E13DFB" w:rsidRDefault="00E13DFB" w:rsidP="00E13DFB">
      <w:pPr>
        <w:pStyle w:val="FootnoteText"/>
      </w:pPr>
      <w:r>
        <w:rPr>
          <w:rStyle w:val="FootnoteReference"/>
        </w:rPr>
        <w:footnoteRef/>
      </w:r>
      <w:r>
        <w:t xml:space="preserve"> </w:t>
      </w:r>
      <w:r>
        <w:tab/>
      </w:r>
      <w:r w:rsidRPr="00CA282D">
        <w:t>Evidence Act 2006, s 57(3)(c): “This section does not apply to… the use in a proceeding, solely for the purposes of an award of costs, of a written offer that (i) is expressly stated to be without prejudice except as to costs; and (ii) relates to an issue in the proceeding</w:t>
      </w:r>
      <w:r>
        <w:t xml:space="preserve">”. </w:t>
      </w:r>
    </w:p>
  </w:footnote>
  <w:footnote w:id="957">
    <w:p w14:paraId="3CF142A4" w14:textId="77777777" w:rsidR="00E13DFB" w:rsidRPr="00776661" w:rsidRDefault="00E13DFB" w:rsidP="00E13DFB">
      <w:pPr>
        <w:pStyle w:val="FootnoteText"/>
        <w:rPr>
          <w:sz w:val="16"/>
          <w:szCs w:val="16"/>
        </w:rPr>
      </w:pPr>
      <w:r w:rsidRPr="00776661">
        <w:rPr>
          <w:rStyle w:val="FootnoteReference"/>
          <w:sz w:val="16"/>
          <w:szCs w:val="16"/>
        </w:rPr>
        <w:footnoteRef/>
      </w:r>
      <w:r w:rsidRPr="00776661">
        <w:rPr>
          <w:sz w:val="16"/>
          <w:szCs w:val="16"/>
        </w:rPr>
        <w:t xml:space="preserve"> </w:t>
      </w:r>
      <w:r>
        <w:rPr>
          <w:sz w:val="16"/>
          <w:szCs w:val="16"/>
        </w:rPr>
        <w:tab/>
      </w:r>
      <w:r w:rsidRPr="00776661">
        <w:rPr>
          <w:sz w:val="16"/>
          <w:szCs w:val="16"/>
        </w:rPr>
        <w:t>These are the circumstances in which court-ordered assessments will most frequently arise.</w:t>
      </w:r>
    </w:p>
  </w:footnote>
  <w:footnote w:id="958">
    <w:p w14:paraId="0E96513E" w14:textId="77777777" w:rsidR="00E13DFB" w:rsidRPr="009E77BB" w:rsidRDefault="00E13DFB" w:rsidP="00E13DFB">
      <w:pPr>
        <w:pStyle w:val="FootnoteText"/>
      </w:pPr>
      <w:r w:rsidRPr="009E77BB">
        <w:rPr>
          <w:rStyle w:val="FootnoteReference"/>
        </w:rPr>
        <w:footnoteRef/>
      </w:r>
      <w:r w:rsidRPr="009E77BB">
        <w:t xml:space="preserve"> </w:t>
      </w:r>
      <w:r w:rsidRPr="009E77BB">
        <w:tab/>
        <w:t xml:space="preserve">See s 7 of the Evidence Further Amendment Act 1885 (No 14); s 9 of the Evidence Amendment Act 1895 (No 10); and s 8 of the Evidence Act 1908. </w:t>
      </w:r>
    </w:p>
  </w:footnote>
  <w:footnote w:id="959">
    <w:p w14:paraId="37B7774A" w14:textId="77777777" w:rsidR="00E13DFB" w:rsidRPr="009E77BB" w:rsidRDefault="00E13DFB" w:rsidP="00E13DFB">
      <w:pPr>
        <w:pStyle w:val="FootnoteText"/>
      </w:pPr>
      <w:r w:rsidRPr="009E77BB">
        <w:rPr>
          <w:rStyle w:val="FootnoteReference"/>
        </w:rPr>
        <w:footnoteRef/>
      </w:r>
      <w:r w:rsidRPr="009E77BB">
        <w:t xml:space="preserve"> </w:t>
      </w:r>
      <w:r w:rsidRPr="009E77BB">
        <w:tab/>
        <w:t xml:space="preserve">Torts and General Law Reform Committee </w:t>
      </w:r>
      <w:r w:rsidRPr="009E77BB">
        <w:rPr>
          <w:i/>
          <w:iCs/>
        </w:rPr>
        <w:t xml:space="preserve">Professional Privilege in the Law of Evidence </w:t>
      </w:r>
      <w:r w:rsidRPr="009E77BB">
        <w:t xml:space="preserve">(March 1977) at Appendix I “Report on Medical Privilege” </w:t>
      </w:r>
      <w:r>
        <w:t xml:space="preserve">at </w:t>
      </w:r>
      <w:r w:rsidRPr="009E77BB">
        <w:t xml:space="preserve">16. </w:t>
      </w:r>
    </w:p>
  </w:footnote>
  <w:footnote w:id="960">
    <w:p w14:paraId="14681B77" w14:textId="77777777" w:rsidR="00E13DFB" w:rsidRPr="009E77BB" w:rsidRDefault="00E13DFB" w:rsidP="00E13DFB">
      <w:pPr>
        <w:pStyle w:val="FootnoteText"/>
      </w:pPr>
      <w:r w:rsidRPr="009E77BB">
        <w:rPr>
          <w:rStyle w:val="FootnoteReference"/>
        </w:rPr>
        <w:footnoteRef/>
      </w:r>
      <w:r w:rsidRPr="009E77BB">
        <w:t xml:space="preserve"> </w:t>
      </w:r>
      <w:r w:rsidRPr="009E77BB">
        <w:tab/>
        <w:t xml:space="preserve">Torts and General Law Reform Committee </w:t>
      </w:r>
      <w:r w:rsidRPr="009E77BB">
        <w:rPr>
          <w:i/>
          <w:iCs/>
        </w:rPr>
        <w:t xml:space="preserve">Professional Privilege in the Law of Evidence </w:t>
      </w:r>
      <w:r w:rsidRPr="009E77BB">
        <w:t xml:space="preserve">(March 1977) at Appendix I “Report on Medical Privilege” </w:t>
      </w:r>
      <w:r>
        <w:t xml:space="preserve">at </w:t>
      </w:r>
      <w:r w:rsidRPr="009E77BB">
        <w:t xml:space="preserve">15. </w:t>
      </w:r>
    </w:p>
  </w:footnote>
  <w:footnote w:id="961">
    <w:p w14:paraId="78F265F0" w14:textId="77777777" w:rsidR="00E13DFB" w:rsidRPr="009E77BB" w:rsidRDefault="00E13DFB" w:rsidP="00E13DFB">
      <w:pPr>
        <w:pStyle w:val="FootnoteText"/>
        <w:rPr>
          <w:b/>
          <w:bCs/>
        </w:rPr>
      </w:pPr>
      <w:r w:rsidRPr="009E77BB">
        <w:rPr>
          <w:rStyle w:val="FootnoteReference"/>
        </w:rPr>
        <w:footnoteRef/>
      </w:r>
      <w:r w:rsidRPr="009E77BB">
        <w:t xml:space="preserve"> </w:t>
      </w:r>
      <w:r w:rsidRPr="009E77BB">
        <w:tab/>
        <w:t xml:space="preserve">Torts and General Law Reform Committee </w:t>
      </w:r>
      <w:r w:rsidRPr="009E77BB">
        <w:rPr>
          <w:i/>
          <w:iCs/>
        </w:rPr>
        <w:t xml:space="preserve">Professional Privilege in the Law of Evidence </w:t>
      </w:r>
      <w:r w:rsidRPr="009E77BB">
        <w:t xml:space="preserve">(March 1977) at Appendix I “Report on Medical Privilege” </w:t>
      </w:r>
      <w:r>
        <w:t xml:space="preserve">at </w:t>
      </w:r>
      <w:r w:rsidRPr="009E77BB">
        <w:t>14</w:t>
      </w:r>
      <w:r>
        <w:t>–</w:t>
      </w:r>
      <w:r w:rsidRPr="009E77BB">
        <w:t xml:space="preserve">17. </w:t>
      </w:r>
    </w:p>
  </w:footnote>
  <w:footnote w:id="962">
    <w:p w14:paraId="063DB3DC" w14:textId="77777777" w:rsidR="00E13DFB" w:rsidRPr="009E77BB" w:rsidRDefault="00E13DFB" w:rsidP="00E13DFB">
      <w:pPr>
        <w:pStyle w:val="FootnoteText"/>
      </w:pPr>
      <w:r w:rsidRPr="009E77BB">
        <w:rPr>
          <w:rStyle w:val="FootnoteReference"/>
        </w:rPr>
        <w:footnoteRef/>
      </w:r>
      <w:r w:rsidRPr="009E77BB">
        <w:t xml:space="preserve"> </w:t>
      </w:r>
      <w:r w:rsidRPr="009E77BB">
        <w:tab/>
        <w:t xml:space="preserve">Torts and General Law Reform Committee </w:t>
      </w:r>
      <w:r w:rsidRPr="009E77BB">
        <w:rPr>
          <w:i/>
          <w:iCs/>
        </w:rPr>
        <w:t xml:space="preserve">Professional Privilege in the Law of Evidence </w:t>
      </w:r>
      <w:r w:rsidRPr="009E77BB">
        <w:t xml:space="preserve">(March 1977) at Appendix I “Report on Medical Privilege” </w:t>
      </w:r>
      <w:r>
        <w:t xml:space="preserve">at </w:t>
      </w:r>
      <w:r w:rsidRPr="009E77BB">
        <w:t xml:space="preserve">15. </w:t>
      </w:r>
    </w:p>
  </w:footnote>
  <w:footnote w:id="963">
    <w:p w14:paraId="0829A238" w14:textId="77777777" w:rsidR="00E13DFB" w:rsidRPr="009E77BB" w:rsidRDefault="00E13DFB" w:rsidP="00E13DFB">
      <w:pPr>
        <w:pStyle w:val="FootnoteText"/>
      </w:pPr>
      <w:r w:rsidRPr="009E77BB">
        <w:rPr>
          <w:rStyle w:val="FootnoteReference"/>
        </w:rPr>
        <w:footnoteRef/>
      </w:r>
      <w:r w:rsidRPr="009E77BB">
        <w:t xml:space="preserve"> </w:t>
      </w:r>
      <w:r w:rsidRPr="009E77BB">
        <w:tab/>
        <w:t xml:space="preserve">Te Aka Matua o te Ture | Law Commission </w:t>
      </w:r>
      <w:r w:rsidRPr="009E77BB">
        <w:rPr>
          <w:i/>
          <w:iCs/>
        </w:rPr>
        <w:t xml:space="preserve">Evidence Law: Privilege </w:t>
      </w:r>
      <w:r w:rsidRPr="009E77BB">
        <w:t>(NZLC PP23, 1994) at [308].</w:t>
      </w:r>
    </w:p>
  </w:footnote>
  <w:footnote w:id="964">
    <w:p w14:paraId="4040E0A9" w14:textId="77777777" w:rsidR="00E13DFB" w:rsidRDefault="00E13DFB" w:rsidP="00E13DFB">
      <w:pPr>
        <w:pStyle w:val="FootnoteText"/>
      </w:pPr>
      <w:r w:rsidRPr="009E77BB">
        <w:rPr>
          <w:rStyle w:val="FootnoteReference"/>
        </w:rPr>
        <w:footnoteRef/>
      </w:r>
      <w:r w:rsidRPr="009E77BB">
        <w:t xml:space="preserve"> </w:t>
      </w:r>
      <w:r w:rsidRPr="009E77BB">
        <w:tab/>
        <w:t xml:space="preserve">Te Aka Matua o te Ture | Law Commission </w:t>
      </w:r>
      <w:r w:rsidRPr="009E77BB">
        <w:rPr>
          <w:i/>
          <w:iCs/>
        </w:rPr>
        <w:t xml:space="preserve">Evidence Law: Privilege </w:t>
      </w:r>
      <w:r w:rsidRPr="009E77BB">
        <w:t xml:space="preserve">(NZLC PP23, 1994) at [308]; Te Aka Matua o te Ture | Law Commission </w:t>
      </w:r>
      <w:r w:rsidRPr="009E77BB">
        <w:rPr>
          <w:i/>
          <w:iCs/>
        </w:rPr>
        <w:t xml:space="preserve">Evidence: Evidence Code and Commentary </w:t>
      </w:r>
      <w:r w:rsidRPr="009E77BB">
        <w:t>(NZLC R55 Vol 2, 1999) at 157.</w:t>
      </w:r>
    </w:p>
  </w:footnote>
  <w:footnote w:id="965">
    <w:p w14:paraId="13F79494" w14:textId="77777777" w:rsidR="00E13DFB" w:rsidRPr="00DE644F" w:rsidRDefault="00E13DFB" w:rsidP="00E13DFB">
      <w:pPr>
        <w:pStyle w:val="FootnoteText"/>
      </w:pPr>
      <w:r w:rsidRPr="00DE644F">
        <w:rPr>
          <w:rStyle w:val="FootnoteReference"/>
        </w:rPr>
        <w:footnoteRef/>
      </w:r>
      <w:r w:rsidRPr="00DE644F">
        <w:t xml:space="preserve"> </w:t>
      </w:r>
      <w:r w:rsidRPr="00DE644F">
        <w:tab/>
        <w:t xml:space="preserve">Te Aka Matua o te Ture | Law Commission </w:t>
      </w:r>
      <w:r w:rsidRPr="00DE644F">
        <w:rPr>
          <w:i/>
          <w:iCs/>
        </w:rPr>
        <w:t xml:space="preserve">The 2013 Review of the Evidence Act 2006 </w:t>
      </w:r>
      <w:r w:rsidRPr="00DE644F">
        <w:t xml:space="preserve">(NZLC R127, 2013) at [10.125]. </w:t>
      </w:r>
    </w:p>
  </w:footnote>
  <w:footnote w:id="966">
    <w:p w14:paraId="1C0BBBCC" w14:textId="77777777" w:rsidR="00E13DFB" w:rsidRPr="00DE644F" w:rsidRDefault="00E13DFB" w:rsidP="00E13DFB">
      <w:pPr>
        <w:pStyle w:val="FootnoteText"/>
      </w:pPr>
      <w:r w:rsidRPr="00DE644F">
        <w:rPr>
          <w:rStyle w:val="FootnoteReference"/>
        </w:rPr>
        <w:footnoteRef/>
      </w:r>
      <w:r w:rsidRPr="00DE644F">
        <w:t xml:space="preserve"> </w:t>
      </w:r>
      <w:r w:rsidRPr="00DE644F">
        <w:tab/>
      </w:r>
      <w:r w:rsidRPr="00DE644F">
        <w:rPr>
          <w:i/>
          <w:iCs/>
        </w:rPr>
        <w:t xml:space="preserve">R v Rapana </w:t>
      </w:r>
      <w:r w:rsidRPr="00DE644F">
        <w:t xml:space="preserve">[1995] 2 NZLR 381 (HC) at 383. In this case, the communications made by Mr Rapana were not privileged as they had been made to a nurse who has “offered to make a preliminary assessment as to whether a formal psychiatric examination of Mr Rapana was required”. </w:t>
      </w:r>
    </w:p>
  </w:footnote>
  <w:footnote w:id="967">
    <w:p w14:paraId="09304646" w14:textId="77777777" w:rsidR="00E13DFB" w:rsidRPr="00DE644F" w:rsidRDefault="00E13DFB" w:rsidP="00E13DFB">
      <w:pPr>
        <w:pStyle w:val="FootnoteText"/>
      </w:pPr>
      <w:r w:rsidRPr="00DE644F">
        <w:rPr>
          <w:rStyle w:val="FootnoteReference"/>
        </w:rPr>
        <w:footnoteRef/>
      </w:r>
      <w:r w:rsidRPr="00DE644F">
        <w:t xml:space="preserve"> </w:t>
      </w:r>
      <w:r w:rsidRPr="00DE644F">
        <w:tab/>
      </w:r>
      <w:r w:rsidRPr="00DE644F">
        <w:rPr>
          <w:i/>
          <w:iCs/>
        </w:rPr>
        <w:t xml:space="preserve">R v Gulliver </w:t>
      </w:r>
      <w:r w:rsidRPr="00DE644F">
        <w:t>9 June 2005</w:t>
      </w:r>
      <w:r>
        <w:t xml:space="preserve"> </w:t>
      </w:r>
      <w:r w:rsidRPr="00DE644F">
        <w:t xml:space="preserve">CA51/05 at [42]. This was on the basis that the section only contemplated “vertical delegation or instruction where the delegate or person instructed is involved in carrying out the course of treatment, or part of it, being undertaken by the clinical psychologist” and not “horizontal” delegation where services are provided independently of the referrer. </w:t>
      </w:r>
    </w:p>
  </w:footnote>
  <w:footnote w:id="968">
    <w:p w14:paraId="1C0491A5" w14:textId="77777777" w:rsidR="00E13DFB" w:rsidRPr="00DE644F" w:rsidRDefault="00E13DFB" w:rsidP="00E13DFB">
      <w:pPr>
        <w:pStyle w:val="FootnoteText"/>
      </w:pPr>
      <w:r w:rsidRPr="00DE644F">
        <w:rPr>
          <w:rStyle w:val="FootnoteReference"/>
        </w:rPr>
        <w:footnoteRef/>
      </w:r>
      <w:r w:rsidRPr="00DE644F">
        <w:t xml:space="preserve"> </w:t>
      </w:r>
      <w:r w:rsidRPr="00DE644F">
        <w:tab/>
      </w:r>
      <w:bookmarkStart w:id="156" w:name="_Hlk126240782"/>
      <w:r w:rsidRPr="00DE644F">
        <w:rPr>
          <w:i/>
          <w:iCs/>
        </w:rPr>
        <w:t xml:space="preserve">R v Hodgson </w:t>
      </w:r>
      <w:r w:rsidRPr="00DE644F">
        <w:t>HC Tim</w:t>
      </w:r>
      <w:r>
        <w:t>aru</w:t>
      </w:r>
      <w:r w:rsidRPr="00DE644F">
        <w:t xml:space="preserve"> CRI-2008-076-001397</w:t>
      </w:r>
      <w:r>
        <w:t xml:space="preserve">, </w:t>
      </w:r>
      <w:r w:rsidRPr="00DE644F">
        <w:t xml:space="preserve">30 March 2009. </w:t>
      </w:r>
      <w:bookmarkEnd w:id="156"/>
    </w:p>
  </w:footnote>
  <w:footnote w:id="969">
    <w:p w14:paraId="765432D7" w14:textId="77777777" w:rsidR="00E13DFB" w:rsidRPr="00DE644F" w:rsidRDefault="00E13DFB" w:rsidP="00E13DFB">
      <w:pPr>
        <w:pStyle w:val="FootnoteText"/>
      </w:pPr>
      <w:r w:rsidRPr="00DE644F">
        <w:rPr>
          <w:rStyle w:val="FootnoteReference"/>
        </w:rPr>
        <w:footnoteRef/>
      </w:r>
      <w:r w:rsidRPr="00DE644F">
        <w:t xml:space="preserve"> </w:t>
      </w:r>
      <w:r w:rsidRPr="00DE644F">
        <w:tab/>
      </w:r>
      <w:r w:rsidRPr="00DE644F">
        <w:rPr>
          <w:i/>
          <w:iCs/>
        </w:rPr>
        <w:t xml:space="preserve">R v Hodgson </w:t>
      </w:r>
      <w:r w:rsidRPr="00DE644F">
        <w:t>HC Tim</w:t>
      </w:r>
      <w:r>
        <w:t>aru</w:t>
      </w:r>
      <w:r w:rsidRPr="00DE644F">
        <w:t xml:space="preserve"> CRI-2008-076-001397</w:t>
      </w:r>
      <w:r>
        <w:t xml:space="preserve">, </w:t>
      </w:r>
      <w:r w:rsidRPr="00DE644F">
        <w:t>30 March 2009</w:t>
      </w:r>
      <w:r>
        <w:t xml:space="preserve"> </w:t>
      </w:r>
      <w:r w:rsidRPr="00DE644F">
        <w:t>at [46]. This point was not challenged on appeal to the Court of Appeal</w:t>
      </w:r>
      <w:r>
        <w:t xml:space="preserve">: </w:t>
      </w:r>
      <w:r w:rsidRPr="00DE644F">
        <w:rPr>
          <w:i/>
          <w:iCs/>
        </w:rPr>
        <w:t xml:space="preserve">R v X </w:t>
      </w:r>
      <w:r w:rsidRPr="00DE644F">
        <w:t>(CA553/2009)</w:t>
      </w:r>
      <w:r w:rsidRPr="00DE644F">
        <w:rPr>
          <w:i/>
          <w:iCs/>
        </w:rPr>
        <w:t xml:space="preserve"> </w:t>
      </w:r>
      <w:r w:rsidRPr="00DE644F">
        <w:t>[2009] NZCA 531, [2010] 2 NZLR 181.</w:t>
      </w:r>
    </w:p>
  </w:footnote>
  <w:footnote w:id="970">
    <w:p w14:paraId="172F6263" w14:textId="77777777" w:rsidR="00E13DFB" w:rsidRPr="00DE644F" w:rsidRDefault="00E13DFB" w:rsidP="00E13DFB">
      <w:pPr>
        <w:pStyle w:val="FootnoteText"/>
        <w:rPr>
          <w:i/>
          <w:iCs/>
        </w:rPr>
      </w:pPr>
      <w:r w:rsidRPr="00DE644F">
        <w:rPr>
          <w:rStyle w:val="FootnoteReference"/>
        </w:rPr>
        <w:footnoteRef/>
      </w:r>
      <w:r w:rsidRPr="00DE644F">
        <w:t xml:space="preserve"> </w:t>
      </w:r>
      <w:r w:rsidRPr="00DE644F">
        <w:tab/>
      </w:r>
      <w:r w:rsidRPr="00DE644F">
        <w:rPr>
          <w:i/>
          <w:iCs/>
        </w:rPr>
        <w:t xml:space="preserve">D (SC 26/2019) v R </w:t>
      </w:r>
      <w:r w:rsidRPr="00DE644F">
        <w:t>[2019] NZSC 72 at [7].</w:t>
      </w:r>
    </w:p>
  </w:footnote>
  <w:footnote w:id="971">
    <w:p w14:paraId="0FDE223F" w14:textId="77777777" w:rsidR="00E13DFB" w:rsidRPr="00DE644F" w:rsidRDefault="00E13DFB" w:rsidP="00E13DFB">
      <w:pPr>
        <w:pStyle w:val="FootnoteText"/>
      </w:pPr>
      <w:r w:rsidRPr="00DE644F">
        <w:rPr>
          <w:rStyle w:val="FootnoteReference"/>
        </w:rPr>
        <w:footnoteRef/>
      </w:r>
      <w:r w:rsidRPr="00DE644F">
        <w:t xml:space="preserve"> </w:t>
      </w:r>
      <w:r w:rsidRPr="00DE644F">
        <w:tab/>
      </w:r>
      <w:r w:rsidRPr="00DE644F">
        <w:rPr>
          <w:i/>
          <w:iCs/>
        </w:rPr>
        <w:t xml:space="preserve">D (CA54/2018) v R </w:t>
      </w:r>
      <w:r w:rsidRPr="00DE644F">
        <w:t xml:space="preserve">[2019] NZCA 1. The Court concluded that privilege does not attach as D was not seeking treatment for “drug dependency or any other condition or behaviour that might manifest itself in criminal conduct” under s 59(1)(a). His suicidal ideation was a result of the allegations laid against him and the subsequent police investigation rather than because of his sexual attraction to young children. </w:t>
      </w:r>
    </w:p>
  </w:footnote>
  <w:footnote w:id="972">
    <w:p w14:paraId="57D479CA" w14:textId="77777777" w:rsidR="00E13DFB" w:rsidRDefault="00E13DFB" w:rsidP="00E13DFB">
      <w:pPr>
        <w:pStyle w:val="FootnoteText"/>
      </w:pPr>
      <w:r w:rsidRPr="00DE644F">
        <w:rPr>
          <w:rStyle w:val="FootnoteReference"/>
        </w:rPr>
        <w:footnoteRef/>
      </w:r>
      <w:r w:rsidRPr="00DE644F">
        <w:t xml:space="preserve"> </w:t>
      </w:r>
      <w:r w:rsidRPr="00DE644F">
        <w:tab/>
      </w:r>
      <w:r w:rsidRPr="00DE644F">
        <w:rPr>
          <w:i/>
          <w:iCs/>
        </w:rPr>
        <w:t xml:space="preserve">D (SC 26/2019) v R </w:t>
      </w:r>
      <w:r w:rsidRPr="00DE644F">
        <w:t>[2019] NZSC 72 at [7].</w:t>
      </w:r>
    </w:p>
  </w:footnote>
  <w:footnote w:id="973">
    <w:p w14:paraId="0D512F59" w14:textId="77777777" w:rsidR="00E13DFB" w:rsidRPr="002E20EB" w:rsidRDefault="00E13DFB" w:rsidP="00E13DFB">
      <w:pPr>
        <w:pStyle w:val="FootnoteText"/>
      </w:pPr>
      <w:r w:rsidRPr="002E20EB">
        <w:rPr>
          <w:rStyle w:val="FootnoteReference"/>
        </w:rPr>
        <w:footnoteRef/>
      </w:r>
      <w:r w:rsidRPr="002E20EB">
        <w:t xml:space="preserve"> </w:t>
      </w:r>
      <w:r w:rsidRPr="002E20EB">
        <w:tab/>
        <w:t xml:space="preserve">We have identified one case where criminality disclosed in the context of being examined or treated was withheld under </w:t>
      </w:r>
      <w:r>
        <w:t>s</w:t>
      </w:r>
      <w:r w:rsidRPr="002E20EB">
        <w:t xml:space="preserve"> 69</w:t>
      </w:r>
      <w:r>
        <w:t>:</w:t>
      </w:r>
      <w:r w:rsidRPr="002E20EB">
        <w:t xml:space="preserve"> </w:t>
      </w:r>
      <w:r w:rsidRPr="002E20EB">
        <w:rPr>
          <w:i/>
          <w:iCs/>
        </w:rPr>
        <w:t>R v Rapana</w:t>
      </w:r>
      <w:r>
        <w:rPr>
          <w:i/>
          <w:iCs/>
        </w:rPr>
        <w:t xml:space="preserve"> </w:t>
      </w:r>
      <w:r w:rsidRPr="002E20EB">
        <w:t>[1995] 2 NZLR 381 (HC).</w:t>
      </w:r>
      <w:r>
        <w:t xml:space="preserve"> The court </w:t>
      </w:r>
      <w:r w:rsidRPr="002E20EB">
        <w:t xml:space="preserve">held that “the public interest in preserving the confidences of persons in the position of Mr Rapana, and encouraging free communication between such persons, outweighs the public interest in having the evidence disclosed in Court” (at 382). </w:t>
      </w:r>
    </w:p>
  </w:footnote>
  <w:footnote w:id="974">
    <w:p w14:paraId="7E92318F" w14:textId="77777777" w:rsidR="00E13DFB" w:rsidRPr="002E20EB" w:rsidRDefault="00E13DFB" w:rsidP="00E13DFB">
      <w:pPr>
        <w:pStyle w:val="FootnoteText"/>
      </w:pPr>
      <w:r w:rsidRPr="002E20EB">
        <w:rPr>
          <w:rStyle w:val="FootnoteReference"/>
        </w:rPr>
        <w:footnoteRef/>
      </w:r>
      <w:r w:rsidRPr="002E20EB">
        <w:t xml:space="preserve"> </w:t>
      </w:r>
      <w:r w:rsidRPr="002E20EB">
        <w:tab/>
      </w:r>
      <w:r w:rsidRPr="002E20EB">
        <w:rPr>
          <w:i/>
          <w:iCs/>
        </w:rPr>
        <w:t xml:space="preserve">R v X (CA553/09) </w:t>
      </w:r>
      <w:r w:rsidRPr="002E20EB">
        <w:t>[2009] NZCA 531,</w:t>
      </w:r>
      <w:r w:rsidRPr="002E20EB">
        <w:rPr>
          <w:i/>
          <w:iCs/>
        </w:rPr>
        <w:t xml:space="preserve"> </w:t>
      </w:r>
      <w:r w:rsidRPr="002E20EB">
        <w:t>[2010] NZLR 181 at [79]. See also Scott Optican and Peter Sankoff “Hearsay” (paper presented to New Zealand Law Society Evidence Act 2006 Revisited for Criminal Lawyers Seminar, February 2010) at 143</w:t>
      </w:r>
      <w:r>
        <w:t>:</w:t>
      </w:r>
      <w:r w:rsidRPr="002E20EB">
        <w:t xml:space="preserve"> “[A]dmission is likely to be favoured in most instances</w:t>
      </w:r>
      <w:r>
        <w:t xml:space="preserve"> </w:t>
      </w:r>
      <w:r w:rsidRPr="002E20EB">
        <w:t>… The court will effectively be tasked with deciding whether its own need in obtaining a correct result is more important than that of preserving confidence in a relationship that is often external to the criminal justice system. In light of the balancing test it is hardly surprising that most cases of this type end with a judicial decision under s 69 that confidence – while important – is less critical than the court’s need for the evidence in the proceeding at hand</w:t>
      </w:r>
      <w:r>
        <w:t>”.</w:t>
      </w:r>
      <w:r w:rsidRPr="002E20EB">
        <w:t xml:space="preserve"> </w:t>
      </w:r>
    </w:p>
  </w:footnote>
  <w:footnote w:id="975">
    <w:p w14:paraId="49843F0C" w14:textId="77777777" w:rsidR="00E13DFB" w:rsidRPr="002E20EB" w:rsidRDefault="00E13DFB" w:rsidP="00E13DFB">
      <w:pPr>
        <w:pStyle w:val="FootnoteText"/>
      </w:pPr>
      <w:r w:rsidRPr="002E20EB">
        <w:rPr>
          <w:rStyle w:val="FootnoteReference"/>
        </w:rPr>
        <w:footnoteRef/>
      </w:r>
      <w:r w:rsidRPr="002E20EB">
        <w:t xml:space="preserve"> </w:t>
      </w:r>
      <w:r w:rsidRPr="002E20EB">
        <w:tab/>
        <w:t>See</w:t>
      </w:r>
      <w:r>
        <w:t>,</w:t>
      </w:r>
      <w:r w:rsidRPr="002E20EB">
        <w:t xml:space="preserve"> for example</w:t>
      </w:r>
      <w:r>
        <w:t>,</w:t>
      </w:r>
      <w:r w:rsidRPr="002E20EB">
        <w:t xml:space="preserve"> </w:t>
      </w:r>
      <w:r w:rsidRPr="002E20EB">
        <w:rPr>
          <w:i/>
          <w:iCs/>
        </w:rPr>
        <w:t xml:space="preserve">R v Gulliver </w:t>
      </w:r>
      <w:r w:rsidRPr="002E20EB">
        <w:t>9 June 2005</w:t>
      </w:r>
      <w:r>
        <w:t xml:space="preserve"> </w:t>
      </w:r>
      <w:r w:rsidRPr="004D1BC0">
        <w:t>CA51/05</w:t>
      </w:r>
      <w:r w:rsidRPr="002E20EB">
        <w:rPr>
          <w:i/>
          <w:iCs/>
        </w:rPr>
        <w:t xml:space="preserve"> </w:t>
      </w:r>
      <w:r>
        <w:t>(</w:t>
      </w:r>
      <w:r w:rsidRPr="002E20EB">
        <w:t>defendant’s disclosure of past offending to his counsellor w</w:t>
      </w:r>
      <w:r>
        <w:t>as</w:t>
      </w:r>
      <w:r w:rsidRPr="002E20EB">
        <w:t xml:space="preserve"> the only real evidence of the offending and the identity of the offender</w:t>
      </w:r>
      <w:r>
        <w:t>)</w:t>
      </w:r>
      <w:r w:rsidRPr="002E20EB">
        <w:t xml:space="preserve">; </w:t>
      </w:r>
      <w:r w:rsidRPr="002E20EB">
        <w:rPr>
          <w:i/>
          <w:iCs/>
        </w:rPr>
        <w:t xml:space="preserve">R v X (CA553/09) </w:t>
      </w:r>
      <w:r w:rsidRPr="002E20EB">
        <w:t xml:space="preserve">[2009] NZCA 531 </w:t>
      </w:r>
      <w:r>
        <w:t>(</w:t>
      </w:r>
      <w:r w:rsidRPr="002E20EB">
        <w:t>disclosure regarding intent was “highly relevant” to the charge of attempted murder</w:t>
      </w:r>
      <w:r>
        <w:t>)</w:t>
      </w:r>
      <w:r w:rsidRPr="002E20EB">
        <w:t xml:space="preserve">. The majority </w:t>
      </w:r>
      <w:r>
        <w:t xml:space="preserve">in </w:t>
      </w:r>
      <w:r w:rsidRPr="002E20EB">
        <w:rPr>
          <w:i/>
          <w:iCs/>
        </w:rPr>
        <w:t>R v X (CA553/09)</w:t>
      </w:r>
      <w:r w:rsidRPr="002E20EB">
        <w:rPr>
          <w:i/>
        </w:rPr>
        <w:t xml:space="preserve"> </w:t>
      </w:r>
      <w:r w:rsidRPr="002E20EB">
        <w:t xml:space="preserve">held that “it seems wrong to us that the Crown should potentially be inhibited from pursuing the case at what the face of it appears to be the appropriate level of culpability” (at [87]). </w:t>
      </w:r>
    </w:p>
  </w:footnote>
  <w:footnote w:id="976">
    <w:p w14:paraId="71739230" w14:textId="77777777" w:rsidR="00E13DFB" w:rsidRPr="008A5B9B" w:rsidRDefault="00E13DFB" w:rsidP="00E13DFB">
      <w:pPr>
        <w:pStyle w:val="FootnoteText"/>
      </w:pPr>
      <w:r w:rsidRPr="002E20EB">
        <w:rPr>
          <w:rStyle w:val="FootnoteReference"/>
        </w:rPr>
        <w:footnoteRef/>
      </w:r>
      <w:r w:rsidRPr="002E20EB">
        <w:t xml:space="preserve"> </w:t>
      </w:r>
      <w:r w:rsidRPr="002E20EB">
        <w:tab/>
        <w:t xml:space="preserve">See </w:t>
      </w:r>
      <w:r w:rsidRPr="002E20EB">
        <w:rPr>
          <w:i/>
          <w:iCs/>
        </w:rPr>
        <w:t xml:space="preserve">R v X (CA553/09) </w:t>
      </w:r>
      <w:r w:rsidRPr="002E20EB">
        <w:t>[2009] NZCA 531 at [82]</w:t>
      </w:r>
      <w:r>
        <w:t xml:space="preserve">, citing </w:t>
      </w:r>
      <w:r w:rsidRPr="002E20EB">
        <w:rPr>
          <w:i/>
          <w:iCs/>
        </w:rPr>
        <w:t xml:space="preserve">R v Lory (Ruling) </w:t>
      </w:r>
      <w:r w:rsidRPr="002E20EB">
        <w:t>[1997] 1 NZLR 44 (HC)</w:t>
      </w:r>
      <w:r>
        <w:t>.</w:t>
      </w:r>
    </w:p>
  </w:footnote>
  <w:footnote w:id="977">
    <w:p w14:paraId="79BC2BAD" w14:textId="77777777" w:rsidR="00E13DFB" w:rsidRDefault="00E13DFB" w:rsidP="00E13DFB">
      <w:pPr>
        <w:pStyle w:val="FootnoteText"/>
      </w:pPr>
      <w:r w:rsidRPr="002E20EB">
        <w:rPr>
          <w:rStyle w:val="FootnoteReference"/>
        </w:rPr>
        <w:footnoteRef/>
      </w:r>
      <w:r w:rsidRPr="002E20EB">
        <w:t xml:space="preserve"> </w:t>
      </w:r>
      <w:r w:rsidRPr="002E20EB">
        <w:tab/>
      </w:r>
      <w:r w:rsidRPr="002E20EB">
        <w:rPr>
          <w:i/>
          <w:iCs/>
        </w:rPr>
        <w:t xml:space="preserve">R v X (CA553/2009) </w:t>
      </w:r>
      <w:r w:rsidRPr="002E20EB">
        <w:t>[2009] NZCA 531,</w:t>
      </w:r>
      <w:r w:rsidRPr="002E20EB">
        <w:rPr>
          <w:i/>
          <w:iCs/>
        </w:rPr>
        <w:t xml:space="preserve"> </w:t>
      </w:r>
      <w:r w:rsidRPr="002E20EB">
        <w:t>[2010] 2 NZLR 181 at [97</w:t>
      </w:r>
      <w:r>
        <w:t>]–</w:t>
      </w:r>
      <w:r w:rsidRPr="002E20EB">
        <w:t>[98].</w:t>
      </w:r>
      <w:r>
        <w:t xml:space="preserve"> </w:t>
      </w:r>
    </w:p>
  </w:footnote>
  <w:footnote w:id="978">
    <w:p w14:paraId="42E48FF2" w14:textId="77777777" w:rsidR="00E13DFB" w:rsidRPr="00587FB7" w:rsidRDefault="00E13DFB" w:rsidP="00E13DFB">
      <w:pPr>
        <w:pStyle w:val="FootnoteText"/>
        <w:rPr>
          <w:i/>
          <w:iCs/>
        </w:rPr>
      </w:pPr>
      <w:r w:rsidRPr="00587FB7">
        <w:rPr>
          <w:rStyle w:val="FootnoteReference"/>
        </w:rPr>
        <w:footnoteRef/>
      </w:r>
      <w:r w:rsidRPr="00587FB7">
        <w:t xml:space="preserve"> </w:t>
      </w:r>
      <w:r w:rsidRPr="00587FB7">
        <w:tab/>
      </w:r>
      <w:r>
        <w:t xml:space="preserve">See, for </w:t>
      </w:r>
      <w:r w:rsidRPr="00587FB7">
        <w:t>example</w:t>
      </w:r>
      <w:r>
        <w:t>,</w:t>
      </w:r>
      <w:r w:rsidRPr="00587FB7">
        <w:t xml:space="preserve"> </w:t>
      </w:r>
      <w:r w:rsidRPr="00587FB7">
        <w:rPr>
          <w:i/>
          <w:iCs/>
        </w:rPr>
        <w:t xml:space="preserve">R v Hodgson </w:t>
      </w:r>
      <w:r w:rsidRPr="00587FB7">
        <w:t>HC Tim</w:t>
      </w:r>
      <w:r>
        <w:t>aru</w:t>
      </w:r>
      <w:r w:rsidRPr="00587FB7">
        <w:t xml:space="preserve"> CRI-2008-076-001397 30 March 2009</w:t>
      </w:r>
      <w:r>
        <w:t>,</w:t>
      </w:r>
      <w:r w:rsidRPr="00587FB7">
        <w:t xml:space="preserve"> which required treatment to have already been initiated by a doctor or clinical psychologist in order for someone to then be subsequently acting on their behalf, which is at odds with the Torts and General Law Reform Committee</w:t>
      </w:r>
      <w:r>
        <w:t>’</w:t>
      </w:r>
      <w:r w:rsidRPr="00587FB7">
        <w:t xml:space="preserve">s intention that the section cover “preliminary acts”. </w:t>
      </w:r>
    </w:p>
  </w:footnote>
  <w:footnote w:id="979">
    <w:p w14:paraId="557319BE" w14:textId="77777777" w:rsidR="00E13DFB" w:rsidRPr="00587FB7" w:rsidRDefault="00E13DFB" w:rsidP="00E13DFB">
      <w:pPr>
        <w:pStyle w:val="FootnoteText"/>
      </w:pPr>
      <w:r w:rsidRPr="00587FB7">
        <w:rPr>
          <w:rStyle w:val="FootnoteReference"/>
        </w:rPr>
        <w:footnoteRef/>
      </w:r>
      <w:r w:rsidRPr="00587FB7">
        <w:t xml:space="preserve"> </w:t>
      </w:r>
      <w:r w:rsidRPr="00587FB7">
        <w:tab/>
      </w:r>
      <w:r w:rsidRPr="00587FB7">
        <w:rPr>
          <w:i/>
          <w:iCs/>
        </w:rPr>
        <w:t xml:space="preserve">Mahoney on Evidence </w:t>
      </w:r>
      <w:r w:rsidRPr="00587FB7">
        <w:t>draws particular attention to the status of drug and alcohol addiction practitioners in light of s 59’s stated application to drug dependency, noting that “questions will arise whether, in any given clinical situation involving a multi-disciplinary health team, drug and alcohol practitioners registered with DAPAANZ fall within the scope of s 69(5)”</w:t>
      </w:r>
      <w:r>
        <w:t>:</w:t>
      </w:r>
      <w:r w:rsidRPr="00587FB7">
        <w:t xml:space="preserve"> Elisabeth McDonald and Scott Optican (eds) </w:t>
      </w:r>
      <w:r w:rsidRPr="00587FB7">
        <w:rPr>
          <w:i/>
          <w:iCs/>
        </w:rPr>
        <w:t xml:space="preserve">Mahoney on Evidence: Act &amp; Analysis </w:t>
      </w:r>
      <w:r w:rsidRPr="00587FB7">
        <w:t>(</w:t>
      </w:r>
      <w:r>
        <w:t>4th</w:t>
      </w:r>
      <w:r w:rsidRPr="00587FB7">
        <w:t xml:space="preserve"> ed, Thomson Reuters. Wellington, 2018) at EV59.04 </w:t>
      </w:r>
    </w:p>
  </w:footnote>
  <w:footnote w:id="980">
    <w:p w14:paraId="3BAF7E44" w14:textId="77777777" w:rsidR="00E13DFB" w:rsidRPr="00587FB7" w:rsidRDefault="00E13DFB" w:rsidP="00E13DFB">
      <w:pPr>
        <w:pStyle w:val="FootnoteText"/>
      </w:pPr>
      <w:r w:rsidRPr="00587FB7">
        <w:rPr>
          <w:rStyle w:val="FootnoteReference"/>
        </w:rPr>
        <w:footnoteRef/>
      </w:r>
      <w:r w:rsidRPr="00587FB7">
        <w:t xml:space="preserve"> </w:t>
      </w:r>
      <w:r w:rsidRPr="00587FB7">
        <w:tab/>
        <w:t>The Te Pae Tata Interim New Zealand Health Plan 2022 includes the “greater use of digital services to provide more care in homes and communities” as one of its six priority actions</w:t>
      </w:r>
      <w:r>
        <w:t>:</w:t>
      </w:r>
      <w:r w:rsidRPr="00587FB7">
        <w:t xml:space="preserve"> Te Whatu Ora | Health New Zealand and Te Aka Whai Ora | Māori Health Authority </w:t>
      </w:r>
      <w:r w:rsidRPr="00587FB7">
        <w:rPr>
          <w:i/>
          <w:iCs/>
        </w:rPr>
        <w:t xml:space="preserve">Te Pae Tata: Interim New Zealand Health Plan 2022 </w:t>
      </w:r>
      <w:r w:rsidRPr="00587FB7">
        <w:t xml:space="preserve">(Te Whatu Ora, October 2022) at 10. </w:t>
      </w:r>
    </w:p>
  </w:footnote>
  <w:footnote w:id="981">
    <w:p w14:paraId="568BD44A" w14:textId="77777777" w:rsidR="00E13DFB" w:rsidRPr="00587FB7" w:rsidRDefault="00E13DFB" w:rsidP="00E13DFB">
      <w:pPr>
        <w:pStyle w:val="FootnoteText"/>
      </w:pPr>
      <w:r w:rsidRPr="00587FB7">
        <w:rPr>
          <w:rStyle w:val="FootnoteReference"/>
        </w:rPr>
        <w:footnoteRef/>
      </w:r>
      <w:r w:rsidRPr="00587FB7">
        <w:t xml:space="preserve"> </w:t>
      </w:r>
      <w:r w:rsidRPr="00587FB7">
        <w:tab/>
        <w:t xml:space="preserve">Digital Mental Health Lab, Te Kura Tātai Hauora | School of Health, Te Herenga Waka | Victoria University of Wellington </w:t>
      </w:r>
      <w:r w:rsidRPr="00587FB7">
        <w:rPr>
          <w:i/>
          <w:iCs/>
        </w:rPr>
        <w:t xml:space="preserve">Aotearoa New Zealand Digital Tools for Mental Health and Wellbeing </w:t>
      </w:r>
      <w:r w:rsidRPr="00587FB7">
        <w:t xml:space="preserve">(Te Herenga Waka | Victoria University of Wellington, March 2021); Nuffield Council on Bioethics </w:t>
      </w:r>
      <w:r w:rsidRPr="00587FB7">
        <w:rPr>
          <w:i/>
          <w:iCs/>
        </w:rPr>
        <w:t xml:space="preserve">Briefing note: the role of technology in mental healthcare </w:t>
      </w:r>
      <w:r w:rsidRPr="00587FB7">
        <w:t xml:space="preserve">(Nuffield Council on Bioethics, London, April 2022). </w:t>
      </w:r>
    </w:p>
  </w:footnote>
  <w:footnote w:id="982">
    <w:p w14:paraId="4D5BEFB3" w14:textId="77777777" w:rsidR="00E13DFB" w:rsidRPr="00092748" w:rsidRDefault="00E13DFB" w:rsidP="00E13DFB">
      <w:pPr>
        <w:pStyle w:val="FootnoteText"/>
      </w:pPr>
      <w:r w:rsidRPr="00587FB7">
        <w:rPr>
          <w:rStyle w:val="FootnoteReference"/>
        </w:rPr>
        <w:footnoteRef/>
      </w:r>
      <w:r w:rsidRPr="00587FB7">
        <w:t xml:space="preserve"> </w:t>
      </w:r>
      <w:r w:rsidRPr="00587FB7">
        <w:tab/>
      </w:r>
      <w:r w:rsidRPr="00587FB7">
        <w:rPr>
          <w:i/>
          <w:iCs/>
        </w:rPr>
        <w:t xml:space="preserve">Maaka-Wanahi v Attorney-General </w:t>
      </w:r>
      <w:r w:rsidRPr="00587FB7">
        <w:t>[2023] NZHC 187 at [6].</w:t>
      </w:r>
      <w:r>
        <w:t xml:space="preserve"> </w:t>
      </w:r>
    </w:p>
  </w:footnote>
  <w:footnote w:id="983">
    <w:p w14:paraId="5B07978B" w14:textId="77777777" w:rsidR="00E13DFB" w:rsidRPr="00587FB7" w:rsidRDefault="00E13DFB" w:rsidP="00E13DFB">
      <w:pPr>
        <w:pStyle w:val="FootnoteText"/>
      </w:pPr>
      <w:r w:rsidRPr="00587FB7">
        <w:rPr>
          <w:rStyle w:val="FootnoteReference"/>
        </w:rPr>
        <w:footnoteRef/>
      </w:r>
      <w:r w:rsidRPr="00587FB7">
        <w:t xml:space="preserve"> </w:t>
      </w:r>
      <w:r w:rsidRPr="00587FB7">
        <w:tab/>
        <w:t xml:space="preserve">Te Aka Matua o te Ture | Law Commission </w:t>
      </w:r>
      <w:r w:rsidRPr="00587FB7">
        <w:rPr>
          <w:i/>
          <w:iCs/>
        </w:rPr>
        <w:t xml:space="preserve">The 2013 Review of the Evidence Act 2006 </w:t>
      </w:r>
      <w:r w:rsidRPr="00587FB7">
        <w:t xml:space="preserve">(NZLC R127, 2013) at [10.125]. </w:t>
      </w:r>
    </w:p>
  </w:footnote>
  <w:footnote w:id="984">
    <w:p w14:paraId="4D4D9074" w14:textId="77777777" w:rsidR="00E13DFB" w:rsidRDefault="00E13DFB" w:rsidP="00E13DFB">
      <w:pPr>
        <w:pStyle w:val="FootnoteText"/>
      </w:pPr>
      <w:r w:rsidRPr="00587FB7">
        <w:rPr>
          <w:rStyle w:val="FootnoteReference"/>
        </w:rPr>
        <w:footnoteRef/>
      </w:r>
      <w:r w:rsidRPr="00587FB7">
        <w:t xml:space="preserve"> </w:t>
      </w:r>
      <w:r w:rsidRPr="00587FB7">
        <w:tab/>
        <w:t xml:space="preserve">Torts and General Law Reform Committee </w:t>
      </w:r>
      <w:r w:rsidRPr="00587FB7">
        <w:rPr>
          <w:i/>
          <w:iCs/>
        </w:rPr>
        <w:t xml:space="preserve">Professional Privilege in the Law of Evidence </w:t>
      </w:r>
      <w:r w:rsidRPr="00587FB7">
        <w:t>(March 1977)</w:t>
      </w:r>
      <w:r>
        <w:t xml:space="preserve"> </w:t>
      </w:r>
      <w:r w:rsidRPr="00587FB7">
        <w:t xml:space="preserve">at Appendix I “Report on Medical Privilege” </w:t>
      </w:r>
      <w:r>
        <w:t xml:space="preserve">at </w:t>
      </w:r>
      <w:r w:rsidRPr="00587FB7">
        <w:t>15.</w:t>
      </w:r>
      <w:r>
        <w:t xml:space="preserve"> </w:t>
      </w:r>
    </w:p>
  </w:footnote>
  <w:footnote w:id="985">
    <w:p w14:paraId="33AB8DA1" w14:textId="77777777" w:rsidR="00E13DFB" w:rsidRPr="0093265F" w:rsidRDefault="00E13DFB" w:rsidP="00E13DFB">
      <w:pPr>
        <w:pStyle w:val="FootnoteText"/>
      </w:pPr>
      <w:r w:rsidRPr="0093265F">
        <w:rPr>
          <w:rStyle w:val="FootnoteReference"/>
        </w:rPr>
        <w:footnoteRef/>
      </w:r>
      <w:r w:rsidRPr="0093265F">
        <w:t xml:space="preserve"> </w:t>
      </w:r>
      <w:r w:rsidRPr="0093265F">
        <w:tab/>
        <w:t>See</w:t>
      </w:r>
      <w:r>
        <w:t>,</w:t>
      </w:r>
      <w:r w:rsidRPr="0093265F">
        <w:t xml:space="preserve"> for example</w:t>
      </w:r>
      <w:r>
        <w:t>,</w:t>
      </w:r>
      <w:r w:rsidRPr="0093265F">
        <w:t xml:space="preserve"> </w:t>
      </w:r>
      <w:r w:rsidRPr="0093265F">
        <w:rPr>
          <w:i/>
          <w:iCs/>
        </w:rPr>
        <w:t>Kupe Group Ltd v Seamar Holdings Ltd</w:t>
      </w:r>
      <w:r w:rsidRPr="0093265F">
        <w:t xml:space="preserve"> [1993] 3 NZLR 209 (HC) at 213; </w:t>
      </w:r>
      <w:r w:rsidRPr="0093265F">
        <w:rPr>
          <w:i/>
          <w:iCs/>
        </w:rPr>
        <w:t>Saunders v Commissioner, Australian Federal Police</w:t>
      </w:r>
      <w:r w:rsidRPr="0093265F">
        <w:t xml:space="preserve"> (1998) 160 ALR 469 </w:t>
      </w:r>
      <w:r>
        <w:t xml:space="preserve">(FCA) </w:t>
      </w:r>
      <w:r w:rsidRPr="0093265F">
        <w:t xml:space="preserve">at 472; </w:t>
      </w:r>
      <w:r>
        <w:t>Mathew Downs (ed)</w:t>
      </w:r>
      <w:r w:rsidRPr="0093265F">
        <w:t xml:space="preserve"> </w:t>
      </w:r>
      <w:r w:rsidRPr="0093265F">
        <w:rPr>
          <w:i/>
          <w:iCs/>
        </w:rPr>
        <w:t>Adams on Criminal Law – Evidence</w:t>
      </w:r>
      <w:r w:rsidRPr="0093265F">
        <w:t xml:space="preserve"> (online looseleaf ed, Thomson Reuters) at [EC20.09(5)].</w:t>
      </w:r>
    </w:p>
  </w:footnote>
  <w:footnote w:id="986">
    <w:p w14:paraId="57652B02"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 xml:space="preserve">Evidence: Reform of the Law </w:t>
      </w:r>
      <w:r w:rsidRPr="0093265F">
        <w:t xml:space="preserve">(NZLC R55 Vol 1, 1999) at [254]. </w:t>
      </w:r>
      <w:r>
        <w:t>See also</w:t>
      </w:r>
      <w:r w:rsidRPr="0093265F">
        <w:t xml:space="preserve"> Te Aka Matua o te Ture | Law Commission </w:t>
      </w:r>
      <w:r w:rsidRPr="0093265F">
        <w:rPr>
          <w:i/>
          <w:iCs/>
        </w:rPr>
        <w:t xml:space="preserve">Evidence: Evidence Code and Commentary </w:t>
      </w:r>
      <w:r w:rsidRPr="0093265F">
        <w:t>(NZLC R55 Vol 2, 1999) at [C244]</w:t>
      </w:r>
      <w:r>
        <w:t>,</w:t>
      </w:r>
      <w:r w:rsidRPr="0093265F">
        <w:t xml:space="preserve"> which states that the relevant provision “spells out what is essentially the present law on privilege for legal advice”.</w:t>
      </w:r>
    </w:p>
  </w:footnote>
  <w:footnote w:id="987">
    <w:p w14:paraId="5F2FDD8B"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R v Huang</w:t>
      </w:r>
      <w:r w:rsidRPr="0093265F">
        <w:t xml:space="preserve"> HC Auckland CRI-2005-004-21953, 19 September 2007 at [54]–[56], finding that s 54 applied to notes made by the defendant of relevant events for the purposes of instructing a lawyer but not communicated; and </w:t>
      </w:r>
      <w:r w:rsidRPr="0093265F">
        <w:rPr>
          <w:i/>
          <w:iCs/>
        </w:rPr>
        <w:t>Bain v Minister of Justice</w:t>
      </w:r>
      <w:r w:rsidRPr="0093265F">
        <w:t xml:space="preserve"> [2013] NZHC 2123 at [143], finding that s 54 applied not only to advice given to the Minister of Justice by Ministry legal officers and the Solicitor-General but also to any “reasonably related documents held within the Ministry” and within the Crown Law Office</w:t>
      </w:r>
      <w:r>
        <w:t xml:space="preserve"> (</w:t>
      </w:r>
      <w:r w:rsidRPr="0093265F">
        <w:t>at [154]</w:t>
      </w:r>
      <w:r>
        <w:t>)</w:t>
      </w:r>
      <w:r w:rsidRPr="0093265F">
        <w:t>.</w:t>
      </w:r>
    </w:p>
  </w:footnote>
  <w:footnote w:id="988">
    <w:p w14:paraId="4A52F3F7"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The decision in </w:t>
      </w:r>
      <w:r w:rsidRPr="0093265F">
        <w:rPr>
          <w:i/>
          <w:iCs/>
        </w:rPr>
        <w:t>R v Huang</w:t>
      </w:r>
      <w:r w:rsidRPr="0093265F">
        <w:t xml:space="preserve"> HC Auckland CRI-2005-004-21953, 19 September 2007 was criticised by counsel in a subsequent High Court case, who argued that the wording of s 54 is not wide enough to cover an “intention to communicate”, but the Court in that case did not have to determine whether the approach in </w:t>
      </w:r>
      <w:r w:rsidRPr="0093265F">
        <w:rPr>
          <w:i/>
          <w:iCs/>
        </w:rPr>
        <w:t xml:space="preserve">Huang </w:t>
      </w:r>
      <w:r w:rsidRPr="0093265F">
        <w:t xml:space="preserve">should be followed: </w:t>
      </w:r>
      <w:r w:rsidRPr="0093265F">
        <w:rPr>
          <w:i/>
          <w:iCs/>
        </w:rPr>
        <w:t>Pernod Ricard New Zealand Ltd v Lion – Beer, Spirits and Wine</w:t>
      </w:r>
      <w:r w:rsidRPr="0093265F">
        <w:t xml:space="preserve"> </w:t>
      </w:r>
      <w:r w:rsidRPr="0093265F">
        <w:rPr>
          <w:i/>
          <w:iCs/>
        </w:rPr>
        <w:t>(NZ) Ltd</w:t>
      </w:r>
      <w:r w:rsidRPr="0093265F">
        <w:t xml:space="preserve"> [2012] NZHC 2801 at [27]–[29].</w:t>
      </w:r>
    </w:p>
  </w:footnote>
  <w:footnote w:id="989">
    <w:p w14:paraId="6B6615BB"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As observed in Mathew Downs (ed) </w:t>
      </w:r>
      <w:r w:rsidRPr="0093265F">
        <w:rPr>
          <w:i/>
          <w:iCs/>
        </w:rPr>
        <w:t>Cross on Evidence</w:t>
      </w:r>
      <w:r w:rsidRPr="0093265F">
        <w:t xml:space="preserve"> (online looseleaf ed, LexisNexis) [EVA54.12(d)] and Elisabeth McDonald and Scott Optican (eds) </w:t>
      </w:r>
      <w:r w:rsidRPr="0093265F">
        <w:rPr>
          <w:i/>
          <w:iCs/>
        </w:rPr>
        <w:t>Mahoney on Evidence: Act and Analysis</w:t>
      </w:r>
      <w:r w:rsidRPr="0093265F">
        <w:t xml:space="preserve"> (4th ed, Thomson Reuters, Wellington, 2018) at [EV54.02(2)].</w:t>
      </w:r>
    </w:p>
  </w:footnote>
  <w:footnote w:id="990">
    <w:p w14:paraId="465CA051"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Elisabeth McDonald and Scott Optican (eds) </w:t>
      </w:r>
      <w:r w:rsidRPr="0093265F">
        <w:rPr>
          <w:i/>
          <w:iCs/>
        </w:rPr>
        <w:t>Mahoney on Evidence: Act and Analysis</w:t>
      </w:r>
      <w:r w:rsidRPr="0093265F">
        <w:t xml:space="preserve"> (4th ed, Thomson Reuters, Wellington, 2018) at [EV54.02(2)].</w:t>
      </w:r>
    </w:p>
  </w:footnote>
  <w:footnote w:id="991">
    <w:p w14:paraId="6A7F2727" w14:textId="77777777" w:rsidR="00E13DFB" w:rsidRPr="0093265F" w:rsidRDefault="00E13DFB" w:rsidP="00E13DFB">
      <w:pPr>
        <w:pStyle w:val="FootnoteText"/>
      </w:pPr>
      <w:r w:rsidRPr="0093265F">
        <w:rPr>
          <w:rStyle w:val="FootnoteReference"/>
        </w:rPr>
        <w:footnoteRef/>
      </w:r>
      <w:r w:rsidRPr="0093265F">
        <w:t xml:space="preserve"> </w:t>
      </w:r>
      <w:r w:rsidRPr="0093265F">
        <w:tab/>
        <w:t>Evidence Act 2006, s 4 (definition of “document”).</w:t>
      </w:r>
    </w:p>
  </w:footnote>
  <w:footnote w:id="992">
    <w:p w14:paraId="2B0DFA4E"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See, for example, </w:t>
      </w:r>
      <w:r w:rsidRPr="0093265F">
        <w:rPr>
          <w:i/>
          <w:iCs/>
        </w:rPr>
        <w:t xml:space="preserve">Simunovich Fisheries Ltd v Television New Zealand Ltd </w:t>
      </w:r>
      <w:r w:rsidRPr="0093265F">
        <w:t>[2008] NZCA 350 at [165] and [169].</w:t>
      </w:r>
    </w:p>
  </w:footnote>
  <w:footnote w:id="993">
    <w:p w14:paraId="524854D5" w14:textId="77777777" w:rsidR="00E13DFB" w:rsidRPr="0093265F" w:rsidRDefault="00E13DFB" w:rsidP="00E13DFB">
      <w:pPr>
        <w:pStyle w:val="FootnoteText"/>
      </w:pPr>
      <w:r w:rsidRPr="0093265F">
        <w:rPr>
          <w:rStyle w:val="FootnoteReference"/>
        </w:rPr>
        <w:footnoteRef/>
      </w:r>
      <w:r w:rsidRPr="0093265F">
        <w:t xml:space="preserve"> </w:t>
      </w:r>
      <w:r w:rsidRPr="0093265F">
        <w:tab/>
        <w:t>In Australia, legal advice privilege extends to confidential documents “whether delivered or not” prepared by the client, lawyer or another person for the dominant purpose of the lawyer or one or more of the lawyers providing legal advice to the client: Evidence Act 1995 (Cth), s 118(c); Evidence Act 1995 (NSW), s 118(c); Evidence Act 2008 (Vic), s 118(c); Evidence Act 2011 (ACT), s 118(c); Evidence (National Uniform Legislation) Act 2011 (NT), s 118(c).</w:t>
      </w:r>
    </w:p>
  </w:footnote>
  <w:footnote w:id="994">
    <w:p w14:paraId="3BEB48B2"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The 2013 Review of the Evidence Act 2006</w:t>
      </w:r>
      <w:r w:rsidRPr="0093265F">
        <w:t xml:space="preserve"> (NZLC R127, 2013) at [10.62].</w:t>
      </w:r>
    </w:p>
  </w:footnote>
  <w:footnote w:id="995">
    <w:p w14:paraId="4C509BEC"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The 2013 Review of the Evidence Act 2006</w:t>
      </w:r>
      <w:r w:rsidRPr="0093265F">
        <w:t xml:space="preserve"> (NZLC R127, 2013) at [10.58]–[10.65] and Te Aka Matua o te Ture | Law Commission </w:t>
      </w:r>
      <w:r w:rsidRPr="0093265F">
        <w:rPr>
          <w:i/>
          <w:iCs/>
        </w:rPr>
        <w:t xml:space="preserve">The Second Review of the Evidence Act 2006 </w:t>
      </w:r>
      <w:r w:rsidRPr="0093265F">
        <w:t xml:space="preserve">| </w:t>
      </w:r>
      <w:r w:rsidRPr="0093265F">
        <w:rPr>
          <w:i/>
          <w:iCs/>
        </w:rPr>
        <w:t xml:space="preserve">Te Arotake Tuarua i te Evidence Act 2006 </w:t>
      </w:r>
      <w:r w:rsidRPr="0093265F">
        <w:t>(NZLC R142, 2019) at [16.19]–[16.30].</w:t>
      </w:r>
    </w:p>
  </w:footnote>
  <w:footnote w:id="996">
    <w:p w14:paraId="4B7A7C9C" w14:textId="77777777" w:rsidR="00E13DFB" w:rsidRPr="0093265F" w:rsidRDefault="00E13DFB" w:rsidP="00E13DFB">
      <w:pPr>
        <w:pStyle w:val="FootnoteText"/>
      </w:pPr>
      <w:r w:rsidRPr="0093265F">
        <w:rPr>
          <w:rStyle w:val="FootnoteReference"/>
        </w:rPr>
        <w:footnoteRef/>
      </w:r>
      <w:r w:rsidRPr="0093265F">
        <w:t xml:space="preserve"> </w:t>
      </w:r>
      <w:r w:rsidRPr="0093265F">
        <w:tab/>
        <w:t>See, for example, Allison Ferguson and Guy Tompkins “Update on Evidence Act for Civil Litigators” (paper presented to New Zealand Law Society Evidence Act Update for Civil Litigators webinar, 14 June 2022) at 36–41 and Sean McAnally “Litigation privilege: permanent or temporary?” [2022] NZLJ 8.</w:t>
      </w:r>
    </w:p>
  </w:footnote>
  <w:footnote w:id="997">
    <w:p w14:paraId="350B3847"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See, for example, </w:t>
      </w:r>
      <w:r w:rsidRPr="0093265F">
        <w:rPr>
          <w:i/>
          <w:iCs/>
        </w:rPr>
        <w:t>Osborne v Worksafe New Zealand</w:t>
      </w:r>
      <w:r w:rsidRPr="0093265F">
        <w:t xml:space="preserve"> [2015] NZHC 264, [2015] NZAR 293 at [22], citing </w:t>
      </w:r>
      <w:r w:rsidRPr="0093265F">
        <w:rPr>
          <w:i/>
          <w:iCs/>
        </w:rPr>
        <w:t>B v Auckland District Law Society</w:t>
      </w:r>
      <w:r w:rsidRPr="0093265F">
        <w:t xml:space="preserve"> [2004] 1 NZLR 326 (PC) at [44].</w:t>
      </w:r>
    </w:p>
  </w:footnote>
  <w:footnote w:id="998">
    <w:p w14:paraId="0A7AB9D6"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Jung v Templeton</w:t>
      </w:r>
      <w:r w:rsidRPr="0093265F">
        <w:t xml:space="preserve"> HC Auckland CIV-2007-404-5383, 30 September 2009 at [64].</w:t>
      </w:r>
    </w:p>
  </w:footnote>
  <w:footnote w:id="999">
    <w:p w14:paraId="21380981"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lang w:eastAsia="en-AU"/>
        </w:rPr>
        <w:t xml:space="preserve">T v R </w:t>
      </w:r>
      <w:r w:rsidRPr="0093265F">
        <w:rPr>
          <w:lang w:eastAsia="en-AU"/>
        </w:rPr>
        <w:t>[2020] NZCA 15</w:t>
      </w:r>
      <w:r w:rsidRPr="0093265F">
        <w:t xml:space="preserve">. </w:t>
      </w:r>
      <w:r>
        <w:t>See also</w:t>
      </w:r>
      <w:r w:rsidRPr="0093265F">
        <w:t xml:space="preserve"> </w:t>
      </w:r>
      <w:r w:rsidRPr="0093265F">
        <w:rPr>
          <w:i/>
          <w:iCs/>
        </w:rPr>
        <w:t xml:space="preserve">Re Harder </w:t>
      </w:r>
      <w:r w:rsidRPr="0093265F">
        <w:t>[2023] NZHC 620 at [15].</w:t>
      </w:r>
    </w:p>
  </w:footnote>
  <w:footnote w:id="1000">
    <w:p w14:paraId="7DD16DA1"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lang w:eastAsia="en-AU"/>
        </w:rPr>
        <w:t xml:space="preserve">T v R </w:t>
      </w:r>
      <w:r w:rsidRPr="0093265F">
        <w:rPr>
          <w:lang w:eastAsia="en-AU"/>
        </w:rPr>
        <w:t>[2020] NZCA 15 a</w:t>
      </w:r>
      <w:r w:rsidRPr="0093265F">
        <w:t xml:space="preserve">t [28]. </w:t>
      </w:r>
    </w:p>
  </w:footnote>
  <w:footnote w:id="1001">
    <w:p w14:paraId="6667BC89"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lang w:eastAsia="en-AU"/>
        </w:rPr>
        <w:t xml:space="preserve">T v R </w:t>
      </w:r>
      <w:r w:rsidRPr="0093265F">
        <w:rPr>
          <w:lang w:eastAsia="en-AU"/>
        </w:rPr>
        <w:t>[2020] NZCA 15 a</w:t>
      </w:r>
      <w:r w:rsidRPr="0093265F">
        <w:t>t [29].</w:t>
      </w:r>
    </w:p>
  </w:footnote>
  <w:footnote w:id="1002">
    <w:p w14:paraId="34B8C822"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The 2013 Review of the Evidence Act 2006</w:t>
      </w:r>
      <w:r w:rsidRPr="0093265F">
        <w:t xml:space="preserve"> (NZLC R127, 2013) at [10.64].</w:t>
      </w:r>
    </w:p>
  </w:footnote>
  <w:footnote w:id="1003">
    <w:p w14:paraId="2FE29D90"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Blank v Minister of Justice</w:t>
      </w:r>
      <w:r w:rsidRPr="0093265F">
        <w:t xml:space="preserve"> [2006] SCC 39, [2006] 2 SCR 319.</w:t>
      </w:r>
    </w:p>
  </w:footnote>
  <w:footnote w:id="1004">
    <w:p w14:paraId="23C375A8"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Blank v Minister of Justice</w:t>
      </w:r>
      <w:r w:rsidRPr="0093265F">
        <w:t xml:space="preserve"> [2006] SCC 39, [2006] 2 SCR 319 at [34].</w:t>
      </w:r>
    </w:p>
  </w:footnote>
  <w:footnote w:id="1005">
    <w:p w14:paraId="1C85676E"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Blank v Minister of Justice</w:t>
      </w:r>
      <w:r w:rsidRPr="0093265F">
        <w:t xml:space="preserve"> [2006] SCC 39, [2006] 2 SCR 319 at [34]; Te Aka Matua o te Ture | Law Commission </w:t>
      </w:r>
      <w:r w:rsidRPr="0093265F">
        <w:rPr>
          <w:i/>
          <w:iCs/>
        </w:rPr>
        <w:t>The 2013 Review of the Evidence Act 2006</w:t>
      </w:r>
      <w:r w:rsidRPr="0093265F">
        <w:t xml:space="preserve"> (NZLC R127, 2013) at [10.62].</w:t>
      </w:r>
    </w:p>
  </w:footnote>
  <w:footnote w:id="1006">
    <w:p w14:paraId="44DD9FAF"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Snorkel Elevating Work Platforms Ltd v Thompson</w:t>
      </w:r>
      <w:r w:rsidRPr="0093265F">
        <w:t xml:space="preserve"> [2007] NZAR 504 (HC) at [13] (a case decided before the Evidence Act 2006 came into force); </w:t>
      </w:r>
      <w:r w:rsidRPr="0093265F">
        <w:rPr>
          <w:i/>
          <w:iCs/>
        </w:rPr>
        <w:t>Houghton v Saunders</w:t>
      </w:r>
      <w:r w:rsidRPr="0093265F">
        <w:t xml:space="preserve"> [2013] NZHC 1824 at [21]; </w:t>
      </w:r>
      <w:r w:rsidRPr="0093265F">
        <w:rPr>
          <w:i/>
          <w:iCs/>
        </w:rPr>
        <w:t xml:space="preserve">Nisha v LSG Sky Chefs New Zealand Ltd (No 16) </w:t>
      </w:r>
      <w:r w:rsidRPr="0093265F">
        <w:t xml:space="preserve">[2015] NZEmpC 127 at [37]–[39]. </w:t>
      </w:r>
      <w:r>
        <w:t>See also</w:t>
      </w:r>
      <w:r w:rsidRPr="0093265F">
        <w:t xml:space="preserve"> </w:t>
      </w:r>
      <w:r w:rsidRPr="0093265F">
        <w:rPr>
          <w:i/>
          <w:iCs/>
        </w:rPr>
        <w:t>Osborne v Worksafe New Zealand</w:t>
      </w:r>
      <w:r w:rsidRPr="0093265F">
        <w:t xml:space="preserve"> [2015] NZHC 264, [2015] NZAR 293 at [21]–[22], where the Court noted </w:t>
      </w:r>
      <w:r w:rsidRPr="0093265F">
        <w:rPr>
          <w:i/>
          <w:iCs/>
        </w:rPr>
        <w:t xml:space="preserve">Blank </w:t>
      </w:r>
      <w:r w:rsidRPr="0093265F">
        <w:t xml:space="preserve">and observed that, because the rationale for different forms of privilege are different, “the persistent character of solicitor/client privilege does not necessarily justify the same rule [of “once privileged, always privileged”] applying to litigation privilege” </w:t>
      </w:r>
      <w:r>
        <w:t>(</w:t>
      </w:r>
      <w:r w:rsidRPr="0093265F">
        <w:t>at [22]</w:t>
      </w:r>
      <w:r>
        <w:t>)</w:t>
      </w:r>
      <w:r w:rsidRPr="0093265F">
        <w:t xml:space="preserve">. </w:t>
      </w:r>
    </w:p>
  </w:footnote>
  <w:footnote w:id="1007">
    <w:p w14:paraId="0543C34F" w14:textId="77777777" w:rsidR="00E13DFB" w:rsidRPr="0093265F" w:rsidRDefault="00E13DFB" w:rsidP="00E13DFB">
      <w:pPr>
        <w:pStyle w:val="FootnoteText"/>
      </w:pPr>
      <w:r w:rsidRPr="0093265F">
        <w:rPr>
          <w:rStyle w:val="FootnoteReference"/>
        </w:rPr>
        <w:footnoteRef/>
      </w:r>
      <w:r w:rsidRPr="0093265F">
        <w:t xml:space="preserve"> </w:t>
      </w:r>
      <w:r w:rsidRPr="0093265F">
        <w:tab/>
        <w:t>Sean McAnally “Litigation privilege: permanent or temporary?” [2022] NZLJ 8.</w:t>
      </w:r>
    </w:p>
  </w:footnote>
  <w:footnote w:id="1008">
    <w:p w14:paraId="13A87329"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In </w:t>
      </w:r>
      <w:r w:rsidRPr="0093265F">
        <w:rPr>
          <w:i/>
          <w:iCs/>
        </w:rPr>
        <w:t>A v Attorney-General</w:t>
      </w:r>
      <w:r w:rsidRPr="0093265F">
        <w:t xml:space="preserve"> [2009] NZCA 490</w:t>
      </w:r>
      <w:r>
        <w:t>,</w:t>
      </w:r>
      <w:r w:rsidRPr="0093265F">
        <w:t xml:space="preserve"> the Court of Appeal noted that whether the Court should adopt the approach in </w:t>
      </w:r>
      <w:r w:rsidRPr="0093265F">
        <w:rPr>
          <w:i/>
          <w:iCs/>
        </w:rPr>
        <w:t xml:space="preserve">Blank </w:t>
      </w:r>
      <w:r w:rsidRPr="0093265F">
        <w:t>was an “interesting question” but one that did not need to be considered in that case</w:t>
      </w:r>
      <w:r>
        <w:t xml:space="preserve"> (</w:t>
      </w:r>
      <w:r w:rsidRPr="0093265F">
        <w:t>at [27]</w:t>
      </w:r>
      <w:r>
        <w:t>)</w:t>
      </w:r>
      <w:r w:rsidRPr="0093265F">
        <w:t xml:space="preserve">. Similarly, in </w:t>
      </w:r>
      <w:r w:rsidRPr="0093265F">
        <w:rPr>
          <w:i/>
          <w:iCs/>
        </w:rPr>
        <w:t>Reid v New Zealand Fire Services Commission</w:t>
      </w:r>
      <w:r w:rsidRPr="0093265F">
        <w:t xml:space="preserve"> [2010] NZCA 133, (2010) 19 PRNZ 923, leave was granted to appeal to the Court of Appeal on the issue of when litigation privilege should terminate, but the appeal was never heard. </w:t>
      </w:r>
    </w:p>
  </w:footnote>
  <w:footnote w:id="1009">
    <w:p w14:paraId="4056ADFB"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See discussion in </w:t>
      </w:r>
      <w:r w:rsidRPr="0093265F">
        <w:rPr>
          <w:i/>
          <w:iCs/>
        </w:rPr>
        <w:t>NZH Ltd v Ramspecs Ltd</w:t>
      </w:r>
      <w:r w:rsidRPr="0093265F">
        <w:t xml:space="preserve"> [2015] NZHC 2396 at [31].</w:t>
      </w:r>
    </w:p>
  </w:footnote>
  <w:footnote w:id="1010">
    <w:p w14:paraId="585D57F7"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Difficulties in assessing when the privilege should end were recognised in </w:t>
      </w:r>
      <w:r w:rsidRPr="0093265F">
        <w:rPr>
          <w:i/>
          <w:iCs/>
        </w:rPr>
        <w:t>Blank v Minister of Justice</w:t>
      </w:r>
      <w:r w:rsidRPr="0093265F">
        <w:t xml:space="preserve"> [2006] SCC 39, [2006] 2 SCR 319 and by the Commission in Te Aka Matua o te Ture | Law Commission </w:t>
      </w:r>
      <w:r w:rsidRPr="0093265F">
        <w:rPr>
          <w:i/>
          <w:iCs/>
        </w:rPr>
        <w:t>The 2013 Review of the Evidence Act 2006</w:t>
      </w:r>
      <w:r w:rsidRPr="0093265F">
        <w:t xml:space="preserve"> (NZLC R127, 2013) at [10.62]–[10.63].</w:t>
      </w:r>
    </w:p>
  </w:footnote>
  <w:footnote w:id="1011">
    <w:p w14:paraId="10047A25"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The 2013 Review of the Evidence Act 2006</w:t>
      </w:r>
      <w:r w:rsidRPr="0093265F">
        <w:t xml:space="preserve"> (NZLC R127, 2013) at [10.65] and R21.</w:t>
      </w:r>
    </w:p>
  </w:footnote>
  <w:footnote w:id="1012">
    <w:p w14:paraId="16CEA7FF"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Houghton v Saunders</w:t>
      </w:r>
      <w:r w:rsidRPr="0093265F">
        <w:t xml:space="preserve"> [2013] NZHC 1824; </w:t>
      </w:r>
      <w:r w:rsidRPr="0093265F">
        <w:rPr>
          <w:i/>
          <w:iCs/>
        </w:rPr>
        <w:t>Osborne v Worksafe New Zealand</w:t>
      </w:r>
      <w:r w:rsidRPr="0093265F">
        <w:t xml:space="preserve"> [2015] NZHC 264, [2015] NZAR 293; </w:t>
      </w:r>
      <w:r w:rsidRPr="0093265F">
        <w:rPr>
          <w:i/>
          <w:iCs/>
        </w:rPr>
        <w:t>Nisha v LSG Sky Chefs New Zealand Ltd (No 16)</w:t>
      </w:r>
      <w:r w:rsidRPr="0093265F">
        <w:t xml:space="preserve"> [2015] NZEmpC 127; and </w:t>
      </w:r>
      <w:r w:rsidRPr="0093265F">
        <w:rPr>
          <w:i/>
          <w:iCs/>
        </w:rPr>
        <w:t>NZH Ltd v Ramspecs Ltd</w:t>
      </w:r>
      <w:r w:rsidRPr="0093265F">
        <w:t xml:space="preserve"> [2015] NZHC 2396.</w:t>
      </w:r>
    </w:p>
  </w:footnote>
  <w:footnote w:id="1013">
    <w:p w14:paraId="110FB137"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 xml:space="preserve">The Second Review of the Evidence Act 2006 </w:t>
      </w:r>
      <w:r w:rsidRPr="0093265F">
        <w:t xml:space="preserve">| </w:t>
      </w:r>
      <w:r w:rsidRPr="0093265F">
        <w:rPr>
          <w:i/>
          <w:iCs/>
        </w:rPr>
        <w:t xml:space="preserve">Te Arotake Tuarua i te Evidence Act 2006 </w:t>
      </w:r>
      <w:r w:rsidRPr="0093265F">
        <w:t xml:space="preserve">(NZLC R142, 2019) at [16.21]–[16.23]. </w:t>
      </w:r>
    </w:p>
  </w:footnote>
  <w:footnote w:id="1014">
    <w:p w14:paraId="220E3AB6"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 xml:space="preserve">The Second Review of the Evidence Act 2006 </w:t>
      </w:r>
      <w:r w:rsidRPr="0093265F">
        <w:t xml:space="preserve">| </w:t>
      </w:r>
      <w:r w:rsidRPr="0093265F">
        <w:rPr>
          <w:i/>
          <w:iCs/>
        </w:rPr>
        <w:t xml:space="preserve">Te Arotake Tuarua i te Evidence Act 2006 </w:t>
      </w:r>
      <w:r w:rsidRPr="0093265F">
        <w:t>(NZLC R142, 2019) at [16.28].</w:t>
      </w:r>
    </w:p>
  </w:footnote>
  <w:footnote w:id="1015">
    <w:p w14:paraId="16EF26A5"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Minister of Education v James Hardie New Zealand</w:t>
      </w:r>
      <w:r w:rsidRPr="0093265F">
        <w:t xml:space="preserve"> [2019] NZHC 3487 at [100].</w:t>
      </w:r>
    </w:p>
  </w:footnote>
  <w:footnote w:id="1016">
    <w:p w14:paraId="6FAA4934"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Minister of Education v James Hardie New Zealand</w:t>
      </w:r>
      <w:r w:rsidRPr="0093265F">
        <w:t xml:space="preserve"> [2019] NZHC 3487 at [105].</w:t>
      </w:r>
    </w:p>
  </w:footnote>
  <w:footnote w:id="1017">
    <w:p w14:paraId="72C731BF"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Minister of Education v James Hardie New Zealand</w:t>
      </w:r>
      <w:r w:rsidRPr="0093265F">
        <w:t xml:space="preserve"> [2019] NZHC 3487 at [106].</w:t>
      </w:r>
    </w:p>
  </w:footnote>
  <w:footnote w:id="1018">
    <w:p w14:paraId="5ECC4EEA"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Minister of Education v James Hardie New Zealand</w:t>
      </w:r>
      <w:r w:rsidRPr="0093265F">
        <w:t xml:space="preserve"> [2019] NZHC 3487 at [107].</w:t>
      </w:r>
    </w:p>
  </w:footnote>
  <w:footnote w:id="1019">
    <w:p w14:paraId="5EFC61D0"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Metlifecare Retirement Villages Limited v James Hardie New Zealand Limited</w:t>
      </w:r>
      <w:r w:rsidRPr="0093265F">
        <w:t xml:space="preserve"> [2022] NZHC 511.</w:t>
      </w:r>
    </w:p>
  </w:footnote>
  <w:footnote w:id="1020">
    <w:p w14:paraId="13415D9B"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Metlifecare Retirement Villages Limited v James Hardie New Zealand Limited</w:t>
      </w:r>
      <w:r w:rsidRPr="0093265F">
        <w:t xml:space="preserve"> [2022] NZHC 511 at [87].</w:t>
      </w:r>
    </w:p>
  </w:footnote>
  <w:footnote w:id="1021">
    <w:p w14:paraId="4DB0AC25" w14:textId="77777777" w:rsidR="00E13DFB" w:rsidRPr="0093265F" w:rsidRDefault="00E13DFB" w:rsidP="00E13DFB">
      <w:pPr>
        <w:pStyle w:val="FootnoteText"/>
      </w:pPr>
      <w:r w:rsidRPr="0093265F">
        <w:rPr>
          <w:rStyle w:val="FootnoteReference"/>
          <w:rFonts w:eastAsiaTheme="minorHAnsi"/>
        </w:rPr>
        <w:footnoteRef/>
      </w:r>
      <w:r w:rsidRPr="0093265F">
        <w:t xml:space="preserve"> </w:t>
      </w:r>
      <w:r w:rsidRPr="0093265F">
        <w:tab/>
        <w:t xml:space="preserve">Elisabeth McDonald and Scott Optican (eds) </w:t>
      </w:r>
      <w:r w:rsidRPr="0093265F">
        <w:rPr>
          <w:i/>
          <w:iCs/>
        </w:rPr>
        <w:t>Mahoney on Evidence: Act and Analysis</w:t>
      </w:r>
      <w:r w:rsidRPr="0093265F">
        <w:t xml:space="preserve"> (4th ed, Thomson Reuters, Wellington, 2018) at [EV67.07].</w:t>
      </w:r>
    </w:p>
  </w:footnote>
  <w:footnote w:id="1022">
    <w:p w14:paraId="0DC8E10F" w14:textId="77777777" w:rsidR="00E13DFB" w:rsidRPr="0093265F" w:rsidRDefault="00E13DFB" w:rsidP="00E13DFB">
      <w:pPr>
        <w:pStyle w:val="FootnoteText"/>
      </w:pPr>
      <w:r w:rsidRPr="0093265F">
        <w:rPr>
          <w:rStyle w:val="FootnoteReference"/>
          <w:rFonts w:eastAsiaTheme="minorHAnsi"/>
        </w:rPr>
        <w:footnoteRef/>
      </w:r>
      <w:r w:rsidRPr="0093265F">
        <w:t xml:space="preserve"> </w:t>
      </w:r>
      <w:r w:rsidRPr="0093265F">
        <w:tab/>
      </w:r>
      <w:r w:rsidRPr="0093265F">
        <w:rPr>
          <w:rFonts w:cstheme="minorHAnsi"/>
          <w:szCs w:val="15"/>
        </w:rPr>
        <w:t>Allison Ferguson and Guy Tompkins “Update on Evidence Act for Civil Litigators” (paper presented to the New Zealand Law Society conference, Evidence Act Update for Civil Litigators, 14 June 2022).</w:t>
      </w:r>
    </w:p>
  </w:footnote>
  <w:footnote w:id="1023">
    <w:p w14:paraId="6E6EB937" w14:textId="77777777" w:rsidR="00E13DFB" w:rsidRPr="0093265F" w:rsidRDefault="00E13DFB" w:rsidP="00E13DFB">
      <w:pPr>
        <w:pStyle w:val="FootnoteText"/>
      </w:pPr>
      <w:r w:rsidRPr="0093265F">
        <w:rPr>
          <w:rStyle w:val="FootnoteReference"/>
          <w:rFonts w:eastAsiaTheme="minorHAnsi"/>
        </w:rPr>
        <w:footnoteRef/>
      </w:r>
      <w:r w:rsidRPr="0093265F">
        <w:t xml:space="preserve"> </w:t>
      </w:r>
      <w:r w:rsidRPr="0093265F">
        <w:tab/>
        <w:t xml:space="preserve">Sean McAnally </w:t>
      </w:r>
      <w:r>
        <w:t>“</w:t>
      </w:r>
      <w:r w:rsidRPr="0093265F">
        <w:t>Litigation privilege: permanent or temporary?</w:t>
      </w:r>
      <w:r>
        <w:t>”</w:t>
      </w:r>
      <w:r w:rsidRPr="0093265F">
        <w:t xml:space="preserve"> [2022] NZLJ 8. </w:t>
      </w:r>
      <w:r>
        <w:t>See also</w:t>
      </w:r>
      <w:r w:rsidRPr="0093265F">
        <w:t xml:space="preserve"> James Anson-Holland “The Limits of Settlement Privilege in New Zealand: Distilling the Guiding Principles” [2022] 30 NZULR 79 at 99–103. Anson-Holland argues that, following the logic of </w:t>
      </w:r>
      <w:r w:rsidRPr="0093265F">
        <w:rPr>
          <w:i/>
          <w:iCs/>
        </w:rPr>
        <w:t>Blank</w:t>
      </w:r>
      <w:r w:rsidRPr="00F4484B">
        <w:t>,</w:t>
      </w:r>
      <w:r w:rsidRPr="0093265F">
        <w:rPr>
          <w:i/>
          <w:iCs/>
        </w:rPr>
        <w:t xml:space="preserve"> </w:t>
      </w:r>
      <w:r w:rsidRPr="0093265F">
        <w:t xml:space="preserve">settlement privilege should terminate once the parties to the dispute have reached a concluded settlement agreement except in circumstances involving the same legal combat. </w:t>
      </w:r>
    </w:p>
  </w:footnote>
  <w:footnote w:id="1024">
    <w:p w14:paraId="28C458BC"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Beckham v R </w:t>
      </w:r>
      <w:r w:rsidRPr="0093265F">
        <w:t>[2015] NZSC 98 at [93]–[94].</w:t>
      </w:r>
    </w:p>
  </w:footnote>
  <w:footnote w:id="1025">
    <w:p w14:paraId="0F8CF18D"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Evidence Act 2006, s 57(1). Privilege in respect of plea discussions in criminal proceedings is addressed in s 57(2A)–(2B). </w:t>
      </w:r>
    </w:p>
  </w:footnote>
  <w:footnote w:id="1026">
    <w:p w14:paraId="2D1B6C1D"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See, for example, </w:t>
      </w:r>
      <w:r w:rsidRPr="0093265F">
        <w:rPr>
          <w:i/>
          <w:iCs/>
        </w:rPr>
        <w:t>Morgan v Whanganui College Board of Trustees</w:t>
      </w:r>
      <w:r w:rsidRPr="0093265F">
        <w:t xml:space="preserve"> [2014] NZCA 340, [2014] 3 NZLR 713 at [11]; and </w:t>
      </w:r>
      <w:r w:rsidRPr="0093265F">
        <w:rPr>
          <w:i/>
          <w:iCs/>
        </w:rPr>
        <w:t>Sheppard Industries Ltd v Specialised Bicycle Components Inc</w:t>
      </w:r>
      <w:r w:rsidRPr="0093265F">
        <w:t xml:space="preserve"> [2011] NZCA 346, [2011] 3 NZLR 620 at [23]–[32].</w:t>
      </w:r>
    </w:p>
  </w:footnote>
  <w:footnote w:id="1027">
    <w:p w14:paraId="100F6FBA" w14:textId="77777777" w:rsidR="00E13DFB" w:rsidRPr="0093265F" w:rsidRDefault="00E13DFB" w:rsidP="00E13DFB">
      <w:pPr>
        <w:pStyle w:val="FootnoteText"/>
        <w:rPr>
          <w:i/>
          <w:iCs/>
        </w:rPr>
      </w:pPr>
      <w:r w:rsidRPr="0093265F">
        <w:rPr>
          <w:rStyle w:val="FootnoteReference"/>
        </w:rPr>
        <w:footnoteRef/>
      </w:r>
      <w:r w:rsidRPr="0093265F">
        <w:t xml:space="preserve"> </w:t>
      </w:r>
      <w:r w:rsidRPr="0093265F">
        <w:tab/>
        <w:t xml:space="preserve">James Anson-Holland discusses 11 common law exceptions in “The Limits of Settlement Privilege in New Zealand: Distilling the Guiding Principles” [2022] 30 NZULR 79 at 84–87. </w:t>
      </w:r>
    </w:p>
  </w:footnote>
  <w:footnote w:id="1028">
    <w:p w14:paraId="3B3DE838"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The </w:t>
      </w:r>
      <w:r>
        <w:t>three</w:t>
      </w:r>
      <w:r w:rsidRPr="0093265F">
        <w:t xml:space="preserve"> exceptions that were originally codified in s 57(3) are described as exceptions that promote the public policy principle of encouraging settlement, while those exceptions that subordinate that principle to other seemingly more important principles of public policy were not originally codified: James Anson-Holland “The Limits of Settlement Privilege in New Zealand: Distilling the Guiding Principles” [2022] 30 NZULR 79 at 84–85. </w:t>
      </w:r>
    </w:p>
  </w:footnote>
  <w:footnote w:id="1029">
    <w:p w14:paraId="51028848" w14:textId="77777777" w:rsidR="00E13DFB" w:rsidRPr="0093265F" w:rsidRDefault="00E13DFB" w:rsidP="00E13DFB">
      <w:pPr>
        <w:pStyle w:val="FootnoteText"/>
        <w:rPr>
          <w:i/>
          <w:iCs/>
        </w:rPr>
      </w:pPr>
      <w:r w:rsidRPr="0093265F">
        <w:rPr>
          <w:rStyle w:val="FootnoteReference"/>
        </w:rPr>
        <w:footnoteRef/>
      </w:r>
      <w:r w:rsidRPr="0093265F">
        <w:t xml:space="preserve"> </w:t>
      </w:r>
      <w:r w:rsidRPr="0093265F">
        <w:tab/>
        <w:t xml:space="preserve">See discussion in Te Aka Matua o te Ture | Law Commission </w:t>
      </w:r>
      <w:r w:rsidRPr="0093265F">
        <w:rPr>
          <w:i/>
          <w:iCs/>
        </w:rPr>
        <w:t>The 2013 Review of the Evidence Act 2006</w:t>
      </w:r>
      <w:r w:rsidRPr="0093265F">
        <w:t xml:space="preserve"> (NZLC R127, 2013) at [10.49]–[10.52].</w:t>
      </w:r>
    </w:p>
  </w:footnote>
  <w:footnote w:id="1030">
    <w:p w14:paraId="6933071F"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The 2013 Review of the Evidence Act 2006</w:t>
      </w:r>
      <w:r w:rsidRPr="0093265F">
        <w:t xml:space="preserve"> (NZLC R127, 2013) at [10.54].</w:t>
      </w:r>
    </w:p>
  </w:footnote>
  <w:footnote w:id="1031">
    <w:p w14:paraId="65A52FB6"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The 2013 Review of the Evidence Act 2006</w:t>
      </w:r>
      <w:r w:rsidRPr="0093265F">
        <w:t xml:space="preserve"> (NZLC R127, 2013) at [10.56].</w:t>
      </w:r>
    </w:p>
  </w:footnote>
  <w:footnote w:id="1032">
    <w:p w14:paraId="0D245833"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The 2013 Review of the Evidence Act 2006</w:t>
      </w:r>
      <w:r w:rsidRPr="0093265F">
        <w:t xml:space="preserve"> (NZLC R127, 2013) at [10.57].</w:t>
      </w:r>
    </w:p>
  </w:footnote>
  <w:footnote w:id="1033">
    <w:p w14:paraId="46585267"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The 2013 Review of the Evidence Act 2006</w:t>
      </w:r>
      <w:r w:rsidRPr="0093265F">
        <w:t xml:space="preserve"> (NZLC R127, 2013) at [10.57].</w:t>
      </w:r>
    </w:p>
  </w:footnote>
  <w:footnote w:id="1034">
    <w:p w14:paraId="455E03E6" w14:textId="77777777" w:rsidR="00E13DFB" w:rsidRPr="0093265F" w:rsidRDefault="00E13DFB" w:rsidP="00E13DFB">
      <w:pPr>
        <w:pStyle w:val="FootnoteText"/>
      </w:pPr>
      <w:r w:rsidRPr="0093265F">
        <w:rPr>
          <w:rStyle w:val="FootnoteReference"/>
        </w:rPr>
        <w:footnoteRef/>
      </w:r>
      <w:r w:rsidRPr="0093265F">
        <w:t xml:space="preserve"> </w:t>
      </w:r>
      <w:r w:rsidRPr="0093265F">
        <w:tab/>
        <w:t>The separate interests of justice exception</w:t>
      </w:r>
      <w:r>
        <w:t>,</w:t>
      </w:r>
      <w:r w:rsidRPr="0093265F">
        <w:t xml:space="preserve"> which applies only in relation to plea discussions (s 57(2B)</w:t>
      </w:r>
      <w:r w:rsidRPr="0093265F">
        <w:rPr>
          <w:rFonts w:ascii="Calibri" w:hAnsi="Calibri" w:cs="Calibri"/>
        </w:rPr>
        <w:t>(c)</w:t>
      </w:r>
      <w:r w:rsidRPr="0093265F">
        <w:t xml:space="preserve"> of the Evidence Act 2006)</w:t>
      </w:r>
      <w:r>
        <w:t>,</w:t>
      </w:r>
      <w:r w:rsidRPr="0093265F">
        <w:t xml:space="preserve"> was recently considered in </w:t>
      </w:r>
      <w:r w:rsidRPr="0093265F">
        <w:rPr>
          <w:i/>
          <w:iCs/>
        </w:rPr>
        <w:t xml:space="preserve">Re Harder </w:t>
      </w:r>
      <w:r w:rsidRPr="0093265F">
        <w:t>[2023] NZHC 620. The case concerned a request for legal advice given by the then Solicitor-General to WorkSafe about a voluntary reparation payment offered in connection with the prosecution of the Chief Executive of Pike River Coal Ltd at the time of the Pike River Mine tragedy. The Court held that the exception applied in that case, concluding that transparency through open justice outweighed the factors that pointed against disclosure of the documents over which privilege was claimed</w:t>
      </w:r>
      <w:r>
        <w:t xml:space="preserve"> (</w:t>
      </w:r>
      <w:r w:rsidRPr="0093265F">
        <w:t>at [20]</w:t>
      </w:r>
      <w:r>
        <w:t>)</w:t>
      </w:r>
      <w:r w:rsidRPr="0093265F">
        <w:t>.</w:t>
      </w:r>
    </w:p>
  </w:footnote>
  <w:footnote w:id="1035">
    <w:p w14:paraId="42C85729"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Nina Khouri “Mediation” [2021] NZ L Rev 169 at 195. See, for example, </w:t>
      </w:r>
      <w:r w:rsidRPr="0093265F">
        <w:rPr>
          <w:i/>
          <w:iCs/>
        </w:rPr>
        <w:t xml:space="preserve">Smith v Shaw </w:t>
      </w:r>
      <w:r w:rsidRPr="0093265F">
        <w:t>[2020] NZHC 238, [2020]</w:t>
      </w:r>
      <w:r w:rsidRPr="0093265F">
        <w:rPr>
          <w:i/>
          <w:iCs/>
        </w:rPr>
        <w:t xml:space="preserve"> </w:t>
      </w:r>
      <w:r w:rsidRPr="0093265F">
        <w:t>3 NZLR 661, where counsel agreed that authorities on the common law exceptions will be of guidance in the approach to the new section</w:t>
      </w:r>
      <w:r>
        <w:t xml:space="preserve"> (</w:t>
      </w:r>
      <w:r w:rsidRPr="0093265F">
        <w:t>at [34]</w:t>
      </w:r>
      <w:r>
        <w:t>)</w:t>
      </w:r>
      <w:r w:rsidRPr="0093265F">
        <w:t xml:space="preserve">, and the Court applied case law on the common law “unambiguous impropriety” exception </w:t>
      </w:r>
      <w:r>
        <w:t>(</w:t>
      </w:r>
      <w:r w:rsidRPr="0093265F">
        <w:t>at [45]</w:t>
      </w:r>
      <w:r>
        <w:t>)</w:t>
      </w:r>
      <w:r w:rsidRPr="0093265F">
        <w:t xml:space="preserve">. </w:t>
      </w:r>
      <w:r>
        <w:t>See also</w:t>
      </w:r>
      <w:r w:rsidRPr="0093265F">
        <w:t xml:space="preserve"> </w:t>
      </w:r>
      <w:r w:rsidRPr="0093265F">
        <w:rPr>
          <w:i/>
          <w:iCs/>
          <w:lang w:eastAsia="en-AU"/>
        </w:rPr>
        <w:t>Body Corporate 212050 v Covekinloch Auckland Ltd (in liq)</w:t>
      </w:r>
      <w:r w:rsidRPr="0093265F">
        <w:rPr>
          <w:i/>
          <w:iCs/>
        </w:rPr>
        <w:t xml:space="preserve"> </w:t>
      </w:r>
      <w:r w:rsidRPr="0093265F">
        <w:t>[2017] NZHC 2642 at [94], where</w:t>
      </w:r>
      <w:r w:rsidRPr="0093265F">
        <w:rPr>
          <w:i/>
          <w:iCs/>
          <w:lang w:eastAsia="en-AU"/>
        </w:rPr>
        <w:t xml:space="preserve"> </w:t>
      </w:r>
      <w:r w:rsidRPr="0093265F">
        <w:rPr>
          <w:lang w:eastAsia="en-AU"/>
        </w:rPr>
        <w:t xml:space="preserve">one of the reasons the </w:t>
      </w:r>
      <w:r>
        <w:rPr>
          <w:lang w:eastAsia="en-AU"/>
        </w:rPr>
        <w:t>C</w:t>
      </w:r>
      <w:r w:rsidRPr="0093265F">
        <w:rPr>
          <w:lang w:eastAsia="en-AU"/>
        </w:rPr>
        <w:t>ourt declined to order disclosure of privileged communications was that the claim did not fall within any of the common law exceptions</w:t>
      </w:r>
      <w:r>
        <w:rPr>
          <w:lang w:eastAsia="en-AU"/>
        </w:rPr>
        <w:t>, and</w:t>
      </w:r>
      <w:r w:rsidRPr="0093265F">
        <w:t xml:space="preserve"> </w:t>
      </w:r>
      <w:r w:rsidRPr="0093265F">
        <w:rPr>
          <w:i/>
          <w:iCs/>
        </w:rPr>
        <w:t xml:space="preserve">TPT Forests Ltd v Penfold </w:t>
      </w:r>
      <w:r w:rsidRPr="0093265F">
        <w:t>[2022] NZEmpC 236</w:t>
      </w:r>
      <w:r w:rsidRPr="00C252D1">
        <w:t>,</w:t>
      </w:r>
      <w:r w:rsidRPr="0093265F">
        <w:rPr>
          <w:i/>
          <w:iCs/>
        </w:rPr>
        <w:t xml:space="preserve"> </w:t>
      </w:r>
      <w:r w:rsidRPr="0093265F">
        <w:t>a</w:t>
      </w:r>
      <w:r>
        <w:t xml:space="preserve"> Kōti Take Mahi |</w:t>
      </w:r>
      <w:r w:rsidRPr="0093265F">
        <w:t xml:space="preserve"> Employment Court decision where the Judge observed that s 57(3)(d) “intended to pick up the common law exceptions to without prejudice privilege” </w:t>
      </w:r>
      <w:r>
        <w:t>(</w:t>
      </w:r>
      <w:r w:rsidRPr="0093265F">
        <w:t>at [31]</w:t>
      </w:r>
      <w:r>
        <w:t>)</w:t>
      </w:r>
      <w:r w:rsidRPr="0093265F">
        <w:t>.</w:t>
      </w:r>
    </w:p>
  </w:footnote>
  <w:footnote w:id="1036">
    <w:p w14:paraId="1AC49A1C"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See discussion in James Anson-Holland “The Limits of Settlement Privilege in New Zealand: Distilling the Guiding Principles” [2022] 30 NZULR 79 at 87; and </w:t>
      </w:r>
      <w:r w:rsidRPr="0093265F">
        <w:rPr>
          <w:i/>
          <w:iCs/>
        </w:rPr>
        <w:t xml:space="preserve">Minister of Education v Reidy McKenzie Ltd </w:t>
      </w:r>
      <w:r w:rsidRPr="0093265F">
        <w:t>[2016] NZCA 326, (2016) 23 PRNZ 439 at [26].</w:t>
      </w:r>
    </w:p>
  </w:footnote>
  <w:footnote w:id="1037">
    <w:p w14:paraId="0358F253"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See James Anson-Holland “The Limits of Settlement Privilege in New Zealand: Distilling the Guiding Principles” [2022] 30 NZULR 79 at 98; and Mathew Downs (ed) </w:t>
      </w:r>
      <w:r w:rsidRPr="0093265F">
        <w:rPr>
          <w:i/>
          <w:iCs/>
        </w:rPr>
        <w:t>Cross on Evidence</w:t>
      </w:r>
      <w:r w:rsidRPr="0093265F">
        <w:t xml:space="preserve"> (online looseleaf ed, LexisNexis) at [EVA57.12].</w:t>
      </w:r>
    </w:p>
  </w:footnote>
  <w:footnote w:id="1038">
    <w:p w14:paraId="06551EF1"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Smith v Shaw </w:t>
      </w:r>
      <w:r w:rsidRPr="0093265F">
        <w:t>[2020] NZHC 238, [2020]</w:t>
      </w:r>
      <w:r w:rsidRPr="0093265F">
        <w:rPr>
          <w:i/>
          <w:iCs/>
        </w:rPr>
        <w:t xml:space="preserve"> </w:t>
      </w:r>
      <w:r w:rsidRPr="0093265F">
        <w:t>3 NZLR 661 at [45]–[46].</w:t>
      </w:r>
    </w:p>
  </w:footnote>
  <w:footnote w:id="1039">
    <w:p w14:paraId="0A90AD4A"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Smith v Shaw </w:t>
      </w:r>
      <w:r w:rsidRPr="0093265F">
        <w:t>[2020] NZHC 238, [2020]</w:t>
      </w:r>
      <w:r w:rsidRPr="0093265F">
        <w:rPr>
          <w:i/>
          <w:iCs/>
        </w:rPr>
        <w:t xml:space="preserve"> </w:t>
      </w:r>
      <w:r w:rsidRPr="0093265F">
        <w:t>3 NZLR 661 at [46].</w:t>
      </w:r>
    </w:p>
  </w:footnote>
  <w:footnote w:id="1040">
    <w:p w14:paraId="6B54AA06"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Smith v Shaw </w:t>
      </w:r>
      <w:r w:rsidRPr="0093265F">
        <w:t>[2020] NZHC 1229.</w:t>
      </w:r>
    </w:p>
  </w:footnote>
  <w:footnote w:id="1041">
    <w:p w14:paraId="2A0BA696"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Smith v Shaw </w:t>
      </w:r>
      <w:r w:rsidRPr="0093265F">
        <w:t>[2020] NZHC 1229 at [17].</w:t>
      </w:r>
    </w:p>
  </w:footnote>
  <w:footnote w:id="1042">
    <w:p w14:paraId="1C028C74"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Smith v Shaw </w:t>
      </w:r>
      <w:r w:rsidRPr="0093265F">
        <w:t>[2020] NZHC 1229 at [20].</w:t>
      </w:r>
    </w:p>
  </w:footnote>
  <w:footnote w:id="1043">
    <w:p w14:paraId="28D30E51"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Smith v Shaw </w:t>
      </w:r>
      <w:r w:rsidRPr="0093265F">
        <w:t>[2020] NZHC 1229 at [25].</w:t>
      </w:r>
    </w:p>
  </w:footnote>
  <w:footnote w:id="1044">
    <w:p w14:paraId="43D8FA8A" w14:textId="77777777" w:rsidR="00E13DFB" w:rsidRPr="0093265F" w:rsidRDefault="00E13DFB" w:rsidP="00E13DFB">
      <w:pPr>
        <w:pStyle w:val="FootnoteText"/>
      </w:pPr>
      <w:r w:rsidRPr="0093265F">
        <w:rPr>
          <w:rStyle w:val="FootnoteReference"/>
        </w:rPr>
        <w:footnoteRef/>
      </w:r>
      <w:r w:rsidRPr="0093265F">
        <w:t xml:space="preserve"> </w:t>
      </w:r>
      <w:r w:rsidRPr="0093265F">
        <w:tab/>
        <w:t>James Anson-Holland “The Limits of Settlement Privilege in New Zealand: Distilling the Guiding Principles” [2022] 30 NZULR 79 at 98.</w:t>
      </w:r>
    </w:p>
  </w:footnote>
  <w:footnote w:id="1045">
    <w:p w14:paraId="7610540D"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Gibbs v Windmeyer </w:t>
      </w:r>
      <w:r w:rsidRPr="0093265F">
        <w:t>[2021] NZHC 2582.</w:t>
      </w:r>
    </w:p>
  </w:footnote>
  <w:footnote w:id="1046">
    <w:p w14:paraId="6B756158"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Gibbs v Windmeyer </w:t>
      </w:r>
      <w:r w:rsidRPr="0093265F">
        <w:t xml:space="preserve">[2021] NZHC 2582 at [75]–[76], citing </w:t>
      </w:r>
      <w:r w:rsidRPr="0093265F">
        <w:rPr>
          <w:i/>
          <w:iCs/>
        </w:rPr>
        <w:t xml:space="preserve">Smith v Shaw </w:t>
      </w:r>
      <w:r w:rsidRPr="0093265F">
        <w:t>[2020] NZHC 238, [2020]</w:t>
      </w:r>
      <w:r w:rsidRPr="0093265F">
        <w:rPr>
          <w:i/>
          <w:iCs/>
        </w:rPr>
        <w:t xml:space="preserve"> </w:t>
      </w:r>
      <w:r w:rsidRPr="0093265F">
        <w:t>3 NZLR 661.</w:t>
      </w:r>
    </w:p>
  </w:footnote>
  <w:footnote w:id="1047">
    <w:p w14:paraId="11245918"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Gibbs v Windmeyer </w:t>
      </w:r>
      <w:r w:rsidRPr="0093265F">
        <w:t>[2021] NZHC 2582 at [80]–[83].</w:t>
      </w:r>
    </w:p>
  </w:footnote>
  <w:footnote w:id="1048">
    <w:p w14:paraId="3A7AA564"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Gibbs v Windmeyer </w:t>
      </w:r>
      <w:r w:rsidRPr="0093265F">
        <w:t>[2021] NZHC 2582 at [86].</w:t>
      </w:r>
    </w:p>
  </w:footnote>
  <w:footnote w:id="1049">
    <w:p w14:paraId="0E27C599"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Smith v Claims Resolution Service Ltd </w:t>
      </w:r>
      <w:r w:rsidRPr="0093265F">
        <w:t>[2021] NZHC 3424 at [39].</w:t>
      </w:r>
    </w:p>
  </w:footnote>
  <w:footnote w:id="1050">
    <w:p w14:paraId="26D43103"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Smith v Claims Resolution Service Ltd </w:t>
      </w:r>
      <w:r w:rsidRPr="0093265F">
        <w:t>[2021] NZHC 3424 at [39].</w:t>
      </w:r>
    </w:p>
  </w:footnote>
  <w:footnote w:id="1051">
    <w:p w14:paraId="3568FCEF"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Mathew Downs (ed) </w:t>
      </w:r>
      <w:r w:rsidRPr="0093265F">
        <w:rPr>
          <w:i/>
          <w:iCs/>
        </w:rPr>
        <w:t>Cross on Evidence</w:t>
      </w:r>
      <w:r w:rsidRPr="0093265F">
        <w:t xml:space="preserve"> (online looseleaf ed, LexisNexis) at [EVA57.12]. </w:t>
      </w:r>
      <w:r>
        <w:t>See also</w:t>
      </w:r>
      <w:r w:rsidRPr="0093265F">
        <w:t xml:space="preserve"> discussion in Allison Ferguson and Guy Tompkins “Update on Evidence Act for Civil Litigators” (paper presented to New Zealand Law Society Evidence Act Update for Civil Litigators webinar, 14 June 2022) at 35–36. </w:t>
      </w:r>
    </w:p>
  </w:footnote>
  <w:footnote w:id="1052">
    <w:p w14:paraId="17BC232F" w14:textId="77777777" w:rsidR="00E13DFB" w:rsidRPr="0093265F" w:rsidRDefault="00E13DFB" w:rsidP="00E13DFB">
      <w:pPr>
        <w:pStyle w:val="FootnoteText"/>
      </w:pPr>
      <w:r w:rsidRPr="0093265F">
        <w:rPr>
          <w:rStyle w:val="FootnoteReference"/>
        </w:rPr>
        <w:footnoteRef/>
      </w:r>
      <w:r w:rsidRPr="0093265F">
        <w:t xml:space="preserve"> </w:t>
      </w:r>
      <w:r w:rsidRPr="0093265F">
        <w:tab/>
        <w:t>Nina Khouri “Mediation” [2021] NZ L Rev 169 at 198.</w:t>
      </w:r>
    </w:p>
  </w:footnote>
  <w:footnote w:id="1053">
    <w:p w14:paraId="279E8B0E"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James Anson-Holland “The Limits of Settlement Privilege in New Zealand: Distilling the Guiding Principles” [2022] 30 NZULR 79 at 98. We note that </w:t>
      </w:r>
      <w:r>
        <w:t>Mathew Downs (ed)</w:t>
      </w:r>
      <w:r w:rsidRPr="0093265F">
        <w:t xml:space="preserve"> </w:t>
      </w:r>
      <w:r w:rsidRPr="0093265F">
        <w:rPr>
          <w:i/>
          <w:iCs/>
        </w:rPr>
        <w:t>Adams on Criminal Law – Evidence</w:t>
      </w:r>
      <w:r w:rsidRPr="0093265F">
        <w:t xml:space="preserve"> (online looseleaf ed, Thomson Reuters) already describes s 57(3)(d) as a </w:t>
      </w:r>
      <w:r w:rsidRPr="0093265F">
        <w:rPr>
          <w:lang w:eastAsia="en-AU"/>
        </w:rPr>
        <w:t xml:space="preserve">“substantial weakening” of settlement privilege </w:t>
      </w:r>
      <w:r>
        <w:rPr>
          <w:lang w:eastAsia="en-AU"/>
        </w:rPr>
        <w:t>(</w:t>
      </w:r>
      <w:r w:rsidRPr="0093265F">
        <w:rPr>
          <w:lang w:eastAsia="en-AU"/>
        </w:rPr>
        <w:t>at [</w:t>
      </w:r>
      <w:r w:rsidRPr="0093265F">
        <w:t>EA57.06]</w:t>
      </w:r>
      <w:r>
        <w:t>)</w:t>
      </w:r>
      <w:r w:rsidRPr="0093265F">
        <w:rPr>
          <w:lang w:eastAsia="en-AU"/>
        </w:rPr>
        <w:t>.</w:t>
      </w:r>
      <w:r w:rsidRPr="0093265F">
        <w:t xml:space="preserve"> </w:t>
      </w:r>
    </w:p>
  </w:footnote>
  <w:footnote w:id="1054">
    <w:p w14:paraId="08496EC8" w14:textId="77777777" w:rsidR="00E13DFB" w:rsidRPr="0093265F" w:rsidRDefault="00E13DFB" w:rsidP="00E13DFB">
      <w:pPr>
        <w:pStyle w:val="FootnoteText"/>
      </w:pPr>
      <w:r w:rsidRPr="0093265F">
        <w:rPr>
          <w:rStyle w:val="FootnoteReference"/>
        </w:rPr>
        <w:footnoteRef/>
      </w:r>
      <w:r w:rsidRPr="0093265F">
        <w:t xml:space="preserve"> </w:t>
      </w:r>
      <w:r w:rsidRPr="0093265F">
        <w:tab/>
      </w:r>
      <w:r w:rsidRPr="0093265F">
        <w:rPr>
          <w:i/>
          <w:iCs/>
        </w:rPr>
        <w:t xml:space="preserve">Briggs &amp; Ors v Clay &amp; Ors </w:t>
      </w:r>
      <w:r w:rsidRPr="0093265F">
        <w:t>[2019] EWHC 102 (Ch) at [118]–[119].</w:t>
      </w:r>
    </w:p>
  </w:footnote>
  <w:footnote w:id="1055">
    <w:p w14:paraId="042BA835"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 xml:space="preserve">Evidence: Evidence Code and Commentary </w:t>
      </w:r>
      <w:r w:rsidRPr="0093265F">
        <w:t xml:space="preserve">(NZLC R55 Vol 2, 1999) at cl 70(2)–(3). </w:t>
      </w:r>
    </w:p>
  </w:footnote>
  <w:footnote w:id="1056">
    <w:p w14:paraId="19E0998D"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 xml:space="preserve">Evidence: Evidence Code and Commentary </w:t>
      </w:r>
      <w:r w:rsidRPr="0093265F">
        <w:t>(NZLC R55 Vol 2, 1999) at [C288].</w:t>
      </w:r>
    </w:p>
  </w:footnote>
  <w:footnote w:id="1057">
    <w:p w14:paraId="586F74B6"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Mathew Downs (ed) </w:t>
      </w:r>
      <w:r w:rsidRPr="0093265F">
        <w:rPr>
          <w:i/>
          <w:iCs/>
        </w:rPr>
        <w:t>Cross on Evidence</w:t>
      </w:r>
      <w:r w:rsidRPr="0093265F">
        <w:t xml:space="preserve"> (online looseleaf ed, LexisNexis) at [EVA66.4].</w:t>
      </w:r>
    </w:p>
  </w:footnote>
  <w:footnote w:id="1058">
    <w:p w14:paraId="46DD56B0"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The 2013 Review of the Evidence Act 2006</w:t>
      </w:r>
      <w:r w:rsidRPr="0093265F">
        <w:t xml:space="preserve"> (NZLC R127, 2013) at [10.189].</w:t>
      </w:r>
    </w:p>
  </w:footnote>
  <w:footnote w:id="1059">
    <w:p w14:paraId="34537F58"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Te Aka Matua o te Ture | Law Commission </w:t>
      </w:r>
      <w:r w:rsidRPr="0093265F">
        <w:rPr>
          <w:i/>
          <w:iCs/>
        </w:rPr>
        <w:t>The 2013 Review of the Evidence Act 2006</w:t>
      </w:r>
      <w:r w:rsidRPr="0093265F">
        <w:t xml:space="preserve"> (NZLC R127, 2013) at R28.</w:t>
      </w:r>
    </w:p>
  </w:footnote>
  <w:footnote w:id="1060">
    <w:p w14:paraId="024931E8" w14:textId="77777777" w:rsidR="00E13DFB" w:rsidRPr="0093265F" w:rsidRDefault="00E13DFB" w:rsidP="00E13DFB">
      <w:pPr>
        <w:pStyle w:val="FootnoteText"/>
      </w:pPr>
      <w:r w:rsidRPr="0093265F">
        <w:rPr>
          <w:rStyle w:val="FootnoteReference"/>
        </w:rPr>
        <w:footnoteRef/>
      </w:r>
      <w:r w:rsidRPr="0093265F">
        <w:t xml:space="preserve"> </w:t>
      </w:r>
      <w:r w:rsidRPr="0093265F">
        <w:tab/>
        <w:t xml:space="preserve">Mathew Downs (ed) </w:t>
      </w:r>
      <w:r w:rsidRPr="0093265F">
        <w:rPr>
          <w:i/>
          <w:iCs/>
        </w:rPr>
        <w:t>Cross on Evidence</w:t>
      </w:r>
      <w:r w:rsidRPr="0093265F">
        <w:t xml:space="preserve"> (online looseleaf ed, LexisNexis) at [EVA66.4].</w:t>
      </w:r>
    </w:p>
  </w:footnote>
  <w:footnote w:id="1061">
    <w:p w14:paraId="4D0C4A14" w14:textId="77777777" w:rsidR="00E13DFB" w:rsidRPr="0093265F" w:rsidRDefault="00E13DFB" w:rsidP="00E13DFB">
      <w:pPr>
        <w:pStyle w:val="FootnoteText"/>
      </w:pPr>
      <w:r w:rsidRPr="0093265F">
        <w:rPr>
          <w:rStyle w:val="FootnoteReference"/>
        </w:rPr>
        <w:footnoteRef/>
      </w:r>
      <w:r w:rsidRPr="0093265F">
        <w:t xml:space="preserve"> </w:t>
      </w:r>
      <w:r w:rsidRPr="0093265F">
        <w:tab/>
        <w:t>Evidence Amendment Bill 2015 (27–1) (explanatory note) at 8.</w:t>
      </w:r>
    </w:p>
  </w:footnote>
  <w:footnote w:id="1062">
    <w:p w14:paraId="6B82AEF7" w14:textId="77777777" w:rsidR="00E13DFB" w:rsidRPr="0093265F" w:rsidRDefault="00E13DFB" w:rsidP="00E13DFB">
      <w:pPr>
        <w:pStyle w:val="FootnoteText"/>
        <w:rPr>
          <w:lang w:val="mi-NZ"/>
        </w:rPr>
      </w:pPr>
      <w:r w:rsidRPr="0093265F">
        <w:rPr>
          <w:rStyle w:val="FootnoteReference"/>
        </w:rPr>
        <w:footnoteRef/>
      </w:r>
      <w:r w:rsidRPr="0093265F">
        <w:t xml:space="preserve"> </w:t>
      </w:r>
      <w:r w:rsidRPr="0093265F">
        <w:rPr>
          <w:lang w:val="mi-NZ"/>
        </w:rPr>
        <w:tab/>
        <w:t xml:space="preserve">Ministry of Justice </w:t>
      </w:r>
      <w:r w:rsidRPr="0093265F">
        <w:rPr>
          <w:i/>
          <w:iCs/>
          <w:lang w:val="mi-NZ"/>
        </w:rPr>
        <w:t>Evidence Amendment Bill – Initial Briefing</w:t>
      </w:r>
      <w:r w:rsidRPr="0093265F">
        <w:rPr>
          <w:lang w:val="mi-NZ"/>
        </w:rPr>
        <w:t xml:space="preserve"> (8 September 2015) at 8.</w:t>
      </w:r>
    </w:p>
  </w:footnote>
  <w:footnote w:id="1063">
    <w:p w14:paraId="0F7F3870" w14:textId="77777777" w:rsidR="00E13DFB" w:rsidRDefault="00E13DFB" w:rsidP="00E13DFB">
      <w:pPr>
        <w:pStyle w:val="FootnoteText"/>
      </w:pPr>
      <w:r w:rsidRPr="0093265F">
        <w:rPr>
          <w:rStyle w:val="FootnoteReference"/>
        </w:rPr>
        <w:footnoteRef/>
      </w:r>
      <w:r w:rsidRPr="0093265F">
        <w:t xml:space="preserve"> </w:t>
      </w:r>
      <w:r w:rsidRPr="0093265F">
        <w:tab/>
        <w:t xml:space="preserve">Mathew Downs (ed) </w:t>
      </w:r>
      <w:r w:rsidRPr="0093265F">
        <w:rPr>
          <w:i/>
          <w:iCs/>
        </w:rPr>
        <w:t>Cross on Evidence</w:t>
      </w:r>
      <w:r w:rsidRPr="0093265F">
        <w:t xml:space="preserve"> (online looseleaf ed, LexisNexis)</w:t>
      </w:r>
      <w:r w:rsidRPr="0093265F">
        <w:rPr>
          <w:lang w:val="mi-NZ"/>
        </w:rPr>
        <w:t xml:space="preserve"> at [EVA66.4], citing the recent cases of </w:t>
      </w:r>
      <w:r w:rsidRPr="0093265F">
        <w:rPr>
          <w:i/>
          <w:iCs/>
        </w:rPr>
        <w:t>Whitley (as liquidator of Property Ventures Ltd (in liq)) v Connell (sued as a firm)</w:t>
      </w:r>
      <w:r w:rsidRPr="0093265F">
        <w:t xml:space="preserve"> [2022] NZHC 2994 at [62]–[64]; </w:t>
      </w:r>
      <w:r w:rsidRPr="0093265F">
        <w:rPr>
          <w:i/>
          <w:iCs/>
        </w:rPr>
        <w:t>Katoria Trustee Ltd (ato CA Quinn Trust) v Toon</w:t>
      </w:r>
      <w:r w:rsidRPr="0093265F">
        <w:t xml:space="preserve"> [2022] NZHC 3037 at [35]–[37]. Neither case refer to ss 66(2)–(4) when determining who “owned” the privilege in the relevant material. We have not identified any other decisions that address the impact of the amendment to s 66(2).</w:t>
      </w:r>
    </w:p>
  </w:footnote>
  <w:footnote w:id="1064">
    <w:p w14:paraId="1EA4DA29" w14:textId="77777777" w:rsidR="00E13DFB" w:rsidRPr="0020754D" w:rsidRDefault="00E13DFB" w:rsidP="00E13DFB">
      <w:pPr>
        <w:pStyle w:val="FootnoteText"/>
      </w:pPr>
      <w:r w:rsidRPr="0020754D">
        <w:rPr>
          <w:rStyle w:val="FootnoteReference"/>
        </w:rPr>
        <w:footnoteRef/>
      </w:r>
      <w:r w:rsidRPr="0020754D">
        <w:t xml:space="preserve"> </w:t>
      </w:r>
      <w:r w:rsidRPr="0020754D">
        <w:tab/>
      </w:r>
      <w:r>
        <w:t xml:space="preserve">Evidence Act 2006, s </w:t>
      </w:r>
      <w:r w:rsidRPr="0020754D">
        <w:t>88(1).</w:t>
      </w:r>
    </w:p>
  </w:footnote>
  <w:footnote w:id="1065">
    <w:p w14:paraId="35521696" w14:textId="77777777" w:rsidR="00E13DFB" w:rsidRPr="0020754D" w:rsidRDefault="00E13DFB" w:rsidP="00E13DFB">
      <w:pPr>
        <w:pStyle w:val="FootnoteText"/>
      </w:pPr>
      <w:r w:rsidRPr="0020754D">
        <w:rPr>
          <w:rStyle w:val="FootnoteReference"/>
        </w:rPr>
        <w:footnoteRef/>
      </w:r>
      <w:r w:rsidRPr="0020754D">
        <w:t xml:space="preserve"> </w:t>
      </w:r>
      <w:r w:rsidRPr="0020754D">
        <w:tab/>
      </w:r>
      <w:r>
        <w:t xml:space="preserve">Evidence Act 2006, s </w:t>
      </w:r>
      <w:r w:rsidRPr="0020754D">
        <w:t>88(2).</w:t>
      </w:r>
    </w:p>
  </w:footnote>
  <w:footnote w:id="1066">
    <w:p w14:paraId="29393B1B" w14:textId="77777777" w:rsidR="00E13DFB" w:rsidRPr="0020754D" w:rsidRDefault="00E13DFB" w:rsidP="00E13DFB">
      <w:pPr>
        <w:pStyle w:val="FootnoteText"/>
      </w:pPr>
      <w:r w:rsidRPr="0020754D">
        <w:rPr>
          <w:rStyle w:val="FootnoteReference"/>
        </w:rPr>
        <w:footnoteRef/>
      </w:r>
      <w:r w:rsidRPr="0020754D">
        <w:t xml:space="preserve"> </w:t>
      </w:r>
      <w:r w:rsidRPr="0020754D">
        <w:tab/>
        <w:t>Evidence Act 1908, s 23AA.</w:t>
      </w:r>
    </w:p>
  </w:footnote>
  <w:footnote w:id="1067">
    <w:p w14:paraId="139D40A5" w14:textId="77777777" w:rsidR="00E13DFB" w:rsidRDefault="00E13DFB" w:rsidP="00E13DFB">
      <w:pPr>
        <w:pStyle w:val="FootnoteText"/>
      </w:pPr>
      <w:r w:rsidRPr="0020754D">
        <w:rPr>
          <w:rStyle w:val="FootnoteReference"/>
        </w:rPr>
        <w:footnoteRef/>
      </w:r>
      <w:r w:rsidRPr="0020754D">
        <w:t xml:space="preserve"> </w:t>
      </w:r>
      <w:r w:rsidRPr="0020754D">
        <w:tab/>
        <w:t xml:space="preserve">Elisabeth McDonald </w:t>
      </w:r>
      <w:r w:rsidRPr="0020754D">
        <w:rPr>
          <w:i/>
        </w:rPr>
        <w:t xml:space="preserve">Principles of Evidence in Criminal Cases </w:t>
      </w:r>
      <w:r w:rsidRPr="0020754D">
        <w:t>(Thomson Reuters, Wellington, 2012) at 96.</w:t>
      </w:r>
    </w:p>
  </w:footnote>
  <w:footnote w:id="1068">
    <w:p w14:paraId="12C5B882"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Elisabeth McDonald and others </w:t>
      </w:r>
      <w:r w:rsidRPr="0020754D">
        <w:rPr>
          <w:i/>
        </w:rPr>
        <w:t>Rape Myths as Barriers to Fair Trial Process: Comparing adult rape trials with those in the Aotearoa Sexual Violence Court Pilot</w:t>
      </w:r>
      <w:r w:rsidRPr="0020754D">
        <w:t xml:space="preserve"> (Canterbury University Press, Christchurch, 2020) at 200–203 and 243. See also Elisabeth McDonald </w:t>
      </w:r>
      <w:r w:rsidRPr="0020754D">
        <w:rPr>
          <w:i/>
        </w:rPr>
        <w:t>In the absence of a jury: Examining judge-alone rape trials</w:t>
      </w:r>
      <w:r w:rsidRPr="0020754D">
        <w:t xml:space="preserve"> (Canterbury University Press, Christchurch, 2022) at 117</w:t>
      </w:r>
      <w:r>
        <w:t>–</w:t>
      </w:r>
      <w:r w:rsidRPr="0020754D">
        <w:t>118.</w:t>
      </w:r>
    </w:p>
  </w:footnote>
  <w:footnote w:id="1069">
    <w:p w14:paraId="46442067"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Elisabeth McDonald and others </w:t>
      </w:r>
      <w:r w:rsidRPr="0020754D">
        <w:rPr>
          <w:i/>
        </w:rPr>
        <w:t>Rape Myths as Barriers to Fair Trial Process: Comparing adult rape trials with those in the Aotearoa Sexual Violence Court Pilot</w:t>
      </w:r>
      <w:r w:rsidRPr="0020754D">
        <w:t xml:space="preserve"> (Canterbury University Press, Christchurch, 2020) at 201 and 243.</w:t>
      </w:r>
    </w:p>
  </w:footnote>
  <w:footnote w:id="1070">
    <w:p w14:paraId="3E9BECB4"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Elisabeth McDonald and others </w:t>
      </w:r>
      <w:r w:rsidRPr="0020754D">
        <w:rPr>
          <w:i/>
          <w:iCs/>
        </w:rPr>
        <w:t>Rape Myths as Barriers to Fair Trial Process: Comparing adult rape trials with those in the Aotearoa Sexual Violence Court Pilot</w:t>
      </w:r>
      <w:r w:rsidRPr="0020754D">
        <w:t xml:space="preserve"> (Canterbury University Press, Christchurch, 2020) at 243. See, for example, </w:t>
      </w:r>
      <w:r w:rsidRPr="0020754D">
        <w:rPr>
          <w:i/>
        </w:rPr>
        <w:t xml:space="preserve">R v Morgan (No 1) </w:t>
      </w:r>
      <w:r w:rsidRPr="0020754D">
        <w:t>[2016] NZHC 1427 at [9] (finding that “occupation” in s 88 does not include beneficiary status).</w:t>
      </w:r>
    </w:p>
  </w:footnote>
  <w:footnote w:id="1071">
    <w:p w14:paraId="7ED494B2"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Elisabeth McDonald and others </w:t>
      </w:r>
      <w:r w:rsidRPr="0020754D">
        <w:rPr>
          <w:i/>
        </w:rPr>
        <w:t>Rape Myths as Barriers to Fair Trial Process: Comparing adult rape trials with those in the Aotearoa Sexual Violence Court Pilot</w:t>
      </w:r>
      <w:r w:rsidRPr="0020754D">
        <w:t xml:space="preserve"> (Canterbury University Press, Christchurch, 2020) at 200–201.</w:t>
      </w:r>
    </w:p>
  </w:footnote>
  <w:footnote w:id="1072">
    <w:p w14:paraId="3C5972AA" w14:textId="77777777" w:rsidR="00E13DFB" w:rsidRPr="0020754D" w:rsidRDefault="00E13DFB" w:rsidP="00E13DFB">
      <w:pPr>
        <w:pStyle w:val="FootnoteText"/>
      </w:pPr>
      <w:r w:rsidRPr="0020754D">
        <w:rPr>
          <w:rStyle w:val="FootnoteReference"/>
        </w:rPr>
        <w:footnoteRef/>
      </w:r>
      <w:r w:rsidRPr="0020754D">
        <w:t xml:space="preserve"> </w:t>
      </w:r>
      <w:r w:rsidRPr="0020754D">
        <w:tab/>
        <w:t>Elisabeth McDonald “Submission to the Justice Committee on Sexual Violence Legislation Bill 2019” at [27].</w:t>
      </w:r>
    </w:p>
  </w:footnote>
  <w:footnote w:id="1073">
    <w:p w14:paraId="4E90C34A"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Ministry of Justice </w:t>
      </w:r>
      <w:r w:rsidRPr="0020754D">
        <w:rPr>
          <w:i/>
        </w:rPr>
        <w:t xml:space="preserve">Departmental Report for the Justice Committee: Sexual Violence Legislation Bill </w:t>
      </w:r>
      <w:r w:rsidRPr="0020754D">
        <w:t>(March 2020) at [387].</w:t>
      </w:r>
    </w:p>
  </w:footnote>
  <w:footnote w:id="1074">
    <w:p w14:paraId="22A0DE6D"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Section 23AA of the Evidence Act 1908, inserted by </w:t>
      </w:r>
      <w:r>
        <w:t>s</w:t>
      </w:r>
      <w:r w:rsidRPr="0020754D">
        <w:t xml:space="preserve"> 2 Evidence Amendment Act (No 2) 1985.</w:t>
      </w:r>
    </w:p>
  </w:footnote>
  <w:footnote w:id="1075">
    <w:p w14:paraId="1081CEB2" w14:textId="77777777" w:rsidR="00E13DFB" w:rsidRPr="008056A3" w:rsidRDefault="00E13DFB" w:rsidP="00E13DFB">
      <w:pPr>
        <w:pStyle w:val="FootnoteText"/>
      </w:pPr>
      <w:r w:rsidRPr="0020754D">
        <w:rPr>
          <w:rStyle w:val="FootnoteReference"/>
        </w:rPr>
        <w:footnoteRef/>
      </w:r>
      <w:r w:rsidRPr="0020754D">
        <w:t xml:space="preserve"> </w:t>
      </w:r>
      <w:r w:rsidRPr="0020754D">
        <w:tab/>
        <w:t xml:space="preserve">Elisabeth McDonald and others </w:t>
      </w:r>
      <w:r w:rsidRPr="0020754D">
        <w:rPr>
          <w:i/>
        </w:rPr>
        <w:t xml:space="preserve">Rape Myths as Barriers to Fair Trial Process: Comparing adult rape trials with those in the Aotearoa Sexual Violence Court Pilot </w:t>
      </w:r>
      <w:r w:rsidRPr="0020754D">
        <w:t>(Canterbury University Press, Christchurch, 2020) at 203.</w:t>
      </w:r>
      <w:r>
        <w:t xml:space="preserve"> </w:t>
      </w:r>
    </w:p>
  </w:footnote>
  <w:footnote w:id="1076">
    <w:p w14:paraId="5EE346FF" w14:textId="77777777" w:rsidR="00E13DFB" w:rsidRPr="0020754D" w:rsidRDefault="00E13DFB" w:rsidP="00E13DFB">
      <w:pPr>
        <w:pStyle w:val="FootnoteText"/>
      </w:pPr>
      <w:r w:rsidRPr="0020754D">
        <w:rPr>
          <w:rStyle w:val="FootnoteReference"/>
        </w:rPr>
        <w:footnoteRef/>
      </w:r>
      <w:r w:rsidRPr="0020754D">
        <w:t xml:space="preserve"> </w:t>
      </w:r>
      <w:r w:rsidRPr="0020754D">
        <w:tab/>
        <w:t>(5 December 1985) 468 NZPD 8849.</w:t>
      </w:r>
    </w:p>
  </w:footnote>
  <w:footnote w:id="1077">
    <w:p w14:paraId="502797A7"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Elisabeth McDonald and others </w:t>
      </w:r>
      <w:r w:rsidRPr="0020754D">
        <w:rPr>
          <w:i/>
        </w:rPr>
        <w:t>Rape Myths as Barriers to Fair Trial Process: Comparing adult rape trials with those in the Aotearoa Sexual Violence Court Pilot</w:t>
      </w:r>
      <w:r w:rsidRPr="0020754D">
        <w:t xml:space="preserve"> (Canterbury University Press, Christchurch, 2020) at 203; Gerald Orchard “Sexual Violation: The Rape Law Reform Legislation” (1986) 12 NZULR 97 at 109.</w:t>
      </w:r>
    </w:p>
  </w:footnote>
  <w:footnote w:id="1078">
    <w:p w14:paraId="19F1B48B"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Elisabeth McDonald and others </w:t>
      </w:r>
      <w:r w:rsidRPr="0020754D">
        <w:rPr>
          <w:i/>
        </w:rPr>
        <w:t>Rape Myths as Barriers to Fair Trial Process: Comparing adult rape trials with those in the Aotearoa Sexual Violence Court Pilot</w:t>
      </w:r>
      <w:r w:rsidRPr="0020754D">
        <w:t xml:space="preserve"> (Canterbury University Press, Christchurch, 2020) at 203.</w:t>
      </w:r>
    </w:p>
  </w:footnote>
  <w:footnote w:id="1079">
    <w:p w14:paraId="68A7E7EC" w14:textId="77777777" w:rsidR="00E13DFB" w:rsidRDefault="00E13DFB" w:rsidP="00E13DFB">
      <w:pPr>
        <w:pStyle w:val="FootnoteText"/>
      </w:pPr>
      <w:r w:rsidRPr="0020754D">
        <w:rPr>
          <w:rStyle w:val="FootnoteReference"/>
        </w:rPr>
        <w:footnoteRef/>
      </w:r>
      <w:r w:rsidRPr="0020754D">
        <w:t xml:space="preserve"> </w:t>
      </w:r>
      <w:r w:rsidRPr="0020754D">
        <w:tab/>
        <w:t xml:space="preserve">Elisabeth McDonald and others </w:t>
      </w:r>
      <w:r w:rsidRPr="0020754D">
        <w:rPr>
          <w:i/>
        </w:rPr>
        <w:t>Rape Myths as Barriers to Fair Trial Process: Comparing adult rape trials with those in the Aotearoa Sexual Violence Court Pilot</w:t>
      </w:r>
      <w:r w:rsidRPr="0020754D">
        <w:t xml:space="preserve"> (Canterbury University Press, Christchurch, 2020) at 500 (recommendation 48).</w:t>
      </w:r>
    </w:p>
  </w:footnote>
  <w:footnote w:id="1080">
    <w:p w14:paraId="0C79481E" w14:textId="77777777" w:rsidR="00E13DFB" w:rsidRPr="0020754D" w:rsidRDefault="00E13DFB" w:rsidP="00E13DFB">
      <w:pPr>
        <w:pStyle w:val="FootnoteText"/>
      </w:pPr>
      <w:r w:rsidRPr="0020754D">
        <w:rPr>
          <w:rStyle w:val="FootnoteReference"/>
        </w:rPr>
        <w:footnoteRef/>
      </w:r>
      <w:r w:rsidRPr="0020754D">
        <w:t xml:space="preserve"> </w:t>
      </w:r>
      <w:r w:rsidRPr="0020754D">
        <w:tab/>
      </w:r>
      <w:r w:rsidRPr="0020754D">
        <w:rPr>
          <w:i/>
        </w:rPr>
        <w:t xml:space="preserve">Browne v Dunn </w:t>
      </w:r>
      <w:r w:rsidRPr="0020754D">
        <w:t xml:space="preserve">(1893) 6 R 67 (HL). The rule was affirmed by the New Zealand Court of Appeal in </w:t>
      </w:r>
      <w:r w:rsidRPr="0020754D">
        <w:rPr>
          <w:i/>
        </w:rPr>
        <w:t xml:space="preserve">Gutierrez v R </w:t>
      </w:r>
      <w:r w:rsidRPr="0020754D">
        <w:t>[1997] 1 NZLR 192 (CA) at 199.</w:t>
      </w:r>
    </w:p>
  </w:footnote>
  <w:footnote w:id="1081">
    <w:p w14:paraId="23D05249"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See, for example, </w:t>
      </w:r>
      <w:r w:rsidRPr="0020754D">
        <w:rPr>
          <w:i/>
        </w:rPr>
        <w:t xml:space="preserve">C v R </w:t>
      </w:r>
      <w:r w:rsidRPr="0020754D">
        <w:t xml:space="preserve">[2019] NZCA 653 at [76]; </w:t>
      </w:r>
      <w:r w:rsidRPr="0020754D">
        <w:rPr>
          <w:i/>
        </w:rPr>
        <w:t xml:space="preserve">Martin v R </w:t>
      </w:r>
      <w:r w:rsidRPr="0020754D">
        <w:t>[2015] NZCA 606 at [44];</w:t>
      </w:r>
      <w:r w:rsidRPr="0020754D">
        <w:rPr>
          <w:lang w:eastAsia="en-AU"/>
        </w:rPr>
        <w:t xml:space="preserve"> </w:t>
      </w:r>
      <w:r w:rsidRPr="0020754D">
        <w:rPr>
          <w:i/>
          <w:lang w:eastAsia="en-AU"/>
        </w:rPr>
        <w:t xml:space="preserve">Alesco New Zealand Ltd v Commissioner of Inland Revenue </w:t>
      </w:r>
      <w:r w:rsidRPr="0020754D">
        <w:rPr>
          <w:lang w:eastAsia="en-AU"/>
        </w:rPr>
        <w:t xml:space="preserve">[2013] NZCA 40 at [44]; and </w:t>
      </w:r>
      <w:r w:rsidRPr="0020754D">
        <w:rPr>
          <w:i/>
        </w:rPr>
        <w:t xml:space="preserve">Pitceathly v R </w:t>
      </w:r>
      <w:r w:rsidRPr="0020754D">
        <w:t>[2010] NZCA 95 at [22].</w:t>
      </w:r>
    </w:p>
  </w:footnote>
  <w:footnote w:id="1082">
    <w:p w14:paraId="09F17485"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See, for example, </w:t>
      </w:r>
      <w:r w:rsidRPr="0020754D">
        <w:rPr>
          <w:i/>
        </w:rPr>
        <w:t xml:space="preserve">Minister of Education v Carter Holt Harvey </w:t>
      </w:r>
      <w:r w:rsidRPr="0020754D">
        <w:t xml:space="preserve">[2020] NZHC 1539 at [50]; </w:t>
      </w:r>
      <w:r w:rsidRPr="0020754D">
        <w:rPr>
          <w:i/>
        </w:rPr>
        <w:t>R v Stojanovich</w:t>
      </w:r>
      <w:r w:rsidRPr="0020754D">
        <w:t xml:space="preserve"> [2009] NZCA 210 at [22].</w:t>
      </w:r>
    </w:p>
  </w:footnote>
  <w:footnote w:id="1083">
    <w:p w14:paraId="0F0FB60F" w14:textId="77777777" w:rsidR="00E13DFB" w:rsidRPr="0020754D" w:rsidRDefault="00E13DFB" w:rsidP="00E13DFB">
      <w:pPr>
        <w:pStyle w:val="FootnoteText"/>
      </w:pPr>
      <w:r w:rsidRPr="0020754D">
        <w:rPr>
          <w:rStyle w:val="FootnoteReference"/>
        </w:rPr>
        <w:footnoteRef/>
      </w:r>
      <w:r w:rsidRPr="0020754D">
        <w:t xml:space="preserve"> </w:t>
      </w:r>
      <w:r w:rsidRPr="0020754D">
        <w:tab/>
        <w:t xml:space="preserve">See, for example, </w:t>
      </w:r>
      <w:r w:rsidRPr="0020754D">
        <w:rPr>
          <w:i/>
        </w:rPr>
        <w:t xml:space="preserve">Wallace v Attorney-General </w:t>
      </w:r>
      <w:r w:rsidRPr="0020754D">
        <w:t xml:space="preserve">[2022] NZCA 375 at [155]. This is consistent with the common law case </w:t>
      </w:r>
      <w:r w:rsidRPr="0020754D">
        <w:rPr>
          <w:i/>
        </w:rPr>
        <w:t xml:space="preserve">R v S </w:t>
      </w:r>
      <w:r w:rsidRPr="0020754D">
        <w:t>(2002) 19 CRNZ 442 (CA) (at [19]).</w:t>
      </w:r>
    </w:p>
  </w:footnote>
  <w:footnote w:id="1084">
    <w:p w14:paraId="68C82993" w14:textId="77777777" w:rsidR="00E13DFB" w:rsidRPr="0020754D" w:rsidRDefault="00E13DFB" w:rsidP="00E13DFB">
      <w:pPr>
        <w:pStyle w:val="FootnoteText"/>
      </w:pPr>
      <w:r w:rsidRPr="0020754D">
        <w:rPr>
          <w:rStyle w:val="FootnoteReference"/>
        </w:rPr>
        <w:footnoteRef/>
      </w:r>
      <w:r w:rsidRPr="0020754D">
        <w:t xml:space="preserve"> </w:t>
      </w:r>
      <w:r w:rsidRPr="0020754D">
        <w:tab/>
      </w:r>
      <w:r w:rsidRPr="0020754D">
        <w:rPr>
          <w:i/>
          <w:iCs/>
        </w:rPr>
        <w:t xml:space="preserve">Wallace v Attorney-General </w:t>
      </w:r>
      <w:r w:rsidRPr="0020754D">
        <w:t xml:space="preserve">[2022] NZCA 375 at [155], citing </w:t>
      </w:r>
      <w:r w:rsidRPr="0020754D">
        <w:rPr>
          <w:i/>
          <w:iCs/>
        </w:rPr>
        <w:t>R v Dewar</w:t>
      </w:r>
      <w:r w:rsidRPr="0020754D">
        <w:t xml:space="preserve"> [2008] NZCA 344 and </w:t>
      </w:r>
      <w:r w:rsidRPr="0020754D">
        <w:rPr>
          <w:i/>
          <w:iCs/>
        </w:rPr>
        <w:t>R v S (CA369/01)</w:t>
      </w:r>
      <w:r w:rsidRPr="0020754D">
        <w:t xml:space="preserve"> (2002) 19 CRNZ 442 (CA).</w:t>
      </w:r>
    </w:p>
  </w:footnote>
  <w:footnote w:id="1085">
    <w:p w14:paraId="61EFDB38" w14:textId="77777777" w:rsidR="00E13DFB" w:rsidRDefault="00E13DFB" w:rsidP="00E13DFB">
      <w:pPr>
        <w:pStyle w:val="FootnoteText"/>
      </w:pPr>
      <w:r w:rsidRPr="0020754D">
        <w:rPr>
          <w:rStyle w:val="FootnoteReference"/>
        </w:rPr>
        <w:footnoteRef/>
      </w:r>
      <w:r w:rsidRPr="0020754D">
        <w:t xml:space="preserve"> </w:t>
      </w:r>
      <w:r w:rsidRPr="0020754D">
        <w:tab/>
      </w:r>
      <w:r w:rsidRPr="0020754D">
        <w:rPr>
          <w:i/>
        </w:rPr>
        <w:t xml:space="preserve">R v Dewar </w:t>
      </w:r>
      <w:r w:rsidRPr="0020754D">
        <w:t xml:space="preserve">[2008] NZCA 344 at [44] and </w:t>
      </w:r>
      <w:r w:rsidRPr="0020754D">
        <w:rPr>
          <w:i/>
        </w:rPr>
        <w:t>R v S</w:t>
      </w:r>
      <w:r w:rsidRPr="0020754D">
        <w:t xml:space="preserve"> [2009] NZCA 227 at [27]. Affirmed in </w:t>
      </w:r>
      <w:r w:rsidRPr="0020754D">
        <w:rPr>
          <w:i/>
        </w:rPr>
        <w:t xml:space="preserve">Kent Sing Trading Company Ltd v JNJ Holdings Ltd </w:t>
      </w:r>
      <w:r w:rsidRPr="0020754D">
        <w:t xml:space="preserve">[2019] NZCA 388 at [92] and </w:t>
      </w:r>
      <w:r w:rsidRPr="0020754D">
        <w:rPr>
          <w:i/>
        </w:rPr>
        <w:t>Manukau v R</w:t>
      </w:r>
      <w:r w:rsidRPr="0020754D">
        <w:t xml:space="preserve"> [2013] NZCA 217 at [24].</w:t>
      </w:r>
      <w:r>
        <w:t xml:space="preserve"> </w:t>
      </w:r>
    </w:p>
  </w:footnote>
  <w:footnote w:id="1086">
    <w:p w14:paraId="49B9E5FC"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See, for example, </w:t>
      </w:r>
      <w:r w:rsidRPr="00C833B3">
        <w:rPr>
          <w:i/>
        </w:rPr>
        <w:t xml:space="preserve">Taylor v Asteron Life Ltd </w:t>
      </w:r>
      <w:r w:rsidRPr="00C833B3">
        <w:t xml:space="preserve">[2020] NZCA 354, 2 NZLR 561 at [127]–[129]; </w:t>
      </w:r>
      <w:r w:rsidRPr="00C833B3">
        <w:rPr>
          <w:i/>
        </w:rPr>
        <w:t xml:space="preserve">Minister of Education v Carter Holt Harvey </w:t>
      </w:r>
      <w:r w:rsidRPr="00C833B3">
        <w:t xml:space="preserve">[2020] NZHC 1539 at [148]; </w:t>
      </w:r>
      <w:r w:rsidRPr="00C833B3">
        <w:rPr>
          <w:i/>
        </w:rPr>
        <w:t xml:space="preserve">Solomon v R </w:t>
      </w:r>
      <w:r w:rsidRPr="00C833B3">
        <w:t xml:space="preserve">[2019] NZCA 616 at [38] and [40]; </w:t>
      </w:r>
      <w:r w:rsidRPr="00C833B3">
        <w:rPr>
          <w:i/>
        </w:rPr>
        <w:t xml:space="preserve">Farmer v R </w:t>
      </w:r>
      <w:r w:rsidRPr="00C833B3">
        <w:t xml:space="preserve">[2019] NZCA 430 at [16]–[18]; </w:t>
      </w:r>
      <w:r w:rsidRPr="00C833B3">
        <w:rPr>
          <w:i/>
        </w:rPr>
        <w:t>Manukau v R</w:t>
      </w:r>
      <w:r w:rsidRPr="00C833B3">
        <w:t xml:space="preserve"> [2013] NZCA 217 at [26]; </w:t>
      </w:r>
      <w:r w:rsidRPr="00C833B3">
        <w:rPr>
          <w:i/>
        </w:rPr>
        <w:t xml:space="preserve">Pitceathly v R </w:t>
      </w:r>
      <w:r w:rsidRPr="00C833B3">
        <w:t xml:space="preserve">[2010] NZCA 95 at [22]; </w:t>
      </w:r>
      <w:r w:rsidRPr="00C833B3">
        <w:rPr>
          <w:i/>
        </w:rPr>
        <w:t>R v K</w:t>
      </w:r>
      <w:r w:rsidRPr="00C833B3">
        <w:t xml:space="preserve"> (CA531/2007) [2009] NZCA 97 at [15]; </w:t>
      </w:r>
      <w:r w:rsidRPr="00C833B3">
        <w:rPr>
          <w:i/>
        </w:rPr>
        <w:t xml:space="preserve">R v S </w:t>
      </w:r>
      <w:r w:rsidRPr="00C833B3">
        <w:t>[2009] NZCA 227 at [29].</w:t>
      </w:r>
    </w:p>
  </w:footnote>
  <w:footnote w:id="1087">
    <w:p w14:paraId="7BB8CAF0"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Elisabeth McDonald and Scott Optican (eds) </w:t>
      </w:r>
      <w:r w:rsidRPr="00C833B3">
        <w:rPr>
          <w:i/>
        </w:rPr>
        <w:t xml:space="preserve">Mahoney on Evidence: Act &amp; Analysis </w:t>
      </w:r>
      <w:r w:rsidRPr="00C833B3">
        <w:t>(4th ed, Thomson Reuters, Wellington, 2018) at [EV92.03].</w:t>
      </w:r>
    </w:p>
  </w:footnote>
  <w:footnote w:id="1088">
    <w:p w14:paraId="7B4E4395"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Elisabeth McDonald and Scott Optican (eds) </w:t>
      </w:r>
      <w:r w:rsidRPr="00C833B3">
        <w:rPr>
          <w:i/>
        </w:rPr>
        <w:t xml:space="preserve">Mahoney on Evidence: Act &amp; Analysis </w:t>
      </w:r>
      <w:r w:rsidRPr="00C833B3">
        <w:t>(4th ed, Thomson Reuters, Wellington, 2018) at [EV92.03].</w:t>
      </w:r>
    </w:p>
  </w:footnote>
  <w:footnote w:id="1089">
    <w:p w14:paraId="0483A8A3" w14:textId="77777777" w:rsidR="00E13DFB" w:rsidRPr="00C833B3" w:rsidRDefault="00E13DFB" w:rsidP="00E13DFB">
      <w:pPr>
        <w:pStyle w:val="FootnoteText"/>
      </w:pPr>
      <w:r w:rsidRPr="00C833B3">
        <w:rPr>
          <w:rStyle w:val="FootnoteReference"/>
        </w:rPr>
        <w:footnoteRef/>
      </w:r>
      <w:r w:rsidRPr="00C833B3">
        <w:t xml:space="preserve"> </w:t>
      </w:r>
      <w:r w:rsidRPr="00C833B3">
        <w:tab/>
      </w:r>
      <w:r>
        <w:t>Mathew Downs (ed)</w:t>
      </w:r>
      <w:r w:rsidRPr="00C833B3">
        <w:t xml:space="preserve"> </w:t>
      </w:r>
      <w:r w:rsidRPr="00C833B3">
        <w:rPr>
          <w:i/>
        </w:rPr>
        <w:t>Adams on Criminal Law – Evidence</w:t>
      </w:r>
      <w:r w:rsidRPr="00C833B3">
        <w:t xml:space="preserve"> (online looseleaf ed, Thomson Reuters) at [EA92.02]; Elisabeth McDonald and Scott Optican (eds) </w:t>
      </w:r>
      <w:r w:rsidRPr="00C833B3">
        <w:rPr>
          <w:i/>
        </w:rPr>
        <w:t xml:space="preserve">Mahoney on Evidence: Act &amp; Analysis </w:t>
      </w:r>
      <w:r w:rsidRPr="00C833B3">
        <w:t>(4th ed, Thomson Reuters, Wellington, 2018) at [EV92.03].</w:t>
      </w:r>
    </w:p>
  </w:footnote>
  <w:footnote w:id="1090">
    <w:p w14:paraId="49E93248" w14:textId="77777777" w:rsidR="00E13DFB" w:rsidRPr="00C833B3" w:rsidRDefault="00E13DFB" w:rsidP="00E13DFB">
      <w:pPr>
        <w:pStyle w:val="FootnoteText"/>
      </w:pPr>
      <w:r w:rsidRPr="00C833B3">
        <w:rPr>
          <w:rStyle w:val="FootnoteReference"/>
        </w:rPr>
        <w:footnoteRef/>
      </w:r>
      <w:r w:rsidRPr="00C833B3">
        <w:t xml:space="preserve"> </w:t>
      </w:r>
      <w:r w:rsidRPr="00C833B3">
        <w:tab/>
        <w:t>Richard Mahoney “Putting the Case Against the Duty to Put the Case” [2004] NZ L Rev 313 at 337.</w:t>
      </w:r>
    </w:p>
  </w:footnote>
  <w:footnote w:id="1091">
    <w:p w14:paraId="123ACF6C" w14:textId="77777777" w:rsidR="00E13DFB" w:rsidRPr="00C833B3" w:rsidRDefault="00E13DFB" w:rsidP="00E13DFB">
      <w:pPr>
        <w:pStyle w:val="FootnoteText"/>
      </w:pPr>
      <w:r w:rsidRPr="00C833B3">
        <w:rPr>
          <w:rStyle w:val="FootnoteReference"/>
        </w:rPr>
        <w:footnoteRef/>
      </w:r>
      <w:r w:rsidRPr="00C833B3">
        <w:t xml:space="preserve"> </w:t>
      </w:r>
      <w:r w:rsidRPr="00C833B3">
        <w:tab/>
        <w:t>James Farmer “Witnesses in Civil Cases – the Consequences of Not Calling and of Not Cross-Examining” (paper presented to the Pacific Islands Lawyers Association, Auckland, November 2019) at [17].</w:t>
      </w:r>
    </w:p>
  </w:footnote>
  <w:footnote w:id="1092">
    <w:p w14:paraId="75341ED9" w14:textId="77777777" w:rsidR="00E13DFB" w:rsidRDefault="00E13DFB" w:rsidP="00E13DFB">
      <w:pPr>
        <w:pStyle w:val="FootnoteText"/>
      </w:pPr>
      <w:r w:rsidRPr="00C833B3">
        <w:rPr>
          <w:rStyle w:val="FootnoteReference"/>
        </w:rPr>
        <w:footnoteRef/>
      </w:r>
      <w:r w:rsidRPr="00C833B3">
        <w:t xml:space="preserve"> </w:t>
      </w:r>
      <w:r w:rsidRPr="00C833B3">
        <w:tab/>
        <w:t xml:space="preserve">Te Aka Matua o te Ture | Law Commission </w:t>
      </w:r>
      <w:r w:rsidRPr="00C833B3">
        <w:rPr>
          <w:i/>
        </w:rPr>
        <w:t xml:space="preserve">Evidence: Reform of the Law </w:t>
      </w:r>
      <w:r w:rsidRPr="00C833B3">
        <w:t>(NZLC R55 Vol 1, 1999) at [403].</w:t>
      </w:r>
    </w:p>
  </w:footnote>
  <w:footnote w:id="1093">
    <w:p w14:paraId="6B906902"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Te Aka Matua o te Ture | Law Commission </w:t>
      </w:r>
      <w:r w:rsidRPr="00C833B3">
        <w:rPr>
          <w:i/>
        </w:rPr>
        <w:t xml:space="preserve">Evidence: Evidence Code and Commentary </w:t>
      </w:r>
      <w:r w:rsidRPr="00C833B3">
        <w:t xml:space="preserve">(NZLC R55 Vol 2, 1999) at 216; Te Aka Matua o te Ture | Law Commission </w:t>
      </w:r>
      <w:r w:rsidRPr="00C833B3">
        <w:rPr>
          <w:i/>
        </w:rPr>
        <w:t xml:space="preserve">Evidence: Reform of the Law </w:t>
      </w:r>
      <w:r w:rsidRPr="00C833B3">
        <w:t>(NZLC R55 Vol 1, 1999) at [403].</w:t>
      </w:r>
    </w:p>
  </w:footnote>
  <w:footnote w:id="1094">
    <w:p w14:paraId="1E196D70"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Te Aka Matua o te Ture | Law Commission </w:t>
      </w:r>
      <w:r w:rsidRPr="00C833B3">
        <w:rPr>
          <w:i/>
        </w:rPr>
        <w:t xml:space="preserve">Evidence: Reform of the Law </w:t>
      </w:r>
      <w:r w:rsidRPr="00C833B3">
        <w:t xml:space="preserve">(NZLC R55 Vol 1, 1999) at [404]. See also Te Aka Matua o te Ture | Law Commission </w:t>
      </w:r>
      <w:r w:rsidRPr="00C833B3">
        <w:rPr>
          <w:i/>
        </w:rPr>
        <w:t xml:space="preserve">Evidence: Evidence Code and Commentary </w:t>
      </w:r>
      <w:r w:rsidRPr="00C833B3">
        <w:t>(NZLC R55 Vol 2, 1999) at [C334].</w:t>
      </w:r>
    </w:p>
  </w:footnote>
  <w:footnote w:id="1095">
    <w:p w14:paraId="508810F7"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It is unclear why this was the case. The </w:t>
      </w:r>
      <w:r>
        <w:t>C</w:t>
      </w:r>
      <w:r w:rsidRPr="00C833B3">
        <w:t xml:space="preserve">abinet paper </w:t>
      </w:r>
      <w:r>
        <w:t>that</w:t>
      </w:r>
      <w:r w:rsidRPr="00C833B3">
        <w:t xml:space="preserve"> sought agreement on the proposal to codify the cross-examination duty in the Evidence Bill reflected the Commission’s proposed wording: “I propose to codify the duty of a cross-examiner to “put the case” to the witness. A party must cross-examine a witness on substantial matters of the party’s case that contradict the evidence of the witness if the witness might be in a position to give admissible evidence on the matters </w:t>
      </w:r>
      <w:r w:rsidRPr="00C833B3">
        <w:rPr>
          <w:i/>
          <w:iCs/>
        </w:rPr>
        <w:t>and may be unaware that these matters are part of the cross-examining party’s case</w:t>
      </w:r>
      <w:r w:rsidRPr="00C833B3">
        <w:t xml:space="preserve">” (emphasis added): Cabinet Paper “Evidence Bill: Paper 4: The Trial Process” </w:t>
      </w:r>
      <w:r>
        <w:t>(</w:t>
      </w:r>
      <w:r w:rsidRPr="00B835DB">
        <w:t>4 December 2002</w:t>
      </w:r>
      <w:r w:rsidRPr="00C833B3">
        <w:t>)</w:t>
      </w:r>
      <w:r>
        <w:t xml:space="preserve"> </w:t>
      </w:r>
      <w:r w:rsidRPr="00C833B3">
        <w:t xml:space="preserve">at [21]. </w:t>
      </w:r>
    </w:p>
  </w:footnote>
  <w:footnote w:id="1096">
    <w:p w14:paraId="0EFFC52D" w14:textId="77777777" w:rsidR="00E13DFB" w:rsidRPr="00C833B3" w:rsidRDefault="00E13DFB" w:rsidP="00E13DFB">
      <w:pPr>
        <w:pStyle w:val="FootnoteText"/>
      </w:pPr>
      <w:r w:rsidRPr="00C833B3">
        <w:rPr>
          <w:rStyle w:val="FootnoteReference"/>
        </w:rPr>
        <w:footnoteRef/>
      </w:r>
      <w:r w:rsidRPr="00C833B3">
        <w:t xml:space="preserve"> </w:t>
      </w:r>
      <w:r w:rsidRPr="00C833B3">
        <w:tab/>
      </w:r>
      <w:r>
        <w:t>Mathew Downs (ed)</w:t>
      </w:r>
      <w:r w:rsidRPr="00C833B3">
        <w:t xml:space="preserve"> </w:t>
      </w:r>
      <w:r w:rsidRPr="00C833B3">
        <w:rPr>
          <w:i/>
        </w:rPr>
        <w:t>Adams on Criminal Law – Evidence</w:t>
      </w:r>
      <w:r w:rsidRPr="00C833B3">
        <w:t xml:space="preserve"> (online looseleaf ed, Thomson Reuters) at [EA92.01(3)]. See also Richard Mahoney “Putting the Case Against the Duty to Put the Case” [2004] NZ L Rev 313 at n 13.</w:t>
      </w:r>
    </w:p>
  </w:footnote>
  <w:footnote w:id="1097">
    <w:p w14:paraId="053C02FA"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Te Aka Matua o te Ture | Law Commission </w:t>
      </w:r>
      <w:r w:rsidRPr="00C833B3">
        <w:rPr>
          <w:i/>
        </w:rPr>
        <w:t xml:space="preserve">Evidence: Reform of the Law </w:t>
      </w:r>
      <w:r w:rsidRPr="00C833B3">
        <w:t>(NZLC R55 Vol 1, 1999) at [404].</w:t>
      </w:r>
    </w:p>
  </w:footnote>
  <w:footnote w:id="1098">
    <w:p w14:paraId="6A4AEA10" w14:textId="77777777" w:rsidR="00E13DFB" w:rsidRDefault="00E13DFB" w:rsidP="00E13DFB">
      <w:pPr>
        <w:pStyle w:val="FootnoteText"/>
      </w:pPr>
      <w:r w:rsidRPr="00C833B3">
        <w:rPr>
          <w:rStyle w:val="FootnoteReference"/>
        </w:rPr>
        <w:footnoteRef/>
      </w:r>
      <w:r w:rsidRPr="00C833B3">
        <w:t xml:space="preserve"> </w:t>
      </w:r>
      <w:r w:rsidRPr="00C833B3">
        <w:tab/>
        <w:t xml:space="preserve">Andrew Barker KC </w:t>
      </w:r>
      <w:r w:rsidRPr="00C833B3">
        <w:rPr>
          <w:i/>
        </w:rPr>
        <w:t>Submission to Rules Committee on Consultation Paper on Improving Access to Civil Justice</w:t>
      </w:r>
      <w:r w:rsidRPr="00C833B3">
        <w:t xml:space="preserve"> (July 2021) at [28]. The Rules Committee also expressed concern with the operation of </w:t>
      </w:r>
      <w:r>
        <w:t>s</w:t>
      </w:r>
      <w:r w:rsidRPr="00C833B3">
        <w:t xml:space="preserve"> 92 in civil proceedings</w:t>
      </w:r>
      <w:r>
        <w:t>.</w:t>
      </w:r>
      <w:r w:rsidRPr="00C833B3">
        <w:t xml:space="preserve"> </w:t>
      </w:r>
      <w:r>
        <w:t>Ho</w:t>
      </w:r>
      <w:r w:rsidRPr="00C833B3">
        <w:t>wever</w:t>
      </w:r>
      <w:r>
        <w:t>,</w:t>
      </w:r>
      <w:r w:rsidRPr="00C833B3">
        <w:t xml:space="preserve"> its concern was that, outside of expert witnesses, cross-examination should be limited to situations of factual dispute and not involve putting arguments to witnesses or inviting arguments in answers: Te Komiti </w:t>
      </w:r>
      <w:r>
        <w:t>m</w:t>
      </w:r>
      <w:r w:rsidRPr="00C833B3">
        <w:t xml:space="preserve">ō </w:t>
      </w:r>
      <w:r>
        <w:t>n</w:t>
      </w:r>
      <w:r w:rsidRPr="00C833B3">
        <w:t xml:space="preserve">gā Tikanga Kooti </w:t>
      </w:r>
      <w:r>
        <w:t xml:space="preserve">| Rules Committee </w:t>
      </w:r>
      <w:r w:rsidRPr="00C833B3">
        <w:rPr>
          <w:i/>
        </w:rPr>
        <w:t xml:space="preserve">Improving Access to Civil Justice </w:t>
      </w:r>
      <w:r w:rsidRPr="00C833B3">
        <w:t>(November 2022) at [191].</w:t>
      </w:r>
    </w:p>
  </w:footnote>
  <w:footnote w:id="1099">
    <w:p w14:paraId="57025F52"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Elisabeth McDonald and others </w:t>
      </w:r>
      <w:r w:rsidRPr="00C833B3">
        <w:rPr>
          <w:i/>
        </w:rPr>
        <w:t>Rape Myths as Barriers to Fair Trial Process: Comparing adult rape trials with those in the Aotearoa Sexual Violence Court Pilot</w:t>
      </w:r>
      <w:r w:rsidRPr="00C833B3">
        <w:t xml:space="preserve"> (Canterbury University Press, Christchurch, 2020) at 326.</w:t>
      </w:r>
    </w:p>
  </w:footnote>
  <w:footnote w:id="1100">
    <w:p w14:paraId="110FC221"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Elisabeth McDonald and others </w:t>
      </w:r>
      <w:r w:rsidRPr="00C833B3">
        <w:rPr>
          <w:i/>
        </w:rPr>
        <w:t>Rape Myths as Barriers to Fair Trial Process: Comparing adult rape trials with those in the Aotearoa Sexual Violence Court Pilot</w:t>
      </w:r>
      <w:r w:rsidRPr="00C833B3">
        <w:t xml:space="preserve"> (Canterbury University Press, Christchurch, 2020) at 354–358. </w:t>
      </w:r>
    </w:p>
  </w:footnote>
  <w:footnote w:id="1101">
    <w:p w14:paraId="249730B3"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Elisabeth McDonald and others </w:t>
      </w:r>
      <w:r w:rsidRPr="00C833B3">
        <w:rPr>
          <w:i/>
        </w:rPr>
        <w:t>Rape Myths as Barriers to Fair Trial Process: Comparing adult rape trials with those in the Aotearoa Sexual Violence Court Pilot</w:t>
      </w:r>
      <w:r w:rsidRPr="00C833B3">
        <w:t xml:space="preserve"> (Canterbury University Press, Christchurch, 2020) at 355.</w:t>
      </w:r>
    </w:p>
  </w:footnote>
  <w:footnote w:id="1102">
    <w:p w14:paraId="57340C28"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Elisabeth McDonald and others </w:t>
      </w:r>
      <w:r w:rsidRPr="00C833B3">
        <w:rPr>
          <w:i/>
        </w:rPr>
        <w:t>Rape Myths as Barriers to Fair Trial Process: Comparing adult rape trials with those in the Aotearoa Sexual Violence Court Pilot</w:t>
      </w:r>
      <w:r w:rsidRPr="00C833B3">
        <w:t xml:space="preserve"> (Canterbury University Press, Christchurch, 2020) at 383.</w:t>
      </w:r>
    </w:p>
  </w:footnote>
  <w:footnote w:id="1103">
    <w:p w14:paraId="02C33F2A"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Elisabeth McDonald </w:t>
      </w:r>
      <w:r w:rsidRPr="00C833B3">
        <w:rPr>
          <w:i/>
        </w:rPr>
        <w:t>In the absence of a jury: Examining judge-alone rape trials</w:t>
      </w:r>
      <w:r w:rsidRPr="00C833B3">
        <w:t xml:space="preserve"> (Canterbury University Press, Christchurch, 2022) at 204–205. </w:t>
      </w:r>
    </w:p>
  </w:footnote>
  <w:footnote w:id="1104">
    <w:p w14:paraId="175ADF90"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Elisabeth McDonald </w:t>
      </w:r>
      <w:r w:rsidRPr="00C833B3">
        <w:rPr>
          <w:i/>
        </w:rPr>
        <w:t>In the absence of a jury: Examining judge-alone rape trials</w:t>
      </w:r>
      <w:r w:rsidRPr="00C833B3">
        <w:t xml:space="preserve"> (Canterbury University Press, Christchurch, 2022) at 190.</w:t>
      </w:r>
    </w:p>
  </w:footnote>
  <w:footnote w:id="1105">
    <w:p w14:paraId="143F5EB9"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Isabel Randell </w:t>
      </w:r>
      <w:r w:rsidRPr="00C833B3">
        <w:rPr>
          <w:i/>
        </w:rPr>
        <w:t>That’s a lie: Sexual violence misconceptions, accusations of lying, and other tactics in the cross-examination of child and adolescent sexual violence complainants</w:t>
      </w:r>
      <w:r w:rsidRPr="00C833B3">
        <w:t xml:space="preserve"> (Chief Victims Advisor to Government, August 2021).</w:t>
      </w:r>
    </w:p>
  </w:footnote>
  <w:footnote w:id="1106">
    <w:p w14:paraId="5E21ADA8" w14:textId="77777777" w:rsidR="00E13DFB" w:rsidRPr="0022581C" w:rsidRDefault="00E13DFB" w:rsidP="00E13DFB">
      <w:pPr>
        <w:pStyle w:val="FootnoteText"/>
        <w:rPr>
          <w:lang w:val="mi-NZ"/>
        </w:rPr>
      </w:pPr>
      <w:r w:rsidRPr="00C833B3">
        <w:rPr>
          <w:rStyle w:val="FootnoteReference"/>
        </w:rPr>
        <w:footnoteRef/>
      </w:r>
      <w:r w:rsidRPr="00C833B3">
        <w:t xml:space="preserve"> </w:t>
      </w:r>
      <w:r w:rsidRPr="00C833B3">
        <w:rPr>
          <w:lang w:val="mi-NZ"/>
        </w:rPr>
        <w:tab/>
      </w:r>
      <w:r w:rsidRPr="00C833B3">
        <w:t xml:space="preserve">Isabel Randell </w:t>
      </w:r>
      <w:r w:rsidRPr="00C833B3">
        <w:rPr>
          <w:i/>
        </w:rPr>
        <w:t>That’s a lie: Sexual violence misconceptions, accusations of lying, and other tactics in the cross-examination of child and adolescent sexual violence complainants</w:t>
      </w:r>
      <w:r w:rsidRPr="00C833B3">
        <w:t xml:space="preserve"> (Chief Victims Advisor to Government, August 2021) </w:t>
      </w:r>
      <w:r w:rsidRPr="00C833B3">
        <w:rPr>
          <w:lang w:val="mi-NZ"/>
        </w:rPr>
        <w:t xml:space="preserve">at 30, citing Kim McGregor </w:t>
      </w:r>
      <w:r w:rsidRPr="00C833B3">
        <w:rPr>
          <w:i/>
          <w:lang w:val="mi-NZ"/>
        </w:rPr>
        <w:t xml:space="preserve">Child witnesses in the NZ criminal courts: Issues, responses, opportunities </w:t>
      </w:r>
      <w:r w:rsidRPr="00C833B3">
        <w:rPr>
          <w:lang w:val="mi-NZ"/>
        </w:rPr>
        <w:t xml:space="preserve">(Chief Victims Advisor to Government, 2017) at 14. See also </w:t>
      </w:r>
      <w:r w:rsidRPr="00C833B3">
        <w:t xml:space="preserve">Emily Henderson, Jonathan Temm and Phillip Hamlin </w:t>
      </w:r>
      <w:r w:rsidRPr="00C833B3">
        <w:rPr>
          <w:i/>
        </w:rPr>
        <w:t>Pre-trial Case Management Guideline</w:t>
      </w:r>
      <w:r w:rsidRPr="00C833B3">
        <w:t xml:space="preserve"> (Benchmark, December 2018) </w:t>
      </w:r>
      <w:r w:rsidRPr="00C833B3">
        <w:rPr>
          <w:lang w:val="mi-NZ"/>
        </w:rPr>
        <w:t>at 23</w:t>
      </w:r>
      <w:r>
        <w:rPr>
          <w:lang w:val="mi-NZ"/>
        </w:rPr>
        <w:t>–</w:t>
      </w:r>
      <w:r w:rsidRPr="00C833B3">
        <w:rPr>
          <w:lang w:val="mi-NZ"/>
        </w:rPr>
        <w:t>24.</w:t>
      </w:r>
    </w:p>
  </w:footnote>
  <w:footnote w:id="1107">
    <w:p w14:paraId="4D0FE6B0" w14:textId="77777777" w:rsidR="00E13DFB" w:rsidRPr="00C833B3" w:rsidRDefault="00E13DFB" w:rsidP="00E13DFB">
      <w:pPr>
        <w:pStyle w:val="FootnoteText"/>
        <w:rPr>
          <w:lang w:val="mi-NZ"/>
        </w:rPr>
      </w:pPr>
      <w:r w:rsidRPr="00C833B3">
        <w:rPr>
          <w:rStyle w:val="FootnoteReference"/>
        </w:rPr>
        <w:footnoteRef/>
      </w:r>
      <w:r w:rsidRPr="00C833B3">
        <w:t xml:space="preserve"> </w:t>
      </w:r>
      <w:r w:rsidRPr="00C833B3">
        <w:rPr>
          <w:lang w:val="mi-NZ"/>
        </w:rPr>
        <w:tab/>
      </w:r>
      <w:r w:rsidRPr="00C833B3">
        <w:t xml:space="preserve">Isabel Randell </w:t>
      </w:r>
      <w:r w:rsidRPr="00C833B3">
        <w:rPr>
          <w:i/>
        </w:rPr>
        <w:t>That’s a lie: Sexual violence misconceptions, accusations of lying, and other tactics in the cross-examination of child and adolescent sexual violence complainants</w:t>
      </w:r>
      <w:r w:rsidRPr="00C833B3">
        <w:t xml:space="preserve"> (Chief Victims Advisor to Government, August 2021) </w:t>
      </w:r>
      <w:r w:rsidRPr="00C833B3">
        <w:rPr>
          <w:lang w:val="mi-NZ"/>
        </w:rPr>
        <w:t>at 37 (citations omitted).</w:t>
      </w:r>
    </w:p>
  </w:footnote>
  <w:footnote w:id="1108">
    <w:p w14:paraId="7611D3E9"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Isabel Randell </w:t>
      </w:r>
      <w:r w:rsidRPr="00C833B3">
        <w:rPr>
          <w:i/>
        </w:rPr>
        <w:t>That’s a lie: Sexual violence misconceptions, accusations of lying, and other tactics in the cross-examination of child and adolescent sexual violence complainants</w:t>
      </w:r>
      <w:r w:rsidRPr="00C833B3">
        <w:t xml:space="preserve"> (Chief Victims Advisor to Government, August 2021) at 38 (citations omitted).</w:t>
      </w:r>
    </w:p>
  </w:footnote>
  <w:footnote w:id="1109">
    <w:p w14:paraId="24FB9A04" w14:textId="77777777" w:rsidR="00E13DFB" w:rsidRPr="00C833B3" w:rsidRDefault="00E13DFB" w:rsidP="00E13DFB">
      <w:pPr>
        <w:pStyle w:val="FootnoteText"/>
      </w:pPr>
      <w:r w:rsidRPr="00C833B3">
        <w:rPr>
          <w:rStyle w:val="FootnoteReference"/>
        </w:rPr>
        <w:footnoteRef/>
      </w:r>
      <w:r w:rsidRPr="00C833B3">
        <w:t xml:space="preserve"> </w:t>
      </w:r>
      <w:r w:rsidRPr="00C833B3">
        <w:tab/>
        <w:t>Emily Henderson, Jonathan</w:t>
      </w:r>
      <w:r>
        <w:t xml:space="preserve"> </w:t>
      </w:r>
      <w:r w:rsidRPr="00C833B3">
        <w:t xml:space="preserve">Temm and Phillip Hamlin </w:t>
      </w:r>
      <w:r w:rsidRPr="00C833B3">
        <w:rPr>
          <w:i/>
        </w:rPr>
        <w:t>Pre-trial Case Management Guideline</w:t>
      </w:r>
      <w:r w:rsidRPr="00C833B3">
        <w:t xml:space="preserve"> (Benchmark, December 2018) at [10].</w:t>
      </w:r>
    </w:p>
  </w:footnote>
  <w:footnote w:id="1110">
    <w:p w14:paraId="63505568" w14:textId="77777777" w:rsidR="00E13DFB" w:rsidRPr="00C833B3" w:rsidRDefault="00E13DFB" w:rsidP="00E13DFB">
      <w:pPr>
        <w:pStyle w:val="FootnoteText"/>
      </w:pPr>
      <w:r w:rsidRPr="00C833B3">
        <w:rPr>
          <w:rStyle w:val="FootnoteReference"/>
        </w:rPr>
        <w:footnoteRef/>
      </w:r>
      <w:r w:rsidRPr="00C833B3">
        <w:t xml:space="preserve"> </w:t>
      </w:r>
      <w:r w:rsidRPr="00C833B3">
        <w:tab/>
      </w:r>
      <w:r>
        <w:t xml:space="preserve">Evidence Act 2006, s </w:t>
      </w:r>
      <w:r w:rsidRPr="00C833B3">
        <w:t xml:space="preserve">6(e). </w:t>
      </w:r>
      <w:r>
        <w:t>See also</w:t>
      </w:r>
      <w:r w:rsidRPr="00C833B3">
        <w:t xml:space="preserve"> s 8(1)(b), which provides for the exclusion of evidence if its probative value is outweighed by the risk that the evidence will needlessly prolong the proceeding.</w:t>
      </w:r>
    </w:p>
  </w:footnote>
  <w:footnote w:id="1111">
    <w:p w14:paraId="1BE95B56" w14:textId="77777777" w:rsidR="00E13DFB" w:rsidRDefault="00E13DFB" w:rsidP="00E13DFB">
      <w:pPr>
        <w:pStyle w:val="FootnoteText"/>
      </w:pPr>
      <w:r w:rsidRPr="00C833B3">
        <w:rPr>
          <w:rStyle w:val="FootnoteReference"/>
        </w:rPr>
        <w:footnoteRef/>
      </w:r>
      <w:r w:rsidRPr="00C833B3">
        <w:t xml:space="preserve"> </w:t>
      </w:r>
      <w:r w:rsidRPr="00C833B3">
        <w:tab/>
      </w:r>
      <w:r>
        <w:t xml:space="preserve">Evidence Act 2006, s </w:t>
      </w:r>
      <w:r w:rsidRPr="00C833B3">
        <w:t>6(c).</w:t>
      </w:r>
    </w:p>
  </w:footnote>
  <w:footnote w:id="1112">
    <w:p w14:paraId="6261C2F0" w14:textId="77777777" w:rsidR="00E13DFB" w:rsidRPr="00C833B3" w:rsidRDefault="00E13DFB" w:rsidP="00E13DFB">
      <w:pPr>
        <w:pStyle w:val="FootnoteText"/>
      </w:pPr>
      <w:r w:rsidRPr="00C833B3">
        <w:rPr>
          <w:rStyle w:val="FootnoteReference"/>
        </w:rPr>
        <w:footnoteRef/>
      </w:r>
      <w:r w:rsidRPr="00C833B3">
        <w:t xml:space="preserve"> </w:t>
      </w:r>
      <w:r w:rsidRPr="00C833B3">
        <w:tab/>
      </w:r>
      <w:r>
        <w:t xml:space="preserve">Evidence Act 2006, s </w:t>
      </w:r>
      <w:r w:rsidRPr="00C833B3">
        <w:t>95(1).</w:t>
      </w:r>
    </w:p>
  </w:footnote>
  <w:footnote w:id="1113">
    <w:p w14:paraId="5B806314" w14:textId="77777777" w:rsidR="00E13DFB" w:rsidRPr="00C833B3" w:rsidRDefault="00E13DFB" w:rsidP="00E13DFB">
      <w:pPr>
        <w:pStyle w:val="FootnoteText"/>
      </w:pPr>
      <w:r w:rsidRPr="00C833B3">
        <w:rPr>
          <w:rStyle w:val="FootnoteReference"/>
        </w:rPr>
        <w:footnoteRef/>
      </w:r>
      <w:r w:rsidRPr="00C833B3">
        <w:t xml:space="preserve"> </w:t>
      </w:r>
      <w:r w:rsidRPr="00C833B3">
        <w:tab/>
      </w:r>
      <w:r>
        <w:t xml:space="preserve">Evidence Act 2006, s </w:t>
      </w:r>
      <w:r w:rsidRPr="00C833B3">
        <w:t>95(2).</w:t>
      </w:r>
    </w:p>
  </w:footnote>
  <w:footnote w:id="1114">
    <w:p w14:paraId="6765D3B3" w14:textId="77777777" w:rsidR="00E13DFB" w:rsidRDefault="00E13DFB" w:rsidP="00E13DFB">
      <w:pPr>
        <w:pStyle w:val="FootnoteText"/>
      </w:pPr>
      <w:r w:rsidRPr="00C833B3">
        <w:rPr>
          <w:rStyle w:val="FootnoteReference"/>
        </w:rPr>
        <w:footnoteRef/>
      </w:r>
      <w:r w:rsidRPr="00C833B3">
        <w:t xml:space="preserve"> </w:t>
      </w:r>
      <w:r w:rsidRPr="00C833B3">
        <w:tab/>
      </w:r>
      <w:r>
        <w:t>Evidence Act 2006, s</w:t>
      </w:r>
      <w:r w:rsidRPr="00C833B3">
        <w:t xml:space="preserve"> 95(5)(b).</w:t>
      </w:r>
    </w:p>
  </w:footnote>
  <w:footnote w:id="1115">
    <w:p w14:paraId="48776746"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See discussion in </w:t>
      </w:r>
      <w:r w:rsidRPr="00C833B3">
        <w:rPr>
          <w:i/>
        </w:rPr>
        <w:t>Irving v Irving</w:t>
      </w:r>
      <w:r w:rsidRPr="00C833B3">
        <w:t xml:space="preserve"> [2021] NZHC 2269 at [9]–[10].</w:t>
      </w:r>
    </w:p>
  </w:footnote>
  <w:footnote w:id="1116">
    <w:p w14:paraId="27C1BBD4" w14:textId="77777777" w:rsidR="00E13DFB" w:rsidRPr="00C833B3" w:rsidRDefault="00E13DFB" w:rsidP="00E13DFB">
      <w:pPr>
        <w:pStyle w:val="FootnoteText"/>
      </w:pPr>
      <w:r w:rsidRPr="00C833B3">
        <w:rPr>
          <w:rStyle w:val="FootnoteReference"/>
        </w:rPr>
        <w:footnoteRef/>
      </w:r>
      <w:r w:rsidRPr="00C833B3">
        <w:t xml:space="preserve"> </w:t>
      </w:r>
      <w:r w:rsidRPr="00C833B3">
        <w:tab/>
      </w:r>
      <w:r w:rsidRPr="00C833B3">
        <w:rPr>
          <w:i/>
        </w:rPr>
        <w:t>Finley v Wiggins</w:t>
      </w:r>
      <w:r w:rsidRPr="00C833B3">
        <w:t xml:space="preserve"> [2020] NZFC 6481</w:t>
      </w:r>
      <w:r>
        <w:t>,</w:t>
      </w:r>
      <w:r w:rsidRPr="00C833B3">
        <w:rPr>
          <w:i/>
          <w:iCs/>
        </w:rPr>
        <w:t xml:space="preserve"> </w:t>
      </w:r>
      <w:r w:rsidRPr="00C833B3">
        <w:t>[2020] NZFLR 958 at [11]–[13].</w:t>
      </w:r>
    </w:p>
  </w:footnote>
  <w:footnote w:id="1117">
    <w:p w14:paraId="4E4F6DDC" w14:textId="77777777" w:rsidR="00E13DFB" w:rsidRPr="00C833B3" w:rsidRDefault="00E13DFB" w:rsidP="00E13DFB">
      <w:pPr>
        <w:pStyle w:val="FootnoteText"/>
      </w:pPr>
      <w:r w:rsidRPr="00C833B3">
        <w:rPr>
          <w:rStyle w:val="FootnoteReference"/>
        </w:rPr>
        <w:footnoteRef/>
      </w:r>
      <w:r w:rsidRPr="00C833B3">
        <w:t xml:space="preserve"> </w:t>
      </w:r>
      <w:r w:rsidRPr="00C833B3">
        <w:tab/>
      </w:r>
      <w:r w:rsidRPr="00C833B3">
        <w:rPr>
          <w:i/>
        </w:rPr>
        <w:t xml:space="preserve">Millar v R </w:t>
      </w:r>
      <w:r w:rsidRPr="00C833B3">
        <w:t>[2021] NZCA 548.</w:t>
      </w:r>
    </w:p>
  </w:footnote>
  <w:footnote w:id="1118">
    <w:p w14:paraId="58367374" w14:textId="77777777" w:rsidR="00E13DFB" w:rsidRPr="00C833B3" w:rsidRDefault="00E13DFB" w:rsidP="00E13DFB">
      <w:pPr>
        <w:pStyle w:val="FootnoteText"/>
      </w:pPr>
      <w:r w:rsidRPr="00C833B3">
        <w:rPr>
          <w:rStyle w:val="FootnoteReference"/>
        </w:rPr>
        <w:footnoteRef/>
      </w:r>
      <w:r w:rsidRPr="00C833B3">
        <w:t xml:space="preserve"> </w:t>
      </w:r>
      <w:r w:rsidRPr="00C833B3">
        <w:tab/>
      </w:r>
      <w:r w:rsidRPr="00C833B3">
        <w:rPr>
          <w:i/>
        </w:rPr>
        <w:t xml:space="preserve">Millar v R </w:t>
      </w:r>
      <w:r w:rsidRPr="00C833B3">
        <w:t>[2021] NZCA 548 at [74].</w:t>
      </w:r>
    </w:p>
  </w:footnote>
  <w:footnote w:id="1119">
    <w:p w14:paraId="3BF7FD83" w14:textId="77777777" w:rsidR="00E13DFB" w:rsidRPr="00C833B3" w:rsidRDefault="00E13DFB" w:rsidP="00E13DFB">
      <w:pPr>
        <w:pStyle w:val="FootnoteText"/>
      </w:pPr>
      <w:r w:rsidRPr="00C833B3">
        <w:rPr>
          <w:rStyle w:val="FootnoteReference"/>
        </w:rPr>
        <w:footnoteRef/>
      </w:r>
      <w:r w:rsidRPr="00C833B3">
        <w:t xml:space="preserve"> </w:t>
      </w:r>
      <w:r w:rsidRPr="00C833B3">
        <w:tab/>
      </w:r>
      <w:r w:rsidRPr="00C833B3">
        <w:rPr>
          <w:i/>
        </w:rPr>
        <w:t xml:space="preserve">Irving v Irving </w:t>
      </w:r>
      <w:r w:rsidRPr="00C833B3">
        <w:t>[2021] NZHC 2269 at [54].</w:t>
      </w:r>
    </w:p>
  </w:footnote>
  <w:footnote w:id="1120">
    <w:p w14:paraId="33C5524C" w14:textId="77777777" w:rsidR="00E13DFB" w:rsidRPr="00C833B3" w:rsidRDefault="00E13DFB" w:rsidP="00E13DFB">
      <w:pPr>
        <w:pStyle w:val="FootnoteText"/>
      </w:pPr>
      <w:r w:rsidRPr="00C833B3">
        <w:rPr>
          <w:rStyle w:val="FootnoteReference"/>
          <w:rFonts w:eastAsiaTheme="minorHAnsi"/>
        </w:rPr>
        <w:footnoteRef/>
      </w:r>
      <w:r w:rsidRPr="00C833B3">
        <w:t xml:space="preserve"> </w:t>
      </w:r>
      <w:r w:rsidRPr="00C833B3">
        <w:tab/>
      </w:r>
      <w:r w:rsidRPr="00C833B3">
        <w:rPr>
          <w:i/>
        </w:rPr>
        <w:t xml:space="preserve">Irving v Irving </w:t>
      </w:r>
      <w:r w:rsidRPr="00C833B3">
        <w:t>[2021] NZHC 2269 at [55]–[56].</w:t>
      </w:r>
    </w:p>
  </w:footnote>
  <w:footnote w:id="1121">
    <w:p w14:paraId="33F300EE" w14:textId="77777777" w:rsidR="00E13DFB" w:rsidRPr="00C833B3" w:rsidRDefault="00E13DFB" w:rsidP="00E13DFB">
      <w:pPr>
        <w:pStyle w:val="FootnoteText"/>
      </w:pPr>
      <w:r w:rsidRPr="00C833B3">
        <w:rPr>
          <w:rStyle w:val="FootnoteReference"/>
        </w:rPr>
        <w:footnoteRef/>
      </w:r>
      <w:r w:rsidRPr="00C833B3">
        <w:t xml:space="preserve"> </w:t>
      </w:r>
      <w:r w:rsidRPr="00C833B3">
        <w:tab/>
      </w:r>
      <w:r w:rsidRPr="00C833B3">
        <w:rPr>
          <w:i/>
        </w:rPr>
        <w:t xml:space="preserve">Irving v Irving </w:t>
      </w:r>
      <w:r w:rsidRPr="00C833B3">
        <w:t>[2021] NZHC 2269 at [23]–[24].</w:t>
      </w:r>
    </w:p>
  </w:footnote>
  <w:footnote w:id="1122">
    <w:p w14:paraId="0C7783B4" w14:textId="77777777" w:rsidR="00E13DFB" w:rsidRPr="00C833B3" w:rsidRDefault="00E13DFB" w:rsidP="00E13DFB">
      <w:pPr>
        <w:pStyle w:val="FootnoteText"/>
      </w:pPr>
      <w:r w:rsidRPr="00C833B3">
        <w:rPr>
          <w:rStyle w:val="FootnoteReference"/>
        </w:rPr>
        <w:footnoteRef/>
      </w:r>
      <w:r w:rsidRPr="00C833B3">
        <w:t xml:space="preserve"> </w:t>
      </w:r>
      <w:r w:rsidRPr="00C833B3">
        <w:tab/>
      </w:r>
      <w:r w:rsidRPr="00C833B3">
        <w:rPr>
          <w:i/>
        </w:rPr>
        <w:t xml:space="preserve">Irving v Irving </w:t>
      </w:r>
      <w:r w:rsidRPr="00C833B3">
        <w:t>[2021] NZHC 2269 at [25].</w:t>
      </w:r>
    </w:p>
  </w:footnote>
  <w:footnote w:id="1123">
    <w:p w14:paraId="600450AD" w14:textId="77777777" w:rsidR="00E13DFB" w:rsidRPr="00C833B3" w:rsidRDefault="00E13DFB" w:rsidP="00E13DFB">
      <w:pPr>
        <w:pStyle w:val="FootnoteText"/>
      </w:pPr>
      <w:r w:rsidRPr="00C833B3">
        <w:rPr>
          <w:rStyle w:val="FootnoteReference"/>
        </w:rPr>
        <w:footnoteRef/>
      </w:r>
      <w:r w:rsidRPr="00C833B3">
        <w:t xml:space="preserve"> </w:t>
      </w:r>
      <w:r w:rsidRPr="00C833B3">
        <w:tab/>
      </w:r>
      <w:r w:rsidRPr="00C833B3">
        <w:rPr>
          <w:i/>
        </w:rPr>
        <w:t xml:space="preserve">Irving v Irving </w:t>
      </w:r>
      <w:r w:rsidRPr="00C833B3">
        <w:t>[2021] NZHC 2269 at [36].</w:t>
      </w:r>
    </w:p>
  </w:footnote>
  <w:footnote w:id="1124">
    <w:p w14:paraId="2097F735" w14:textId="77777777" w:rsidR="00E13DFB" w:rsidRPr="00C833B3" w:rsidRDefault="00E13DFB" w:rsidP="00E13DFB">
      <w:pPr>
        <w:pStyle w:val="FootnoteText"/>
      </w:pPr>
      <w:r w:rsidRPr="00C833B3">
        <w:rPr>
          <w:rStyle w:val="FootnoteReference"/>
        </w:rPr>
        <w:footnoteRef/>
      </w:r>
      <w:r w:rsidRPr="00C833B3">
        <w:t xml:space="preserve"> </w:t>
      </w:r>
      <w:r w:rsidRPr="00C833B3">
        <w:tab/>
      </w:r>
      <w:r w:rsidRPr="00C833B3">
        <w:rPr>
          <w:i/>
        </w:rPr>
        <w:t>R v Family Court</w:t>
      </w:r>
      <w:r w:rsidRPr="00C833B3">
        <w:t xml:space="preserve"> [2021] NZHC 3204 at [84]–[85]. This decision was appealed, but the Court of Appeal did not need to determine whether the approach in </w:t>
      </w:r>
      <w:r w:rsidRPr="00C833B3">
        <w:rPr>
          <w:i/>
          <w:iCs/>
        </w:rPr>
        <w:t xml:space="preserve">Irving </w:t>
      </w:r>
      <w:r w:rsidRPr="00C833B3">
        <w:t xml:space="preserve">was correct: see </w:t>
      </w:r>
      <w:r w:rsidRPr="00C833B3">
        <w:rPr>
          <w:i/>
        </w:rPr>
        <w:t xml:space="preserve">R v Family Court </w:t>
      </w:r>
      <w:r w:rsidRPr="00C833B3">
        <w:t>[2023] NZCA 27 at [12].</w:t>
      </w:r>
    </w:p>
  </w:footnote>
  <w:footnote w:id="1125">
    <w:p w14:paraId="00F3777C" w14:textId="77777777" w:rsidR="00E13DFB" w:rsidRPr="00C833B3" w:rsidRDefault="00E13DFB" w:rsidP="00E13DFB">
      <w:pPr>
        <w:pStyle w:val="FootnoteText"/>
      </w:pPr>
      <w:r w:rsidRPr="00C833B3">
        <w:rPr>
          <w:rStyle w:val="FootnoteReference"/>
        </w:rPr>
        <w:footnoteRef/>
      </w:r>
      <w:r w:rsidRPr="00C833B3">
        <w:t xml:space="preserve"> </w:t>
      </w:r>
      <w:r w:rsidRPr="00C833B3">
        <w:tab/>
      </w:r>
      <w:r w:rsidRPr="00C833B3">
        <w:rPr>
          <w:i/>
        </w:rPr>
        <w:t xml:space="preserve">Elliot v Family Court </w:t>
      </w:r>
      <w:r w:rsidRPr="00C833B3">
        <w:rPr>
          <w:i/>
          <w:iCs/>
        </w:rPr>
        <w:t>at</w:t>
      </w:r>
      <w:r w:rsidRPr="00C833B3">
        <w:rPr>
          <w:i/>
        </w:rPr>
        <w:t xml:space="preserve"> Auckland</w:t>
      </w:r>
      <w:r w:rsidRPr="00C833B3">
        <w:t xml:space="preserve"> [2022] NZCA 146 at [14].</w:t>
      </w:r>
    </w:p>
  </w:footnote>
  <w:footnote w:id="1126">
    <w:p w14:paraId="173B919D" w14:textId="77777777" w:rsidR="00E13DFB" w:rsidRPr="006F5011" w:rsidRDefault="00E13DFB" w:rsidP="00E13DFB">
      <w:pPr>
        <w:pStyle w:val="FootnoteText"/>
      </w:pPr>
      <w:r w:rsidRPr="00C833B3">
        <w:rPr>
          <w:rStyle w:val="FootnoteReference"/>
        </w:rPr>
        <w:footnoteRef/>
      </w:r>
      <w:r w:rsidRPr="00C833B3">
        <w:t xml:space="preserve"> </w:t>
      </w:r>
      <w:r w:rsidRPr="00C833B3">
        <w:tab/>
      </w:r>
      <w:r w:rsidRPr="00C833B3">
        <w:rPr>
          <w:i/>
        </w:rPr>
        <w:t xml:space="preserve">Millar v R </w:t>
      </w:r>
      <w:r w:rsidRPr="00C833B3">
        <w:t>[2021] NZCA 458 at [34].</w:t>
      </w:r>
      <w:r>
        <w:t xml:space="preserve"> </w:t>
      </w:r>
    </w:p>
  </w:footnote>
  <w:footnote w:id="1127">
    <w:p w14:paraId="634DE50A"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Ordinarily, questions put by counsel during cross-examination are not subject to such a process, although the trial judge has a general power to disallow unacceptable questions under </w:t>
      </w:r>
      <w:r>
        <w:t>Evidence Act 2006, s</w:t>
      </w:r>
      <w:r w:rsidRPr="00C833B3">
        <w:t xml:space="preserve"> 85.</w:t>
      </w:r>
    </w:p>
  </w:footnote>
  <w:footnote w:id="1128">
    <w:p w14:paraId="3E588E08" w14:textId="77777777" w:rsidR="00E13DFB" w:rsidRPr="00C833B3" w:rsidRDefault="00E13DFB" w:rsidP="00E13DFB">
      <w:pPr>
        <w:pStyle w:val="FootnoteText"/>
        <w:rPr>
          <w:i/>
          <w:iCs/>
        </w:rPr>
      </w:pPr>
      <w:r w:rsidRPr="00C833B3">
        <w:rPr>
          <w:rStyle w:val="FootnoteReference"/>
        </w:rPr>
        <w:footnoteRef/>
      </w:r>
      <w:r w:rsidRPr="00C833B3">
        <w:t xml:space="preserve"> </w:t>
      </w:r>
      <w:r w:rsidRPr="00C833B3">
        <w:tab/>
      </w:r>
      <w:r w:rsidRPr="00C833B3">
        <w:rPr>
          <w:i/>
        </w:rPr>
        <w:t xml:space="preserve">Irving v Irving </w:t>
      </w:r>
      <w:r w:rsidRPr="00C833B3">
        <w:t>[2021] NZHC 2269 at [12]–[16] and [27]–[29].</w:t>
      </w:r>
    </w:p>
  </w:footnote>
  <w:footnote w:id="1129">
    <w:p w14:paraId="664D9F85" w14:textId="77777777" w:rsidR="00E13DFB" w:rsidRPr="00C833B3" w:rsidRDefault="00E13DFB" w:rsidP="00E13DFB">
      <w:pPr>
        <w:pStyle w:val="FootnoteText"/>
      </w:pPr>
      <w:r w:rsidRPr="00C833B3">
        <w:rPr>
          <w:rStyle w:val="FootnoteReference"/>
        </w:rPr>
        <w:footnoteRef/>
      </w:r>
      <w:r w:rsidRPr="00C833B3">
        <w:t xml:space="preserve"> </w:t>
      </w:r>
      <w:r w:rsidRPr="00C833B3">
        <w:tab/>
        <w:t xml:space="preserve">Te Aka Matua o te Ture | Law Commission </w:t>
      </w:r>
      <w:r w:rsidRPr="00C833B3">
        <w:rPr>
          <w:i/>
        </w:rPr>
        <w:t xml:space="preserve">Evidence: Evidence Code and Commentary </w:t>
      </w:r>
      <w:r w:rsidRPr="00C833B3">
        <w:t>(NZLC R55 Vol 2, 1999) at [C341] and [C350].</w:t>
      </w:r>
    </w:p>
  </w:footnote>
  <w:footnote w:id="1130">
    <w:p w14:paraId="4AEDB09F" w14:textId="77777777" w:rsidR="00E13DFB" w:rsidRDefault="00E13DFB" w:rsidP="00E13DFB">
      <w:pPr>
        <w:pStyle w:val="FootnoteText"/>
      </w:pPr>
      <w:r w:rsidRPr="00C833B3">
        <w:rPr>
          <w:rStyle w:val="FootnoteReference"/>
        </w:rPr>
        <w:footnoteRef/>
      </w:r>
      <w:r w:rsidRPr="00C833B3">
        <w:t xml:space="preserve"> </w:t>
      </w:r>
      <w:r w:rsidRPr="00C833B3">
        <w:tab/>
        <w:t xml:space="preserve">Te Aka Matua o te Ture | Law Commission </w:t>
      </w:r>
      <w:r w:rsidRPr="00C833B3">
        <w:rPr>
          <w:i/>
        </w:rPr>
        <w:t xml:space="preserve">Evidence: Reform of the Law </w:t>
      </w:r>
      <w:r w:rsidRPr="00C833B3">
        <w:t>(NZLC R55 Vol 1, 1999) at [414].</w:t>
      </w:r>
    </w:p>
  </w:footnote>
  <w:footnote w:id="1131">
    <w:p w14:paraId="1B9D8E8B"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t xml:space="preserve">Te Aka Matua o te Ture | Law Commission </w:t>
      </w:r>
      <w:r w:rsidRPr="00145E72">
        <w:rPr>
          <w:i/>
          <w:iCs/>
        </w:rPr>
        <w:t xml:space="preserve">Evidence: Evidence Code and Commentary </w:t>
      </w:r>
      <w:r w:rsidRPr="00145E72">
        <w:t>(NZLC R55 Vol 2, 1999)</w:t>
      </w:r>
      <w:r w:rsidRPr="006415A9">
        <w:t xml:space="preserve"> </w:t>
      </w:r>
      <w:r w:rsidRPr="00145E72">
        <w:t>at 36</w:t>
      </w:r>
      <w:r w:rsidRPr="006415A9">
        <w:t>.</w:t>
      </w:r>
    </w:p>
  </w:footnote>
  <w:footnote w:id="1132">
    <w:p w14:paraId="0672289E"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t xml:space="preserve">Te Aka Matua o te Ture | Law Commission </w:t>
      </w:r>
      <w:r w:rsidRPr="00145E72">
        <w:rPr>
          <w:i/>
          <w:iCs/>
        </w:rPr>
        <w:t xml:space="preserve">Evidence: Evidence Code and Commentary </w:t>
      </w:r>
      <w:r w:rsidRPr="00145E72">
        <w:t>(NZLC R55 Vol 2, 1999) at [C62].</w:t>
      </w:r>
      <w:r w:rsidRPr="006415A9">
        <w:t xml:space="preserve"> </w:t>
      </w:r>
    </w:p>
  </w:footnote>
  <w:footnote w:id="1133">
    <w:p w14:paraId="648CD8C3"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t xml:space="preserve">Te Aka Matua o te Ture | Law Commission </w:t>
      </w:r>
      <w:r w:rsidRPr="00145E72">
        <w:rPr>
          <w:i/>
          <w:iCs/>
        </w:rPr>
        <w:t xml:space="preserve">Evidence: Reform of the Law </w:t>
      </w:r>
      <w:r w:rsidRPr="00145E72">
        <w:t>(NZLC R55 Vol 1, 1999) at [31].</w:t>
      </w:r>
    </w:p>
  </w:footnote>
  <w:footnote w:id="1134">
    <w:p w14:paraId="0A64A6DB"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lang w:eastAsia="en-AU"/>
        </w:rPr>
        <w:t xml:space="preserve">Wilson v R </w:t>
      </w:r>
      <w:r w:rsidRPr="00145E72">
        <w:rPr>
          <w:lang w:eastAsia="en-AU"/>
        </w:rPr>
        <w:t>[2015] NZCA 531</w:t>
      </w:r>
      <w:r w:rsidRPr="006415A9">
        <w:rPr>
          <w:lang w:eastAsia="en-AU"/>
        </w:rPr>
        <w:t xml:space="preserve"> at </w:t>
      </w:r>
      <w:r w:rsidRPr="00145E72">
        <w:rPr>
          <w:lang w:eastAsia="en-AU"/>
        </w:rPr>
        <w:t>[26].</w:t>
      </w:r>
    </w:p>
  </w:footnote>
  <w:footnote w:id="1135">
    <w:p w14:paraId="5261D641"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 xml:space="preserve">Douglas v R </w:t>
      </w:r>
      <w:r w:rsidRPr="00145E72">
        <w:t>[2018] NZCA 26</w:t>
      </w:r>
      <w:r w:rsidRPr="006415A9">
        <w:t xml:space="preserve"> at [14]–[15].</w:t>
      </w:r>
    </w:p>
  </w:footnote>
  <w:footnote w:id="1136">
    <w:p w14:paraId="0E656C62"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lang w:eastAsia="en-AU"/>
        </w:rPr>
        <w:t xml:space="preserve">Wilson v R </w:t>
      </w:r>
      <w:r w:rsidRPr="00145E72">
        <w:rPr>
          <w:lang w:eastAsia="en-AU"/>
        </w:rPr>
        <w:t>[2015] NZCA 531</w:t>
      </w:r>
      <w:r w:rsidRPr="006415A9">
        <w:rPr>
          <w:lang w:eastAsia="en-AU"/>
        </w:rPr>
        <w:t xml:space="preserve"> at </w:t>
      </w:r>
      <w:r w:rsidRPr="00145E72">
        <w:rPr>
          <w:lang w:eastAsia="en-AU"/>
        </w:rPr>
        <w:t>[18].</w:t>
      </w:r>
      <w:r w:rsidRPr="006415A9">
        <w:rPr>
          <w:lang w:eastAsia="en-AU"/>
        </w:rPr>
        <w:t xml:space="preserve"> See also </w:t>
      </w:r>
      <w:r w:rsidRPr="00145E72">
        <w:rPr>
          <w:i/>
          <w:iCs/>
        </w:rPr>
        <w:t xml:space="preserve">Douglas v R </w:t>
      </w:r>
      <w:r w:rsidRPr="00145E72">
        <w:t>[2018] NZCA 26</w:t>
      </w:r>
      <w:r w:rsidRPr="006415A9">
        <w:t xml:space="preserve"> at </w:t>
      </w:r>
      <w:r w:rsidRPr="00145E72">
        <w:t>[14]</w:t>
      </w:r>
      <w:r w:rsidRPr="006415A9">
        <w:t>–</w:t>
      </w:r>
      <w:r w:rsidRPr="00145E72">
        <w:t>[15].</w:t>
      </w:r>
    </w:p>
  </w:footnote>
  <w:footnote w:id="1137">
    <w:p w14:paraId="63FBAD3D"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 xml:space="preserve">R v Wellington (No 4) </w:t>
      </w:r>
      <w:r w:rsidRPr="00145E72">
        <w:t>[2018] NZHC 2080</w:t>
      </w:r>
      <w:r w:rsidRPr="006415A9">
        <w:t xml:space="preserve"> at </w:t>
      </w:r>
      <w:r w:rsidRPr="00145E72">
        <w:t>[44].</w:t>
      </w:r>
    </w:p>
  </w:footnote>
  <w:footnote w:id="1138">
    <w:p w14:paraId="4931DB7F" w14:textId="77777777" w:rsidR="00E13DFB" w:rsidRPr="006415A9" w:rsidRDefault="00E13DFB" w:rsidP="00E13DFB">
      <w:pPr>
        <w:pStyle w:val="FootnoteText"/>
      </w:pPr>
      <w:r w:rsidRPr="006415A9">
        <w:rPr>
          <w:rStyle w:val="FootnoteReference"/>
        </w:rPr>
        <w:footnoteRef/>
      </w:r>
      <w:r w:rsidRPr="006415A9">
        <w:t xml:space="preserve"> </w:t>
      </w:r>
      <w:r w:rsidRPr="006415A9">
        <w:tab/>
        <w:t xml:space="preserve">This approach is consistent with an earlier Court of Appeal case, </w:t>
      </w:r>
      <w:r w:rsidRPr="00145E72">
        <w:rPr>
          <w:i/>
          <w:iCs/>
        </w:rPr>
        <w:t>Hannigan v R</w:t>
      </w:r>
      <w:r w:rsidRPr="00145E72">
        <w:t xml:space="preserve"> [2012] NZCA 133,</w:t>
      </w:r>
      <w:r w:rsidRPr="006415A9">
        <w:rPr>
          <w:lang w:eastAsia="en-AU"/>
        </w:rPr>
        <w:t xml:space="preserve"> where the Court said (at </w:t>
      </w:r>
      <w:r w:rsidRPr="00145E72">
        <w:rPr>
          <w:lang w:eastAsia="en-AU"/>
        </w:rPr>
        <w:t>[13(c)]</w:t>
      </w:r>
      <w:r w:rsidRPr="006415A9">
        <w:rPr>
          <w:lang w:eastAsia="en-AU"/>
        </w:rPr>
        <w:t xml:space="preserve">) that </w:t>
      </w:r>
      <w:r w:rsidRPr="006415A9">
        <w:t xml:space="preserve">admission by agreement under </w:t>
      </w:r>
      <w:r>
        <w:t>s</w:t>
      </w:r>
      <w:r w:rsidRPr="006415A9">
        <w:t xml:space="preserve"> 9 “does not relieve the Judge from the task of ensuring that the trial is fair. In particular, it does not relieve the Judge from the task of ensuring that the general exclusion in s</w:t>
      </w:r>
      <w:r w:rsidRPr="006415A9">
        <w:rPr>
          <w:rFonts w:ascii="Calibri" w:hAnsi="Calibri" w:cs="Calibri"/>
        </w:rPr>
        <w:t> </w:t>
      </w:r>
      <w:r w:rsidRPr="006415A9">
        <w:t>8 is complied with</w:t>
      </w:r>
      <w:r>
        <w:t>”.</w:t>
      </w:r>
    </w:p>
  </w:footnote>
  <w:footnote w:id="1139">
    <w:p w14:paraId="18BE64EA"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WM (CA714/18) v R</w:t>
      </w:r>
      <w:r w:rsidRPr="00145E72">
        <w:t xml:space="preserve"> [2020] NZCA 338 at [62].</w:t>
      </w:r>
    </w:p>
  </w:footnote>
  <w:footnote w:id="1140">
    <w:p w14:paraId="5B322D50" w14:textId="77777777" w:rsidR="00E13DFB" w:rsidRPr="006415A9" w:rsidRDefault="00E13DFB" w:rsidP="00E13DFB">
      <w:pPr>
        <w:pStyle w:val="FootnoteText"/>
      </w:pPr>
      <w:r w:rsidRPr="006415A9">
        <w:rPr>
          <w:rStyle w:val="FootnoteReference"/>
        </w:rPr>
        <w:footnoteRef/>
      </w:r>
      <w:r w:rsidRPr="006415A9">
        <w:t xml:space="preserve"> </w:t>
      </w:r>
      <w:r w:rsidRPr="006415A9">
        <w:tab/>
      </w:r>
      <w:r>
        <w:t xml:space="preserve">Evidence Act 2006, s </w:t>
      </w:r>
      <w:r w:rsidRPr="00145E72">
        <w:t>6(e).</w:t>
      </w:r>
    </w:p>
  </w:footnote>
  <w:footnote w:id="1141">
    <w:p w14:paraId="2F013AC4"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WM (CA714/18) v R</w:t>
      </w:r>
      <w:r w:rsidRPr="00145E72">
        <w:t xml:space="preserve"> [2020] NZCA 338 at [62].</w:t>
      </w:r>
    </w:p>
  </w:footnote>
  <w:footnote w:id="1142">
    <w:p w14:paraId="5D384FD6" w14:textId="77777777" w:rsidR="00E13DFB" w:rsidRPr="006415A9" w:rsidRDefault="00E13DFB" w:rsidP="00E13DFB">
      <w:pPr>
        <w:pStyle w:val="FootnoteText"/>
      </w:pPr>
      <w:r w:rsidRPr="006415A9">
        <w:rPr>
          <w:rStyle w:val="FootnoteReference"/>
        </w:rPr>
        <w:footnoteRef/>
      </w:r>
      <w:r w:rsidRPr="006415A9">
        <w:t xml:space="preserve"> </w:t>
      </w:r>
      <w:r w:rsidRPr="006415A9">
        <w:tab/>
        <w:t>We also note defendants may have good reasons for agreeing to the admission of evidence that may not be readily apparent. For example, agreeing to the admission of hearsay evidence may be considered preferable to having the witness give evidence at trial because of the risk they will provide further detail that is harmful to the defence case.</w:t>
      </w:r>
    </w:p>
  </w:footnote>
  <w:footnote w:id="1143">
    <w:p w14:paraId="545BAE64" w14:textId="77777777" w:rsidR="00E13DFB" w:rsidRPr="006415A9" w:rsidRDefault="00E13DFB" w:rsidP="00E13DFB">
      <w:pPr>
        <w:pStyle w:val="FootnoteText"/>
      </w:pPr>
      <w:r w:rsidRPr="006415A9">
        <w:rPr>
          <w:rStyle w:val="FootnoteReference"/>
        </w:rPr>
        <w:footnoteRef/>
      </w:r>
      <w:r w:rsidRPr="006415A9">
        <w:t xml:space="preserve"> </w:t>
      </w:r>
      <w:r w:rsidRPr="006415A9">
        <w:tab/>
        <w:t xml:space="preserve">We do not suggest making </w:t>
      </w:r>
      <w:r>
        <w:t>s</w:t>
      </w:r>
      <w:r w:rsidRPr="00145E72">
        <w:t xml:space="preserve"> 9(1)(a)</w:t>
      </w:r>
      <w:r w:rsidRPr="006415A9">
        <w:t xml:space="preserve"> subject to </w:t>
      </w:r>
      <w:r>
        <w:t>s</w:t>
      </w:r>
      <w:r w:rsidRPr="006415A9">
        <w:t xml:space="preserve"> 8 as a whole. </w:t>
      </w:r>
      <w:r>
        <w:t>Evidence Act 2006, s</w:t>
      </w:r>
      <w:r w:rsidRPr="00145E72">
        <w:t xml:space="preserve"> 8(1)(b)</w:t>
      </w:r>
      <w:r w:rsidRPr="006415A9">
        <w:t xml:space="preserve"> requires exclusion if the probative value of the evidence is outweighed by the risk that it will needlessly prolong the proceeding. As noted above, </w:t>
      </w:r>
      <w:r>
        <w:t>s</w:t>
      </w:r>
      <w:r w:rsidRPr="006415A9">
        <w:t xml:space="preserve"> 9 was intended to enable admission by agreement of potentially irrelevant evidence to avoid the need for constant admissibility rulings. While this is intended to shorten proceedings overall, the evidence itself may be longer (and hence admission may be seen as “needlessly prolonging the proceedings”). Requiring the judge to apply </w:t>
      </w:r>
      <w:r>
        <w:t>s</w:t>
      </w:r>
      <w:r w:rsidRPr="006415A9">
        <w:rPr>
          <w:rFonts w:ascii="Calibri" w:hAnsi="Calibri" w:cs="Calibri"/>
        </w:rPr>
        <w:t> </w:t>
      </w:r>
      <w:r w:rsidRPr="006415A9">
        <w:t xml:space="preserve">8(1)(b) could create confusion about whether the judge is entitled to admit such evidence. We suggest it would be preferable to reflect the purpose of </w:t>
      </w:r>
      <w:r>
        <w:t>s</w:t>
      </w:r>
      <w:r w:rsidRPr="006415A9">
        <w:t xml:space="preserve"> 9 by requiring the judge to have regard to the desirability of avoiding unjustifiable expense and delay (as proposed in </w:t>
      </w:r>
      <w:r>
        <w:t>O</w:t>
      </w:r>
      <w:r w:rsidRPr="006415A9">
        <w:t>ption 1), which would encourage a more holistic view of the proceeding.</w:t>
      </w:r>
    </w:p>
  </w:footnote>
  <w:footnote w:id="1144">
    <w:p w14:paraId="5C3E1083"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Hudson v R</w:t>
      </w:r>
      <w:r w:rsidRPr="00145E72">
        <w:t xml:space="preserve"> [2010] NZCA 417 at [43].</w:t>
      </w:r>
    </w:p>
  </w:footnote>
  <w:footnote w:id="1145">
    <w:p w14:paraId="540C57CB" w14:textId="77777777" w:rsidR="00E13DFB" w:rsidRPr="006415A9" w:rsidRDefault="00E13DFB" w:rsidP="00E13DFB">
      <w:pPr>
        <w:pStyle w:val="FootnoteText"/>
      </w:pPr>
      <w:r w:rsidRPr="006415A9">
        <w:rPr>
          <w:rStyle w:val="FootnoteReference"/>
        </w:rPr>
        <w:footnoteRef/>
      </w:r>
      <w:r w:rsidRPr="006415A9">
        <w:t xml:space="preserve"> </w:t>
      </w:r>
      <w:r w:rsidRPr="006415A9">
        <w:tab/>
      </w:r>
      <w:r>
        <w:t xml:space="preserve">Evidence Act 2006, s </w:t>
      </w:r>
      <w:r w:rsidRPr="00145E72">
        <w:t>6(c).</w:t>
      </w:r>
    </w:p>
  </w:footnote>
  <w:footnote w:id="1146">
    <w:p w14:paraId="7890D74A" w14:textId="77777777" w:rsidR="00E13DFB" w:rsidRPr="006415A9" w:rsidRDefault="00E13DFB" w:rsidP="00E13DFB">
      <w:pPr>
        <w:pStyle w:val="FootnoteText"/>
      </w:pPr>
      <w:r w:rsidRPr="006415A9">
        <w:rPr>
          <w:rStyle w:val="FootnoteReference"/>
        </w:rPr>
        <w:footnoteRef/>
      </w:r>
      <w:r w:rsidRPr="006415A9">
        <w:t xml:space="preserve"> </w:t>
      </w:r>
      <w:r w:rsidRPr="006415A9">
        <w:tab/>
        <w:t xml:space="preserve">We note a defence objection is not required to engage </w:t>
      </w:r>
      <w:r>
        <w:t>s</w:t>
      </w:r>
      <w:r w:rsidRPr="00145E72">
        <w:t xml:space="preserve"> 28.</w:t>
      </w:r>
      <w:r w:rsidRPr="006415A9">
        <w:t xml:space="preserve"> The judge may raise the issue under </w:t>
      </w:r>
      <w:r>
        <w:t>s</w:t>
      </w:r>
      <w:r w:rsidRPr="006415A9">
        <w:t xml:space="preserve"> </w:t>
      </w:r>
      <w:r w:rsidRPr="00145E72">
        <w:t>28(1)(b)</w:t>
      </w:r>
      <w:r w:rsidRPr="006415A9">
        <w:t xml:space="preserve"> and may then be required to exclude the evidence under </w:t>
      </w:r>
      <w:r>
        <w:t>s</w:t>
      </w:r>
      <w:r w:rsidRPr="00145E72">
        <w:t xml:space="preserve"> 28(2).</w:t>
      </w:r>
      <w:r w:rsidRPr="006415A9">
        <w:t xml:space="preserve"> </w:t>
      </w:r>
    </w:p>
  </w:footnote>
  <w:footnote w:id="1147">
    <w:p w14:paraId="67A03C33"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Daubert v Merrell Dow Pharmaceuticals Inc</w:t>
      </w:r>
      <w:r w:rsidRPr="00145E72">
        <w:t xml:space="preserve"> 509 US 579 (1993)</w:t>
      </w:r>
      <w:r w:rsidRPr="006415A9">
        <w:t xml:space="preserve">. Endorsed in New Zealand in </w:t>
      </w:r>
      <w:r w:rsidRPr="00145E72">
        <w:rPr>
          <w:i/>
          <w:iCs/>
        </w:rPr>
        <w:t>Lundy v R</w:t>
      </w:r>
      <w:r w:rsidRPr="00145E72">
        <w:t xml:space="preserve"> [2013] UKPC 28, [2014] 2 NZLR 273 at [138]–[139].</w:t>
      </w:r>
    </w:p>
  </w:footnote>
  <w:footnote w:id="1148">
    <w:p w14:paraId="0932565C"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Lundy v R</w:t>
      </w:r>
      <w:r w:rsidRPr="00145E72">
        <w:t xml:space="preserve"> [2013] UKPC 28, [2014] 2 NZLR 273 at [138].</w:t>
      </w:r>
    </w:p>
  </w:footnote>
  <w:footnote w:id="1149">
    <w:p w14:paraId="6B27B520"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t>Jack Oliver-Hood “Challenging the Admissibility of Scientifically Invalid Evidence” [2018] NZ L Rev 399</w:t>
      </w:r>
      <w:r w:rsidRPr="006415A9">
        <w:t>.</w:t>
      </w:r>
    </w:p>
  </w:footnote>
  <w:footnote w:id="1150">
    <w:p w14:paraId="6D5C852F"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Lundy v R</w:t>
      </w:r>
      <w:r w:rsidRPr="00145E72">
        <w:t xml:space="preserve"> [2018] NZCA 410 at [237]–[248].</w:t>
      </w:r>
    </w:p>
  </w:footnote>
  <w:footnote w:id="1151">
    <w:p w14:paraId="116E3FF5"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Lundy v R</w:t>
      </w:r>
      <w:r w:rsidRPr="00145E72">
        <w:t xml:space="preserve"> [2018] NZCA 410</w:t>
      </w:r>
      <w:r w:rsidRPr="006415A9">
        <w:t xml:space="preserve"> at </w:t>
      </w:r>
      <w:r w:rsidRPr="00145E72">
        <w:t>[239].</w:t>
      </w:r>
    </w:p>
  </w:footnote>
  <w:footnote w:id="1152">
    <w:p w14:paraId="4D98526D"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Lundy v R</w:t>
      </w:r>
      <w:r w:rsidRPr="00145E72">
        <w:t xml:space="preserve"> [2018] NZCA 410 at [241]–[242].</w:t>
      </w:r>
    </w:p>
  </w:footnote>
  <w:footnote w:id="1153">
    <w:p w14:paraId="679EF0D1"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Lundy v R</w:t>
      </w:r>
      <w:r w:rsidRPr="00145E72">
        <w:t xml:space="preserve"> [2018] NZCA 410 at [241]</w:t>
      </w:r>
      <w:r w:rsidRPr="006415A9">
        <w:t xml:space="preserve"> and </w:t>
      </w:r>
      <w:r w:rsidRPr="00145E72">
        <w:t>[243].</w:t>
      </w:r>
    </w:p>
  </w:footnote>
  <w:footnote w:id="1154">
    <w:p w14:paraId="57897E3B"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t>Jack Oliver-Hood “Section 25 Case Study: Scientific Expert Evidence” in Scott Optican and Jack Oliver-Hood (Presenters) “Evidence Law Update for Civil and Criminal Lawyers” (CPD seminar presented for ADLS, Auckland, February 2018) at 57–58, cited in Scott Optican “Evidence” [2019] 4 NZ L Rev 565 at 594.</w:t>
      </w:r>
    </w:p>
  </w:footnote>
  <w:footnote w:id="1155">
    <w:p w14:paraId="50BC8462"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i/>
          <w:iCs/>
        </w:rPr>
        <w:t>Attorney-General v Strathboss Kiwifruit Ltd</w:t>
      </w:r>
      <w:r w:rsidRPr="00145E72">
        <w:t xml:space="preserve"> [2020] NZCA 98, [2020] 3 NZLR 247 at [492</w:t>
      </w:r>
      <w:r>
        <w:t>]–</w:t>
      </w:r>
      <w:r w:rsidRPr="00145E72">
        <w:t>[495]</w:t>
      </w:r>
      <w:r w:rsidRPr="006415A9">
        <w:t xml:space="preserve">; </w:t>
      </w:r>
      <w:r w:rsidRPr="00145E72">
        <w:rPr>
          <w:i/>
          <w:iCs/>
        </w:rPr>
        <w:t>W (SC 38/2019) v R</w:t>
      </w:r>
      <w:r w:rsidRPr="00145E72">
        <w:t xml:space="preserve"> [2020] NZSC 93, [2020] 1 NZLR 382 at [230].</w:t>
      </w:r>
    </w:p>
  </w:footnote>
  <w:footnote w:id="1156">
    <w:p w14:paraId="6B2F9378" w14:textId="77777777" w:rsidR="00E13DFB" w:rsidRPr="006415A9" w:rsidRDefault="00E13DFB" w:rsidP="00E13DFB">
      <w:pPr>
        <w:pStyle w:val="FootnoteText"/>
      </w:pPr>
      <w:r w:rsidRPr="006415A9">
        <w:rPr>
          <w:rStyle w:val="FootnoteReference"/>
        </w:rPr>
        <w:footnoteRef/>
      </w:r>
      <w:r w:rsidRPr="006415A9">
        <w:t xml:space="preserve"> </w:t>
      </w:r>
      <w:r w:rsidRPr="006415A9">
        <w:tab/>
        <w:t xml:space="preserve">We note </w:t>
      </w:r>
      <w:r w:rsidRPr="00145E72">
        <w:rPr>
          <w:i/>
          <w:iCs/>
        </w:rPr>
        <w:t>Attorney-General v Strathboss Kiwifruit Ltd</w:t>
      </w:r>
      <w:r w:rsidRPr="00145E72">
        <w:t xml:space="preserve"> [2020] NZCA 98, [2020] 3 NZLR 247</w:t>
      </w:r>
      <w:r w:rsidRPr="006415A9">
        <w:t xml:space="preserve"> suggests the courts may now be more willing to exclude expert evidence on the basis that the relevant methodology has not received general acceptance within the scientific community (see at </w:t>
      </w:r>
      <w:r w:rsidRPr="00145E72">
        <w:t>[497]–[498]).</w:t>
      </w:r>
      <w:r w:rsidRPr="006415A9">
        <w:t xml:space="preserve"> </w:t>
      </w:r>
    </w:p>
  </w:footnote>
  <w:footnote w:id="1157">
    <w:p w14:paraId="1B3943B4" w14:textId="77777777" w:rsidR="00E13DFB" w:rsidRPr="006415A9" w:rsidRDefault="00E13DFB" w:rsidP="00E13DFB">
      <w:pPr>
        <w:pStyle w:val="FootnoteText"/>
      </w:pPr>
      <w:r w:rsidRPr="006415A9">
        <w:rPr>
          <w:rStyle w:val="FootnoteReference"/>
        </w:rPr>
        <w:footnoteRef/>
      </w:r>
      <w:r w:rsidRPr="006415A9">
        <w:t xml:space="preserve"> </w:t>
      </w:r>
      <w:r w:rsidRPr="006415A9">
        <w:tab/>
        <w:t xml:space="preserve">We note, for example, that two recent Court of Appeal decisions (which are subject to publication restrictions until final disposition of trial) did not refer to </w:t>
      </w:r>
      <w:r w:rsidRPr="006415A9">
        <w:rPr>
          <w:i/>
          <w:iCs/>
        </w:rPr>
        <w:t xml:space="preserve">Lundy </w:t>
      </w:r>
      <w:r w:rsidRPr="006415A9">
        <w:t>when considering the admissibility of evidence about psychological conditions.</w:t>
      </w:r>
    </w:p>
  </w:footnote>
  <w:footnote w:id="1158">
    <w:p w14:paraId="7EE71373" w14:textId="77777777" w:rsidR="00E13DFB" w:rsidRPr="006415A9" w:rsidRDefault="00E13DFB" w:rsidP="00E13DFB">
      <w:pPr>
        <w:pStyle w:val="FootnoteText"/>
      </w:pPr>
      <w:r w:rsidRPr="006415A9">
        <w:rPr>
          <w:rStyle w:val="FootnoteReference"/>
        </w:rPr>
        <w:footnoteRef/>
      </w:r>
      <w:r w:rsidRPr="006415A9">
        <w:t xml:space="preserve"> </w:t>
      </w:r>
      <w:r w:rsidRPr="006415A9">
        <w:tab/>
        <w:t xml:space="preserve">Including offences under the </w:t>
      </w:r>
      <w:r w:rsidRPr="00145E72">
        <w:t>Misuse of Drugs Act 1975</w:t>
      </w:r>
      <w:r w:rsidRPr="006415A9">
        <w:t xml:space="preserve"> for a term of at least five years, participation in an organised criminal group under </w:t>
      </w:r>
      <w:r>
        <w:t>s</w:t>
      </w:r>
      <w:r w:rsidRPr="00145E72">
        <w:t xml:space="preserve"> 98A of the Crimes Act 1961</w:t>
      </w:r>
      <w:r w:rsidRPr="006415A9">
        <w:t xml:space="preserve">, and breaches of </w:t>
      </w:r>
      <w:r>
        <w:t>s</w:t>
      </w:r>
      <w:r w:rsidRPr="00145E72">
        <w:t xml:space="preserve"> 41A or 42B of the Arms Act 1983</w:t>
      </w:r>
      <w:r w:rsidRPr="006415A9">
        <w:t xml:space="preserve">. </w:t>
      </w:r>
    </w:p>
  </w:footnote>
  <w:footnote w:id="1159">
    <w:p w14:paraId="01E2126D"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t>Sections 108(2)-(3).</w:t>
      </w:r>
      <w:r w:rsidRPr="006415A9">
        <w:t xml:space="preserve"> </w:t>
      </w:r>
    </w:p>
  </w:footnote>
  <w:footnote w:id="1160">
    <w:p w14:paraId="58E98596" w14:textId="77777777" w:rsidR="00E13DFB" w:rsidRPr="006415A9" w:rsidRDefault="00E13DFB" w:rsidP="00E13DFB">
      <w:pPr>
        <w:pStyle w:val="FootnoteText"/>
      </w:pPr>
      <w:r w:rsidRPr="006415A9">
        <w:rPr>
          <w:rStyle w:val="FootnoteReference"/>
        </w:rPr>
        <w:footnoteRef/>
      </w:r>
      <w:r w:rsidRPr="006415A9">
        <w:t xml:space="preserve"> </w:t>
      </w:r>
      <w:r w:rsidRPr="006415A9">
        <w:tab/>
      </w:r>
      <w:r>
        <w:t xml:space="preserve">Evidence Act 2006, s </w:t>
      </w:r>
      <w:r w:rsidRPr="00145E72">
        <w:t>109(1).</w:t>
      </w:r>
      <w:r w:rsidRPr="006415A9">
        <w:t xml:space="preserve"> Leave may be granted under </w:t>
      </w:r>
      <w:r w:rsidRPr="00145E72">
        <w:t xml:space="preserve">s 109(1)(d) if the test prescribed in </w:t>
      </w:r>
      <w:r>
        <w:t>s</w:t>
      </w:r>
      <w:r w:rsidRPr="00145E72">
        <w:t xml:space="preserve"> 109(2)</w:t>
      </w:r>
      <w:r w:rsidRPr="006415A9">
        <w:t xml:space="preserve"> is fulfilled. </w:t>
      </w:r>
    </w:p>
  </w:footnote>
  <w:footnote w:id="1161">
    <w:p w14:paraId="11B6A8DC"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t>Letter from Hon Kris Faafoi (Minister of Justice) to Amokura Kawharu (President</w:t>
      </w:r>
      <w:r>
        <w:t xml:space="preserve"> of</w:t>
      </w:r>
      <w:r w:rsidRPr="00145E72">
        <w:t xml:space="preserve"> Te Aka Matua o te Ture | Law Commission) regarding the </w:t>
      </w:r>
      <w:r>
        <w:t>t</w:t>
      </w:r>
      <w:r w:rsidRPr="00145E72">
        <w:t>hird statutory review of the Evidence Act 2006 (23 February 2022).</w:t>
      </w:r>
    </w:p>
  </w:footnote>
  <w:footnote w:id="1162">
    <w:p w14:paraId="2778B07A" w14:textId="77777777" w:rsidR="00E13DFB" w:rsidRPr="006415A9" w:rsidRDefault="00E13DFB" w:rsidP="00E13DFB">
      <w:pPr>
        <w:pStyle w:val="FootnoteText"/>
        <w:rPr>
          <w:lang w:val="mi-NZ"/>
        </w:rPr>
      </w:pPr>
      <w:r w:rsidRPr="006415A9">
        <w:rPr>
          <w:rStyle w:val="FootnoteReference"/>
        </w:rPr>
        <w:footnoteRef/>
      </w:r>
      <w:r w:rsidRPr="006415A9">
        <w:t xml:space="preserve"> </w:t>
      </w:r>
      <w:r w:rsidRPr="006415A9">
        <w:tab/>
      </w:r>
      <w:r w:rsidRPr="00145E72">
        <w:t xml:space="preserve">Te Aka Matua o te Ture | Law Commission </w:t>
      </w:r>
      <w:r w:rsidRPr="00145E72">
        <w:rPr>
          <w:i/>
          <w:iCs/>
        </w:rPr>
        <w:t>Second Review of the Evidence Act 2006 | Te Arotake Tuarua i te Evidence Act 2006</w:t>
      </w:r>
      <w:r w:rsidRPr="00145E72">
        <w:t xml:space="preserve"> (NZLC IP42, 2018).</w:t>
      </w:r>
    </w:p>
  </w:footnote>
  <w:footnote w:id="1163">
    <w:p w14:paraId="5C1706C5" w14:textId="77777777" w:rsidR="00E13DFB" w:rsidRPr="006415A9" w:rsidRDefault="00E13DFB" w:rsidP="00E13DFB">
      <w:pPr>
        <w:pStyle w:val="FootnoteText"/>
      </w:pPr>
      <w:r w:rsidRPr="006415A9">
        <w:rPr>
          <w:rStyle w:val="FootnoteReference"/>
        </w:rPr>
        <w:footnoteRef/>
      </w:r>
      <w:r w:rsidRPr="006415A9">
        <w:rPr>
          <w:vertAlign w:val="superscript"/>
        </w:rPr>
        <w:t xml:space="preserve"> </w:t>
      </w:r>
      <w:r w:rsidRPr="006415A9">
        <w:tab/>
      </w:r>
      <w:r w:rsidRPr="00145E72">
        <w:t xml:space="preserve">Te Aka Matua o te Ture | Law Commission </w:t>
      </w:r>
      <w:r w:rsidRPr="00145E72">
        <w:rPr>
          <w:i/>
        </w:rPr>
        <w:t>The Second Review of the Evidence Act 2006</w:t>
      </w:r>
      <w:r w:rsidRPr="00145E72">
        <w:t xml:space="preserve"> | </w:t>
      </w:r>
      <w:r w:rsidRPr="004E7CAB">
        <w:rPr>
          <w:i/>
        </w:rPr>
        <w:t xml:space="preserve">Te Arotake </w:t>
      </w:r>
      <w:r w:rsidRPr="004E7CAB">
        <w:rPr>
          <w:i/>
          <w:iCs/>
        </w:rPr>
        <w:t>Tuarua</w:t>
      </w:r>
      <w:r w:rsidRPr="004E7CAB">
        <w:rPr>
          <w:i/>
        </w:rPr>
        <w:t xml:space="preserve"> i te Evidence Act 2006 </w:t>
      </w:r>
      <w:r w:rsidRPr="00145E72">
        <w:t>(NZLC R142, 2019)</w:t>
      </w:r>
      <w:r w:rsidRPr="006415A9">
        <w:t xml:space="preserve"> at </w:t>
      </w:r>
      <w:r w:rsidRPr="00145E72">
        <w:t>[18.2</w:t>
      </w:r>
      <w:r>
        <w:t>]–</w:t>
      </w:r>
      <w:r w:rsidRPr="00145E72">
        <w:t>[18.21].</w:t>
      </w:r>
      <w:r w:rsidRPr="006415A9">
        <w:t xml:space="preserve"> </w:t>
      </w:r>
    </w:p>
  </w:footnote>
  <w:footnote w:id="1164">
    <w:p w14:paraId="7A6B9438"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t xml:space="preserve">Te Aka Matua o te Ture | Law Commission </w:t>
      </w:r>
      <w:r w:rsidRPr="00145E72">
        <w:rPr>
          <w:i/>
        </w:rPr>
        <w:t>The Second Review of the Evidence Act 2006</w:t>
      </w:r>
      <w:r w:rsidRPr="00145E72">
        <w:t xml:space="preserve"> | </w:t>
      </w:r>
      <w:r w:rsidRPr="004E7CAB">
        <w:rPr>
          <w:i/>
        </w:rPr>
        <w:t xml:space="preserve">Te Arotake </w:t>
      </w:r>
      <w:r w:rsidRPr="004E7CAB">
        <w:rPr>
          <w:i/>
          <w:iCs/>
        </w:rPr>
        <w:t>Tuarua</w:t>
      </w:r>
      <w:r w:rsidRPr="004E7CAB">
        <w:rPr>
          <w:i/>
        </w:rPr>
        <w:t xml:space="preserve"> i te Evidence Act 2006 </w:t>
      </w:r>
      <w:r w:rsidRPr="00145E72">
        <w:t>(NZLC R142, 2019)</w:t>
      </w:r>
      <w:r w:rsidRPr="006415A9">
        <w:t xml:space="preserve"> </w:t>
      </w:r>
      <w:r w:rsidRPr="00145E72">
        <w:t>at [18.7</w:t>
      </w:r>
      <w:r>
        <w:t>]–</w:t>
      </w:r>
      <w:r w:rsidRPr="00145E72">
        <w:t>[18.11].</w:t>
      </w:r>
      <w:r w:rsidRPr="006415A9">
        <w:t xml:space="preserve"> </w:t>
      </w:r>
    </w:p>
  </w:footnote>
  <w:footnote w:id="1165">
    <w:p w14:paraId="0C2234B0"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t xml:space="preserve">Te Aka Matua o te Ture | Law Commission </w:t>
      </w:r>
      <w:r w:rsidRPr="00145E72">
        <w:rPr>
          <w:i/>
        </w:rPr>
        <w:t>The Second Review of the Evidence Act 2006</w:t>
      </w:r>
      <w:r w:rsidRPr="00145E72">
        <w:t xml:space="preserve"> | </w:t>
      </w:r>
      <w:r w:rsidRPr="004E7CAB">
        <w:rPr>
          <w:i/>
        </w:rPr>
        <w:t>Te Arotake Tuarua i te Evidence Act 2006</w:t>
      </w:r>
      <w:r w:rsidRPr="00145E72">
        <w:t xml:space="preserve"> (NZLC R142, 2019)</w:t>
      </w:r>
      <w:r w:rsidRPr="006415A9">
        <w:t xml:space="preserve"> at </w:t>
      </w:r>
      <w:r w:rsidRPr="00145E72">
        <w:t>[18.13</w:t>
      </w:r>
      <w:r>
        <w:t>]–</w:t>
      </w:r>
      <w:r w:rsidRPr="00145E72">
        <w:t>[18.15].</w:t>
      </w:r>
      <w:r w:rsidRPr="006415A9">
        <w:t xml:space="preserve"> </w:t>
      </w:r>
    </w:p>
  </w:footnote>
  <w:footnote w:id="1166">
    <w:p w14:paraId="174BFFA8" w14:textId="77777777" w:rsidR="00E13DFB" w:rsidRPr="006415A9" w:rsidRDefault="00E13DFB" w:rsidP="00E13DFB">
      <w:pPr>
        <w:pStyle w:val="FootnoteText"/>
      </w:pPr>
      <w:r w:rsidRPr="006415A9">
        <w:rPr>
          <w:rStyle w:val="FootnoteReference"/>
        </w:rPr>
        <w:footnoteRef/>
      </w:r>
      <w:r w:rsidRPr="006415A9">
        <w:rPr>
          <w:vertAlign w:val="superscript"/>
        </w:rPr>
        <w:t xml:space="preserve"> </w:t>
      </w:r>
      <w:r w:rsidRPr="006415A9">
        <w:tab/>
      </w:r>
      <w:r w:rsidRPr="00145E72">
        <w:t xml:space="preserve">Te Aka Matua o te Ture | Law Commission </w:t>
      </w:r>
      <w:r w:rsidRPr="00145E72">
        <w:rPr>
          <w:i/>
        </w:rPr>
        <w:t>The Second Review of the Evidence Act 2006</w:t>
      </w:r>
      <w:r w:rsidRPr="00145E72">
        <w:t xml:space="preserve"> | </w:t>
      </w:r>
      <w:r w:rsidRPr="004E7CAB">
        <w:rPr>
          <w:i/>
        </w:rPr>
        <w:t xml:space="preserve">Te Arotake Tuarua i te Evidence Act 2006 </w:t>
      </w:r>
      <w:r w:rsidRPr="00145E72">
        <w:t>(NZLC R142, 2019) at [18.16</w:t>
      </w:r>
      <w:r>
        <w:t>]–</w:t>
      </w:r>
      <w:r w:rsidRPr="00145E72">
        <w:t>[18.19].</w:t>
      </w:r>
      <w:r w:rsidRPr="006415A9">
        <w:t xml:space="preserve"> </w:t>
      </w:r>
    </w:p>
  </w:footnote>
  <w:footnote w:id="1167">
    <w:p w14:paraId="599BA0F4" w14:textId="77777777" w:rsidR="00E13DFB" w:rsidRPr="006415A9" w:rsidRDefault="00E13DFB" w:rsidP="00E13DFB">
      <w:pPr>
        <w:pStyle w:val="FootnoteText"/>
      </w:pPr>
      <w:r w:rsidRPr="006415A9">
        <w:rPr>
          <w:rStyle w:val="FootnoteReference"/>
        </w:rPr>
        <w:footnoteRef/>
      </w:r>
      <w:r w:rsidRPr="006415A9">
        <w:rPr>
          <w:vertAlign w:val="superscript"/>
        </w:rPr>
        <w:t xml:space="preserve"> </w:t>
      </w:r>
      <w:r w:rsidRPr="006415A9">
        <w:tab/>
      </w:r>
      <w:r w:rsidRPr="00145E72">
        <w:t xml:space="preserve">Te Aka Matua o te Ture | Law Commission </w:t>
      </w:r>
      <w:r w:rsidRPr="00145E72">
        <w:rPr>
          <w:i/>
        </w:rPr>
        <w:t>The Second Review of the Evidence Act 2006</w:t>
      </w:r>
      <w:r w:rsidRPr="00145E72">
        <w:t xml:space="preserve"> | </w:t>
      </w:r>
      <w:r w:rsidRPr="00833ED3">
        <w:rPr>
          <w:i/>
        </w:rPr>
        <w:t>Te Arotake Tuarua i te Evidence Act 2006</w:t>
      </w:r>
      <w:r w:rsidRPr="00145E72">
        <w:t xml:space="preserve"> (NZLC R142, 2019) at [18.20</w:t>
      </w:r>
      <w:r>
        <w:t>]–</w:t>
      </w:r>
      <w:r w:rsidRPr="00145E72">
        <w:t>[18.21].</w:t>
      </w:r>
      <w:r w:rsidRPr="006415A9">
        <w:t xml:space="preserve"> </w:t>
      </w:r>
    </w:p>
  </w:footnote>
  <w:footnote w:id="1168">
    <w:p w14:paraId="427A9113" w14:textId="77777777" w:rsidR="00E13DFB" w:rsidRPr="006415A9" w:rsidRDefault="00E13DFB" w:rsidP="00E13DFB">
      <w:pPr>
        <w:pStyle w:val="FootnoteText"/>
      </w:pPr>
      <w:r w:rsidRPr="006415A9">
        <w:rPr>
          <w:rStyle w:val="FootnoteReference"/>
        </w:rPr>
        <w:footnoteRef/>
      </w:r>
      <w:r w:rsidRPr="006415A9">
        <w:t xml:space="preserve"> </w:t>
      </w:r>
      <w:r w:rsidRPr="006415A9">
        <w:tab/>
      </w:r>
      <w:r w:rsidRPr="00145E72">
        <w:rPr>
          <w:rStyle w:val="normaltextrun"/>
          <w:color w:val="0D0D0D"/>
          <w:szCs w:val="15"/>
          <w:shd w:val="clear" w:color="auto" w:fill="FFFFFF"/>
        </w:rPr>
        <w:t xml:space="preserve">Te Aka Matua o te Ture | Law Commission </w:t>
      </w:r>
      <w:r w:rsidRPr="00145E72">
        <w:rPr>
          <w:rStyle w:val="normaltextrun"/>
          <w:i/>
          <w:color w:val="0D0D0D"/>
          <w:szCs w:val="15"/>
          <w:shd w:val="clear" w:color="auto" w:fill="FFFFFF"/>
        </w:rPr>
        <w:t xml:space="preserve">The </w:t>
      </w:r>
      <w:r w:rsidRPr="00145E72">
        <w:rPr>
          <w:rStyle w:val="findhit"/>
          <w:i/>
          <w:color w:val="0D0D0D"/>
          <w:szCs w:val="15"/>
          <w:shd w:val="clear" w:color="auto" w:fill="FFFFFF"/>
        </w:rPr>
        <w:t>2013</w:t>
      </w:r>
      <w:r w:rsidRPr="00145E72">
        <w:rPr>
          <w:rStyle w:val="normaltextrun"/>
          <w:i/>
          <w:color w:val="0D0D0D"/>
          <w:szCs w:val="15"/>
          <w:shd w:val="clear" w:color="auto" w:fill="FFFFFF"/>
        </w:rPr>
        <w:t xml:space="preserve"> Review of the Evidence Act 2006</w:t>
      </w:r>
      <w:r w:rsidRPr="00145E72">
        <w:rPr>
          <w:rStyle w:val="normaltextrun"/>
          <w:color w:val="0D0D0D"/>
          <w:szCs w:val="15"/>
          <w:shd w:val="clear" w:color="auto" w:fill="FFFFFF"/>
        </w:rPr>
        <w:t xml:space="preserve"> (NZLC R127, </w:t>
      </w:r>
      <w:r w:rsidRPr="00145E72">
        <w:rPr>
          <w:rStyle w:val="findhit"/>
          <w:color w:val="0D0D0D"/>
          <w:szCs w:val="15"/>
          <w:shd w:val="clear" w:color="auto" w:fill="FFFFFF"/>
        </w:rPr>
        <w:t>2013</w:t>
      </w:r>
      <w:r w:rsidRPr="00145E72">
        <w:rPr>
          <w:rStyle w:val="normaltextrun"/>
          <w:color w:val="0D0D0D"/>
          <w:szCs w:val="15"/>
          <w:shd w:val="clear" w:color="auto" w:fill="FFFFFF"/>
        </w:rPr>
        <w:t>)</w:t>
      </w:r>
      <w:r w:rsidRPr="006415A9">
        <w:rPr>
          <w:rStyle w:val="eop"/>
          <w:rFonts w:ascii="Calibri" w:hAnsi="Calibri" w:cs="Calibri"/>
          <w:color w:val="0D0D0D"/>
          <w:szCs w:val="15"/>
          <w:shd w:val="clear" w:color="auto" w:fill="FFFFFF"/>
        </w:rPr>
        <w:t> </w:t>
      </w:r>
      <w:r w:rsidRPr="006415A9">
        <w:t xml:space="preserve">at </w:t>
      </w:r>
      <w:r w:rsidRPr="00145E72">
        <w:t>[11.88</w:t>
      </w:r>
      <w:r>
        <w:t>]–</w:t>
      </w:r>
      <w:r w:rsidRPr="00145E72">
        <w:t>[11.89] and [11.94</w:t>
      </w:r>
      <w:r>
        <w:t>]–</w:t>
      </w:r>
      <w:r w:rsidRPr="00145E72">
        <w:t>[11.95].</w:t>
      </w:r>
    </w:p>
  </w:footnote>
  <w:footnote w:id="1169">
    <w:p w14:paraId="731C56F9" w14:textId="77777777" w:rsidR="00E13DFB" w:rsidRDefault="00E13DFB" w:rsidP="00E13DFB">
      <w:pPr>
        <w:pStyle w:val="FootnoteText"/>
      </w:pPr>
      <w:r w:rsidRPr="006415A9">
        <w:rPr>
          <w:rStyle w:val="FootnoteReference"/>
        </w:rPr>
        <w:footnoteRef/>
      </w:r>
      <w:r w:rsidRPr="006415A9">
        <w:t xml:space="preserve"> </w:t>
      </w:r>
      <w:r w:rsidRPr="006415A9">
        <w:tab/>
      </w:r>
      <w:r>
        <w:t>Evidence Act 2006, s</w:t>
      </w:r>
      <w:r w:rsidRPr="00145E72">
        <w:t xml:space="preserve"> 108(1)(ca),</w:t>
      </w:r>
      <w:r w:rsidRPr="006415A9">
        <w:t xml:space="preserve"> inserted by </w:t>
      </w:r>
      <w:r>
        <w:t>s</w:t>
      </w:r>
      <w:r w:rsidRPr="00145E72">
        <w:t xml:space="preserve"> 14 of the Firearms Prohibition Orders Legislation Act 2022</w:t>
      </w:r>
      <w:r w:rsidRPr="006415A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BB939" w14:textId="77777777" w:rsidR="00E81695" w:rsidRPr="001A7CE5" w:rsidRDefault="00E81695" w:rsidP="001A7CE5">
    <w:pPr>
      <w:pStyle w:val="Header"/>
      <w:tabs>
        <w:tab w:val="left" w:pos="709"/>
      </w:tabs>
      <w:rPr>
        <w:szCs w:val="20"/>
      </w:rPr>
    </w:pPr>
    <w:r>
      <w:rPr>
        <w:noProof/>
        <w:lang w:eastAsia="en-NZ"/>
      </w:rPr>
      <mc:AlternateContent>
        <mc:Choice Requires="wps">
          <w:drawing>
            <wp:anchor distT="0" distB="0" distL="114300" distR="114300" simplePos="0" relativeHeight="251658243" behindDoc="1" locked="0" layoutInCell="1" allowOverlap="1" wp14:anchorId="2A4FEF17" wp14:editId="57940B1D">
              <wp:simplePos x="0" y="0"/>
              <wp:positionH relativeFrom="column">
                <wp:posOffset>-1082040</wp:posOffset>
              </wp:positionH>
              <wp:positionV relativeFrom="paragraph">
                <wp:posOffset>-347060</wp:posOffset>
              </wp:positionV>
              <wp:extent cx="7560310" cy="10692130"/>
              <wp:effectExtent l="0" t="0" r="2540" b="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5ED2DC55" id="Freeform: Shape 35"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v-text-anchor:top" points="-85.2pt,814.55pt,510.1pt,814.55pt,510.1pt,-27.35pt,-85.2pt,-27.35pt,-85.2pt,814.5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" fillcolor="#edf2ea" stroked="f">
              <v:path arrowok="t" o:connecttype="custom" o:connectlocs="0,10692130;7560310,10692130;7560310,0;0,0;0,10692130" o:connectangles="0,0,0,0,0"/>
            </v:polyline>
          </w:pict>
        </mc:Fallback>
      </mc:AlternateContent>
    </w:r>
    <w:sdt>
      <w:sdtPr>
        <w:id w:val="1454837497"/>
        <w:docPartObj>
          <w:docPartGallery w:val="Page Numbers (Top of Page)"/>
          <w:docPartUnique/>
        </w:docPartObj>
      </w:sdtPr>
      <w:sdtEndPr/>
      <w:sdtContent>
        <w:r>
          <w:t>v</w:t>
        </w:r>
        <w:r w:rsidRPr="00FF65F4">
          <w:rPr>
            <w:szCs w:val="13"/>
            <w:lang w:val="fr-FR"/>
          </w:rPr>
          <w:t xml:space="preserve">     </w:t>
        </w:r>
        <w:r>
          <w:rPr>
            <w:szCs w:val="13"/>
            <w:lang w:val="fr-FR"/>
          </w:rPr>
          <w:tab/>
          <w:t>ACKNOWLEDGEMENTS</w:t>
        </w:r>
      </w:sdtContent>
    </w:sdt>
    <w:r>
      <w:tab/>
      <w:t xml:space="preserve"> </w:t>
    </w:r>
    <w:r w:rsidRPr="0074159A">
      <w:rPr>
        <w:szCs w:val="13"/>
      </w:rPr>
      <w:tab/>
    </w:r>
    <w:r w:rsidRPr="001007E8">
      <w:rPr>
        <w:szCs w:val="13"/>
      </w:rPr>
      <w:t>TE AKA MATUA O TE TURE | LAW COMMISSION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970623"/>
      <w:docPartObj>
        <w:docPartGallery w:val="Page Numbers (Top of Page)"/>
        <w:docPartUnique/>
      </w:docPartObj>
    </w:sdtPr>
    <w:sdtEndPr>
      <w:rPr>
        <w:szCs w:val="13"/>
      </w:rPr>
    </w:sdtEndPr>
    <w:sdtContent>
      <w:p w14:paraId="65458104" w14:textId="7493416C" w:rsidR="00C7016E" w:rsidRPr="00747717" w:rsidRDefault="00117DA1" w:rsidP="00747717">
        <w:pPr>
          <w:pStyle w:val="Header"/>
          <w:tabs>
            <w:tab w:val="clear" w:pos="4536"/>
            <w:tab w:val="left" w:pos="709"/>
          </w:tabs>
          <w:rPr>
            <w:szCs w:val="20"/>
          </w:rPr>
        </w:pPr>
        <w:sdt>
          <w:sdtPr>
            <w:id w:val="-1896270209"/>
            <w:docPartObj>
              <w:docPartGallery w:val="Page Numbers (Top of Page)"/>
              <w:docPartUnique/>
            </w:docPartObj>
          </w:sdtPr>
          <w:sdtEndPr/>
          <w:sdtContent>
            <w:r w:rsidR="005645C1" w:rsidRPr="001D3DD6">
              <w:rPr>
                <w:szCs w:val="13"/>
              </w:rPr>
              <w:fldChar w:fldCharType="begin"/>
            </w:r>
            <w:r w:rsidR="005645C1" w:rsidRPr="00FF65F4">
              <w:rPr>
                <w:szCs w:val="13"/>
                <w:lang w:val="fr-FR"/>
              </w:rPr>
              <w:instrText xml:space="preserve"> PAGE   \* MERGEFORMAT </w:instrText>
            </w:r>
            <w:r w:rsidR="005645C1" w:rsidRPr="001D3DD6">
              <w:rPr>
                <w:szCs w:val="13"/>
              </w:rPr>
              <w:fldChar w:fldCharType="separate"/>
            </w:r>
            <w:r w:rsidR="005645C1">
              <w:rPr>
                <w:szCs w:val="13"/>
              </w:rPr>
              <w:t>2</w:t>
            </w:r>
            <w:r w:rsidR="005645C1" w:rsidRPr="001D3DD6">
              <w:rPr>
                <w:szCs w:val="13"/>
              </w:rPr>
              <w:fldChar w:fldCharType="end"/>
            </w:r>
          </w:sdtContent>
        </w:sdt>
        <w:r w:rsidR="005645C1" w:rsidRPr="00FF65F4">
          <w:rPr>
            <w:szCs w:val="13"/>
            <w:lang w:val="fr-FR"/>
          </w:rPr>
          <w:t xml:space="preserve">     </w:t>
        </w:r>
        <w:r w:rsidR="005645C1">
          <w:rPr>
            <w:szCs w:val="13"/>
            <w:lang w:val="fr-FR"/>
          </w:rPr>
          <w:tab/>
        </w:r>
        <w:r w:rsidR="005645C1">
          <w:t xml:space="preserve">TE AKA MATUA O TE TURE | </w:t>
        </w:r>
        <w:r w:rsidR="005645C1" w:rsidRPr="001007E8">
          <w:t>LAW COMMISSION</w:t>
        </w:r>
        <w:r w:rsidR="005645C1">
          <w:tab/>
          <w:t xml:space="preserve">THIRD </w:t>
        </w:r>
        <w:r w:rsidR="005645C1" w:rsidRPr="000B12DA">
          <w:t xml:space="preserve">REVIEW OF </w:t>
        </w:r>
        <w:r w:rsidR="005645C1">
          <w:t>THE EVIDENCE ACT 2006 – ISSUES PAPER</w:t>
        </w:r>
        <w:r w:rsidR="002F5A9D">
          <w:t xml:space="preserve"> 50</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417947"/>
      <w:docPartObj>
        <w:docPartGallery w:val="Page Numbers (Top of Page)"/>
        <w:docPartUnique/>
      </w:docPartObj>
    </w:sdtPr>
    <w:sdtEndPr/>
    <w:sdtContent>
      <w:p w14:paraId="5F2E4E43" w14:textId="2295CC6F" w:rsidR="00E81695" w:rsidRPr="0096089E" w:rsidRDefault="008619D1" w:rsidP="0096089E">
        <w:pPr>
          <w:pStyle w:val="Header"/>
          <w:tabs>
            <w:tab w:val="left" w:pos="709"/>
          </w:tabs>
          <w:rPr>
            <w:szCs w:val="20"/>
          </w:rPr>
        </w:pPr>
        <w:r>
          <w:t xml:space="preserve">TE AKA MATUA O TE TURE | </w:t>
        </w:r>
        <w:r w:rsidRPr="001007E8">
          <w:t>LAW COMMISSION</w:t>
        </w:r>
        <w:r>
          <w:tab/>
        </w:r>
        <w:r>
          <w:tab/>
        </w:r>
        <w:r>
          <w:rPr>
            <w:szCs w:val="13"/>
            <w:lang w:val="fr-FR"/>
          </w:rPr>
          <w:t>CHAPTER 1</w:t>
        </w:r>
        <w:r>
          <w:rPr>
            <w:rFonts w:ascii="Calibri" w:hAnsi="Calibri" w:cs="Calibri"/>
            <w:szCs w:val="13"/>
            <w:lang w:val="fr-FR"/>
          </w:rPr>
          <w:t>:</w:t>
        </w:r>
        <w:r>
          <w:rPr>
            <w:szCs w:val="13"/>
            <w:lang w:val="fr-FR"/>
          </w:rPr>
          <w:t xml:space="preserve"> </w:t>
        </w:r>
        <w:r>
          <w:rPr>
            <w:rFonts w:eastAsia="Metropolis Black"/>
          </w:rPr>
          <w:t>INTRODUCTION</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2</w:t>
        </w:r>
        <w:r w:rsidRPr="00C5544E">
          <w:rPr>
            <w:szCs w:val="13"/>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252037"/>
      <w:docPartObj>
        <w:docPartGallery w:val="Page Numbers (Top of Page)"/>
        <w:docPartUnique/>
      </w:docPartObj>
    </w:sdtPr>
    <w:sdtEndPr/>
    <w:sdtContent>
      <w:sdt>
        <w:sdtPr>
          <w:id w:val="699599629"/>
          <w:docPartObj>
            <w:docPartGallery w:val="Page Numbers (Top of Page)"/>
            <w:docPartUnique/>
          </w:docPartObj>
        </w:sdtPr>
        <w:sdtEndPr/>
        <w:sdtContent>
          <w:p w14:paraId="115F908A" w14:textId="4F296074" w:rsidR="00E81695" w:rsidRPr="00FA2DB1" w:rsidRDefault="00AE5C0B" w:rsidP="00FA2DB1">
            <w:pPr>
              <w:pStyle w:val="Header"/>
              <w:tabs>
                <w:tab w:val="left" w:pos="709"/>
              </w:tabs>
              <w:rPr>
                <w:szCs w:val="20"/>
              </w:rPr>
            </w:pPr>
            <w:r>
              <w:t xml:space="preserve">TE AKA MATUA O TE TURE | </w:t>
            </w:r>
            <w:r w:rsidRPr="001007E8">
              <w:t>LAW COMMISSION</w:t>
            </w:r>
            <w:r>
              <w:tab/>
            </w:r>
            <w:r>
              <w:tab/>
            </w:r>
            <w:r w:rsidR="00711869">
              <w:rPr>
                <w:szCs w:val="13"/>
                <w:lang w:val="fr-FR"/>
              </w:rPr>
              <w:t>CHAPTER 2</w:t>
            </w:r>
            <w:r w:rsidR="00711869">
              <w:rPr>
                <w:rFonts w:ascii="Calibri" w:hAnsi="Calibri" w:cs="Calibri"/>
                <w:szCs w:val="13"/>
                <w:lang w:val="fr-FR"/>
              </w:rPr>
              <w:t>:</w:t>
            </w:r>
            <w:r w:rsidR="00711869">
              <w:rPr>
                <w:szCs w:val="13"/>
                <w:lang w:val="fr-FR"/>
              </w:rPr>
              <w:t xml:space="preserve"> </w:t>
            </w:r>
            <w:r w:rsidR="00711869">
              <w:rPr>
                <w:rFonts w:eastAsia="Metropolis Black"/>
              </w:rPr>
              <w:t>T</w:t>
            </w:r>
            <w:r w:rsidR="00711869" w:rsidRPr="00F3489A">
              <w:rPr>
                <w:rFonts w:eastAsia="Metropolis Black"/>
              </w:rPr>
              <w:t>E AO MĀORI</w:t>
            </w:r>
            <w:r w:rsidR="00711869">
              <w:rPr>
                <w:rFonts w:eastAsia="Metropolis Black"/>
              </w:rPr>
              <w:t xml:space="preserve"> AND THE </w:t>
            </w:r>
            <w:r w:rsidR="00711869" w:rsidRPr="007044F8">
              <w:rPr>
                <w:rFonts w:eastAsia="Metropolis Black"/>
              </w:rPr>
              <w:t>EVIDENCE ACT</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7</w:t>
            </w:r>
            <w:r w:rsidRPr="00C5544E">
              <w:rPr>
                <w:szCs w:val="13"/>
              </w:rPr>
              <w:fldChar w:fldCharType="end"/>
            </w:r>
          </w:p>
        </w:sdtContent>
      </w:sdt>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274840"/>
      <w:docPartObj>
        <w:docPartGallery w:val="Page Numbers (Top of Page)"/>
        <w:docPartUnique/>
      </w:docPartObj>
    </w:sdtPr>
    <w:sdtEndPr/>
    <w:sdtContent>
      <w:p w14:paraId="6A246E0C" w14:textId="26C1D8AA" w:rsidR="00E81695" w:rsidRPr="00C5544E" w:rsidRDefault="000F3586" w:rsidP="005C6BC7">
        <w:pPr>
          <w:pStyle w:val="Header"/>
          <w:tabs>
            <w:tab w:val="left" w:pos="709"/>
          </w:tabs>
        </w:pPr>
        <w:r>
          <w:t xml:space="preserve">TE AKA MATUA O TE TURE | </w:t>
        </w:r>
        <w:r w:rsidRPr="001007E8">
          <w:t>LAW COMMISSION</w:t>
        </w:r>
        <w:r>
          <w:tab/>
        </w:r>
        <w:r>
          <w:tab/>
        </w:r>
        <w:r>
          <w:rPr>
            <w:szCs w:val="13"/>
          </w:rPr>
          <w:t xml:space="preserve">CHAPTER 3: </w:t>
        </w:r>
        <w:r w:rsidRPr="00E05BE3">
          <w:rPr>
            <w:rFonts w:eastAsia="Metropolis Black"/>
          </w:rPr>
          <w:t>HEARSAY</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9</w:t>
        </w:r>
        <w:r w:rsidRPr="00C5544E">
          <w:rPr>
            <w:szCs w:val="13"/>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D52A" w14:textId="4400EBD6" w:rsidR="00024F99" w:rsidRPr="00C5544E" w:rsidRDefault="00117DA1" w:rsidP="007F066B">
    <w:pPr>
      <w:pStyle w:val="Header"/>
      <w:tabs>
        <w:tab w:val="clear" w:pos="4536"/>
        <w:tab w:val="left" w:pos="709"/>
      </w:tabs>
    </w:pPr>
    <w:sdt>
      <w:sdtPr>
        <w:id w:val="1581948017"/>
        <w:docPartObj>
          <w:docPartGallery w:val="Page Numbers (Top of Page)"/>
          <w:docPartUnique/>
        </w:docPartObj>
      </w:sdtPr>
      <w:sdtEndPr/>
      <w:sdtContent>
        <w:sdt>
          <w:sdtPr>
            <w:id w:val="-1961865216"/>
            <w:docPartObj>
              <w:docPartGallery w:val="Page Numbers (Top of Page)"/>
              <w:docPartUnique/>
            </w:docPartObj>
          </w:sdtPr>
          <w:sdtEndPr/>
          <w:sdtContent>
            <w:r w:rsidR="005F2CD3">
              <w:t xml:space="preserve">TE AKA MATUA O TE TURE | </w:t>
            </w:r>
            <w:r w:rsidR="005F2CD3" w:rsidRPr="001007E8">
              <w:t>LAW COMMISSION</w:t>
            </w:r>
            <w:r w:rsidR="007F066B">
              <w:tab/>
            </w:r>
            <w:r w:rsidR="005F2CD3">
              <w:rPr>
                <w:szCs w:val="13"/>
              </w:rPr>
              <w:t xml:space="preserve">CHAPTER 4: </w:t>
            </w:r>
            <w:r w:rsidR="005F2CD3">
              <w:rPr>
                <w:rFonts w:eastAsia="Consolas"/>
              </w:rPr>
              <w:t>DEFENDANTS’ AND CO-DEFENDANTS’ STATEMENTS</w:t>
            </w:r>
            <w:r w:rsidR="005F2CD3" w:rsidRPr="00C5544E">
              <w:rPr>
                <w:szCs w:val="13"/>
              </w:rPr>
              <w:t xml:space="preserve">             </w:t>
            </w:r>
            <w:r w:rsidR="005F2CD3" w:rsidRPr="00C5544E">
              <w:rPr>
                <w:szCs w:val="13"/>
              </w:rPr>
              <w:fldChar w:fldCharType="begin"/>
            </w:r>
            <w:r w:rsidR="005F2CD3" w:rsidRPr="00C5544E">
              <w:rPr>
                <w:szCs w:val="13"/>
              </w:rPr>
              <w:instrText xml:space="preserve"> PAGE   \* MERGEFORMAT </w:instrText>
            </w:r>
            <w:r w:rsidR="005F2CD3" w:rsidRPr="00C5544E">
              <w:rPr>
                <w:szCs w:val="13"/>
              </w:rPr>
              <w:fldChar w:fldCharType="separate"/>
            </w:r>
            <w:r w:rsidR="005F2CD3">
              <w:rPr>
                <w:szCs w:val="13"/>
              </w:rPr>
              <w:t>25</w:t>
            </w:r>
            <w:r w:rsidR="005F2CD3" w:rsidRPr="00C5544E">
              <w:rPr>
                <w:szCs w:val="13"/>
              </w:rPr>
              <w:fldChar w:fldCharType="end"/>
            </w:r>
          </w:sdtContent>
        </w:sdt>
        <w:r w:rsidR="00024F99">
          <w:rPr>
            <w:szCs w:val="13"/>
          </w:rPr>
          <w:t xml:space="preserve"> </w:t>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66223"/>
      <w:docPartObj>
        <w:docPartGallery w:val="Page Numbers (Top of Page)"/>
        <w:docPartUnique/>
      </w:docPartObj>
    </w:sdtPr>
    <w:sdtEndPr/>
    <w:sdtContent>
      <w:p w14:paraId="7D7E8DB3" w14:textId="5DCED53E" w:rsidR="00F42DCE" w:rsidRDefault="00F42DCE" w:rsidP="005C6BC7">
        <w:pPr>
          <w:pStyle w:val="Header"/>
          <w:tabs>
            <w:tab w:val="left" w:pos="709"/>
          </w:tabs>
        </w:pPr>
        <w:r>
          <w:t xml:space="preserve">TE AKA MATUA O TE TURE | </w:t>
        </w:r>
        <w:r w:rsidRPr="001007E8">
          <w:t>LAW COMMISSION</w:t>
        </w:r>
        <w:r>
          <w:tab/>
        </w:r>
        <w:r>
          <w:tab/>
        </w:r>
        <w:r>
          <w:rPr>
            <w:szCs w:val="13"/>
          </w:rPr>
          <w:t xml:space="preserve">CHAPTER 5: </w:t>
        </w:r>
        <w:r>
          <w:rPr>
            <w:rFonts w:eastAsia="Consolas"/>
          </w:rPr>
          <w:t>UNRELIABLE STATEMENTS</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27</w:t>
        </w:r>
        <w:r w:rsidRPr="00C5544E">
          <w:rPr>
            <w:szCs w:val="13"/>
          </w:rPr>
          <w:fldChar w:fldCharType="end"/>
        </w:r>
      </w:p>
    </w:sdtContent>
  </w:sdt>
  <w:p w14:paraId="3F2753AD" w14:textId="77777777" w:rsidR="00C7016E" w:rsidRDefault="00C7016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01191"/>
      <w:docPartObj>
        <w:docPartGallery w:val="Page Numbers (Top of Page)"/>
        <w:docPartUnique/>
      </w:docPartObj>
    </w:sdtPr>
    <w:sdtEndPr/>
    <w:sdtContent>
      <w:p w14:paraId="41A3665F" w14:textId="14DB033A" w:rsidR="005641AC" w:rsidRDefault="00F42DCE" w:rsidP="00F42DCE">
        <w:pPr>
          <w:pStyle w:val="Header"/>
          <w:tabs>
            <w:tab w:val="left" w:pos="709"/>
          </w:tabs>
        </w:pPr>
        <w:r>
          <w:t xml:space="preserve">TE AKA MATUA O TE TURE | </w:t>
        </w:r>
        <w:r w:rsidRPr="001007E8">
          <w:t>LAW COMMISSION</w:t>
        </w:r>
        <w:r>
          <w:tab/>
          <w:t xml:space="preserve">                  </w:t>
        </w:r>
        <w:r>
          <w:rPr>
            <w:szCs w:val="13"/>
          </w:rPr>
          <w:t xml:space="preserve">CHAPTER 6: </w:t>
        </w:r>
        <w:r w:rsidRPr="00587E8C">
          <w:rPr>
            <w:rFonts w:eastAsia="Metropolis Black"/>
          </w:rPr>
          <w:t>INVESTIGATORY TECHNIQUES AND RISKS OF UNRELIABILITY</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63</w:t>
        </w:r>
        <w:r w:rsidRPr="00C5544E">
          <w:rPr>
            <w:szCs w:val="13"/>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068715"/>
      <w:docPartObj>
        <w:docPartGallery w:val="Page Numbers (Top of Page)"/>
        <w:docPartUnique/>
      </w:docPartObj>
    </w:sdtPr>
    <w:sdtEndPr/>
    <w:sdtContent>
      <w:p w14:paraId="34D38E9C" w14:textId="6612891E" w:rsidR="00F42DCE" w:rsidRDefault="00F42DCE" w:rsidP="00F42DCE">
        <w:pPr>
          <w:pStyle w:val="Header"/>
          <w:tabs>
            <w:tab w:val="left" w:pos="709"/>
          </w:tabs>
        </w:pPr>
        <w:r>
          <w:t xml:space="preserve">TE AKA MATUA O TE TURE | </w:t>
        </w:r>
        <w:r w:rsidRPr="001007E8">
          <w:t>LAW COMMISSION</w:t>
        </w:r>
        <w:r>
          <w:tab/>
        </w:r>
        <w:r>
          <w:tab/>
        </w:r>
        <w:r>
          <w:rPr>
            <w:szCs w:val="13"/>
          </w:rPr>
          <w:t xml:space="preserve">CHAPTER 7: </w:t>
        </w:r>
        <w:r w:rsidRPr="0006391A">
          <w:rPr>
            <w:rFonts w:eastAsia="Metropolis Black"/>
          </w:rPr>
          <w:t>IMPROPERLY OBTAINED EVIDENCE</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75</w:t>
        </w:r>
        <w:r w:rsidRPr="00C5544E">
          <w:rPr>
            <w:szCs w:val="13"/>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98236"/>
      <w:docPartObj>
        <w:docPartGallery w:val="Page Numbers (Top of Page)"/>
        <w:docPartUnique/>
      </w:docPartObj>
    </w:sdtPr>
    <w:sdtEndPr/>
    <w:sdtContent>
      <w:p w14:paraId="772E6333" w14:textId="453E2B36" w:rsidR="00F42DCE" w:rsidRDefault="00F42DCE" w:rsidP="005C6BC7">
        <w:pPr>
          <w:pStyle w:val="Header"/>
          <w:tabs>
            <w:tab w:val="left" w:pos="709"/>
          </w:tabs>
        </w:pPr>
        <w:r>
          <w:t xml:space="preserve">TE AKA MATUA O TE TURE | </w:t>
        </w:r>
        <w:r w:rsidRPr="001007E8">
          <w:t>LAW COMMISSION</w:t>
        </w:r>
        <w:r>
          <w:tab/>
          <w:t xml:space="preserve">                           </w:t>
        </w:r>
        <w:r>
          <w:rPr>
            <w:szCs w:val="13"/>
          </w:rPr>
          <w:t xml:space="preserve">CHAPTER 8: </w:t>
        </w:r>
        <w:r w:rsidRPr="00353964">
          <w:rPr>
            <w:rFonts w:eastAsia="Metropolis Black"/>
          </w:rPr>
          <w:t>PRISON INFORMANTS AND INCENTIVISED WITNESSES</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89</w:t>
        </w:r>
        <w:r w:rsidRPr="00C5544E">
          <w:rPr>
            <w:szCs w:val="13"/>
          </w:rPr>
          <w:fldChar w:fldCharType="end"/>
        </w:r>
      </w:p>
    </w:sdtContent>
  </w:sdt>
  <w:p w14:paraId="61943F59" w14:textId="77777777" w:rsidR="004611C4" w:rsidRDefault="004611C4"/>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956147"/>
      <w:docPartObj>
        <w:docPartGallery w:val="Page Numbers (Top of Page)"/>
        <w:docPartUnique/>
      </w:docPartObj>
    </w:sdtPr>
    <w:sdtEndPr/>
    <w:sdtContent>
      <w:p w14:paraId="57E3F356" w14:textId="494E192D" w:rsidR="00F42DCE" w:rsidRDefault="00F42DCE" w:rsidP="00F42DCE">
        <w:pPr>
          <w:pStyle w:val="Header"/>
          <w:tabs>
            <w:tab w:val="left" w:pos="709"/>
          </w:tabs>
        </w:pPr>
        <w:r>
          <w:t xml:space="preserve">TE AKA MATUA O TE TURE | </w:t>
        </w:r>
        <w:r w:rsidRPr="001007E8">
          <w:t>LAW COMMISSION</w:t>
        </w:r>
        <w:r>
          <w:tab/>
        </w:r>
        <w:r>
          <w:tab/>
        </w:r>
        <w:r>
          <w:rPr>
            <w:szCs w:val="13"/>
          </w:rPr>
          <w:t xml:space="preserve">CHAPTER 9: </w:t>
        </w:r>
        <w:r>
          <w:rPr>
            <w:rFonts w:eastAsia="Metropolis Black"/>
          </w:rPr>
          <w:t>VERACITY EVIDENCE</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65</w:t>
        </w:r>
        <w:r w:rsidRPr="00C5544E">
          <w:rPr>
            <w:szCs w:val="13"/>
          </w:rPr>
          <w:fldChar w:fldCharType="end"/>
        </w:r>
      </w:p>
    </w:sdtContent>
  </w:sdt>
  <w:p w14:paraId="1EAA9CF4" w14:textId="77777777" w:rsidR="00F42DCE" w:rsidRDefault="00F42DCE" w:rsidP="005C6BC7">
    <w:pPr>
      <w:pStyle w:val="Header"/>
      <w:tabs>
        <w:tab w:val="left" w:pos="709"/>
      </w:tabs>
    </w:pPr>
  </w:p>
  <w:p w14:paraId="78C173CC" w14:textId="77777777" w:rsidR="00E13DFB" w:rsidRDefault="00E13D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2110" w14:textId="19850344" w:rsidR="000342BA" w:rsidRPr="00236E58" w:rsidRDefault="000342BA" w:rsidP="00236E5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6712"/>
      <w:docPartObj>
        <w:docPartGallery w:val="Page Numbers (Top of Page)"/>
        <w:docPartUnique/>
      </w:docPartObj>
    </w:sdtPr>
    <w:sdtEndPr/>
    <w:sdtContent>
      <w:p w14:paraId="7D542A78" w14:textId="5BBDAAB5" w:rsidR="00F42DCE" w:rsidRDefault="00F42DCE" w:rsidP="00F42DCE">
        <w:pPr>
          <w:pStyle w:val="Header"/>
          <w:tabs>
            <w:tab w:val="left" w:pos="709"/>
          </w:tabs>
        </w:pPr>
        <w:r>
          <w:t xml:space="preserve">TE AKA MATUA O TE TURE | </w:t>
        </w:r>
        <w:r w:rsidRPr="001007E8">
          <w:t>LAW COMMISSION</w:t>
        </w:r>
        <w:r>
          <w:tab/>
        </w:r>
        <w:r>
          <w:tab/>
        </w:r>
        <w:r>
          <w:rPr>
            <w:szCs w:val="13"/>
          </w:rPr>
          <w:t xml:space="preserve">CHAPTER 10: </w:t>
        </w:r>
        <w:r>
          <w:rPr>
            <w:rFonts w:eastAsia="Metropolis Black"/>
          </w:rPr>
          <w:t>PROPENSITY</w:t>
        </w:r>
        <w:r w:rsidRPr="00E31662">
          <w:rPr>
            <w:rFonts w:eastAsia="Metropolis Black"/>
          </w:rPr>
          <w:t xml:space="preserve"> EVIDENCE</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161</w:t>
        </w:r>
        <w:r w:rsidRPr="00C5544E">
          <w:rPr>
            <w:szCs w:val="13"/>
          </w:rPr>
          <w:fldChar w:fldCharType="end"/>
        </w:r>
      </w:p>
    </w:sdtContent>
  </w:sdt>
  <w:p w14:paraId="02A3DC0E" w14:textId="77777777" w:rsidR="00E13DFB" w:rsidRDefault="00E13DFB"/>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69562"/>
      <w:docPartObj>
        <w:docPartGallery w:val="Page Numbers (Top of Page)"/>
        <w:docPartUnique/>
      </w:docPartObj>
    </w:sdtPr>
    <w:sdtEndPr/>
    <w:sdtContent>
      <w:p w14:paraId="5B52615D" w14:textId="24FED678" w:rsidR="00D7029C" w:rsidRDefault="00D7029C" w:rsidP="005C6BC7">
        <w:pPr>
          <w:pStyle w:val="Header"/>
          <w:tabs>
            <w:tab w:val="left" w:pos="709"/>
          </w:tabs>
        </w:pPr>
        <w:r>
          <w:t xml:space="preserve">TE AKA MATUA O TE TURE | </w:t>
        </w:r>
        <w:r w:rsidRPr="001007E8">
          <w:t>LAW COMMISSION</w:t>
        </w:r>
        <w:r>
          <w:tab/>
        </w:r>
        <w:r>
          <w:tab/>
        </w:r>
        <w:r>
          <w:rPr>
            <w:szCs w:val="13"/>
          </w:rPr>
          <w:t xml:space="preserve">CHAPTER 11: </w:t>
        </w:r>
        <w:r>
          <w:rPr>
            <w:rFonts w:eastAsia="Metropolis Black"/>
          </w:rPr>
          <w:t>IDENTIFICATION EVIDENCE</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163</w:t>
        </w:r>
        <w:r w:rsidRPr="00C5544E">
          <w:rPr>
            <w:szCs w:val="13"/>
          </w:rPr>
          <w:fldChar w:fldCharType="end"/>
        </w:r>
      </w:p>
    </w:sdtContent>
  </w:sdt>
  <w:p w14:paraId="67591BBA" w14:textId="77777777" w:rsidR="00E13DFB" w:rsidRDefault="00E13DF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186769"/>
      <w:docPartObj>
        <w:docPartGallery w:val="Page Numbers (Top of Page)"/>
        <w:docPartUnique/>
      </w:docPartObj>
    </w:sdtPr>
    <w:sdtEndPr/>
    <w:sdtContent>
      <w:p w14:paraId="16DDA548" w14:textId="021453B1" w:rsidR="00D7029C" w:rsidRDefault="00D7029C" w:rsidP="005C6BC7">
        <w:pPr>
          <w:pStyle w:val="Header"/>
          <w:tabs>
            <w:tab w:val="left" w:pos="709"/>
          </w:tabs>
        </w:pPr>
        <w:r>
          <w:t xml:space="preserve">TE AKA MATUA O TE TURE | </w:t>
        </w:r>
        <w:r w:rsidRPr="001007E8">
          <w:t>LAW COMMISSION</w:t>
        </w:r>
        <w:r>
          <w:tab/>
        </w:r>
        <w:r>
          <w:tab/>
        </w:r>
        <w:r>
          <w:rPr>
            <w:szCs w:val="13"/>
          </w:rPr>
          <w:t xml:space="preserve">CHAPTER 12: </w:t>
        </w:r>
        <w:r>
          <w:rPr>
            <w:rFonts w:eastAsia="Consolas"/>
          </w:rPr>
          <w:t>MEDICAL PRIVILEGE</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181</w:t>
        </w:r>
        <w:r w:rsidRPr="00C5544E">
          <w:rPr>
            <w:szCs w:val="13"/>
          </w:rPr>
          <w:fldChar w:fldCharType="end"/>
        </w:r>
      </w:p>
    </w:sdtContent>
  </w:sdt>
  <w:p w14:paraId="64EC746A" w14:textId="77777777" w:rsidR="00E13DFB" w:rsidRDefault="00E13DFB"/>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036875"/>
      <w:docPartObj>
        <w:docPartGallery w:val="Page Numbers (Top of Page)"/>
        <w:docPartUnique/>
      </w:docPartObj>
    </w:sdtPr>
    <w:sdtEndPr/>
    <w:sdtContent>
      <w:p w14:paraId="72120289" w14:textId="70666FF9" w:rsidR="00D7029C" w:rsidRDefault="00D7029C" w:rsidP="005C6BC7">
        <w:pPr>
          <w:pStyle w:val="Header"/>
          <w:tabs>
            <w:tab w:val="left" w:pos="709"/>
          </w:tabs>
        </w:pPr>
        <w:r>
          <w:t xml:space="preserve">TE AKA MATUA O TE TURE | </w:t>
        </w:r>
        <w:r w:rsidRPr="001007E8">
          <w:t>LAW COMMISSION</w:t>
        </w:r>
        <w:r>
          <w:tab/>
        </w:r>
        <w:r>
          <w:tab/>
        </w:r>
        <w:r>
          <w:rPr>
            <w:szCs w:val="13"/>
          </w:rPr>
          <w:t xml:space="preserve">CHAPTER 13: </w:t>
        </w:r>
        <w:r>
          <w:rPr>
            <w:rFonts w:eastAsia="Metropolis Black"/>
          </w:rPr>
          <w:t>OTHER PRIVILEGE ISSUES</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187</w:t>
        </w:r>
        <w:r w:rsidRPr="00C5544E">
          <w:rPr>
            <w:szCs w:val="13"/>
          </w:rPr>
          <w:fldChar w:fldCharType="end"/>
        </w:r>
      </w:p>
    </w:sdtContent>
  </w:sdt>
  <w:p w14:paraId="15EDEB30" w14:textId="77777777" w:rsidR="00E13DFB" w:rsidRDefault="00E13DF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107243"/>
      <w:docPartObj>
        <w:docPartGallery w:val="Page Numbers (Top of Page)"/>
        <w:docPartUnique/>
      </w:docPartObj>
    </w:sdtPr>
    <w:sdtEndPr/>
    <w:sdtContent>
      <w:p w14:paraId="4BE1847F" w14:textId="141EA456" w:rsidR="00D7029C" w:rsidRDefault="00D7029C" w:rsidP="005C6BC7">
        <w:pPr>
          <w:pStyle w:val="Header"/>
          <w:tabs>
            <w:tab w:val="left" w:pos="709"/>
          </w:tabs>
        </w:pPr>
        <w:r>
          <w:t xml:space="preserve">TE AKA MATUA O TE TURE | </w:t>
        </w:r>
        <w:r w:rsidRPr="001007E8">
          <w:t>LAW COMMISSION</w:t>
        </w:r>
        <w:r>
          <w:tab/>
        </w:r>
        <w:r>
          <w:tab/>
        </w:r>
        <w:r>
          <w:rPr>
            <w:szCs w:val="13"/>
          </w:rPr>
          <w:t xml:space="preserve">CHAPTER 14: </w:t>
        </w:r>
        <w:r>
          <w:rPr>
            <w:rFonts w:eastAsia="Metropolis Black"/>
          </w:rPr>
          <w:t>TRIAL PROCESS</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201</w:t>
        </w:r>
        <w:r w:rsidRPr="00C5544E">
          <w:rPr>
            <w:szCs w:val="13"/>
          </w:rPr>
          <w:fldChar w:fldCharType="end"/>
        </w:r>
      </w:p>
    </w:sdtContent>
  </w:sdt>
  <w:p w14:paraId="252E85AB" w14:textId="77777777" w:rsidR="00E13DFB" w:rsidRDefault="00E13DF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225065"/>
      <w:docPartObj>
        <w:docPartGallery w:val="Page Numbers (Top of Page)"/>
        <w:docPartUnique/>
      </w:docPartObj>
    </w:sdtPr>
    <w:sdtEndPr/>
    <w:sdtContent>
      <w:p w14:paraId="7D50777E" w14:textId="21E776DE" w:rsidR="00D7029C" w:rsidRDefault="00D7029C" w:rsidP="00A4596B">
        <w:pPr>
          <w:pStyle w:val="Header"/>
          <w:tabs>
            <w:tab w:val="left" w:pos="709"/>
          </w:tabs>
        </w:pPr>
        <w:r>
          <w:t xml:space="preserve">TE AKA MATUA O TE TURE | </w:t>
        </w:r>
        <w:r w:rsidRPr="001007E8">
          <w:t>LAW COMMISSION</w:t>
        </w:r>
        <w:r>
          <w:tab/>
        </w:r>
        <w:r>
          <w:tab/>
        </w:r>
        <w:r>
          <w:rPr>
            <w:szCs w:val="13"/>
          </w:rPr>
          <w:t xml:space="preserve">CHAPTER 15: </w:t>
        </w:r>
        <w:r w:rsidRPr="00D15209">
          <w:rPr>
            <w:rFonts w:eastAsia="Metropolis Black"/>
          </w:rPr>
          <w:t>OTHER ISSUES</w:t>
        </w:r>
        <w:r w:rsidRPr="00C5544E">
          <w:rPr>
            <w:szCs w:val="13"/>
          </w:rPr>
          <w:t xml:space="preserve">               </w:t>
        </w:r>
        <w:r w:rsidRPr="00C5544E">
          <w:rPr>
            <w:szCs w:val="13"/>
          </w:rPr>
          <w:fldChar w:fldCharType="begin"/>
        </w:r>
        <w:r w:rsidRPr="00C5544E">
          <w:rPr>
            <w:szCs w:val="13"/>
          </w:rPr>
          <w:instrText xml:space="preserve"> PAGE   \* MERGEFORMAT </w:instrText>
        </w:r>
        <w:r w:rsidRPr="00C5544E">
          <w:rPr>
            <w:szCs w:val="13"/>
          </w:rPr>
          <w:fldChar w:fldCharType="separate"/>
        </w:r>
        <w:r>
          <w:rPr>
            <w:szCs w:val="13"/>
          </w:rPr>
          <w:t>215</w:t>
        </w:r>
        <w:r w:rsidRPr="00C5544E">
          <w:rPr>
            <w:szCs w:val="13"/>
          </w:rPr>
          <w:fldChar w:fldCharType="end"/>
        </w:r>
      </w:p>
    </w:sdtContent>
  </w:sdt>
  <w:p w14:paraId="55290FB7" w14:textId="77777777" w:rsidR="00E13DFB" w:rsidRPr="00726197" w:rsidRDefault="00E13DFB" w:rsidP="0072619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994900"/>
      <w:docPartObj>
        <w:docPartGallery w:val="Page Numbers (Top of Page)"/>
        <w:docPartUnique/>
      </w:docPartObj>
    </w:sdtPr>
    <w:sdtEndPr>
      <w:rPr>
        <w:szCs w:val="13"/>
      </w:rPr>
    </w:sdtEndPr>
    <w:sdtContent>
      <w:p w14:paraId="2DC6F174" w14:textId="77777777" w:rsidR="00DE22FA" w:rsidRPr="00747717" w:rsidRDefault="00117DA1" w:rsidP="00DE22FA">
        <w:pPr>
          <w:pStyle w:val="Header"/>
          <w:tabs>
            <w:tab w:val="clear" w:pos="4536"/>
            <w:tab w:val="left" w:pos="709"/>
          </w:tabs>
          <w:rPr>
            <w:szCs w:val="20"/>
          </w:rPr>
        </w:pPr>
        <w:sdt>
          <w:sdtPr>
            <w:id w:val="-802078128"/>
            <w:docPartObj>
              <w:docPartGallery w:val="Page Numbers (Top of Page)"/>
              <w:docPartUnique/>
            </w:docPartObj>
          </w:sdtPr>
          <w:sdtEndPr/>
          <w:sdtContent>
            <w:r w:rsidR="00F20072" w:rsidRPr="00C5544E">
              <w:rPr>
                <w:szCs w:val="13"/>
              </w:rPr>
              <w:fldChar w:fldCharType="begin"/>
            </w:r>
            <w:r w:rsidR="00F20072" w:rsidRPr="00C5544E">
              <w:rPr>
                <w:szCs w:val="13"/>
              </w:rPr>
              <w:instrText xml:space="preserve"> PAGE   \* MERGEFORMAT </w:instrText>
            </w:r>
            <w:r w:rsidR="00F20072" w:rsidRPr="00C5544E">
              <w:rPr>
                <w:szCs w:val="13"/>
              </w:rPr>
              <w:fldChar w:fldCharType="separate"/>
            </w:r>
            <w:r w:rsidR="00DE22FA">
              <w:rPr>
                <w:szCs w:val="13"/>
              </w:rPr>
              <w:t>232</w:t>
            </w:r>
            <w:r w:rsidR="00F20072" w:rsidRPr="00C5544E">
              <w:rPr>
                <w:szCs w:val="13"/>
              </w:rPr>
              <w:fldChar w:fldCharType="end"/>
            </w:r>
          </w:sdtContent>
        </w:sdt>
        <w:r w:rsidR="00DE22FA" w:rsidRPr="00FF65F4">
          <w:rPr>
            <w:szCs w:val="13"/>
            <w:lang w:val="fr-FR"/>
          </w:rPr>
          <w:t xml:space="preserve">     </w:t>
        </w:r>
        <w:r w:rsidR="00DE22FA">
          <w:rPr>
            <w:szCs w:val="13"/>
            <w:lang w:val="fr-FR"/>
          </w:rPr>
          <w:tab/>
        </w:r>
        <w:r w:rsidR="00DE22FA">
          <w:t xml:space="preserve">TE AKA MATUA O TE TURE | </w:t>
        </w:r>
        <w:r w:rsidR="00DE22FA" w:rsidRPr="001007E8">
          <w:t>LAW COMMISSION</w:t>
        </w:r>
        <w:r w:rsidR="00DE22FA">
          <w:tab/>
          <w:t xml:space="preserve">THIRD </w:t>
        </w:r>
        <w:r w:rsidR="00DE22FA" w:rsidRPr="000B12DA">
          <w:t xml:space="preserve">REVIEW OF </w:t>
        </w:r>
        <w:r w:rsidR="00DE22FA">
          <w:t>THE EVIDENCE ACT 2006 – ISSUES PAPER 50</w:t>
        </w:r>
      </w:p>
    </w:sdtContent>
  </w:sdt>
  <w:p w14:paraId="455E0F17" w14:textId="00001708" w:rsidR="00F20072" w:rsidRPr="00DE22FA" w:rsidRDefault="00F20072" w:rsidP="00DE22F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56A4" w14:textId="77777777" w:rsidR="00424613" w:rsidRPr="00424613" w:rsidRDefault="00424613" w:rsidP="004246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F604" w14:textId="77777777" w:rsidR="00853032" w:rsidRPr="00287AFD" w:rsidRDefault="00853032" w:rsidP="001A7CE5">
    <w:pPr>
      <w:pStyle w:val="Header"/>
      <w:tabs>
        <w:tab w:val="left" w:pos="709"/>
      </w:tabs>
      <w:rPr>
        <w:szCs w:val="20"/>
      </w:rPr>
    </w:pPr>
    <w:r w:rsidRPr="00287AFD">
      <w:rPr>
        <w:noProof/>
        <w:lang w:eastAsia="en-NZ"/>
      </w:rPr>
      <mc:AlternateContent>
        <mc:Choice Requires="wps">
          <w:drawing>
            <wp:anchor distT="0" distB="0" distL="114300" distR="114300" simplePos="0" relativeHeight="251658241" behindDoc="1" locked="0" layoutInCell="1" allowOverlap="1" wp14:anchorId="5DEA5126" wp14:editId="01381113">
              <wp:simplePos x="0" y="0"/>
              <wp:positionH relativeFrom="column">
                <wp:posOffset>-1082040</wp:posOffset>
              </wp:positionH>
              <wp:positionV relativeFrom="paragraph">
                <wp:posOffset>-453587</wp:posOffset>
              </wp:positionV>
              <wp:extent cx="7560310" cy="10692130"/>
              <wp:effectExtent l="0" t="0" r="2540" b="0"/>
              <wp:wrapNone/>
              <wp:docPr id="764518288" name="Freeform: Shape 764518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7A31C258" id="Freeform: Shape 764518288"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1396270338"/>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iii</w:t>
        </w:r>
        <w:r w:rsidRPr="00287AFD">
          <w:rPr>
            <w:szCs w:val="13"/>
          </w:rPr>
          <w:fldChar w:fldCharType="end"/>
        </w:r>
        <w:r w:rsidRPr="00287AFD">
          <w:rPr>
            <w:szCs w:val="13"/>
            <w:lang w:val="fr-FR"/>
          </w:rPr>
          <w:t xml:space="preserve">       </w:t>
        </w:r>
        <w:r w:rsidRPr="00287AFD">
          <w:rPr>
            <w:szCs w:val="13"/>
            <w:lang w:val="fr-FR"/>
          </w:rPr>
          <w:tab/>
        </w:r>
        <w:r>
          <w:rPr>
            <w:szCs w:val="13"/>
            <w:lang w:val="fr-FR"/>
          </w:rPr>
          <w:t>HAVE YOUR SAY</w:t>
        </w:r>
      </w:sdtContent>
    </w:sdt>
    <w:r w:rsidRPr="00287AFD">
      <w:tab/>
      <w:t xml:space="preserve"> </w:t>
    </w:r>
    <w:r w:rsidRPr="00287AFD">
      <w:rPr>
        <w:szCs w:val="13"/>
      </w:rPr>
      <w:tab/>
      <w:t>TE AKA MATUA O TE TURE | LAW COMMISSION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183E" w14:textId="35AA3BCB" w:rsidR="00853032" w:rsidRPr="00C9038C" w:rsidRDefault="00601E4F" w:rsidP="00E81695">
    <w:pPr>
      <w:pStyle w:val="Header"/>
      <w:tabs>
        <w:tab w:val="left" w:pos="709"/>
      </w:tabs>
      <w:rPr>
        <w:szCs w:val="20"/>
      </w:rPr>
    </w:pPr>
    <w:r w:rsidRPr="00287AFD">
      <w:rPr>
        <w:noProof/>
        <w:lang w:eastAsia="en-NZ"/>
      </w:rPr>
      <mc:AlternateContent>
        <mc:Choice Requires="wps">
          <w:drawing>
            <wp:anchor distT="0" distB="0" distL="114300" distR="114300" simplePos="0" relativeHeight="251658245" behindDoc="1" locked="0" layoutInCell="1" allowOverlap="1" wp14:anchorId="080F3D09" wp14:editId="4BA52928">
              <wp:simplePos x="0" y="0"/>
              <wp:positionH relativeFrom="column">
                <wp:posOffset>-1082040</wp:posOffset>
              </wp:positionH>
              <wp:positionV relativeFrom="paragraph">
                <wp:posOffset>-453587</wp:posOffset>
              </wp:positionV>
              <wp:extent cx="7560310" cy="10692130"/>
              <wp:effectExtent l="0" t="0" r="2540" b="0"/>
              <wp:wrapNone/>
              <wp:docPr id="2003323087" name="Freeform: Shape 2003323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50E3F05F" id="Freeform: Shape 2003323087" o:spid="_x0000_s1026" style="position:absolute;z-index:-251658235;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1832332871"/>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sidRPr="00287AFD">
          <w:rPr>
            <w:szCs w:val="13"/>
            <w:lang w:val="fr-FR"/>
          </w:rPr>
          <w:tab/>
        </w:r>
        <w:r>
          <w:rPr>
            <w:szCs w:val="13"/>
            <w:lang w:val="fr-FR"/>
          </w:rPr>
          <w:t>HAVE YOUR SAY</w:t>
        </w:r>
      </w:sdtContent>
    </w:sdt>
    <w:r w:rsidRPr="00287AFD">
      <w:tab/>
      <w:t xml:space="preserve"> </w:t>
    </w:r>
    <w:r w:rsidRPr="00287AFD">
      <w:rPr>
        <w:szCs w:val="13"/>
      </w:rPr>
      <w:tab/>
      <w:t>TE AKA MATUA O TE TURE | LAW COMMISSION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2AE8" w14:textId="7385EDEF" w:rsidR="00D61AE4" w:rsidRPr="00C9038C" w:rsidRDefault="00D61AE4" w:rsidP="00E81695">
    <w:pPr>
      <w:pStyle w:val="Header"/>
      <w:tabs>
        <w:tab w:val="left" w:pos="709"/>
      </w:tabs>
      <w:rPr>
        <w:szCs w:val="20"/>
      </w:rPr>
    </w:pPr>
    <w:r w:rsidRPr="00287AFD">
      <w:rPr>
        <w:noProof/>
        <w:lang w:eastAsia="en-NZ"/>
      </w:rPr>
      <mc:AlternateContent>
        <mc:Choice Requires="wps">
          <w:drawing>
            <wp:anchor distT="0" distB="0" distL="114300" distR="114300" simplePos="0" relativeHeight="251658247" behindDoc="1" locked="0" layoutInCell="1" allowOverlap="1" wp14:anchorId="783EE61D" wp14:editId="200ECC97">
              <wp:simplePos x="0" y="0"/>
              <wp:positionH relativeFrom="column">
                <wp:posOffset>-1082040</wp:posOffset>
              </wp:positionH>
              <wp:positionV relativeFrom="paragraph">
                <wp:posOffset>-453587</wp:posOffset>
              </wp:positionV>
              <wp:extent cx="7560310" cy="10692130"/>
              <wp:effectExtent l="0" t="0" r="2540" b="0"/>
              <wp:wrapNone/>
              <wp:docPr id="1821216867" name="Freeform: Shape 1821216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1F0FD140" id="Freeform: Shape 1821216867" o:spid="_x0000_s1026" style="position:absolute;z-index:-251658233;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r w:rsidRPr="00D61AE4">
      <w:t xml:space="preserve"> </w:t>
    </w:r>
    <w:sdt>
      <w:sdtPr>
        <w:id w:val="149643802"/>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sidRPr="00287AFD">
          <w:rPr>
            <w:szCs w:val="13"/>
            <w:lang w:val="fr-FR"/>
          </w:rPr>
          <w:tab/>
          <w:t>ACKNOWLEDGEMENTS</w:t>
        </w:r>
      </w:sdtContent>
    </w:sdt>
    <w:r w:rsidRPr="00287AFD">
      <w:tab/>
      <w:t xml:space="preserve"> </w:t>
    </w:r>
    <w:r w:rsidRPr="00287AFD">
      <w:rPr>
        <w:szCs w:val="13"/>
      </w:rPr>
      <w:tab/>
      <w:t>TE AKA MATUA O TE TURE | LAW COMMISSION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58E1" w14:textId="4358A557" w:rsidR="00E81695" w:rsidRPr="00601E4F" w:rsidRDefault="00E81695" w:rsidP="001A7CE5">
    <w:pPr>
      <w:pStyle w:val="Header"/>
      <w:tabs>
        <w:tab w:val="left" w:pos="709"/>
      </w:tabs>
      <w:rPr>
        <w:szCs w:val="13"/>
      </w:rPr>
    </w:pPr>
    <w:r w:rsidRPr="00287AFD">
      <w:rPr>
        <w:noProof/>
        <w:lang w:eastAsia="en-NZ"/>
      </w:rPr>
      <mc:AlternateContent>
        <mc:Choice Requires="wps">
          <w:drawing>
            <wp:anchor distT="0" distB="0" distL="114300" distR="114300" simplePos="0" relativeHeight="251658240" behindDoc="1" locked="0" layoutInCell="1" allowOverlap="1" wp14:anchorId="6956E3C6" wp14:editId="1156A9B1">
              <wp:simplePos x="0" y="0"/>
              <wp:positionH relativeFrom="column">
                <wp:posOffset>-1082040</wp:posOffset>
              </wp:positionH>
              <wp:positionV relativeFrom="paragraph">
                <wp:posOffset>-453587</wp:posOffset>
              </wp:positionV>
              <wp:extent cx="7560310" cy="10692130"/>
              <wp:effectExtent l="0" t="0" r="2540" b="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5024093D" id="Freeform: Shape 4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r w:rsidR="00601E4F" w:rsidRPr="00287AFD">
      <w:rPr>
        <w:noProof/>
        <w:lang w:eastAsia="en-NZ"/>
      </w:rPr>
      <mc:AlternateContent>
        <mc:Choice Requires="wps">
          <w:drawing>
            <wp:anchor distT="0" distB="0" distL="114300" distR="114300" simplePos="0" relativeHeight="251658246" behindDoc="1" locked="0" layoutInCell="1" allowOverlap="1" wp14:anchorId="2F2F9A2C" wp14:editId="503A5955">
              <wp:simplePos x="0" y="0"/>
              <wp:positionH relativeFrom="column">
                <wp:posOffset>-1081405</wp:posOffset>
              </wp:positionH>
              <wp:positionV relativeFrom="paragraph">
                <wp:posOffset>-438214</wp:posOffset>
              </wp:positionV>
              <wp:extent cx="7560310" cy="10692130"/>
              <wp:effectExtent l="0" t="0" r="2540" b="0"/>
              <wp:wrapNone/>
              <wp:docPr id="764518289" name="Freeform: Shape 764518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75808D70" id="Freeform: Shape 764518289" o:spid="_x0000_s1026" style="position:absolute;z-index:-251658234;visibility:visible;mso-wrap-style:square;mso-wrap-distance-left:9pt;mso-wrap-distance-top:0;mso-wrap-distance-right:9pt;mso-wrap-distance-bottom:0;mso-position-horizontal:absolute;mso-position-horizontal-relative:text;mso-position-vertical:absolute;mso-position-vertical-relative:text;v-text-anchor:top" points="-85.15pt,807.4pt,510.15pt,807.4pt,510.15pt,-34.5pt,-85.15pt,-34.5pt,-85.15pt,807.4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1494765263"/>
        <w:docPartObj>
          <w:docPartGallery w:val="Page Numbers (Top of Page)"/>
          <w:docPartUnique/>
        </w:docPartObj>
      </w:sdtPr>
      <w:sdtEndPr/>
      <w:sdtContent>
        <w:r w:rsidR="00601E4F" w:rsidRPr="00287AFD">
          <w:rPr>
            <w:szCs w:val="13"/>
          </w:rPr>
          <w:fldChar w:fldCharType="begin"/>
        </w:r>
        <w:r w:rsidR="00601E4F" w:rsidRPr="00287AFD">
          <w:rPr>
            <w:szCs w:val="13"/>
            <w:lang w:val="fr-FR"/>
          </w:rPr>
          <w:instrText xml:space="preserve"> PAGE   \* MERGEFORMAT </w:instrText>
        </w:r>
        <w:r w:rsidR="00601E4F" w:rsidRPr="00287AFD">
          <w:rPr>
            <w:szCs w:val="13"/>
          </w:rPr>
          <w:fldChar w:fldCharType="separate"/>
        </w:r>
        <w:r w:rsidR="00601E4F">
          <w:rPr>
            <w:szCs w:val="13"/>
          </w:rPr>
          <w:t>iii</w:t>
        </w:r>
        <w:r w:rsidR="00601E4F" w:rsidRPr="00287AFD">
          <w:rPr>
            <w:szCs w:val="13"/>
          </w:rPr>
          <w:fldChar w:fldCharType="end"/>
        </w:r>
        <w:r w:rsidR="00601E4F" w:rsidRPr="00287AFD">
          <w:rPr>
            <w:szCs w:val="13"/>
            <w:lang w:val="fr-FR"/>
          </w:rPr>
          <w:t xml:space="preserve">     </w:t>
        </w:r>
        <w:r w:rsidR="00601E4F" w:rsidRPr="00287AFD">
          <w:rPr>
            <w:szCs w:val="13"/>
            <w:lang w:val="fr-FR"/>
          </w:rPr>
          <w:tab/>
          <w:t>ACKNOWLEDGEMENTS</w:t>
        </w:r>
      </w:sdtContent>
    </w:sdt>
    <w:r w:rsidR="00601E4F" w:rsidRPr="00287AFD">
      <w:tab/>
      <w:t xml:space="preserve"> </w:t>
    </w:r>
    <w:r w:rsidR="00601E4F" w:rsidRPr="00287AFD">
      <w:rPr>
        <w:szCs w:val="13"/>
      </w:rPr>
      <w:tab/>
      <w:t>TE AKA MATUA O TE TURE | LAW COMMISSION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F82C" w14:textId="3EC62CD2" w:rsidR="00E81695" w:rsidRDefault="00E81695" w:rsidP="00E81695">
    <w:pPr>
      <w:pStyle w:val="Header"/>
      <w:tabs>
        <w:tab w:val="left" w:pos="709"/>
      </w:tabs>
      <w:rPr>
        <w:szCs w:val="13"/>
      </w:rPr>
    </w:pPr>
    <w:r w:rsidRPr="00287AFD">
      <w:rPr>
        <w:noProof/>
        <w:lang w:eastAsia="en-NZ"/>
      </w:rPr>
      <mc:AlternateContent>
        <mc:Choice Requires="wps">
          <w:drawing>
            <wp:anchor distT="0" distB="0" distL="114300" distR="114300" simplePos="0" relativeHeight="251658244" behindDoc="1" locked="0" layoutInCell="1" allowOverlap="1" wp14:anchorId="06C72294" wp14:editId="208645E2">
              <wp:simplePos x="0" y="0"/>
              <wp:positionH relativeFrom="column">
                <wp:posOffset>-1081405</wp:posOffset>
              </wp:positionH>
              <wp:positionV relativeFrom="paragraph">
                <wp:posOffset>-356585</wp:posOffset>
              </wp:positionV>
              <wp:extent cx="7560310" cy="10692130"/>
              <wp:effectExtent l="0" t="0" r="2540" b="0"/>
              <wp:wrapNone/>
              <wp:docPr id="764518304" name="Freeform: Shape 764518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0B2A961A" id="Freeform: Shape 764518304"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text;v-text-anchor:top" points="-85.15pt,813.8pt,510.15pt,813.8pt,510.15pt,-28.1pt,-85.15pt,-28.1pt,-85.15pt,813.8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FpbwnT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660437905"/>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v</w:t>
        </w:r>
        <w:r w:rsidRPr="00287AFD">
          <w:rPr>
            <w:szCs w:val="13"/>
          </w:rPr>
          <w:fldChar w:fldCharType="end"/>
        </w:r>
        <w:r w:rsidRPr="00287AFD">
          <w:rPr>
            <w:szCs w:val="13"/>
            <w:lang w:val="fr-FR"/>
          </w:rPr>
          <w:t xml:space="preserve">     </w:t>
        </w:r>
        <w:r w:rsidRPr="00287AFD">
          <w:rPr>
            <w:szCs w:val="13"/>
            <w:lang w:val="fr-FR"/>
          </w:rPr>
          <w:tab/>
          <w:t>ACKNOWLEDGEMENTS</w:t>
        </w:r>
      </w:sdtContent>
    </w:sdt>
    <w:r w:rsidRPr="00287AFD">
      <w:tab/>
      <w:t xml:space="preserve"> </w:t>
    </w:r>
    <w:r w:rsidRPr="00287AFD">
      <w:rPr>
        <w:szCs w:val="13"/>
      </w:rPr>
      <w:tab/>
      <w:t>TE AKA MATUA O TE TURE | LAW COMMISSION</w:t>
    </w:r>
  </w:p>
  <w:p w14:paraId="286E61D0" w14:textId="77777777" w:rsidR="00E81695" w:rsidRDefault="00E81695" w:rsidP="00E81695">
    <w:pPr>
      <w:pStyle w:val="Header"/>
      <w:tabs>
        <w:tab w:val="left" w:pos="709"/>
      </w:tabs>
      <w:rPr>
        <w:szCs w:val="13"/>
      </w:rPr>
    </w:pPr>
  </w:p>
  <w:p w14:paraId="2DAB3A63" w14:textId="77777777" w:rsidR="00E81695" w:rsidRPr="00C9038C" w:rsidRDefault="00E81695" w:rsidP="00E81695">
    <w:pPr>
      <w:pStyle w:val="Header"/>
      <w:tabs>
        <w:tab w:val="left" w:pos="709"/>
      </w:tabs>
      <w:rPr>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560784"/>
      <w:docPartObj>
        <w:docPartGallery w:val="Page Numbers (Top of Page)"/>
        <w:docPartUnique/>
      </w:docPartObj>
    </w:sdtPr>
    <w:sdtEndPr>
      <w:rPr>
        <w:szCs w:val="13"/>
      </w:rPr>
    </w:sdtEndPr>
    <w:sdtContent>
      <w:p w14:paraId="7D85348E" w14:textId="2FFB745B" w:rsidR="00E81695" w:rsidRPr="00747717" w:rsidRDefault="00117DA1" w:rsidP="00747717">
        <w:pPr>
          <w:pStyle w:val="Header"/>
          <w:tabs>
            <w:tab w:val="clear" w:pos="4536"/>
            <w:tab w:val="left" w:pos="709"/>
          </w:tabs>
          <w:rPr>
            <w:szCs w:val="20"/>
          </w:rPr>
        </w:pPr>
        <w:sdt>
          <w:sdtPr>
            <w:id w:val="2062293123"/>
            <w:docPartObj>
              <w:docPartGallery w:val="Page Numbers (Top of Page)"/>
              <w:docPartUnique/>
            </w:docPartObj>
          </w:sdtPr>
          <w:sdtEndPr/>
          <w:sdtContent>
            <w:r w:rsidR="000C5450" w:rsidRPr="001D3DD6">
              <w:rPr>
                <w:szCs w:val="13"/>
              </w:rPr>
              <w:fldChar w:fldCharType="begin"/>
            </w:r>
            <w:r w:rsidR="000C5450" w:rsidRPr="00FF65F4">
              <w:rPr>
                <w:szCs w:val="13"/>
                <w:lang w:val="fr-FR"/>
              </w:rPr>
              <w:instrText xml:space="preserve"> PAGE   \* MERGEFORMAT </w:instrText>
            </w:r>
            <w:r w:rsidR="000C5450" w:rsidRPr="001D3DD6">
              <w:rPr>
                <w:szCs w:val="13"/>
              </w:rPr>
              <w:fldChar w:fldCharType="separate"/>
            </w:r>
            <w:r w:rsidR="000C5450">
              <w:rPr>
                <w:szCs w:val="13"/>
              </w:rPr>
              <w:t>4</w:t>
            </w:r>
            <w:r w:rsidR="000C5450" w:rsidRPr="001D3DD6">
              <w:rPr>
                <w:szCs w:val="13"/>
              </w:rPr>
              <w:fldChar w:fldCharType="end"/>
            </w:r>
          </w:sdtContent>
        </w:sdt>
        <w:r w:rsidR="000C5450" w:rsidRPr="00FF65F4">
          <w:rPr>
            <w:szCs w:val="13"/>
            <w:lang w:val="fr-FR"/>
          </w:rPr>
          <w:t xml:space="preserve">     </w:t>
        </w:r>
        <w:r w:rsidR="000C5450">
          <w:rPr>
            <w:szCs w:val="13"/>
            <w:lang w:val="fr-FR"/>
          </w:rPr>
          <w:tab/>
        </w:r>
        <w:r w:rsidR="000C5450">
          <w:t xml:space="preserve">TE AKA MATUA O TE TURE | </w:t>
        </w:r>
        <w:r w:rsidR="000C5450" w:rsidRPr="001007E8">
          <w:t>LAW COMMISSION</w:t>
        </w:r>
        <w:r w:rsidR="000C5450">
          <w:tab/>
          <w:t xml:space="preserve">THIRD </w:t>
        </w:r>
        <w:r w:rsidR="000C5450" w:rsidRPr="000B12DA">
          <w:t xml:space="preserve">REVIEW OF </w:t>
        </w:r>
        <w:r w:rsidR="000C5450">
          <w:t>THE EVIDENCE ACT 2006 – ISSUES PAPER 50</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399F" w14:textId="30AD41B4" w:rsidR="00E81695" w:rsidRPr="00DE4385" w:rsidRDefault="006A1B4C" w:rsidP="00DE4385">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w:t>
    </w:r>
    <w:r w:rsidRPr="001D3DD6">
      <w:rPr>
        <w:noProof/>
        <w:szCs w:val="13"/>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34D"/>
    <w:multiLevelType w:val="multilevel"/>
    <w:tmpl w:val="FFDE900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596"/>
      </w:pPr>
    </w:lvl>
    <w:lvl w:ilvl="2">
      <w:start w:val="1"/>
      <w:numFmt w:val="none"/>
      <w:pStyle w:val="BodyTextnonum"/>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2" w15:restartNumberingAfterBreak="0">
    <w:nsid w:val="14356491"/>
    <w:multiLevelType w:val="hybridMultilevel"/>
    <w:tmpl w:val="43F807AA"/>
    <w:lvl w:ilvl="0" w:tplc="FFFFFFFF">
      <w:start w:val="1"/>
      <w:numFmt w:val="lowerLetter"/>
      <w:lvlText w:val="(%1)"/>
      <w:lvlJc w:val="left"/>
      <w:pPr>
        <w:ind w:left="833" w:hanging="360"/>
      </w:pPr>
      <w:rPr>
        <w:rFonts w:hint="default"/>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5DCCDA18">
      <w:start w:val="1"/>
      <w:numFmt w:val="lowerLetter"/>
      <w:lvlText w:val="(%4)"/>
      <w:lvlJc w:val="left"/>
      <w:pPr>
        <w:ind w:left="2993" w:hanging="360"/>
      </w:pPr>
      <w:rPr>
        <w:rFonts w:hint="default"/>
        <w:b w:val="0"/>
        <w:bCs w:val="0"/>
      </w:r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3" w15:restartNumberingAfterBreak="0">
    <w:nsid w:val="17C05F59"/>
    <w:multiLevelType w:val="multilevel"/>
    <w:tmpl w:val="DB586FB4"/>
    <w:lvl w:ilvl="0">
      <w:start w:val="1"/>
      <w:numFmt w:val="bullet"/>
      <w:pStyle w:val="ListBullet"/>
      <w:lvlText w:val="•"/>
      <w:lvlJc w:val="left"/>
      <w:pPr>
        <w:ind w:left="425" w:hanging="425"/>
      </w:pPr>
      <w:rPr>
        <w:rFonts w:ascii="Arial" w:hAnsi="Arial" w:hint="default"/>
      </w:rPr>
    </w:lvl>
    <w:lvl w:ilvl="1">
      <w:start w:val="1"/>
      <w:numFmt w:val="bullet"/>
      <w:pStyle w:val="ListBullet2"/>
      <w:lvlText w:val="•"/>
      <w:lvlJc w:val="left"/>
      <w:pPr>
        <w:ind w:left="850" w:hanging="425"/>
      </w:pPr>
      <w:rPr>
        <w:rFonts w:ascii="Arial" w:hAnsi="Arial" w:hint="default"/>
      </w:rPr>
    </w:lvl>
    <w:lvl w:ilvl="2">
      <w:start w:val="1"/>
      <w:numFmt w:val="bullet"/>
      <w:pStyle w:val="ListBullet3"/>
      <w:lvlText w:val="•"/>
      <w:lvlJc w:val="left"/>
      <w:pPr>
        <w:ind w:left="1275" w:hanging="425"/>
      </w:pPr>
      <w:rPr>
        <w:rFonts w:ascii="Arial" w:hAnsi="Arial" w:hint="default"/>
      </w:rPr>
    </w:lvl>
    <w:lvl w:ilvl="3">
      <w:start w:val="1"/>
      <w:numFmt w:val="bullet"/>
      <w:pStyle w:val="ListBullet4"/>
      <w:lvlText w:val="•"/>
      <w:lvlJc w:val="left"/>
      <w:pPr>
        <w:ind w:left="1700" w:hanging="425"/>
      </w:pPr>
      <w:rPr>
        <w:rFonts w:ascii="Arial" w:hAnsi="Arial" w:hint="default"/>
      </w:rPr>
    </w:lvl>
    <w:lvl w:ilvl="4">
      <w:start w:val="1"/>
      <w:numFmt w:val="bullet"/>
      <w:pStyle w:val="ListBullet5"/>
      <w:lvlText w:val="•"/>
      <w:lvlJc w:val="left"/>
      <w:pPr>
        <w:ind w:left="2125" w:hanging="425"/>
      </w:pPr>
      <w:rPr>
        <w:rFonts w:ascii="Arial" w:hAnsi="Arial" w:hint="default"/>
      </w:rPr>
    </w:lvl>
    <w:lvl w:ilvl="5">
      <w:start w:val="1"/>
      <w:numFmt w:val="bullet"/>
      <w:lvlText w:val="•"/>
      <w:lvlJc w:val="left"/>
      <w:pPr>
        <w:ind w:left="2550" w:hanging="425"/>
      </w:pPr>
      <w:rPr>
        <w:rFonts w:ascii="Arial" w:hAnsi="Arial" w:hint="default"/>
      </w:rPr>
    </w:lvl>
    <w:lvl w:ilvl="6">
      <w:start w:val="1"/>
      <w:numFmt w:val="bullet"/>
      <w:lvlText w:val="•"/>
      <w:lvlJc w:val="left"/>
      <w:pPr>
        <w:ind w:left="2975" w:hanging="425"/>
      </w:pPr>
      <w:rPr>
        <w:rFonts w:ascii="Arial" w:hAnsi="Aria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Arial" w:hAnsi="Arial" w:hint="default"/>
      </w:rPr>
    </w:lvl>
  </w:abstractNum>
  <w:abstractNum w:abstractNumId="4"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5"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6" w15:restartNumberingAfterBreak="0">
    <w:nsid w:val="276D4D90"/>
    <w:multiLevelType w:val="hybridMultilevel"/>
    <w:tmpl w:val="B448A5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2D96D21"/>
    <w:multiLevelType w:val="hybridMultilevel"/>
    <w:tmpl w:val="A6520B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9" w15:restartNumberingAfterBreak="0">
    <w:nsid w:val="38E44541"/>
    <w:multiLevelType w:val="hybridMultilevel"/>
    <w:tmpl w:val="F47832B8"/>
    <w:lvl w:ilvl="0" w:tplc="FFFFFFFF">
      <w:start w:val="1"/>
      <w:numFmt w:val="lowerLetter"/>
      <w:lvlText w:val="(%1)"/>
      <w:lvlJc w:val="left"/>
      <w:pPr>
        <w:ind w:left="2993"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1" w15:restartNumberingAfterBreak="0">
    <w:nsid w:val="45C025E5"/>
    <w:multiLevelType w:val="multilevel"/>
    <w:tmpl w:val="F6F4801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2" w15:restartNumberingAfterBreak="0">
    <w:nsid w:val="46783C37"/>
    <w:multiLevelType w:val="hybridMultilevel"/>
    <w:tmpl w:val="B5169ED6"/>
    <w:lvl w:ilvl="0" w:tplc="14090001">
      <w:start w:val="1"/>
      <w:numFmt w:val="bullet"/>
      <w:lvlText w:val=""/>
      <w:lvlJc w:val="left"/>
      <w:pPr>
        <w:ind w:left="1724" w:hanging="360"/>
      </w:pPr>
      <w:rPr>
        <w:rFonts w:ascii="Symbol" w:hAnsi="Symbol" w:hint="default"/>
      </w:rPr>
    </w:lvl>
    <w:lvl w:ilvl="1" w:tplc="14090003" w:tentative="1">
      <w:start w:val="1"/>
      <w:numFmt w:val="bullet"/>
      <w:lvlText w:val="o"/>
      <w:lvlJc w:val="left"/>
      <w:pPr>
        <w:ind w:left="2444" w:hanging="360"/>
      </w:pPr>
      <w:rPr>
        <w:rFonts w:ascii="Courier New" w:hAnsi="Courier New" w:cs="Courier New" w:hint="default"/>
      </w:rPr>
    </w:lvl>
    <w:lvl w:ilvl="2" w:tplc="14090005" w:tentative="1">
      <w:start w:val="1"/>
      <w:numFmt w:val="bullet"/>
      <w:lvlText w:val=""/>
      <w:lvlJc w:val="left"/>
      <w:pPr>
        <w:ind w:left="3164" w:hanging="360"/>
      </w:pPr>
      <w:rPr>
        <w:rFonts w:ascii="Wingdings" w:hAnsi="Wingdings" w:hint="default"/>
      </w:rPr>
    </w:lvl>
    <w:lvl w:ilvl="3" w:tplc="14090001" w:tentative="1">
      <w:start w:val="1"/>
      <w:numFmt w:val="bullet"/>
      <w:lvlText w:val=""/>
      <w:lvlJc w:val="left"/>
      <w:pPr>
        <w:ind w:left="3884" w:hanging="360"/>
      </w:pPr>
      <w:rPr>
        <w:rFonts w:ascii="Symbol" w:hAnsi="Symbol" w:hint="default"/>
      </w:rPr>
    </w:lvl>
    <w:lvl w:ilvl="4" w:tplc="14090003" w:tentative="1">
      <w:start w:val="1"/>
      <w:numFmt w:val="bullet"/>
      <w:lvlText w:val="o"/>
      <w:lvlJc w:val="left"/>
      <w:pPr>
        <w:ind w:left="4604" w:hanging="360"/>
      </w:pPr>
      <w:rPr>
        <w:rFonts w:ascii="Courier New" w:hAnsi="Courier New" w:cs="Courier New" w:hint="default"/>
      </w:rPr>
    </w:lvl>
    <w:lvl w:ilvl="5" w:tplc="14090005" w:tentative="1">
      <w:start w:val="1"/>
      <w:numFmt w:val="bullet"/>
      <w:lvlText w:val=""/>
      <w:lvlJc w:val="left"/>
      <w:pPr>
        <w:ind w:left="5324" w:hanging="360"/>
      </w:pPr>
      <w:rPr>
        <w:rFonts w:ascii="Wingdings" w:hAnsi="Wingdings" w:hint="default"/>
      </w:rPr>
    </w:lvl>
    <w:lvl w:ilvl="6" w:tplc="14090001" w:tentative="1">
      <w:start w:val="1"/>
      <w:numFmt w:val="bullet"/>
      <w:lvlText w:val=""/>
      <w:lvlJc w:val="left"/>
      <w:pPr>
        <w:ind w:left="6044" w:hanging="360"/>
      </w:pPr>
      <w:rPr>
        <w:rFonts w:ascii="Symbol" w:hAnsi="Symbol" w:hint="default"/>
      </w:rPr>
    </w:lvl>
    <w:lvl w:ilvl="7" w:tplc="14090003" w:tentative="1">
      <w:start w:val="1"/>
      <w:numFmt w:val="bullet"/>
      <w:lvlText w:val="o"/>
      <w:lvlJc w:val="left"/>
      <w:pPr>
        <w:ind w:left="6764" w:hanging="360"/>
      </w:pPr>
      <w:rPr>
        <w:rFonts w:ascii="Courier New" w:hAnsi="Courier New" w:cs="Courier New" w:hint="default"/>
      </w:rPr>
    </w:lvl>
    <w:lvl w:ilvl="8" w:tplc="14090005" w:tentative="1">
      <w:start w:val="1"/>
      <w:numFmt w:val="bullet"/>
      <w:lvlText w:val=""/>
      <w:lvlJc w:val="left"/>
      <w:pPr>
        <w:ind w:left="7484" w:hanging="360"/>
      </w:pPr>
      <w:rPr>
        <w:rFonts w:ascii="Wingdings" w:hAnsi="Wingdings" w:hint="default"/>
      </w:rPr>
    </w:lvl>
  </w:abstractNum>
  <w:abstractNum w:abstractNumId="13"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D615A59"/>
    <w:multiLevelType w:val="multilevel"/>
    <w:tmpl w:val="047A1E96"/>
    <w:lvl w:ilvl="0">
      <w:start w:val="1"/>
      <w:numFmt w:val="decimal"/>
      <w:pStyle w:val="R1RecommendationText"/>
      <w:lvlText w:val="%1."/>
      <w:lvlJc w:val="left"/>
      <w:pPr>
        <w:ind w:left="425" w:hanging="425"/>
      </w:pPr>
      <w:rPr>
        <w:rFonts w:hint="default"/>
      </w:rPr>
    </w:lvl>
    <w:lvl w:ilvl="1">
      <w:start w:val="1"/>
      <w:numFmt w:val="lowerLetter"/>
      <w:lvlText w:val="        %2."/>
      <w:lvlJc w:val="left"/>
      <w:pPr>
        <w:ind w:left="851" w:hanging="851"/>
      </w:pPr>
      <w:rPr>
        <w:rFonts w:hint="default"/>
      </w:rPr>
    </w:lvl>
    <w:lvl w:ilvl="2">
      <w:start w:val="1"/>
      <w:numFmt w:val="lowerRoman"/>
      <w:lvlText w:val="               %3."/>
      <w:lvlJc w:val="left"/>
      <w:pPr>
        <w:ind w:left="1276" w:hanging="12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DA27885"/>
    <w:multiLevelType w:val="multilevel"/>
    <w:tmpl w:val="FD58AA42"/>
    <w:lvl w:ilvl="0">
      <w:start w:val="1"/>
      <w:numFmt w:val="lowerRoman"/>
      <w:pStyle w:val="ListRomanNumeral"/>
      <w:lvlText w:val="(%1)"/>
      <w:lvlJc w:val="right"/>
      <w:pPr>
        <w:ind w:left="1530" w:hanging="198"/>
      </w:pPr>
      <w:rPr>
        <w:rFonts w:hint="default"/>
      </w:rPr>
    </w:lvl>
    <w:lvl w:ilvl="1">
      <w:start w:val="1"/>
      <w:numFmt w:val="lowerLetter"/>
      <w:lvlText w:val="%2)"/>
      <w:lvlJc w:val="left"/>
      <w:pPr>
        <w:ind w:left="1728" w:hanging="198"/>
      </w:pPr>
      <w:rPr>
        <w:rFonts w:hint="default"/>
      </w:rPr>
    </w:lvl>
    <w:lvl w:ilvl="2">
      <w:start w:val="1"/>
      <w:numFmt w:val="lowerRoman"/>
      <w:lvlText w:val="%3)"/>
      <w:lvlJc w:val="left"/>
      <w:pPr>
        <w:ind w:left="1926" w:hanging="198"/>
      </w:pPr>
      <w:rPr>
        <w:rFonts w:hint="default"/>
      </w:rPr>
    </w:lvl>
    <w:lvl w:ilvl="3">
      <w:start w:val="1"/>
      <w:numFmt w:val="decimal"/>
      <w:lvlText w:val="(%4)"/>
      <w:lvlJc w:val="left"/>
      <w:pPr>
        <w:ind w:left="2124" w:hanging="198"/>
      </w:pPr>
      <w:rPr>
        <w:rFonts w:hint="default"/>
      </w:rPr>
    </w:lvl>
    <w:lvl w:ilvl="4">
      <w:start w:val="1"/>
      <w:numFmt w:val="lowerLetter"/>
      <w:lvlText w:val="(%5)"/>
      <w:lvlJc w:val="left"/>
      <w:pPr>
        <w:ind w:left="2322" w:hanging="198"/>
      </w:pPr>
      <w:rPr>
        <w:rFonts w:hint="default"/>
      </w:rPr>
    </w:lvl>
    <w:lvl w:ilvl="5">
      <w:start w:val="1"/>
      <w:numFmt w:val="lowerRoman"/>
      <w:lvlText w:val="(%6)"/>
      <w:lvlJc w:val="left"/>
      <w:pPr>
        <w:ind w:left="2520" w:hanging="198"/>
      </w:pPr>
      <w:rPr>
        <w:rFonts w:hint="default"/>
      </w:rPr>
    </w:lvl>
    <w:lvl w:ilvl="6">
      <w:start w:val="1"/>
      <w:numFmt w:val="decimal"/>
      <w:lvlText w:val="%7."/>
      <w:lvlJc w:val="left"/>
      <w:pPr>
        <w:ind w:left="2718" w:hanging="198"/>
      </w:pPr>
      <w:rPr>
        <w:rFonts w:hint="default"/>
      </w:rPr>
    </w:lvl>
    <w:lvl w:ilvl="7">
      <w:start w:val="1"/>
      <w:numFmt w:val="lowerLetter"/>
      <w:lvlText w:val="%8."/>
      <w:lvlJc w:val="left"/>
      <w:pPr>
        <w:ind w:left="2916" w:hanging="198"/>
      </w:pPr>
      <w:rPr>
        <w:rFonts w:hint="default"/>
      </w:rPr>
    </w:lvl>
    <w:lvl w:ilvl="8">
      <w:start w:val="1"/>
      <w:numFmt w:val="lowerRoman"/>
      <w:lvlText w:val="%9."/>
      <w:lvlJc w:val="left"/>
      <w:pPr>
        <w:ind w:left="3114" w:hanging="198"/>
      </w:pPr>
      <w:rPr>
        <w:rFonts w:hint="default"/>
      </w:rPr>
    </w:lvl>
  </w:abstractNum>
  <w:abstractNum w:abstractNumId="17" w15:restartNumberingAfterBreak="0">
    <w:nsid w:val="4FFB24C0"/>
    <w:multiLevelType w:val="hybridMultilevel"/>
    <w:tmpl w:val="DD66239A"/>
    <w:lvl w:ilvl="0" w:tplc="17DA5760">
      <w:start w:val="1"/>
      <w:numFmt w:val="bullet"/>
      <w:pStyle w:val="B2Recommendation"/>
      <w:lvlText w:val="-"/>
      <w:lvlJc w:val="left"/>
      <w:pPr>
        <w:tabs>
          <w:tab w:val="num" w:pos="1701"/>
        </w:tabs>
        <w:ind w:left="1701" w:hanging="567"/>
      </w:pPr>
      <w:rPr>
        <w:rFonts w:ascii="Times New Roman Mäori" w:hAnsi="Times New Roman Mäo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8809BE"/>
    <w:multiLevelType w:val="hybridMultilevel"/>
    <w:tmpl w:val="7272F0BA"/>
    <w:lvl w:ilvl="0" w:tplc="FFFFFFFF">
      <w:start w:val="1"/>
      <w:numFmt w:val="decimal"/>
      <w:lvlText w:val="(%1)"/>
      <w:lvlJc w:val="left"/>
      <w:pPr>
        <w:ind w:left="833" w:hanging="360"/>
      </w:pPr>
      <w:rPr>
        <w:rFonts w:hint="default"/>
      </w:rPr>
    </w:lvl>
    <w:lvl w:ilvl="1" w:tplc="763200EE">
      <w:start w:val="1"/>
      <w:numFmt w:val="decimal"/>
      <w:lvlText w:val="(%2)"/>
      <w:lvlJc w:val="left"/>
      <w:pPr>
        <w:ind w:left="1553" w:hanging="360"/>
      </w:pPr>
      <w:rPr>
        <w:rFonts w:hint="default"/>
      </w:r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9" w15:restartNumberingAfterBreak="0">
    <w:nsid w:val="594912DB"/>
    <w:multiLevelType w:val="hybridMultilevel"/>
    <w:tmpl w:val="F47832B8"/>
    <w:lvl w:ilvl="0" w:tplc="FFFFFFFF">
      <w:start w:val="1"/>
      <w:numFmt w:val="lowerLetter"/>
      <w:lvlText w:val="(%1)"/>
      <w:lvlJc w:val="left"/>
      <w:pPr>
        <w:ind w:left="2993"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A496C53"/>
    <w:multiLevelType w:val="hybridMultilevel"/>
    <w:tmpl w:val="68669BDA"/>
    <w:lvl w:ilvl="0" w:tplc="A53A3F24">
      <w:start w:val="3"/>
      <w:numFmt w:val="decimal"/>
      <w:lvlText w:val="(%1)"/>
      <w:lvlJc w:val="left"/>
      <w:pPr>
        <w:ind w:left="1553"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B662135"/>
    <w:multiLevelType w:val="hybridMultilevel"/>
    <w:tmpl w:val="13446AE0"/>
    <w:lvl w:ilvl="0" w:tplc="1409001B">
      <w:start w:val="1"/>
      <w:numFmt w:val="lowerRoman"/>
      <w:lvlText w:val="%1."/>
      <w:lvlJc w:val="right"/>
      <w:pPr>
        <w:ind w:left="1678" w:hanging="360"/>
      </w:pPr>
      <w:rPr>
        <w:rFonts w:hint="default"/>
      </w:rPr>
    </w:lvl>
    <w:lvl w:ilvl="1" w:tplc="FFFFFFFF" w:tentative="1">
      <w:start w:val="1"/>
      <w:numFmt w:val="lowerLetter"/>
      <w:lvlText w:val="%2."/>
      <w:lvlJc w:val="left"/>
      <w:pPr>
        <w:ind w:left="2398" w:hanging="360"/>
      </w:pPr>
    </w:lvl>
    <w:lvl w:ilvl="2" w:tplc="FFFFFFFF" w:tentative="1">
      <w:start w:val="1"/>
      <w:numFmt w:val="lowerRoman"/>
      <w:lvlText w:val="%3."/>
      <w:lvlJc w:val="right"/>
      <w:pPr>
        <w:ind w:left="3118" w:hanging="180"/>
      </w:pPr>
    </w:lvl>
    <w:lvl w:ilvl="3" w:tplc="FFFFFFFF" w:tentative="1">
      <w:start w:val="1"/>
      <w:numFmt w:val="decimal"/>
      <w:lvlText w:val="%4."/>
      <w:lvlJc w:val="left"/>
      <w:pPr>
        <w:ind w:left="3838" w:hanging="360"/>
      </w:pPr>
    </w:lvl>
    <w:lvl w:ilvl="4" w:tplc="FFFFFFFF" w:tentative="1">
      <w:start w:val="1"/>
      <w:numFmt w:val="lowerLetter"/>
      <w:lvlText w:val="%5."/>
      <w:lvlJc w:val="left"/>
      <w:pPr>
        <w:ind w:left="4558" w:hanging="360"/>
      </w:pPr>
    </w:lvl>
    <w:lvl w:ilvl="5" w:tplc="FFFFFFFF" w:tentative="1">
      <w:start w:val="1"/>
      <w:numFmt w:val="lowerRoman"/>
      <w:lvlText w:val="%6."/>
      <w:lvlJc w:val="right"/>
      <w:pPr>
        <w:ind w:left="5278" w:hanging="180"/>
      </w:pPr>
    </w:lvl>
    <w:lvl w:ilvl="6" w:tplc="FFFFFFFF" w:tentative="1">
      <w:start w:val="1"/>
      <w:numFmt w:val="decimal"/>
      <w:lvlText w:val="%7."/>
      <w:lvlJc w:val="left"/>
      <w:pPr>
        <w:ind w:left="5998" w:hanging="360"/>
      </w:pPr>
    </w:lvl>
    <w:lvl w:ilvl="7" w:tplc="FFFFFFFF" w:tentative="1">
      <w:start w:val="1"/>
      <w:numFmt w:val="lowerLetter"/>
      <w:lvlText w:val="%8."/>
      <w:lvlJc w:val="left"/>
      <w:pPr>
        <w:ind w:left="6718" w:hanging="360"/>
      </w:pPr>
    </w:lvl>
    <w:lvl w:ilvl="8" w:tplc="FFFFFFFF" w:tentative="1">
      <w:start w:val="1"/>
      <w:numFmt w:val="lowerRoman"/>
      <w:lvlText w:val="%9."/>
      <w:lvlJc w:val="right"/>
      <w:pPr>
        <w:ind w:left="7438" w:hanging="180"/>
      </w:pPr>
    </w:lvl>
  </w:abstractNum>
  <w:abstractNum w:abstractNumId="23"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24" w15:restartNumberingAfterBreak="0">
    <w:nsid w:val="5E8F5927"/>
    <w:multiLevelType w:val="hybridMultilevel"/>
    <w:tmpl w:val="79D2FB52"/>
    <w:lvl w:ilvl="0" w:tplc="9ED85490">
      <w:start w:val="1"/>
      <w:numFmt w:val="decimal"/>
      <w:pStyle w:val="QuestionText"/>
      <w:lvlText w:val="Q%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5" w15:restartNumberingAfterBreak="0">
    <w:nsid w:val="610D0C23"/>
    <w:multiLevelType w:val="multilevel"/>
    <w:tmpl w:val="0E1492F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26"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27"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8"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0" w15:restartNumberingAfterBreak="0">
    <w:nsid w:val="76530D9A"/>
    <w:multiLevelType w:val="multilevel"/>
    <w:tmpl w:val="FCAA9BA6"/>
    <w:styleLink w:val="Chapter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1" w15:restartNumberingAfterBreak="0">
    <w:nsid w:val="79B27FF7"/>
    <w:multiLevelType w:val="hybridMultilevel"/>
    <w:tmpl w:val="F47832B8"/>
    <w:lvl w:ilvl="0" w:tplc="5DCCDA18">
      <w:start w:val="1"/>
      <w:numFmt w:val="lowerLetter"/>
      <w:lvlText w:val="(%1)"/>
      <w:lvlJc w:val="left"/>
      <w:pPr>
        <w:ind w:left="2993"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B610697"/>
    <w:multiLevelType w:val="hybridMultilevel"/>
    <w:tmpl w:val="13446AE0"/>
    <w:lvl w:ilvl="0" w:tplc="FFFFFFFF">
      <w:start w:val="1"/>
      <w:numFmt w:val="lowerRoman"/>
      <w:lvlText w:val="%1."/>
      <w:lvlJc w:val="right"/>
      <w:pPr>
        <w:ind w:left="1678" w:hanging="360"/>
      </w:pPr>
      <w:rPr>
        <w:rFonts w:hint="default"/>
      </w:rPr>
    </w:lvl>
    <w:lvl w:ilvl="1" w:tplc="FFFFFFFF" w:tentative="1">
      <w:start w:val="1"/>
      <w:numFmt w:val="lowerLetter"/>
      <w:lvlText w:val="%2."/>
      <w:lvlJc w:val="left"/>
      <w:pPr>
        <w:ind w:left="2398" w:hanging="360"/>
      </w:pPr>
    </w:lvl>
    <w:lvl w:ilvl="2" w:tplc="FFFFFFFF" w:tentative="1">
      <w:start w:val="1"/>
      <w:numFmt w:val="lowerRoman"/>
      <w:lvlText w:val="%3."/>
      <w:lvlJc w:val="right"/>
      <w:pPr>
        <w:ind w:left="3118" w:hanging="180"/>
      </w:pPr>
    </w:lvl>
    <w:lvl w:ilvl="3" w:tplc="FFFFFFFF" w:tentative="1">
      <w:start w:val="1"/>
      <w:numFmt w:val="decimal"/>
      <w:lvlText w:val="%4."/>
      <w:lvlJc w:val="left"/>
      <w:pPr>
        <w:ind w:left="3838" w:hanging="360"/>
      </w:pPr>
    </w:lvl>
    <w:lvl w:ilvl="4" w:tplc="FFFFFFFF" w:tentative="1">
      <w:start w:val="1"/>
      <w:numFmt w:val="lowerLetter"/>
      <w:lvlText w:val="%5."/>
      <w:lvlJc w:val="left"/>
      <w:pPr>
        <w:ind w:left="4558" w:hanging="360"/>
      </w:pPr>
    </w:lvl>
    <w:lvl w:ilvl="5" w:tplc="FFFFFFFF" w:tentative="1">
      <w:start w:val="1"/>
      <w:numFmt w:val="lowerRoman"/>
      <w:lvlText w:val="%6."/>
      <w:lvlJc w:val="right"/>
      <w:pPr>
        <w:ind w:left="5278" w:hanging="180"/>
      </w:pPr>
    </w:lvl>
    <w:lvl w:ilvl="6" w:tplc="FFFFFFFF" w:tentative="1">
      <w:start w:val="1"/>
      <w:numFmt w:val="decimal"/>
      <w:lvlText w:val="%7."/>
      <w:lvlJc w:val="left"/>
      <w:pPr>
        <w:ind w:left="5998" w:hanging="360"/>
      </w:pPr>
    </w:lvl>
    <w:lvl w:ilvl="7" w:tplc="FFFFFFFF" w:tentative="1">
      <w:start w:val="1"/>
      <w:numFmt w:val="lowerLetter"/>
      <w:lvlText w:val="%8."/>
      <w:lvlJc w:val="left"/>
      <w:pPr>
        <w:ind w:left="6718" w:hanging="360"/>
      </w:pPr>
    </w:lvl>
    <w:lvl w:ilvl="8" w:tplc="FFFFFFFF" w:tentative="1">
      <w:start w:val="1"/>
      <w:numFmt w:val="lowerRoman"/>
      <w:lvlText w:val="%9."/>
      <w:lvlJc w:val="right"/>
      <w:pPr>
        <w:ind w:left="7438" w:hanging="180"/>
      </w:pPr>
    </w:lvl>
  </w:abstractNum>
  <w:abstractNum w:abstractNumId="33"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num w:numId="1" w16cid:durableId="2026132950">
    <w:abstractNumId w:val="1"/>
  </w:num>
  <w:num w:numId="2" w16cid:durableId="421534405">
    <w:abstractNumId w:val="5"/>
  </w:num>
  <w:num w:numId="3" w16cid:durableId="1068530449">
    <w:abstractNumId w:val="3"/>
  </w:num>
  <w:num w:numId="4" w16cid:durableId="275985160">
    <w:abstractNumId w:val="23"/>
  </w:num>
  <w:num w:numId="5" w16cid:durableId="534848003">
    <w:abstractNumId w:val="24"/>
  </w:num>
  <w:num w:numId="6" w16cid:durableId="1567110941">
    <w:abstractNumId w:val="28"/>
  </w:num>
  <w:num w:numId="7" w16cid:durableId="203324314">
    <w:abstractNumId w:val="8"/>
  </w:num>
  <w:num w:numId="8" w16cid:durableId="1415858656">
    <w:abstractNumId w:val="4"/>
  </w:num>
  <w:num w:numId="9" w16cid:durableId="1681465139">
    <w:abstractNumId w:val="10"/>
  </w:num>
  <w:num w:numId="10" w16cid:durableId="135027500">
    <w:abstractNumId w:val="13"/>
  </w:num>
  <w:num w:numId="11" w16cid:durableId="16172511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6129854">
    <w:abstractNumId w:val="29"/>
  </w:num>
  <w:num w:numId="13" w16cid:durableId="737821662">
    <w:abstractNumId w:val="17"/>
  </w:num>
  <w:num w:numId="14" w16cid:durableId="1863084456">
    <w:abstractNumId w:val="26"/>
  </w:num>
  <w:num w:numId="15" w16cid:durableId="971669091">
    <w:abstractNumId w:val="27"/>
  </w:num>
  <w:num w:numId="16" w16cid:durableId="474491253">
    <w:abstractNumId w:val="25"/>
  </w:num>
  <w:num w:numId="17" w16cid:durableId="1847132508">
    <w:abstractNumId w:val="7"/>
  </w:num>
  <w:num w:numId="18" w16cid:durableId="1717192548">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i w:val="0"/>
          <w:iCs w:val="0"/>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9" w16cid:durableId="1105034405">
    <w:abstractNumId w:val="15"/>
  </w:num>
  <w:num w:numId="20" w16cid:durableId="733311075">
    <w:abstractNumId w:val="12"/>
  </w:num>
  <w:num w:numId="21" w16cid:durableId="1932658738">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2" w16cid:durableId="2125535654">
    <w:abstractNumId w:val="6"/>
  </w:num>
  <w:num w:numId="23" w16cid:durableId="307169176">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sz w:val="20"/>
          <w:szCs w:val="2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4" w16cid:durableId="1378509684">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5" w16cid:durableId="938175470">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6" w16cid:durableId="566498631">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i w:val="0"/>
          <w:i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7" w16cid:durableId="1044254583">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i w:val="0"/>
          <w:iCs w:val="0"/>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8" w16cid:durableId="203521632">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9" w16cid:durableId="1003822807">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0" w16cid:durableId="731928756">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1" w16cid:durableId="1470321242">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2" w16cid:durableId="168255798">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3" w16cid:durableId="1447041891">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4" w16cid:durableId="454983536">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5" w16cid:durableId="593827995">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6" w16cid:durableId="290327310">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7" w16cid:durableId="1215897824">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8" w16cid:durableId="532307974">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lvl>
    </w:lvlOverride>
    <w:lvlOverride w:ilvl="4">
      <w:lvl w:ilvl="4">
        <w:start w:val="1"/>
        <w:numFmt w:val="none"/>
        <w:pStyle w:val="BodyTextIndent2"/>
        <w:suff w:val="nothing"/>
        <w:lvlText w:val=""/>
        <w:lvlJc w:val="left"/>
        <w:pPr>
          <w:ind w:left="1134" w:firstLine="0"/>
        </w:pPr>
        <w:rPr>
          <w:rFonts w:hint="default"/>
          <w:lang w:val="en-NZ"/>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9" w16cid:durableId="1892617868">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lang w:val="en-NZ"/>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0" w16cid:durableId="1887109490">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lvl>
    </w:lvlOverride>
    <w:lvlOverride w:ilvl="4">
      <w:startOverride w:val="1"/>
      <w:lvl w:ilvl="4">
        <w:start w:val="1"/>
        <w:numFmt w:val="none"/>
        <w:pStyle w:val="BodyTextIndent2"/>
        <w:suff w:val="nothing"/>
        <w:lvlText w:val=""/>
        <w:lvlJc w:val="left"/>
        <w:pPr>
          <w:ind w:left="1134" w:firstLine="0"/>
        </w:pPr>
        <w:rPr>
          <w:rFonts w:hint="default"/>
          <w:lang w:val="en-NZ"/>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1" w16cid:durableId="76828766">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lowerLetter"/>
        <w:pStyle w:val="BodyTextnonum"/>
        <w:lvlText w:val="(%3)"/>
        <w:lvlJc w:val="left"/>
        <w:pPr>
          <w:tabs>
            <w:tab w:val="num" w:pos="1134"/>
          </w:tabs>
          <w:ind w:left="1134" w:hanging="425"/>
        </w:pPr>
        <w:rPr>
          <w:rFonts w:hint="default"/>
        </w:rPr>
      </w:lvl>
    </w:lvlOverride>
    <w:lvlOverride w:ilvl="3">
      <w:startOverride w:val="1"/>
      <w:lvl w:ilvl="3">
        <w:start w:val="1"/>
        <w:numFmt w:val="lowerRoman"/>
        <w:lvlText w:val="(%4)"/>
        <w:lvlJc w:val="left"/>
        <w:pPr>
          <w:tabs>
            <w:tab w:val="num" w:pos="1559"/>
          </w:tabs>
          <w:ind w:left="1559"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2" w16cid:durableId="228613125">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lang w:val="en-NZ"/>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3" w16cid:durableId="1521356106">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4" w16cid:durableId="859776863">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5" w16cid:durableId="178856875">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70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lowerLetter"/>
        <w:pStyle w:val="BodyTextnonum"/>
        <w:lvlText w:val="(%3)"/>
        <w:lvlJc w:val="left"/>
        <w:pPr>
          <w:tabs>
            <w:tab w:val="num" w:pos="1134"/>
          </w:tabs>
          <w:ind w:left="1134" w:hanging="425"/>
        </w:pPr>
        <w:rPr>
          <w:rFonts w:hint="default"/>
        </w:rPr>
      </w:lvl>
    </w:lvlOverride>
    <w:lvlOverride w:ilvl="3">
      <w:lvl w:ilvl="3">
        <w:start w:val="1"/>
        <w:numFmt w:val="lowerRoman"/>
        <w:lvlText w:val="(%4)"/>
        <w:lvlJc w:val="left"/>
        <w:pPr>
          <w:tabs>
            <w:tab w:val="num" w:pos="1559"/>
          </w:tabs>
          <w:ind w:left="1559"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6" w16cid:durableId="354893789">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7" w16cid:durableId="1262185219">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8" w16cid:durableId="1348865908">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9" w16cid:durableId="108745048">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0" w16cid:durableId="49036744">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lang w:val="en-NZ"/>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1" w16cid:durableId="324630043">
    <w:abstractNumId w:val="14"/>
  </w:num>
  <w:num w:numId="52" w16cid:durableId="792015328">
    <w:abstractNumId w:val="30"/>
  </w:num>
  <w:num w:numId="53" w16cid:durableId="141585140">
    <w:abstractNumId w:val="21"/>
  </w:num>
  <w:num w:numId="54" w16cid:durableId="281348434">
    <w:abstractNumId w:val="33"/>
    <w:lvlOverride w:ilvl="0">
      <w:startOverride w:val="1"/>
    </w:lvlOverride>
  </w:num>
  <w:num w:numId="55" w16cid:durableId="512035246">
    <w:abstractNumId w:val="33"/>
    <w:lvlOverride w:ilvl="0">
      <w:startOverride w:val="1"/>
    </w:lvlOverride>
  </w:num>
  <w:num w:numId="56" w16cid:durableId="1306200856">
    <w:abstractNumId w:val="33"/>
    <w:lvlOverride w:ilvl="0">
      <w:startOverride w:val="1"/>
    </w:lvlOverride>
  </w:num>
  <w:num w:numId="57" w16cid:durableId="1636788778">
    <w:abstractNumId w:val="22"/>
  </w:num>
  <w:num w:numId="58" w16cid:durableId="1452212725">
    <w:abstractNumId w:val="33"/>
    <w:lvlOverride w:ilvl="0">
      <w:startOverride w:val="1"/>
    </w:lvlOverride>
  </w:num>
  <w:num w:numId="59" w16cid:durableId="1684623534">
    <w:abstractNumId w:val="32"/>
  </w:num>
  <w:num w:numId="60" w16cid:durableId="1548637738">
    <w:abstractNumId w:val="33"/>
    <w:lvlOverride w:ilvl="0">
      <w:startOverride w:val="1"/>
    </w:lvlOverride>
  </w:num>
  <w:num w:numId="61" w16cid:durableId="268245464">
    <w:abstractNumId w:val="33"/>
    <w:lvlOverride w:ilvl="0">
      <w:startOverride w:val="1"/>
    </w:lvlOverride>
  </w:num>
  <w:num w:numId="62" w16cid:durableId="1406686841">
    <w:abstractNumId w:val="33"/>
    <w:lvlOverride w:ilvl="0">
      <w:startOverride w:val="1"/>
    </w:lvlOverride>
  </w:num>
  <w:num w:numId="63" w16cid:durableId="1112631761">
    <w:abstractNumId w:val="33"/>
    <w:lvlOverride w:ilvl="0">
      <w:startOverride w:val="1"/>
    </w:lvlOverride>
  </w:num>
  <w:num w:numId="64" w16cid:durableId="1369834332">
    <w:abstractNumId w:val="2"/>
  </w:num>
  <w:num w:numId="65" w16cid:durableId="1798521491">
    <w:abstractNumId w:val="18"/>
  </w:num>
  <w:num w:numId="66" w16cid:durableId="1563712314">
    <w:abstractNumId w:val="31"/>
  </w:num>
  <w:num w:numId="67" w16cid:durableId="156115014">
    <w:abstractNumId w:val="20"/>
  </w:num>
  <w:num w:numId="68" w16cid:durableId="570775611">
    <w:abstractNumId w:val="19"/>
  </w:num>
  <w:num w:numId="69" w16cid:durableId="406465000">
    <w:abstractNumId w:val="9"/>
  </w:num>
  <w:num w:numId="70" w16cid:durableId="1656645508">
    <w:abstractNumId w:val="33"/>
    <w:lvlOverride w:ilvl="0">
      <w:startOverride w:val="1"/>
    </w:lvlOverride>
  </w:num>
  <w:num w:numId="71" w16cid:durableId="1160002269">
    <w:abstractNumId w:val="33"/>
    <w:lvlOverride w:ilvl="0">
      <w:startOverride w:val="1"/>
    </w:lvlOverride>
  </w:num>
  <w:num w:numId="72" w16cid:durableId="566916526">
    <w:abstractNumId w:val="33"/>
    <w:lvlOverride w:ilvl="0">
      <w:startOverride w:val="1"/>
    </w:lvlOverride>
  </w:num>
  <w:num w:numId="73" w16cid:durableId="2129623046">
    <w:abstractNumId w:val="33"/>
    <w:lvlOverride w:ilvl="0">
      <w:startOverride w:val="1"/>
    </w:lvlOverride>
  </w:num>
  <w:num w:numId="74" w16cid:durableId="231699536">
    <w:abstractNumId w:val="33"/>
    <w:lvlOverride w:ilvl="0">
      <w:startOverride w:val="1"/>
    </w:lvlOverride>
  </w:num>
  <w:num w:numId="75" w16cid:durableId="116068275">
    <w:abstractNumId w:val="33"/>
    <w:lvlOverride w:ilvl="0">
      <w:startOverride w:val="1"/>
    </w:lvlOverride>
  </w:num>
  <w:num w:numId="76" w16cid:durableId="931551019">
    <w:abstractNumId w:val="33"/>
    <w:lvlOverride w:ilvl="0">
      <w:startOverride w:val="1"/>
    </w:lvlOverride>
  </w:num>
  <w:num w:numId="77" w16cid:durableId="963536890">
    <w:abstractNumId w:val="33"/>
    <w:lvlOverride w:ilvl="0">
      <w:startOverride w:val="1"/>
    </w:lvlOverride>
  </w:num>
  <w:num w:numId="78" w16cid:durableId="1684432279">
    <w:abstractNumId w:val="33"/>
    <w:lvlOverride w:ilvl="0">
      <w:startOverride w:val="1"/>
    </w:lvlOverride>
  </w:num>
  <w:num w:numId="79" w16cid:durableId="1450586019">
    <w:abstractNumId w:val="33"/>
    <w:lvlOverride w:ilvl="0">
      <w:startOverride w:val="1"/>
    </w:lvlOverride>
  </w:num>
  <w:num w:numId="80" w16cid:durableId="1870024439">
    <w:abstractNumId w:val="11"/>
  </w:num>
  <w:num w:numId="81" w16cid:durableId="1585532321">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2" w16cid:durableId="196311033">
    <w:abstractNumId w:val="33"/>
  </w:num>
  <w:num w:numId="83" w16cid:durableId="530844144">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84" w16cid:durableId="597716875">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85" w16cid:durableId="1117138688">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86" w16cid:durableId="1810974954">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87" w16cid:durableId="2110002642">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88" w16cid:durableId="1518933021">
    <w:abstractNumId w:val="33"/>
    <w:lvlOverride w:ilvl="0">
      <w:startOverride w:val="1"/>
    </w:lvlOverride>
  </w:num>
  <w:num w:numId="89" w16cid:durableId="1201043254">
    <w:abstractNumId w:val="33"/>
    <w:lvlOverride w:ilvl="0">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embedSystemFonts/>
  <w:saveSubsetFonts/>
  <w:hideSpellingErrors/>
  <w:hideGrammaticalErrors/>
  <w:attachedTemplate r:id="rId1"/>
  <w:linkStyles/>
  <w:documentProtection w:formatting="1" w:enforcement="1" w:cryptProviderType="rsaAES" w:cryptAlgorithmClass="hash" w:cryptAlgorithmType="typeAny" w:cryptAlgorithmSid="14" w:cryptSpinCount="100000" w:hash="4IPJx1nS7eJqBNLtyuku7ZJHCEjhLAzoDRXL+fdszfQYykMDBmsNYrgPOrdnE+mhqsWdeLpQKv9IAYFfYouRtg==" w:salt="HAPk3fvOC1sTSbxAfZikNA=="/>
  <w:defaultTabStop w:val="720"/>
  <w:evenAndOddHeaders/>
  <w:drawingGridHorizontalSpacing w:val="110"/>
  <w:displayHorizont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8AE39F0-1D18-4DCE-96A4-1218610C5A15}"/>
    <w:docVar w:name="dgnword-eventsink" w:val="393465392"/>
  </w:docVars>
  <w:rsids>
    <w:rsidRoot w:val="003F4F6D"/>
    <w:rsid w:val="00000027"/>
    <w:rsid w:val="00000060"/>
    <w:rsid w:val="000000E9"/>
    <w:rsid w:val="0000017E"/>
    <w:rsid w:val="000001D8"/>
    <w:rsid w:val="000001E7"/>
    <w:rsid w:val="00000299"/>
    <w:rsid w:val="000002B5"/>
    <w:rsid w:val="0000031E"/>
    <w:rsid w:val="00000376"/>
    <w:rsid w:val="00000381"/>
    <w:rsid w:val="0000040F"/>
    <w:rsid w:val="0000042A"/>
    <w:rsid w:val="0000046D"/>
    <w:rsid w:val="0000053A"/>
    <w:rsid w:val="000005EF"/>
    <w:rsid w:val="00000637"/>
    <w:rsid w:val="00000692"/>
    <w:rsid w:val="000006FF"/>
    <w:rsid w:val="000007BB"/>
    <w:rsid w:val="000008A7"/>
    <w:rsid w:val="000008FC"/>
    <w:rsid w:val="00000972"/>
    <w:rsid w:val="0000099D"/>
    <w:rsid w:val="00000A25"/>
    <w:rsid w:val="00000A99"/>
    <w:rsid w:val="00000AEC"/>
    <w:rsid w:val="00000AFA"/>
    <w:rsid w:val="00000BC3"/>
    <w:rsid w:val="00000BD2"/>
    <w:rsid w:val="00000C37"/>
    <w:rsid w:val="00000CB3"/>
    <w:rsid w:val="00000D3F"/>
    <w:rsid w:val="00000E58"/>
    <w:rsid w:val="00000E8C"/>
    <w:rsid w:val="00000EA9"/>
    <w:rsid w:val="00000EDF"/>
    <w:rsid w:val="00000EE0"/>
    <w:rsid w:val="00000F5B"/>
    <w:rsid w:val="00001012"/>
    <w:rsid w:val="0000105C"/>
    <w:rsid w:val="000010A3"/>
    <w:rsid w:val="0000112C"/>
    <w:rsid w:val="00001182"/>
    <w:rsid w:val="00001193"/>
    <w:rsid w:val="000011A3"/>
    <w:rsid w:val="0000122A"/>
    <w:rsid w:val="00001258"/>
    <w:rsid w:val="0000125F"/>
    <w:rsid w:val="00001285"/>
    <w:rsid w:val="000012A7"/>
    <w:rsid w:val="00001327"/>
    <w:rsid w:val="000014CB"/>
    <w:rsid w:val="0000151F"/>
    <w:rsid w:val="0000154C"/>
    <w:rsid w:val="000015D8"/>
    <w:rsid w:val="00001615"/>
    <w:rsid w:val="00001662"/>
    <w:rsid w:val="0000167A"/>
    <w:rsid w:val="000016A0"/>
    <w:rsid w:val="00001727"/>
    <w:rsid w:val="00001748"/>
    <w:rsid w:val="0000176D"/>
    <w:rsid w:val="0000180B"/>
    <w:rsid w:val="00001826"/>
    <w:rsid w:val="00001835"/>
    <w:rsid w:val="00001878"/>
    <w:rsid w:val="00001899"/>
    <w:rsid w:val="000018C2"/>
    <w:rsid w:val="000018E0"/>
    <w:rsid w:val="0000190F"/>
    <w:rsid w:val="0000194B"/>
    <w:rsid w:val="000019C9"/>
    <w:rsid w:val="000019EA"/>
    <w:rsid w:val="00001A89"/>
    <w:rsid w:val="00001AE0"/>
    <w:rsid w:val="00001C88"/>
    <w:rsid w:val="00001D8E"/>
    <w:rsid w:val="00001E80"/>
    <w:rsid w:val="00001E87"/>
    <w:rsid w:val="00001EC8"/>
    <w:rsid w:val="00001FCA"/>
    <w:rsid w:val="00002079"/>
    <w:rsid w:val="000020A7"/>
    <w:rsid w:val="00002141"/>
    <w:rsid w:val="000021AA"/>
    <w:rsid w:val="000021BC"/>
    <w:rsid w:val="000021CC"/>
    <w:rsid w:val="000021EE"/>
    <w:rsid w:val="00002200"/>
    <w:rsid w:val="00002212"/>
    <w:rsid w:val="000022F1"/>
    <w:rsid w:val="000022FC"/>
    <w:rsid w:val="0000241D"/>
    <w:rsid w:val="00002437"/>
    <w:rsid w:val="000024B7"/>
    <w:rsid w:val="000024C3"/>
    <w:rsid w:val="000024DB"/>
    <w:rsid w:val="0000252B"/>
    <w:rsid w:val="00002583"/>
    <w:rsid w:val="000025A9"/>
    <w:rsid w:val="00002694"/>
    <w:rsid w:val="0000269D"/>
    <w:rsid w:val="000026A7"/>
    <w:rsid w:val="000027B2"/>
    <w:rsid w:val="000027B7"/>
    <w:rsid w:val="000027E0"/>
    <w:rsid w:val="00002847"/>
    <w:rsid w:val="000028F9"/>
    <w:rsid w:val="0000295B"/>
    <w:rsid w:val="0000298E"/>
    <w:rsid w:val="000029AE"/>
    <w:rsid w:val="00002AF0"/>
    <w:rsid w:val="00002B20"/>
    <w:rsid w:val="00002C16"/>
    <w:rsid w:val="00002C40"/>
    <w:rsid w:val="00002D07"/>
    <w:rsid w:val="00002D82"/>
    <w:rsid w:val="00002E87"/>
    <w:rsid w:val="00002F25"/>
    <w:rsid w:val="00002FBD"/>
    <w:rsid w:val="00003052"/>
    <w:rsid w:val="000030A2"/>
    <w:rsid w:val="000030BF"/>
    <w:rsid w:val="000031EE"/>
    <w:rsid w:val="00003223"/>
    <w:rsid w:val="00003240"/>
    <w:rsid w:val="000033F6"/>
    <w:rsid w:val="0000353E"/>
    <w:rsid w:val="00003653"/>
    <w:rsid w:val="00003665"/>
    <w:rsid w:val="000037E1"/>
    <w:rsid w:val="000039B6"/>
    <w:rsid w:val="00003A64"/>
    <w:rsid w:val="00003A6A"/>
    <w:rsid w:val="00003AC7"/>
    <w:rsid w:val="00003ACE"/>
    <w:rsid w:val="00003B0F"/>
    <w:rsid w:val="00003B5E"/>
    <w:rsid w:val="00003B63"/>
    <w:rsid w:val="00003B97"/>
    <w:rsid w:val="00003C48"/>
    <w:rsid w:val="00003C4D"/>
    <w:rsid w:val="00003D6A"/>
    <w:rsid w:val="00003D9E"/>
    <w:rsid w:val="00003E81"/>
    <w:rsid w:val="00003EAC"/>
    <w:rsid w:val="00003F52"/>
    <w:rsid w:val="0000403A"/>
    <w:rsid w:val="0000404C"/>
    <w:rsid w:val="0000414B"/>
    <w:rsid w:val="00004215"/>
    <w:rsid w:val="00004261"/>
    <w:rsid w:val="0000436F"/>
    <w:rsid w:val="00004395"/>
    <w:rsid w:val="000043B0"/>
    <w:rsid w:val="00004465"/>
    <w:rsid w:val="0000449E"/>
    <w:rsid w:val="00004507"/>
    <w:rsid w:val="000045F4"/>
    <w:rsid w:val="0000464B"/>
    <w:rsid w:val="00004658"/>
    <w:rsid w:val="00004706"/>
    <w:rsid w:val="00004712"/>
    <w:rsid w:val="0000479F"/>
    <w:rsid w:val="00004858"/>
    <w:rsid w:val="0000490F"/>
    <w:rsid w:val="0000495F"/>
    <w:rsid w:val="0000499D"/>
    <w:rsid w:val="00004A13"/>
    <w:rsid w:val="00004AA6"/>
    <w:rsid w:val="00004B03"/>
    <w:rsid w:val="00004B4F"/>
    <w:rsid w:val="00004B66"/>
    <w:rsid w:val="00004C56"/>
    <w:rsid w:val="00004C71"/>
    <w:rsid w:val="00004CA2"/>
    <w:rsid w:val="00004CC4"/>
    <w:rsid w:val="00004CE3"/>
    <w:rsid w:val="00004D04"/>
    <w:rsid w:val="00004D33"/>
    <w:rsid w:val="00004D3D"/>
    <w:rsid w:val="00004D54"/>
    <w:rsid w:val="00004D81"/>
    <w:rsid w:val="00004DCE"/>
    <w:rsid w:val="00004F61"/>
    <w:rsid w:val="00004F6A"/>
    <w:rsid w:val="000050AF"/>
    <w:rsid w:val="00005131"/>
    <w:rsid w:val="00005165"/>
    <w:rsid w:val="000051BA"/>
    <w:rsid w:val="0000527E"/>
    <w:rsid w:val="0000530F"/>
    <w:rsid w:val="0000535E"/>
    <w:rsid w:val="00005413"/>
    <w:rsid w:val="00005428"/>
    <w:rsid w:val="000054EC"/>
    <w:rsid w:val="00005636"/>
    <w:rsid w:val="000056EB"/>
    <w:rsid w:val="000056F1"/>
    <w:rsid w:val="00005700"/>
    <w:rsid w:val="000057EC"/>
    <w:rsid w:val="000057F2"/>
    <w:rsid w:val="00005823"/>
    <w:rsid w:val="00005842"/>
    <w:rsid w:val="000058A8"/>
    <w:rsid w:val="000059D2"/>
    <w:rsid w:val="00005A45"/>
    <w:rsid w:val="00005A49"/>
    <w:rsid w:val="00005A96"/>
    <w:rsid w:val="00005B09"/>
    <w:rsid w:val="00005B40"/>
    <w:rsid w:val="00005BEA"/>
    <w:rsid w:val="00005C5C"/>
    <w:rsid w:val="00005C90"/>
    <w:rsid w:val="00005C93"/>
    <w:rsid w:val="00005D1D"/>
    <w:rsid w:val="00005D91"/>
    <w:rsid w:val="00005DFC"/>
    <w:rsid w:val="00005E97"/>
    <w:rsid w:val="00005EBA"/>
    <w:rsid w:val="00005F4F"/>
    <w:rsid w:val="00005F6B"/>
    <w:rsid w:val="00005FCE"/>
    <w:rsid w:val="0000606D"/>
    <w:rsid w:val="0000611B"/>
    <w:rsid w:val="0000617B"/>
    <w:rsid w:val="00006274"/>
    <w:rsid w:val="000063AF"/>
    <w:rsid w:val="00006443"/>
    <w:rsid w:val="000064AF"/>
    <w:rsid w:val="00006568"/>
    <w:rsid w:val="00006577"/>
    <w:rsid w:val="000065D2"/>
    <w:rsid w:val="000065D3"/>
    <w:rsid w:val="0000669F"/>
    <w:rsid w:val="000066F7"/>
    <w:rsid w:val="000067A8"/>
    <w:rsid w:val="00006839"/>
    <w:rsid w:val="000068E0"/>
    <w:rsid w:val="0000691B"/>
    <w:rsid w:val="000069D8"/>
    <w:rsid w:val="00006A2E"/>
    <w:rsid w:val="00006A48"/>
    <w:rsid w:val="00006A70"/>
    <w:rsid w:val="00006B21"/>
    <w:rsid w:val="00006B3A"/>
    <w:rsid w:val="00006B51"/>
    <w:rsid w:val="00006B91"/>
    <w:rsid w:val="00006BD8"/>
    <w:rsid w:val="00006BDD"/>
    <w:rsid w:val="00006C57"/>
    <w:rsid w:val="00006D81"/>
    <w:rsid w:val="00006D89"/>
    <w:rsid w:val="00006E8A"/>
    <w:rsid w:val="00006F7F"/>
    <w:rsid w:val="00006F9E"/>
    <w:rsid w:val="000071B7"/>
    <w:rsid w:val="00007226"/>
    <w:rsid w:val="00007229"/>
    <w:rsid w:val="00007242"/>
    <w:rsid w:val="00007254"/>
    <w:rsid w:val="00007275"/>
    <w:rsid w:val="00007328"/>
    <w:rsid w:val="00007332"/>
    <w:rsid w:val="0000733E"/>
    <w:rsid w:val="0000738B"/>
    <w:rsid w:val="00007456"/>
    <w:rsid w:val="000074B3"/>
    <w:rsid w:val="00007511"/>
    <w:rsid w:val="0000752B"/>
    <w:rsid w:val="00007561"/>
    <w:rsid w:val="0000756F"/>
    <w:rsid w:val="000075DD"/>
    <w:rsid w:val="0000767D"/>
    <w:rsid w:val="00007689"/>
    <w:rsid w:val="00007716"/>
    <w:rsid w:val="00007781"/>
    <w:rsid w:val="000077FA"/>
    <w:rsid w:val="00007810"/>
    <w:rsid w:val="00007870"/>
    <w:rsid w:val="00007917"/>
    <w:rsid w:val="00007A65"/>
    <w:rsid w:val="00007ABA"/>
    <w:rsid w:val="00007CA7"/>
    <w:rsid w:val="00007CC7"/>
    <w:rsid w:val="00007ED8"/>
    <w:rsid w:val="00007EE2"/>
    <w:rsid w:val="00007F05"/>
    <w:rsid w:val="00007F62"/>
    <w:rsid w:val="00010028"/>
    <w:rsid w:val="00010067"/>
    <w:rsid w:val="00010072"/>
    <w:rsid w:val="0001009A"/>
    <w:rsid w:val="000101F3"/>
    <w:rsid w:val="0001027B"/>
    <w:rsid w:val="0001027D"/>
    <w:rsid w:val="0001028E"/>
    <w:rsid w:val="00010315"/>
    <w:rsid w:val="00010333"/>
    <w:rsid w:val="0001039F"/>
    <w:rsid w:val="0001040A"/>
    <w:rsid w:val="000104EB"/>
    <w:rsid w:val="000105B7"/>
    <w:rsid w:val="000105C6"/>
    <w:rsid w:val="00010667"/>
    <w:rsid w:val="00010693"/>
    <w:rsid w:val="000106CC"/>
    <w:rsid w:val="00010757"/>
    <w:rsid w:val="0001076C"/>
    <w:rsid w:val="0001083D"/>
    <w:rsid w:val="00010857"/>
    <w:rsid w:val="00010868"/>
    <w:rsid w:val="000108CB"/>
    <w:rsid w:val="00010902"/>
    <w:rsid w:val="0001092E"/>
    <w:rsid w:val="00010A5F"/>
    <w:rsid w:val="00010ABA"/>
    <w:rsid w:val="00010AC2"/>
    <w:rsid w:val="00010AFA"/>
    <w:rsid w:val="00010B04"/>
    <w:rsid w:val="00010B6D"/>
    <w:rsid w:val="00010BCF"/>
    <w:rsid w:val="00010C11"/>
    <w:rsid w:val="00010C1A"/>
    <w:rsid w:val="00010DD6"/>
    <w:rsid w:val="00010E23"/>
    <w:rsid w:val="00010F16"/>
    <w:rsid w:val="00010F2A"/>
    <w:rsid w:val="00010F41"/>
    <w:rsid w:val="00010F49"/>
    <w:rsid w:val="00010F58"/>
    <w:rsid w:val="00010FEA"/>
    <w:rsid w:val="00011028"/>
    <w:rsid w:val="00011088"/>
    <w:rsid w:val="0001110B"/>
    <w:rsid w:val="0001112F"/>
    <w:rsid w:val="00011262"/>
    <w:rsid w:val="00011279"/>
    <w:rsid w:val="00011324"/>
    <w:rsid w:val="0001137F"/>
    <w:rsid w:val="000113D9"/>
    <w:rsid w:val="00011434"/>
    <w:rsid w:val="00011475"/>
    <w:rsid w:val="00011491"/>
    <w:rsid w:val="000114F1"/>
    <w:rsid w:val="00011511"/>
    <w:rsid w:val="00011514"/>
    <w:rsid w:val="000115BF"/>
    <w:rsid w:val="0001163C"/>
    <w:rsid w:val="00011798"/>
    <w:rsid w:val="0001180E"/>
    <w:rsid w:val="00011817"/>
    <w:rsid w:val="000118AD"/>
    <w:rsid w:val="00011973"/>
    <w:rsid w:val="000119CD"/>
    <w:rsid w:val="00011A1A"/>
    <w:rsid w:val="00011A26"/>
    <w:rsid w:val="00011A76"/>
    <w:rsid w:val="00011A9D"/>
    <w:rsid w:val="00011B72"/>
    <w:rsid w:val="00011B9A"/>
    <w:rsid w:val="00011BEC"/>
    <w:rsid w:val="00011CA3"/>
    <w:rsid w:val="00011CB6"/>
    <w:rsid w:val="00011CF7"/>
    <w:rsid w:val="00011DA8"/>
    <w:rsid w:val="00011E0C"/>
    <w:rsid w:val="00012018"/>
    <w:rsid w:val="0001203A"/>
    <w:rsid w:val="000121D7"/>
    <w:rsid w:val="0001227E"/>
    <w:rsid w:val="000122A1"/>
    <w:rsid w:val="000122A2"/>
    <w:rsid w:val="00012314"/>
    <w:rsid w:val="0001233C"/>
    <w:rsid w:val="000123E3"/>
    <w:rsid w:val="000123FC"/>
    <w:rsid w:val="0001242E"/>
    <w:rsid w:val="0001248E"/>
    <w:rsid w:val="000125AE"/>
    <w:rsid w:val="0001263E"/>
    <w:rsid w:val="00012652"/>
    <w:rsid w:val="0001272B"/>
    <w:rsid w:val="00012733"/>
    <w:rsid w:val="00012764"/>
    <w:rsid w:val="0001277B"/>
    <w:rsid w:val="0001282F"/>
    <w:rsid w:val="0001287C"/>
    <w:rsid w:val="000128F9"/>
    <w:rsid w:val="00012A35"/>
    <w:rsid w:val="00012A59"/>
    <w:rsid w:val="00012AD7"/>
    <w:rsid w:val="00012B54"/>
    <w:rsid w:val="00012B6A"/>
    <w:rsid w:val="00012B71"/>
    <w:rsid w:val="00012BCE"/>
    <w:rsid w:val="00012C1C"/>
    <w:rsid w:val="00012C93"/>
    <w:rsid w:val="00012D35"/>
    <w:rsid w:val="00012D37"/>
    <w:rsid w:val="00012E1A"/>
    <w:rsid w:val="00012E3F"/>
    <w:rsid w:val="00012EB7"/>
    <w:rsid w:val="00012F2B"/>
    <w:rsid w:val="00013004"/>
    <w:rsid w:val="00013024"/>
    <w:rsid w:val="0001302A"/>
    <w:rsid w:val="000130B1"/>
    <w:rsid w:val="000130D3"/>
    <w:rsid w:val="000130F7"/>
    <w:rsid w:val="00013134"/>
    <w:rsid w:val="00013188"/>
    <w:rsid w:val="00013277"/>
    <w:rsid w:val="000132D7"/>
    <w:rsid w:val="00013469"/>
    <w:rsid w:val="0001347D"/>
    <w:rsid w:val="00013484"/>
    <w:rsid w:val="000134AB"/>
    <w:rsid w:val="000134E2"/>
    <w:rsid w:val="000134FF"/>
    <w:rsid w:val="00013592"/>
    <w:rsid w:val="0001362D"/>
    <w:rsid w:val="0001362F"/>
    <w:rsid w:val="0001366E"/>
    <w:rsid w:val="00013740"/>
    <w:rsid w:val="0001378B"/>
    <w:rsid w:val="000137AC"/>
    <w:rsid w:val="00013838"/>
    <w:rsid w:val="000138F5"/>
    <w:rsid w:val="00013905"/>
    <w:rsid w:val="0001394E"/>
    <w:rsid w:val="0001397E"/>
    <w:rsid w:val="000139CD"/>
    <w:rsid w:val="00013A0B"/>
    <w:rsid w:val="00013A0E"/>
    <w:rsid w:val="00013C18"/>
    <w:rsid w:val="00013C26"/>
    <w:rsid w:val="00013C3F"/>
    <w:rsid w:val="00013C77"/>
    <w:rsid w:val="00013E6C"/>
    <w:rsid w:val="00013EF6"/>
    <w:rsid w:val="00013EFF"/>
    <w:rsid w:val="00013F4F"/>
    <w:rsid w:val="00013FF5"/>
    <w:rsid w:val="000141BB"/>
    <w:rsid w:val="0001436E"/>
    <w:rsid w:val="0001438D"/>
    <w:rsid w:val="000143BC"/>
    <w:rsid w:val="000143EF"/>
    <w:rsid w:val="00014569"/>
    <w:rsid w:val="00014677"/>
    <w:rsid w:val="000146A1"/>
    <w:rsid w:val="0001475D"/>
    <w:rsid w:val="0001478F"/>
    <w:rsid w:val="00014791"/>
    <w:rsid w:val="000147B6"/>
    <w:rsid w:val="000148B5"/>
    <w:rsid w:val="00014912"/>
    <w:rsid w:val="00014928"/>
    <w:rsid w:val="000149C6"/>
    <w:rsid w:val="00014B00"/>
    <w:rsid w:val="00014C1D"/>
    <w:rsid w:val="00014C5F"/>
    <w:rsid w:val="00014C86"/>
    <w:rsid w:val="00014D04"/>
    <w:rsid w:val="00014D9D"/>
    <w:rsid w:val="00014DEE"/>
    <w:rsid w:val="00014E4D"/>
    <w:rsid w:val="00014F00"/>
    <w:rsid w:val="00014F02"/>
    <w:rsid w:val="00014FA4"/>
    <w:rsid w:val="00015049"/>
    <w:rsid w:val="0001507F"/>
    <w:rsid w:val="00015145"/>
    <w:rsid w:val="0001518A"/>
    <w:rsid w:val="000151C0"/>
    <w:rsid w:val="00015202"/>
    <w:rsid w:val="00015212"/>
    <w:rsid w:val="0001528F"/>
    <w:rsid w:val="00015293"/>
    <w:rsid w:val="0001535A"/>
    <w:rsid w:val="000153D5"/>
    <w:rsid w:val="0001540C"/>
    <w:rsid w:val="00015445"/>
    <w:rsid w:val="00015461"/>
    <w:rsid w:val="0001549C"/>
    <w:rsid w:val="00015543"/>
    <w:rsid w:val="0001558D"/>
    <w:rsid w:val="000155A4"/>
    <w:rsid w:val="00015628"/>
    <w:rsid w:val="00015646"/>
    <w:rsid w:val="00015654"/>
    <w:rsid w:val="000156AE"/>
    <w:rsid w:val="00015716"/>
    <w:rsid w:val="00015790"/>
    <w:rsid w:val="000157DA"/>
    <w:rsid w:val="000157F7"/>
    <w:rsid w:val="0001585E"/>
    <w:rsid w:val="000159FB"/>
    <w:rsid w:val="00015A7E"/>
    <w:rsid w:val="00015A86"/>
    <w:rsid w:val="00015AC6"/>
    <w:rsid w:val="00015B7D"/>
    <w:rsid w:val="00015B98"/>
    <w:rsid w:val="00015BDF"/>
    <w:rsid w:val="00015BF7"/>
    <w:rsid w:val="00015C28"/>
    <w:rsid w:val="00015CA0"/>
    <w:rsid w:val="00015D62"/>
    <w:rsid w:val="00015EFC"/>
    <w:rsid w:val="00015FC8"/>
    <w:rsid w:val="00015FD6"/>
    <w:rsid w:val="00015FF4"/>
    <w:rsid w:val="00015FFE"/>
    <w:rsid w:val="00016109"/>
    <w:rsid w:val="00016114"/>
    <w:rsid w:val="00016124"/>
    <w:rsid w:val="00016148"/>
    <w:rsid w:val="00016159"/>
    <w:rsid w:val="00016230"/>
    <w:rsid w:val="0001623C"/>
    <w:rsid w:val="000162EF"/>
    <w:rsid w:val="00016312"/>
    <w:rsid w:val="0001632C"/>
    <w:rsid w:val="00016354"/>
    <w:rsid w:val="00016423"/>
    <w:rsid w:val="0001642C"/>
    <w:rsid w:val="00016526"/>
    <w:rsid w:val="000165E0"/>
    <w:rsid w:val="00016647"/>
    <w:rsid w:val="000166BB"/>
    <w:rsid w:val="00016787"/>
    <w:rsid w:val="000167FA"/>
    <w:rsid w:val="00016897"/>
    <w:rsid w:val="0001690C"/>
    <w:rsid w:val="00016920"/>
    <w:rsid w:val="0001693F"/>
    <w:rsid w:val="0001696D"/>
    <w:rsid w:val="00016A46"/>
    <w:rsid w:val="00016A99"/>
    <w:rsid w:val="00016B3E"/>
    <w:rsid w:val="00016B96"/>
    <w:rsid w:val="00016BC7"/>
    <w:rsid w:val="00016CB3"/>
    <w:rsid w:val="00016D13"/>
    <w:rsid w:val="00016D82"/>
    <w:rsid w:val="00016E84"/>
    <w:rsid w:val="00016F92"/>
    <w:rsid w:val="0001704C"/>
    <w:rsid w:val="00017185"/>
    <w:rsid w:val="000172DA"/>
    <w:rsid w:val="00017325"/>
    <w:rsid w:val="00017329"/>
    <w:rsid w:val="00017353"/>
    <w:rsid w:val="00017363"/>
    <w:rsid w:val="00017381"/>
    <w:rsid w:val="00017383"/>
    <w:rsid w:val="0001744F"/>
    <w:rsid w:val="000174C0"/>
    <w:rsid w:val="000175BF"/>
    <w:rsid w:val="00017660"/>
    <w:rsid w:val="0001770D"/>
    <w:rsid w:val="0001777C"/>
    <w:rsid w:val="000177A8"/>
    <w:rsid w:val="000177BD"/>
    <w:rsid w:val="000177FC"/>
    <w:rsid w:val="0001785C"/>
    <w:rsid w:val="000178E4"/>
    <w:rsid w:val="00017938"/>
    <w:rsid w:val="00017A29"/>
    <w:rsid w:val="00017A34"/>
    <w:rsid w:val="00017A3E"/>
    <w:rsid w:val="00017A4F"/>
    <w:rsid w:val="00017B1A"/>
    <w:rsid w:val="00017BCF"/>
    <w:rsid w:val="00017C46"/>
    <w:rsid w:val="00017C5E"/>
    <w:rsid w:val="00017C76"/>
    <w:rsid w:val="00017C97"/>
    <w:rsid w:val="00017DB7"/>
    <w:rsid w:val="00017E22"/>
    <w:rsid w:val="00017E2A"/>
    <w:rsid w:val="00017E47"/>
    <w:rsid w:val="00017E8B"/>
    <w:rsid w:val="00017EBA"/>
    <w:rsid w:val="00017F27"/>
    <w:rsid w:val="00017F47"/>
    <w:rsid w:val="00017F73"/>
    <w:rsid w:val="00017F93"/>
    <w:rsid w:val="00020046"/>
    <w:rsid w:val="00020078"/>
    <w:rsid w:val="0002010C"/>
    <w:rsid w:val="0002014D"/>
    <w:rsid w:val="000201C3"/>
    <w:rsid w:val="000201CF"/>
    <w:rsid w:val="000201FA"/>
    <w:rsid w:val="000202A0"/>
    <w:rsid w:val="000203DA"/>
    <w:rsid w:val="0002040A"/>
    <w:rsid w:val="000204DF"/>
    <w:rsid w:val="0002055E"/>
    <w:rsid w:val="000205D6"/>
    <w:rsid w:val="00020651"/>
    <w:rsid w:val="00020660"/>
    <w:rsid w:val="00020671"/>
    <w:rsid w:val="000206FC"/>
    <w:rsid w:val="0002071A"/>
    <w:rsid w:val="0002071D"/>
    <w:rsid w:val="0002074B"/>
    <w:rsid w:val="0002081F"/>
    <w:rsid w:val="000208D8"/>
    <w:rsid w:val="000208DB"/>
    <w:rsid w:val="00020901"/>
    <w:rsid w:val="00020960"/>
    <w:rsid w:val="000209ED"/>
    <w:rsid w:val="00020A1C"/>
    <w:rsid w:val="00020A30"/>
    <w:rsid w:val="00020AE7"/>
    <w:rsid w:val="00020BAA"/>
    <w:rsid w:val="00020C59"/>
    <w:rsid w:val="00020C74"/>
    <w:rsid w:val="00020C98"/>
    <w:rsid w:val="00020CA5"/>
    <w:rsid w:val="00020D40"/>
    <w:rsid w:val="00020D78"/>
    <w:rsid w:val="00020E5C"/>
    <w:rsid w:val="00020E6B"/>
    <w:rsid w:val="00020FC8"/>
    <w:rsid w:val="00020FF6"/>
    <w:rsid w:val="00020FFB"/>
    <w:rsid w:val="0002100B"/>
    <w:rsid w:val="0002104E"/>
    <w:rsid w:val="0002109B"/>
    <w:rsid w:val="000210B6"/>
    <w:rsid w:val="0002110F"/>
    <w:rsid w:val="0002111B"/>
    <w:rsid w:val="0002117B"/>
    <w:rsid w:val="0002123F"/>
    <w:rsid w:val="00021295"/>
    <w:rsid w:val="00021303"/>
    <w:rsid w:val="000213A7"/>
    <w:rsid w:val="000213FD"/>
    <w:rsid w:val="000215A3"/>
    <w:rsid w:val="00021622"/>
    <w:rsid w:val="0002168D"/>
    <w:rsid w:val="00021790"/>
    <w:rsid w:val="0002179C"/>
    <w:rsid w:val="000217AA"/>
    <w:rsid w:val="000217BD"/>
    <w:rsid w:val="000218AC"/>
    <w:rsid w:val="00021912"/>
    <w:rsid w:val="0002193D"/>
    <w:rsid w:val="00021990"/>
    <w:rsid w:val="00021A4B"/>
    <w:rsid w:val="00021A91"/>
    <w:rsid w:val="00021ABD"/>
    <w:rsid w:val="00021BBF"/>
    <w:rsid w:val="00021D25"/>
    <w:rsid w:val="00021D69"/>
    <w:rsid w:val="00021DC3"/>
    <w:rsid w:val="00021E8E"/>
    <w:rsid w:val="00021EAA"/>
    <w:rsid w:val="00021ED6"/>
    <w:rsid w:val="00021F01"/>
    <w:rsid w:val="00021FC2"/>
    <w:rsid w:val="00021FDC"/>
    <w:rsid w:val="0002206D"/>
    <w:rsid w:val="000220FE"/>
    <w:rsid w:val="00022110"/>
    <w:rsid w:val="0002224F"/>
    <w:rsid w:val="00022277"/>
    <w:rsid w:val="000222D5"/>
    <w:rsid w:val="000222EE"/>
    <w:rsid w:val="000224C5"/>
    <w:rsid w:val="0002252E"/>
    <w:rsid w:val="00022586"/>
    <w:rsid w:val="000225E0"/>
    <w:rsid w:val="0002275A"/>
    <w:rsid w:val="000227EA"/>
    <w:rsid w:val="0002282F"/>
    <w:rsid w:val="00022845"/>
    <w:rsid w:val="000228DE"/>
    <w:rsid w:val="000229A4"/>
    <w:rsid w:val="000229AD"/>
    <w:rsid w:val="000229EC"/>
    <w:rsid w:val="00022A37"/>
    <w:rsid w:val="00022A42"/>
    <w:rsid w:val="00022A52"/>
    <w:rsid w:val="00022A77"/>
    <w:rsid w:val="00022ABD"/>
    <w:rsid w:val="00022ADF"/>
    <w:rsid w:val="00022B46"/>
    <w:rsid w:val="00022B83"/>
    <w:rsid w:val="00022C85"/>
    <w:rsid w:val="00022CE7"/>
    <w:rsid w:val="00022D32"/>
    <w:rsid w:val="00022D55"/>
    <w:rsid w:val="00022DC0"/>
    <w:rsid w:val="00022DCA"/>
    <w:rsid w:val="00022E26"/>
    <w:rsid w:val="00022E7D"/>
    <w:rsid w:val="00022E84"/>
    <w:rsid w:val="00022E8B"/>
    <w:rsid w:val="00022EFF"/>
    <w:rsid w:val="00022F2D"/>
    <w:rsid w:val="00022FF2"/>
    <w:rsid w:val="0002303F"/>
    <w:rsid w:val="0002310A"/>
    <w:rsid w:val="00023145"/>
    <w:rsid w:val="00023174"/>
    <w:rsid w:val="00023176"/>
    <w:rsid w:val="00023180"/>
    <w:rsid w:val="0002319B"/>
    <w:rsid w:val="0002320A"/>
    <w:rsid w:val="0002324C"/>
    <w:rsid w:val="0002328D"/>
    <w:rsid w:val="00023465"/>
    <w:rsid w:val="000234A8"/>
    <w:rsid w:val="000234B9"/>
    <w:rsid w:val="000234C0"/>
    <w:rsid w:val="0002350F"/>
    <w:rsid w:val="000235B9"/>
    <w:rsid w:val="00023643"/>
    <w:rsid w:val="00023718"/>
    <w:rsid w:val="00023733"/>
    <w:rsid w:val="0002379B"/>
    <w:rsid w:val="00023989"/>
    <w:rsid w:val="0002399E"/>
    <w:rsid w:val="000239D5"/>
    <w:rsid w:val="00023A34"/>
    <w:rsid w:val="00023A51"/>
    <w:rsid w:val="00023B1D"/>
    <w:rsid w:val="00023B94"/>
    <w:rsid w:val="00023C37"/>
    <w:rsid w:val="00023C54"/>
    <w:rsid w:val="00023C84"/>
    <w:rsid w:val="00023D32"/>
    <w:rsid w:val="00023D81"/>
    <w:rsid w:val="00023E03"/>
    <w:rsid w:val="00023E30"/>
    <w:rsid w:val="00023EA2"/>
    <w:rsid w:val="00023F56"/>
    <w:rsid w:val="00023F60"/>
    <w:rsid w:val="0002404E"/>
    <w:rsid w:val="000240AF"/>
    <w:rsid w:val="000240F9"/>
    <w:rsid w:val="00024109"/>
    <w:rsid w:val="00024125"/>
    <w:rsid w:val="00024168"/>
    <w:rsid w:val="00024186"/>
    <w:rsid w:val="0002418F"/>
    <w:rsid w:val="000241AA"/>
    <w:rsid w:val="000242C9"/>
    <w:rsid w:val="00024335"/>
    <w:rsid w:val="00024339"/>
    <w:rsid w:val="0002435E"/>
    <w:rsid w:val="0002437C"/>
    <w:rsid w:val="000243D2"/>
    <w:rsid w:val="000244B9"/>
    <w:rsid w:val="000244CD"/>
    <w:rsid w:val="000244F8"/>
    <w:rsid w:val="000244FE"/>
    <w:rsid w:val="00024593"/>
    <w:rsid w:val="0002460A"/>
    <w:rsid w:val="00024639"/>
    <w:rsid w:val="0002466B"/>
    <w:rsid w:val="00024697"/>
    <w:rsid w:val="000246EA"/>
    <w:rsid w:val="00024732"/>
    <w:rsid w:val="0002479A"/>
    <w:rsid w:val="0002482D"/>
    <w:rsid w:val="0002484C"/>
    <w:rsid w:val="000248CA"/>
    <w:rsid w:val="00024A3F"/>
    <w:rsid w:val="00024A5F"/>
    <w:rsid w:val="00024B36"/>
    <w:rsid w:val="00024B63"/>
    <w:rsid w:val="00024BE5"/>
    <w:rsid w:val="00024BF6"/>
    <w:rsid w:val="00024C04"/>
    <w:rsid w:val="00024C1A"/>
    <w:rsid w:val="00024C29"/>
    <w:rsid w:val="00024C9C"/>
    <w:rsid w:val="00024CAA"/>
    <w:rsid w:val="00024CDA"/>
    <w:rsid w:val="00024CE2"/>
    <w:rsid w:val="00024ECE"/>
    <w:rsid w:val="00024F3C"/>
    <w:rsid w:val="00024F3D"/>
    <w:rsid w:val="00024F8A"/>
    <w:rsid w:val="00024F99"/>
    <w:rsid w:val="00024FC0"/>
    <w:rsid w:val="00024FDF"/>
    <w:rsid w:val="000250B3"/>
    <w:rsid w:val="000250F1"/>
    <w:rsid w:val="0002511F"/>
    <w:rsid w:val="00025129"/>
    <w:rsid w:val="00025143"/>
    <w:rsid w:val="0002516B"/>
    <w:rsid w:val="0002516C"/>
    <w:rsid w:val="00025194"/>
    <w:rsid w:val="00025215"/>
    <w:rsid w:val="00025271"/>
    <w:rsid w:val="000252D5"/>
    <w:rsid w:val="00025353"/>
    <w:rsid w:val="000253B3"/>
    <w:rsid w:val="000253D5"/>
    <w:rsid w:val="000253E7"/>
    <w:rsid w:val="000253F9"/>
    <w:rsid w:val="000253FF"/>
    <w:rsid w:val="00025415"/>
    <w:rsid w:val="00025426"/>
    <w:rsid w:val="00025441"/>
    <w:rsid w:val="00025467"/>
    <w:rsid w:val="00025570"/>
    <w:rsid w:val="00025661"/>
    <w:rsid w:val="000256C3"/>
    <w:rsid w:val="000257AA"/>
    <w:rsid w:val="00025803"/>
    <w:rsid w:val="000258FB"/>
    <w:rsid w:val="00025963"/>
    <w:rsid w:val="00025978"/>
    <w:rsid w:val="000259A6"/>
    <w:rsid w:val="00025A04"/>
    <w:rsid w:val="00025A1E"/>
    <w:rsid w:val="00025AA2"/>
    <w:rsid w:val="00025BA8"/>
    <w:rsid w:val="00025C11"/>
    <w:rsid w:val="00025C92"/>
    <w:rsid w:val="00025CBF"/>
    <w:rsid w:val="00025D02"/>
    <w:rsid w:val="00025DE0"/>
    <w:rsid w:val="00025F05"/>
    <w:rsid w:val="00025F1D"/>
    <w:rsid w:val="00025F98"/>
    <w:rsid w:val="00025F9A"/>
    <w:rsid w:val="00025FD3"/>
    <w:rsid w:val="00025FE2"/>
    <w:rsid w:val="00026076"/>
    <w:rsid w:val="00026094"/>
    <w:rsid w:val="00026128"/>
    <w:rsid w:val="00026136"/>
    <w:rsid w:val="00026141"/>
    <w:rsid w:val="00026146"/>
    <w:rsid w:val="0002615E"/>
    <w:rsid w:val="00026165"/>
    <w:rsid w:val="0002621F"/>
    <w:rsid w:val="0002624B"/>
    <w:rsid w:val="000262D1"/>
    <w:rsid w:val="0002638B"/>
    <w:rsid w:val="0002644E"/>
    <w:rsid w:val="00026466"/>
    <w:rsid w:val="000265A9"/>
    <w:rsid w:val="000265AD"/>
    <w:rsid w:val="000265EA"/>
    <w:rsid w:val="000266B1"/>
    <w:rsid w:val="000266FB"/>
    <w:rsid w:val="00026762"/>
    <w:rsid w:val="00026799"/>
    <w:rsid w:val="0002680F"/>
    <w:rsid w:val="00026890"/>
    <w:rsid w:val="000268D9"/>
    <w:rsid w:val="0002693A"/>
    <w:rsid w:val="00026955"/>
    <w:rsid w:val="00026967"/>
    <w:rsid w:val="000269A4"/>
    <w:rsid w:val="000269B2"/>
    <w:rsid w:val="000269D2"/>
    <w:rsid w:val="000269D9"/>
    <w:rsid w:val="00026A10"/>
    <w:rsid w:val="00026A7B"/>
    <w:rsid w:val="00026AD9"/>
    <w:rsid w:val="00026B17"/>
    <w:rsid w:val="00026B44"/>
    <w:rsid w:val="00026B75"/>
    <w:rsid w:val="00026BEC"/>
    <w:rsid w:val="00026CC1"/>
    <w:rsid w:val="00026CEA"/>
    <w:rsid w:val="00026D0C"/>
    <w:rsid w:val="00026D56"/>
    <w:rsid w:val="00026E09"/>
    <w:rsid w:val="00026E80"/>
    <w:rsid w:val="00026F2B"/>
    <w:rsid w:val="00026F84"/>
    <w:rsid w:val="00026F9C"/>
    <w:rsid w:val="00027063"/>
    <w:rsid w:val="0002708E"/>
    <w:rsid w:val="000270DE"/>
    <w:rsid w:val="00027146"/>
    <w:rsid w:val="00027271"/>
    <w:rsid w:val="00027289"/>
    <w:rsid w:val="000272BE"/>
    <w:rsid w:val="000272E8"/>
    <w:rsid w:val="0002735F"/>
    <w:rsid w:val="000273C4"/>
    <w:rsid w:val="0002742D"/>
    <w:rsid w:val="00027499"/>
    <w:rsid w:val="000274BD"/>
    <w:rsid w:val="00027546"/>
    <w:rsid w:val="00027569"/>
    <w:rsid w:val="000275D9"/>
    <w:rsid w:val="00027653"/>
    <w:rsid w:val="00027662"/>
    <w:rsid w:val="000276B5"/>
    <w:rsid w:val="0002771F"/>
    <w:rsid w:val="0002779C"/>
    <w:rsid w:val="000277AE"/>
    <w:rsid w:val="000277B0"/>
    <w:rsid w:val="000277C7"/>
    <w:rsid w:val="000277D7"/>
    <w:rsid w:val="00027860"/>
    <w:rsid w:val="0002787B"/>
    <w:rsid w:val="000279E4"/>
    <w:rsid w:val="000279EF"/>
    <w:rsid w:val="00027A83"/>
    <w:rsid w:val="00027AA8"/>
    <w:rsid w:val="00027ADD"/>
    <w:rsid w:val="00027AF9"/>
    <w:rsid w:val="00027B0F"/>
    <w:rsid w:val="00027B8F"/>
    <w:rsid w:val="00027C17"/>
    <w:rsid w:val="00027C22"/>
    <w:rsid w:val="00027C4C"/>
    <w:rsid w:val="00027C6F"/>
    <w:rsid w:val="00027D20"/>
    <w:rsid w:val="00027D2F"/>
    <w:rsid w:val="00027D3F"/>
    <w:rsid w:val="00027D60"/>
    <w:rsid w:val="00027DF3"/>
    <w:rsid w:val="00027E67"/>
    <w:rsid w:val="00027F9F"/>
    <w:rsid w:val="00030056"/>
    <w:rsid w:val="0003005E"/>
    <w:rsid w:val="000300DB"/>
    <w:rsid w:val="0003011A"/>
    <w:rsid w:val="000301BD"/>
    <w:rsid w:val="000301F9"/>
    <w:rsid w:val="000302C3"/>
    <w:rsid w:val="00030320"/>
    <w:rsid w:val="0003032D"/>
    <w:rsid w:val="000303AD"/>
    <w:rsid w:val="00030434"/>
    <w:rsid w:val="000304E9"/>
    <w:rsid w:val="00030554"/>
    <w:rsid w:val="00030604"/>
    <w:rsid w:val="0003074C"/>
    <w:rsid w:val="000307AD"/>
    <w:rsid w:val="000307F2"/>
    <w:rsid w:val="00030A0F"/>
    <w:rsid w:val="00030A85"/>
    <w:rsid w:val="00030A97"/>
    <w:rsid w:val="00030A9F"/>
    <w:rsid w:val="00030AAF"/>
    <w:rsid w:val="00030AC5"/>
    <w:rsid w:val="00030AFF"/>
    <w:rsid w:val="00030B1A"/>
    <w:rsid w:val="00030B72"/>
    <w:rsid w:val="00030B97"/>
    <w:rsid w:val="00030BF6"/>
    <w:rsid w:val="00030C10"/>
    <w:rsid w:val="00030D06"/>
    <w:rsid w:val="00030DD0"/>
    <w:rsid w:val="00030E90"/>
    <w:rsid w:val="00030EA5"/>
    <w:rsid w:val="00030F8B"/>
    <w:rsid w:val="00031150"/>
    <w:rsid w:val="00031159"/>
    <w:rsid w:val="0003116D"/>
    <w:rsid w:val="00031190"/>
    <w:rsid w:val="000311B2"/>
    <w:rsid w:val="0003121C"/>
    <w:rsid w:val="00031359"/>
    <w:rsid w:val="0003138B"/>
    <w:rsid w:val="000313AC"/>
    <w:rsid w:val="000313F7"/>
    <w:rsid w:val="00031424"/>
    <w:rsid w:val="0003144E"/>
    <w:rsid w:val="00031455"/>
    <w:rsid w:val="0003149C"/>
    <w:rsid w:val="0003152E"/>
    <w:rsid w:val="0003153C"/>
    <w:rsid w:val="00031547"/>
    <w:rsid w:val="00031562"/>
    <w:rsid w:val="0003160B"/>
    <w:rsid w:val="0003163F"/>
    <w:rsid w:val="000316B0"/>
    <w:rsid w:val="00031741"/>
    <w:rsid w:val="000317F2"/>
    <w:rsid w:val="00031809"/>
    <w:rsid w:val="000318A0"/>
    <w:rsid w:val="00031916"/>
    <w:rsid w:val="00031991"/>
    <w:rsid w:val="00031998"/>
    <w:rsid w:val="00031AC9"/>
    <w:rsid w:val="00031B3A"/>
    <w:rsid w:val="00031BF0"/>
    <w:rsid w:val="00031C11"/>
    <w:rsid w:val="00031CE3"/>
    <w:rsid w:val="00031D42"/>
    <w:rsid w:val="00031D6A"/>
    <w:rsid w:val="00031EDC"/>
    <w:rsid w:val="00031FC7"/>
    <w:rsid w:val="00031FCE"/>
    <w:rsid w:val="0003201E"/>
    <w:rsid w:val="000320D5"/>
    <w:rsid w:val="0003213C"/>
    <w:rsid w:val="0003215D"/>
    <w:rsid w:val="000321B9"/>
    <w:rsid w:val="000322B7"/>
    <w:rsid w:val="000322C4"/>
    <w:rsid w:val="0003231B"/>
    <w:rsid w:val="0003231F"/>
    <w:rsid w:val="0003234A"/>
    <w:rsid w:val="000323BE"/>
    <w:rsid w:val="00032478"/>
    <w:rsid w:val="000325AB"/>
    <w:rsid w:val="000325B1"/>
    <w:rsid w:val="000325B2"/>
    <w:rsid w:val="000325BC"/>
    <w:rsid w:val="00032654"/>
    <w:rsid w:val="00032678"/>
    <w:rsid w:val="0003269E"/>
    <w:rsid w:val="000326E8"/>
    <w:rsid w:val="000326EF"/>
    <w:rsid w:val="00032760"/>
    <w:rsid w:val="00032773"/>
    <w:rsid w:val="00032775"/>
    <w:rsid w:val="00032795"/>
    <w:rsid w:val="000327A6"/>
    <w:rsid w:val="000327D7"/>
    <w:rsid w:val="000327F1"/>
    <w:rsid w:val="00032865"/>
    <w:rsid w:val="000328EB"/>
    <w:rsid w:val="000328F4"/>
    <w:rsid w:val="00032907"/>
    <w:rsid w:val="00032924"/>
    <w:rsid w:val="00032B7B"/>
    <w:rsid w:val="00032C71"/>
    <w:rsid w:val="00032CA8"/>
    <w:rsid w:val="00032D00"/>
    <w:rsid w:val="00032D4C"/>
    <w:rsid w:val="00032DB7"/>
    <w:rsid w:val="00032DEA"/>
    <w:rsid w:val="00032E7F"/>
    <w:rsid w:val="00032E87"/>
    <w:rsid w:val="00032F1C"/>
    <w:rsid w:val="0003307B"/>
    <w:rsid w:val="0003309A"/>
    <w:rsid w:val="0003311D"/>
    <w:rsid w:val="00033150"/>
    <w:rsid w:val="00033163"/>
    <w:rsid w:val="00033192"/>
    <w:rsid w:val="000331CA"/>
    <w:rsid w:val="000332B1"/>
    <w:rsid w:val="0003337C"/>
    <w:rsid w:val="0003339C"/>
    <w:rsid w:val="00033439"/>
    <w:rsid w:val="00033507"/>
    <w:rsid w:val="000335BC"/>
    <w:rsid w:val="00033629"/>
    <w:rsid w:val="0003364E"/>
    <w:rsid w:val="00033668"/>
    <w:rsid w:val="00033675"/>
    <w:rsid w:val="0003375C"/>
    <w:rsid w:val="0003375E"/>
    <w:rsid w:val="00033894"/>
    <w:rsid w:val="00033946"/>
    <w:rsid w:val="00033968"/>
    <w:rsid w:val="000339C9"/>
    <w:rsid w:val="00033A30"/>
    <w:rsid w:val="00033B11"/>
    <w:rsid w:val="00033B57"/>
    <w:rsid w:val="00033F91"/>
    <w:rsid w:val="00033F9D"/>
    <w:rsid w:val="0003406A"/>
    <w:rsid w:val="00034125"/>
    <w:rsid w:val="000341F2"/>
    <w:rsid w:val="0003429D"/>
    <w:rsid w:val="000342BA"/>
    <w:rsid w:val="00034391"/>
    <w:rsid w:val="000343EE"/>
    <w:rsid w:val="000343FF"/>
    <w:rsid w:val="0003449F"/>
    <w:rsid w:val="000344AE"/>
    <w:rsid w:val="00034500"/>
    <w:rsid w:val="0003454A"/>
    <w:rsid w:val="00034594"/>
    <w:rsid w:val="0003463C"/>
    <w:rsid w:val="000346C6"/>
    <w:rsid w:val="00034792"/>
    <w:rsid w:val="000347B3"/>
    <w:rsid w:val="000348AB"/>
    <w:rsid w:val="00034944"/>
    <w:rsid w:val="00034A00"/>
    <w:rsid w:val="00034A13"/>
    <w:rsid w:val="00034AF3"/>
    <w:rsid w:val="00034B3D"/>
    <w:rsid w:val="00034C31"/>
    <w:rsid w:val="00034CA2"/>
    <w:rsid w:val="00034D4F"/>
    <w:rsid w:val="00034D94"/>
    <w:rsid w:val="00034D95"/>
    <w:rsid w:val="00034DC5"/>
    <w:rsid w:val="00034E19"/>
    <w:rsid w:val="00034ED1"/>
    <w:rsid w:val="00034EE0"/>
    <w:rsid w:val="0003505B"/>
    <w:rsid w:val="0003510A"/>
    <w:rsid w:val="0003517F"/>
    <w:rsid w:val="00035293"/>
    <w:rsid w:val="00035341"/>
    <w:rsid w:val="00035390"/>
    <w:rsid w:val="00035520"/>
    <w:rsid w:val="000355DC"/>
    <w:rsid w:val="000355EC"/>
    <w:rsid w:val="00035657"/>
    <w:rsid w:val="00035663"/>
    <w:rsid w:val="00035740"/>
    <w:rsid w:val="000357E2"/>
    <w:rsid w:val="00035805"/>
    <w:rsid w:val="00035938"/>
    <w:rsid w:val="00035A92"/>
    <w:rsid w:val="00035BCC"/>
    <w:rsid w:val="00035BCF"/>
    <w:rsid w:val="00035C56"/>
    <w:rsid w:val="00035CB4"/>
    <w:rsid w:val="00035D24"/>
    <w:rsid w:val="00035E02"/>
    <w:rsid w:val="00035E3B"/>
    <w:rsid w:val="00035F16"/>
    <w:rsid w:val="00035F2E"/>
    <w:rsid w:val="00035FFB"/>
    <w:rsid w:val="000361C1"/>
    <w:rsid w:val="00036219"/>
    <w:rsid w:val="00036228"/>
    <w:rsid w:val="0003625A"/>
    <w:rsid w:val="00036293"/>
    <w:rsid w:val="000362C8"/>
    <w:rsid w:val="00036320"/>
    <w:rsid w:val="00036341"/>
    <w:rsid w:val="0003635C"/>
    <w:rsid w:val="0003642C"/>
    <w:rsid w:val="000364A8"/>
    <w:rsid w:val="000364C1"/>
    <w:rsid w:val="0003653F"/>
    <w:rsid w:val="00036583"/>
    <w:rsid w:val="000366D5"/>
    <w:rsid w:val="00036893"/>
    <w:rsid w:val="0003695E"/>
    <w:rsid w:val="00036ABD"/>
    <w:rsid w:val="00036AC5"/>
    <w:rsid w:val="00036C94"/>
    <w:rsid w:val="00036D20"/>
    <w:rsid w:val="00036DCE"/>
    <w:rsid w:val="00036DE2"/>
    <w:rsid w:val="00036DFB"/>
    <w:rsid w:val="00036E8A"/>
    <w:rsid w:val="00036EA4"/>
    <w:rsid w:val="00036EFF"/>
    <w:rsid w:val="00036F72"/>
    <w:rsid w:val="00036F85"/>
    <w:rsid w:val="00036FAA"/>
    <w:rsid w:val="00037025"/>
    <w:rsid w:val="00037064"/>
    <w:rsid w:val="000370A7"/>
    <w:rsid w:val="000370B5"/>
    <w:rsid w:val="000371AD"/>
    <w:rsid w:val="000371AE"/>
    <w:rsid w:val="0003727B"/>
    <w:rsid w:val="0003727D"/>
    <w:rsid w:val="0003729E"/>
    <w:rsid w:val="000372AA"/>
    <w:rsid w:val="0003738E"/>
    <w:rsid w:val="000373E8"/>
    <w:rsid w:val="00037401"/>
    <w:rsid w:val="0003741C"/>
    <w:rsid w:val="0003741F"/>
    <w:rsid w:val="0003744A"/>
    <w:rsid w:val="00037535"/>
    <w:rsid w:val="0003753A"/>
    <w:rsid w:val="000377B5"/>
    <w:rsid w:val="0003780B"/>
    <w:rsid w:val="00037817"/>
    <w:rsid w:val="000378AA"/>
    <w:rsid w:val="000378C2"/>
    <w:rsid w:val="000378DA"/>
    <w:rsid w:val="00037911"/>
    <w:rsid w:val="00037955"/>
    <w:rsid w:val="00037957"/>
    <w:rsid w:val="00037963"/>
    <w:rsid w:val="00037A14"/>
    <w:rsid w:val="00037A88"/>
    <w:rsid w:val="00037AB7"/>
    <w:rsid w:val="00037AFA"/>
    <w:rsid w:val="00037B1B"/>
    <w:rsid w:val="00037B37"/>
    <w:rsid w:val="00037B7F"/>
    <w:rsid w:val="00037CE5"/>
    <w:rsid w:val="00037D5B"/>
    <w:rsid w:val="00037D66"/>
    <w:rsid w:val="00037D9C"/>
    <w:rsid w:val="00037E3D"/>
    <w:rsid w:val="00037E42"/>
    <w:rsid w:val="00037F15"/>
    <w:rsid w:val="00040064"/>
    <w:rsid w:val="000400FE"/>
    <w:rsid w:val="00040176"/>
    <w:rsid w:val="0004024A"/>
    <w:rsid w:val="0004028E"/>
    <w:rsid w:val="00040327"/>
    <w:rsid w:val="0004033F"/>
    <w:rsid w:val="00040479"/>
    <w:rsid w:val="00040484"/>
    <w:rsid w:val="000405B3"/>
    <w:rsid w:val="0004062A"/>
    <w:rsid w:val="0004063F"/>
    <w:rsid w:val="0004066C"/>
    <w:rsid w:val="000406B8"/>
    <w:rsid w:val="000407FA"/>
    <w:rsid w:val="00040824"/>
    <w:rsid w:val="000408B5"/>
    <w:rsid w:val="000408ED"/>
    <w:rsid w:val="00040962"/>
    <w:rsid w:val="0004098E"/>
    <w:rsid w:val="00040A40"/>
    <w:rsid w:val="00040C12"/>
    <w:rsid w:val="00040C52"/>
    <w:rsid w:val="00040C7E"/>
    <w:rsid w:val="00040C9B"/>
    <w:rsid w:val="00040CC8"/>
    <w:rsid w:val="00040D03"/>
    <w:rsid w:val="00040D1F"/>
    <w:rsid w:val="00040D21"/>
    <w:rsid w:val="00040D31"/>
    <w:rsid w:val="00040E57"/>
    <w:rsid w:val="00040E65"/>
    <w:rsid w:val="00040EB3"/>
    <w:rsid w:val="00040F8C"/>
    <w:rsid w:val="00040FB9"/>
    <w:rsid w:val="00040FD7"/>
    <w:rsid w:val="00041066"/>
    <w:rsid w:val="000410EC"/>
    <w:rsid w:val="000411E0"/>
    <w:rsid w:val="0004121F"/>
    <w:rsid w:val="0004122D"/>
    <w:rsid w:val="0004127E"/>
    <w:rsid w:val="000412D1"/>
    <w:rsid w:val="00041307"/>
    <w:rsid w:val="00041386"/>
    <w:rsid w:val="000413E2"/>
    <w:rsid w:val="000414DF"/>
    <w:rsid w:val="00041505"/>
    <w:rsid w:val="00041591"/>
    <w:rsid w:val="0004166D"/>
    <w:rsid w:val="0004169C"/>
    <w:rsid w:val="00041732"/>
    <w:rsid w:val="0004175F"/>
    <w:rsid w:val="000417D0"/>
    <w:rsid w:val="00041856"/>
    <w:rsid w:val="000418DA"/>
    <w:rsid w:val="00041904"/>
    <w:rsid w:val="0004196F"/>
    <w:rsid w:val="000419F2"/>
    <w:rsid w:val="00041A9F"/>
    <w:rsid w:val="00041AA2"/>
    <w:rsid w:val="00041B00"/>
    <w:rsid w:val="00041C30"/>
    <w:rsid w:val="00041D4E"/>
    <w:rsid w:val="00041D6A"/>
    <w:rsid w:val="00041DEC"/>
    <w:rsid w:val="00041E1D"/>
    <w:rsid w:val="00042092"/>
    <w:rsid w:val="000420B6"/>
    <w:rsid w:val="00042112"/>
    <w:rsid w:val="00042163"/>
    <w:rsid w:val="00042228"/>
    <w:rsid w:val="00042270"/>
    <w:rsid w:val="000423B5"/>
    <w:rsid w:val="00042461"/>
    <w:rsid w:val="00042476"/>
    <w:rsid w:val="000424FA"/>
    <w:rsid w:val="000425DB"/>
    <w:rsid w:val="000425DD"/>
    <w:rsid w:val="000425F5"/>
    <w:rsid w:val="0004289D"/>
    <w:rsid w:val="00042950"/>
    <w:rsid w:val="0004299F"/>
    <w:rsid w:val="000429CC"/>
    <w:rsid w:val="00042A54"/>
    <w:rsid w:val="00042A71"/>
    <w:rsid w:val="00042B37"/>
    <w:rsid w:val="00042B63"/>
    <w:rsid w:val="00042BA0"/>
    <w:rsid w:val="00042CE9"/>
    <w:rsid w:val="00042D17"/>
    <w:rsid w:val="00042D31"/>
    <w:rsid w:val="00042DC4"/>
    <w:rsid w:val="00042E90"/>
    <w:rsid w:val="00042E9D"/>
    <w:rsid w:val="00042EA0"/>
    <w:rsid w:val="00042EF8"/>
    <w:rsid w:val="00042F23"/>
    <w:rsid w:val="00043001"/>
    <w:rsid w:val="0004305D"/>
    <w:rsid w:val="00043082"/>
    <w:rsid w:val="000430B5"/>
    <w:rsid w:val="000430E1"/>
    <w:rsid w:val="000430E3"/>
    <w:rsid w:val="00043181"/>
    <w:rsid w:val="000431B1"/>
    <w:rsid w:val="000431C7"/>
    <w:rsid w:val="000432D4"/>
    <w:rsid w:val="000432F0"/>
    <w:rsid w:val="00043321"/>
    <w:rsid w:val="00043328"/>
    <w:rsid w:val="0004332F"/>
    <w:rsid w:val="00043386"/>
    <w:rsid w:val="000433CB"/>
    <w:rsid w:val="0004341E"/>
    <w:rsid w:val="0004345D"/>
    <w:rsid w:val="0004347F"/>
    <w:rsid w:val="000434EC"/>
    <w:rsid w:val="0004355E"/>
    <w:rsid w:val="000435A1"/>
    <w:rsid w:val="000435A7"/>
    <w:rsid w:val="000435D2"/>
    <w:rsid w:val="00043678"/>
    <w:rsid w:val="00043768"/>
    <w:rsid w:val="000437DD"/>
    <w:rsid w:val="00043832"/>
    <w:rsid w:val="00043856"/>
    <w:rsid w:val="00043892"/>
    <w:rsid w:val="000438D6"/>
    <w:rsid w:val="0004391D"/>
    <w:rsid w:val="00043949"/>
    <w:rsid w:val="00043A05"/>
    <w:rsid w:val="00043A90"/>
    <w:rsid w:val="00043B7C"/>
    <w:rsid w:val="00043BA6"/>
    <w:rsid w:val="00043BB7"/>
    <w:rsid w:val="00043BC6"/>
    <w:rsid w:val="00043C04"/>
    <w:rsid w:val="00043C11"/>
    <w:rsid w:val="00043C9A"/>
    <w:rsid w:val="00043CFF"/>
    <w:rsid w:val="00043E01"/>
    <w:rsid w:val="00043E69"/>
    <w:rsid w:val="00043FC1"/>
    <w:rsid w:val="0004402E"/>
    <w:rsid w:val="00044030"/>
    <w:rsid w:val="00044032"/>
    <w:rsid w:val="0004410B"/>
    <w:rsid w:val="00044168"/>
    <w:rsid w:val="00044175"/>
    <w:rsid w:val="000441B4"/>
    <w:rsid w:val="0004426E"/>
    <w:rsid w:val="00044328"/>
    <w:rsid w:val="0004434C"/>
    <w:rsid w:val="000443C7"/>
    <w:rsid w:val="000443C9"/>
    <w:rsid w:val="00044488"/>
    <w:rsid w:val="0004451E"/>
    <w:rsid w:val="00044561"/>
    <w:rsid w:val="000446CB"/>
    <w:rsid w:val="000447F3"/>
    <w:rsid w:val="00044869"/>
    <w:rsid w:val="000448E2"/>
    <w:rsid w:val="00044927"/>
    <w:rsid w:val="000449F8"/>
    <w:rsid w:val="00044A09"/>
    <w:rsid w:val="00044A37"/>
    <w:rsid w:val="00044A7B"/>
    <w:rsid w:val="00044A81"/>
    <w:rsid w:val="00044A85"/>
    <w:rsid w:val="00044ABD"/>
    <w:rsid w:val="00044B1A"/>
    <w:rsid w:val="00044C9C"/>
    <w:rsid w:val="00044D05"/>
    <w:rsid w:val="00044DAA"/>
    <w:rsid w:val="00044DF6"/>
    <w:rsid w:val="00044E2D"/>
    <w:rsid w:val="00044E86"/>
    <w:rsid w:val="00044F0F"/>
    <w:rsid w:val="00045009"/>
    <w:rsid w:val="000450DF"/>
    <w:rsid w:val="00045120"/>
    <w:rsid w:val="00045188"/>
    <w:rsid w:val="000451D0"/>
    <w:rsid w:val="000452BD"/>
    <w:rsid w:val="000452E2"/>
    <w:rsid w:val="0004537E"/>
    <w:rsid w:val="00045439"/>
    <w:rsid w:val="0004548D"/>
    <w:rsid w:val="000454DE"/>
    <w:rsid w:val="00045501"/>
    <w:rsid w:val="00045527"/>
    <w:rsid w:val="000455E2"/>
    <w:rsid w:val="0004560F"/>
    <w:rsid w:val="00045792"/>
    <w:rsid w:val="00045848"/>
    <w:rsid w:val="00045917"/>
    <w:rsid w:val="0004593B"/>
    <w:rsid w:val="00045A27"/>
    <w:rsid w:val="00045B8F"/>
    <w:rsid w:val="00045C4B"/>
    <w:rsid w:val="00045D9D"/>
    <w:rsid w:val="00045DC0"/>
    <w:rsid w:val="00045DC4"/>
    <w:rsid w:val="00045DEA"/>
    <w:rsid w:val="00045DF6"/>
    <w:rsid w:val="00045E1D"/>
    <w:rsid w:val="00045E71"/>
    <w:rsid w:val="00045EFF"/>
    <w:rsid w:val="00045F77"/>
    <w:rsid w:val="00045FD3"/>
    <w:rsid w:val="00045FE0"/>
    <w:rsid w:val="0004600F"/>
    <w:rsid w:val="000462B8"/>
    <w:rsid w:val="00046333"/>
    <w:rsid w:val="0004640E"/>
    <w:rsid w:val="00046417"/>
    <w:rsid w:val="0004645F"/>
    <w:rsid w:val="0004647F"/>
    <w:rsid w:val="00046622"/>
    <w:rsid w:val="0004667C"/>
    <w:rsid w:val="00046786"/>
    <w:rsid w:val="000467C8"/>
    <w:rsid w:val="00046822"/>
    <w:rsid w:val="000468CB"/>
    <w:rsid w:val="000468E2"/>
    <w:rsid w:val="000469BD"/>
    <w:rsid w:val="000469DE"/>
    <w:rsid w:val="00046AC5"/>
    <w:rsid w:val="00046B2C"/>
    <w:rsid w:val="00046BB6"/>
    <w:rsid w:val="00046BB9"/>
    <w:rsid w:val="00046C3C"/>
    <w:rsid w:val="00046CD5"/>
    <w:rsid w:val="00046D58"/>
    <w:rsid w:val="00046DB3"/>
    <w:rsid w:val="00046DDD"/>
    <w:rsid w:val="00046E06"/>
    <w:rsid w:val="00046E50"/>
    <w:rsid w:val="00046F32"/>
    <w:rsid w:val="00046F98"/>
    <w:rsid w:val="00046FBA"/>
    <w:rsid w:val="00046FE6"/>
    <w:rsid w:val="000470D7"/>
    <w:rsid w:val="00047197"/>
    <w:rsid w:val="000471D4"/>
    <w:rsid w:val="000471FA"/>
    <w:rsid w:val="000473DE"/>
    <w:rsid w:val="000473E1"/>
    <w:rsid w:val="00047483"/>
    <w:rsid w:val="0004748D"/>
    <w:rsid w:val="00047492"/>
    <w:rsid w:val="000474D5"/>
    <w:rsid w:val="000474EC"/>
    <w:rsid w:val="000474F2"/>
    <w:rsid w:val="00047629"/>
    <w:rsid w:val="00047666"/>
    <w:rsid w:val="000477E4"/>
    <w:rsid w:val="000478B1"/>
    <w:rsid w:val="0004791A"/>
    <w:rsid w:val="0004792F"/>
    <w:rsid w:val="0004793C"/>
    <w:rsid w:val="00047996"/>
    <w:rsid w:val="000479D8"/>
    <w:rsid w:val="00047A35"/>
    <w:rsid w:val="00047B8C"/>
    <w:rsid w:val="00047B95"/>
    <w:rsid w:val="00047C31"/>
    <w:rsid w:val="00047C6C"/>
    <w:rsid w:val="00047CA1"/>
    <w:rsid w:val="00047CC8"/>
    <w:rsid w:val="00047CE1"/>
    <w:rsid w:val="00047DC8"/>
    <w:rsid w:val="00047E01"/>
    <w:rsid w:val="00047F90"/>
    <w:rsid w:val="000500BA"/>
    <w:rsid w:val="00050116"/>
    <w:rsid w:val="00050147"/>
    <w:rsid w:val="0005023D"/>
    <w:rsid w:val="00050262"/>
    <w:rsid w:val="0005026B"/>
    <w:rsid w:val="000502E0"/>
    <w:rsid w:val="000503CF"/>
    <w:rsid w:val="000504EF"/>
    <w:rsid w:val="00050513"/>
    <w:rsid w:val="000505F9"/>
    <w:rsid w:val="0005060E"/>
    <w:rsid w:val="00050647"/>
    <w:rsid w:val="00050648"/>
    <w:rsid w:val="0005065C"/>
    <w:rsid w:val="00050832"/>
    <w:rsid w:val="000508A3"/>
    <w:rsid w:val="0005097C"/>
    <w:rsid w:val="00050982"/>
    <w:rsid w:val="000509F2"/>
    <w:rsid w:val="00050A46"/>
    <w:rsid w:val="00050A85"/>
    <w:rsid w:val="00050AAF"/>
    <w:rsid w:val="00050B05"/>
    <w:rsid w:val="00050B06"/>
    <w:rsid w:val="00050BD5"/>
    <w:rsid w:val="00050C08"/>
    <w:rsid w:val="00050C2A"/>
    <w:rsid w:val="00050C58"/>
    <w:rsid w:val="00050C7A"/>
    <w:rsid w:val="00050CB0"/>
    <w:rsid w:val="00050DD6"/>
    <w:rsid w:val="00050F27"/>
    <w:rsid w:val="00050F51"/>
    <w:rsid w:val="00050F84"/>
    <w:rsid w:val="00050FA4"/>
    <w:rsid w:val="00051232"/>
    <w:rsid w:val="00051398"/>
    <w:rsid w:val="000513CE"/>
    <w:rsid w:val="00051406"/>
    <w:rsid w:val="0005140A"/>
    <w:rsid w:val="00051484"/>
    <w:rsid w:val="0005148B"/>
    <w:rsid w:val="00051499"/>
    <w:rsid w:val="00051560"/>
    <w:rsid w:val="0005157D"/>
    <w:rsid w:val="000515E1"/>
    <w:rsid w:val="00051603"/>
    <w:rsid w:val="00051653"/>
    <w:rsid w:val="000516B4"/>
    <w:rsid w:val="0005177A"/>
    <w:rsid w:val="000517D8"/>
    <w:rsid w:val="000517F0"/>
    <w:rsid w:val="00051A34"/>
    <w:rsid w:val="00051A3D"/>
    <w:rsid w:val="00051A85"/>
    <w:rsid w:val="00051BAE"/>
    <w:rsid w:val="00051BFE"/>
    <w:rsid w:val="00051C24"/>
    <w:rsid w:val="00051DC3"/>
    <w:rsid w:val="00051DCE"/>
    <w:rsid w:val="00052052"/>
    <w:rsid w:val="00052071"/>
    <w:rsid w:val="00052085"/>
    <w:rsid w:val="000520AC"/>
    <w:rsid w:val="00052113"/>
    <w:rsid w:val="0005213D"/>
    <w:rsid w:val="00052153"/>
    <w:rsid w:val="00052189"/>
    <w:rsid w:val="000521DF"/>
    <w:rsid w:val="0005225A"/>
    <w:rsid w:val="0005227E"/>
    <w:rsid w:val="000522CB"/>
    <w:rsid w:val="000523D9"/>
    <w:rsid w:val="000523EA"/>
    <w:rsid w:val="0005240F"/>
    <w:rsid w:val="00052465"/>
    <w:rsid w:val="000524B1"/>
    <w:rsid w:val="000524EC"/>
    <w:rsid w:val="000524FE"/>
    <w:rsid w:val="00052561"/>
    <w:rsid w:val="000525A3"/>
    <w:rsid w:val="000525FF"/>
    <w:rsid w:val="0005264C"/>
    <w:rsid w:val="00052674"/>
    <w:rsid w:val="000526D5"/>
    <w:rsid w:val="00052738"/>
    <w:rsid w:val="00052781"/>
    <w:rsid w:val="00052798"/>
    <w:rsid w:val="000527FB"/>
    <w:rsid w:val="00052847"/>
    <w:rsid w:val="00052887"/>
    <w:rsid w:val="0005292B"/>
    <w:rsid w:val="000529A5"/>
    <w:rsid w:val="00052A0D"/>
    <w:rsid w:val="00052A16"/>
    <w:rsid w:val="00052B5C"/>
    <w:rsid w:val="00052C74"/>
    <w:rsid w:val="00052C91"/>
    <w:rsid w:val="00052E47"/>
    <w:rsid w:val="00052E90"/>
    <w:rsid w:val="00052FE1"/>
    <w:rsid w:val="000530F7"/>
    <w:rsid w:val="0005323E"/>
    <w:rsid w:val="0005324A"/>
    <w:rsid w:val="0005324C"/>
    <w:rsid w:val="0005326E"/>
    <w:rsid w:val="0005327A"/>
    <w:rsid w:val="000534C5"/>
    <w:rsid w:val="0005350A"/>
    <w:rsid w:val="0005359E"/>
    <w:rsid w:val="000535B1"/>
    <w:rsid w:val="00053677"/>
    <w:rsid w:val="0005377B"/>
    <w:rsid w:val="0005396C"/>
    <w:rsid w:val="00053A5D"/>
    <w:rsid w:val="00053B36"/>
    <w:rsid w:val="00053B77"/>
    <w:rsid w:val="00053D7C"/>
    <w:rsid w:val="00053DB7"/>
    <w:rsid w:val="00053DBF"/>
    <w:rsid w:val="00053EBD"/>
    <w:rsid w:val="00053EDA"/>
    <w:rsid w:val="00053F82"/>
    <w:rsid w:val="00054036"/>
    <w:rsid w:val="0005411D"/>
    <w:rsid w:val="00054186"/>
    <w:rsid w:val="0005418A"/>
    <w:rsid w:val="0005428B"/>
    <w:rsid w:val="000542C1"/>
    <w:rsid w:val="00054302"/>
    <w:rsid w:val="00054315"/>
    <w:rsid w:val="00054329"/>
    <w:rsid w:val="00054462"/>
    <w:rsid w:val="0005447F"/>
    <w:rsid w:val="00054485"/>
    <w:rsid w:val="000544AA"/>
    <w:rsid w:val="000544AC"/>
    <w:rsid w:val="000544DB"/>
    <w:rsid w:val="00054584"/>
    <w:rsid w:val="000545AD"/>
    <w:rsid w:val="000545B8"/>
    <w:rsid w:val="000546AB"/>
    <w:rsid w:val="000546E2"/>
    <w:rsid w:val="000546E9"/>
    <w:rsid w:val="000546F5"/>
    <w:rsid w:val="0005472B"/>
    <w:rsid w:val="0005476C"/>
    <w:rsid w:val="0005476E"/>
    <w:rsid w:val="0005480C"/>
    <w:rsid w:val="000548B1"/>
    <w:rsid w:val="000548F1"/>
    <w:rsid w:val="000548FA"/>
    <w:rsid w:val="0005495F"/>
    <w:rsid w:val="0005498A"/>
    <w:rsid w:val="00054AB5"/>
    <w:rsid w:val="00054B5A"/>
    <w:rsid w:val="00054C61"/>
    <w:rsid w:val="00054D99"/>
    <w:rsid w:val="00054EDD"/>
    <w:rsid w:val="00054EF0"/>
    <w:rsid w:val="00054F6A"/>
    <w:rsid w:val="00054F70"/>
    <w:rsid w:val="00054FEE"/>
    <w:rsid w:val="000550BF"/>
    <w:rsid w:val="00055116"/>
    <w:rsid w:val="00055186"/>
    <w:rsid w:val="000551E4"/>
    <w:rsid w:val="0005524B"/>
    <w:rsid w:val="0005526C"/>
    <w:rsid w:val="0005527D"/>
    <w:rsid w:val="00055284"/>
    <w:rsid w:val="000553F5"/>
    <w:rsid w:val="00055403"/>
    <w:rsid w:val="0005542B"/>
    <w:rsid w:val="000554EE"/>
    <w:rsid w:val="000555DB"/>
    <w:rsid w:val="000555F8"/>
    <w:rsid w:val="00055607"/>
    <w:rsid w:val="000556C8"/>
    <w:rsid w:val="00055747"/>
    <w:rsid w:val="000557BE"/>
    <w:rsid w:val="000557F5"/>
    <w:rsid w:val="00055853"/>
    <w:rsid w:val="000558E6"/>
    <w:rsid w:val="00055903"/>
    <w:rsid w:val="00055A07"/>
    <w:rsid w:val="00055A0B"/>
    <w:rsid w:val="00055A6A"/>
    <w:rsid w:val="00055B17"/>
    <w:rsid w:val="00055B5C"/>
    <w:rsid w:val="00055BFF"/>
    <w:rsid w:val="00055C80"/>
    <w:rsid w:val="00055CDE"/>
    <w:rsid w:val="00055CEB"/>
    <w:rsid w:val="00055D1D"/>
    <w:rsid w:val="00055D1F"/>
    <w:rsid w:val="00055D9F"/>
    <w:rsid w:val="00055DA1"/>
    <w:rsid w:val="00055DAA"/>
    <w:rsid w:val="00055DAF"/>
    <w:rsid w:val="00055E97"/>
    <w:rsid w:val="00055EEC"/>
    <w:rsid w:val="00055F8A"/>
    <w:rsid w:val="0005608E"/>
    <w:rsid w:val="000560A2"/>
    <w:rsid w:val="000560FD"/>
    <w:rsid w:val="0005613A"/>
    <w:rsid w:val="0005613F"/>
    <w:rsid w:val="0005616A"/>
    <w:rsid w:val="000561AA"/>
    <w:rsid w:val="000561CE"/>
    <w:rsid w:val="00056206"/>
    <w:rsid w:val="00056223"/>
    <w:rsid w:val="000562F9"/>
    <w:rsid w:val="00056330"/>
    <w:rsid w:val="000563E5"/>
    <w:rsid w:val="000563F5"/>
    <w:rsid w:val="0005644B"/>
    <w:rsid w:val="0005646F"/>
    <w:rsid w:val="000566F6"/>
    <w:rsid w:val="00056713"/>
    <w:rsid w:val="00056770"/>
    <w:rsid w:val="000567AD"/>
    <w:rsid w:val="0005687F"/>
    <w:rsid w:val="00056896"/>
    <w:rsid w:val="00056992"/>
    <w:rsid w:val="000569FE"/>
    <w:rsid w:val="00056A7F"/>
    <w:rsid w:val="00056AFA"/>
    <w:rsid w:val="00056BE7"/>
    <w:rsid w:val="00056C8C"/>
    <w:rsid w:val="00056D48"/>
    <w:rsid w:val="00056DDA"/>
    <w:rsid w:val="00056E7F"/>
    <w:rsid w:val="00056EE8"/>
    <w:rsid w:val="00056F94"/>
    <w:rsid w:val="00056FA5"/>
    <w:rsid w:val="0005706C"/>
    <w:rsid w:val="00057087"/>
    <w:rsid w:val="000570C1"/>
    <w:rsid w:val="000570EC"/>
    <w:rsid w:val="00057118"/>
    <w:rsid w:val="0005718D"/>
    <w:rsid w:val="00057246"/>
    <w:rsid w:val="00057275"/>
    <w:rsid w:val="00057375"/>
    <w:rsid w:val="000573AD"/>
    <w:rsid w:val="0005759B"/>
    <w:rsid w:val="00057628"/>
    <w:rsid w:val="00057633"/>
    <w:rsid w:val="00057659"/>
    <w:rsid w:val="00057677"/>
    <w:rsid w:val="00057733"/>
    <w:rsid w:val="00057773"/>
    <w:rsid w:val="00057784"/>
    <w:rsid w:val="000577BC"/>
    <w:rsid w:val="000577FA"/>
    <w:rsid w:val="00057827"/>
    <w:rsid w:val="0005788C"/>
    <w:rsid w:val="000578BD"/>
    <w:rsid w:val="000578EA"/>
    <w:rsid w:val="00057926"/>
    <w:rsid w:val="00057940"/>
    <w:rsid w:val="000579B9"/>
    <w:rsid w:val="00057A8C"/>
    <w:rsid w:val="00057AD4"/>
    <w:rsid w:val="00057B4D"/>
    <w:rsid w:val="00057B67"/>
    <w:rsid w:val="00057BA9"/>
    <w:rsid w:val="00057BBB"/>
    <w:rsid w:val="00057C23"/>
    <w:rsid w:val="00057CD1"/>
    <w:rsid w:val="00057D74"/>
    <w:rsid w:val="00057DFE"/>
    <w:rsid w:val="0005E7D1"/>
    <w:rsid w:val="00060016"/>
    <w:rsid w:val="000600C6"/>
    <w:rsid w:val="00060125"/>
    <w:rsid w:val="0006019B"/>
    <w:rsid w:val="000601DA"/>
    <w:rsid w:val="000602CB"/>
    <w:rsid w:val="0006032B"/>
    <w:rsid w:val="0006032C"/>
    <w:rsid w:val="00060370"/>
    <w:rsid w:val="000604F2"/>
    <w:rsid w:val="00060503"/>
    <w:rsid w:val="00060504"/>
    <w:rsid w:val="0006056A"/>
    <w:rsid w:val="000605E0"/>
    <w:rsid w:val="0006064B"/>
    <w:rsid w:val="00060677"/>
    <w:rsid w:val="000606E2"/>
    <w:rsid w:val="000606E5"/>
    <w:rsid w:val="00060813"/>
    <w:rsid w:val="00060852"/>
    <w:rsid w:val="000609A4"/>
    <w:rsid w:val="00060A55"/>
    <w:rsid w:val="00060AA0"/>
    <w:rsid w:val="00060B06"/>
    <w:rsid w:val="00060B98"/>
    <w:rsid w:val="00060C4A"/>
    <w:rsid w:val="00060C78"/>
    <w:rsid w:val="00060CCA"/>
    <w:rsid w:val="00060DCE"/>
    <w:rsid w:val="00060DFF"/>
    <w:rsid w:val="00060E79"/>
    <w:rsid w:val="00060F33"/>
    <w:rsid w:val="00060F6C"/>
    <w:rsid w:val="00060F73"/>
    <w:rsid w:val="00060F78"/>
    <w:rsid w:val="00060FB6"/>
    <w:rsid w:val="00060FCC"/>
    <w:rsid w:val="00060FDA"/>
    <w:rsid w:val="00060FE7"/>
    <w:rsid w:val="00060FFE"/>
    <w:rsid w:val="00061058"/>
    <w:rsid w:val="000610EB"/>
    <w:rsid w:val="00061139"/>
    <w:rsid w:val="00061276"/>
    <w:rsid w:val="000612F6"/>
    <w:rsid w:val="0006132E"/>
    <w:rsid w:val="00061363"/>
    <w:rsid w:val="000613E5"/>
    <w:rsid w:val="00061422"/>
    <w:rsid w:val="000614BF"/>
    <w:rsid w:val="000614D3"/>
    <w:rsid w:val="0006158C"/>
    <w:rsid w:val="00061607"/>
    <w:rsid w:val="0006161F"/>
    <w:rsid w:val="00061620"/>
    <w:rsid w:val="000616F5"/>
    <w:rsid w:val="0006170F"/>
    <w:rsid w:val="00061767"/>
    <w:rsid w:val="000617A3"/>
    <w:rsid w:val="000617A8"/>
    <w:rsid w:val="000618A6"/>
    <w:rsid w:val="000618CB"/>
    <w:rsid w:val="000618E1"/>
    <w:rsid w:val="000618FF"/>
    <w:rsid w:val="00061920"/>
    <w:rsid w:val="00061946"/>
    <w:rsid w:val="0006198F"/>
    <w:rsid w:val="000619B2"/>
    <w:rsid w:val="00061A35"/>
    <w:rsid w:val="00061B79"/>
    <w:rsid w:val="00061BEE"/>
    <w:rsid w:val="00061C28"/>
    <w:rsid w:val="00061CA7"/>
    <w:rsid w:val="00061CA8"/>
    <w:rsid w:val="00061D36"/>
    <w:rsid w:val="00061D7C"/>
    <w:rsid w:val="00061DC7"/>
    <w:rsid w:val="00061DDC"/>
    <w:rsid w:val="00061DE0"/>
    <w:rsid w:val="00061E77"/>
    <w:rsid w:val="00061E7C"/>
    <w:rsid w:val="00061EFD"/>
    <w:rsid w:val="00061F23"/>
    <w:rsid w:val="000620B3"/>
    <w:rsid w:val="000621A5"/>
    <w:rsid w:val="00062239"/>
    <w:rsid w:val="00062274"/>
    <w:rsid w:val="00062295"/>
    <w:rsid w:val="000622AD"/>
    <w:rsid w:val="000622BF"/>
    <w:rsid w:val="00062391"/>
    <w:rsid w:val="0006250F"/>
    <w:rsid w:val="0006251C"/>
    <w:rsid w:val="0006255B"/>
    <w:rsid w:val="0006263F"/>
    <w:rsid w:val="00062686"/>
    <w:rsid w:val="000626E8"/>
    <w:rsid w:val="00062703"/>
    <w:rsid w:val="000627DD"/>
    <w:rsid w:val="000627FB"/>
    <w:rsid w:val="00062831"/>
    <w:rsid w:val="000629B0"/>
    <w:rsid w:val="00062A65"/>
    <w:rsid w:val="00062AED"/>
    <w:rsid w:val="00062C26"/>
    <w:rsid w:val="00062C62"/>
    <w:rsid w:val="00062CB0"/>
    <w:rsid w:val="00062D58"/>
    <w:rsid w:val="00062DDB"/>
    <w:rsid w:val="00062EA7"/>
    <w:rsid w:val="00062FDC"/>
    <w:rsid w:val="00063003"/>
    <w:rsid w:val="0006300F"/>
    <w:rsid w:val="00063071"/>
    <w:rsid w:val="0006307F"/>
    <w:rsid w:val="0006310D"/>
    <w:rsid w:val="00063118"/>
    <w:rsid w:val="0006314A"/>
    <w:rsid w:val="00063165"/>
    <w:rsid w:val="0006316A"/>
    <w:rsid w:val="0006317E"/>
    <w:rsid w:val="000631D3"/>
    <w:rsid w:val="000632E7"/>
    <w:rsid w:val="00063345"/>
    <w:rsid w:val="0006334B"/>
    <w:rsid w:val="000633AF"/>
    <w:rsid w:val="000633DB"/>
    <w:rsid w:val="00063404"/>
    <w:rsid w:val="00063416"/>
    <w:rsid w:val="0006345B"/>
    <w:rsid w:val="0006351B"/>
    <w:rsid w:val="00063538"/>
    <w:rsid w:val="00063583"/>
    <w:rsid w:val="000635B6"/>
    <w:rsid w:val="000635FB"/>
    <w:rsid w:val="00063623"/>
    <w:rsid w:val="0006363A"/>
    <w:rsid w:val="000636A3"/>
    <w:rsid w:val="000636BB"/>
    <w:rsid w:val="000636C6"/>
    <w:rsid w:val="000637BB"/>
    <w:rsid w:val="0006391A"/>
    <w:rsid w:val="0006395F"/>
    <w:rsid w:val="00063A24"/>
    <w:rsid w:val="00063A3C"/>
    <w:rsid w:val="00063A48"/>
    <w:rsid w:val="00063A69"/>
    <w:rsid w:val="00063A6C"/>
    <w:rsid w:val="00063A7D"/>
    <w:rsid w:val="00063A8D"/>
    <w:rsid w:val="00063AC8"/>
    <w:rsid w:val="00063AD8"/>
    <w:rsid w:val="00063BDC"/>
    <w:rsid w:val="00063C54"/>
    <w:rsid w:val="00063C7C"/>
    <w:rsid w:val="00063C9B"/>
    <w:rsid w:val="00063D05"/>
    <w:rsid w:val="00063D34"/>
    <w:rsid w:val="00063DC1"/>
    <w:rsid w:val="00063DF3"/>
    <w:rsid w:val="00063E8A"/>
    <w:rsid w:val="00063EA4"/>
    <w:rsid w:val="00063EA8"/>
    <w:rsid w:val="00063EC5"/>
    <w:rsid w:val="00063EDF"/>
    <w:rsid w:val="00063F2B"/>
    <w:rsid w:val="00063F43"/>
    <w:rsid w:val="00063F7F"/>
    <w:rsid w:val="00063F97"/>
    <w:rsid w:val="00063FFE"/>
    <w:rsid w:val="0006403F"/>
    <w:rsid w:val="000640A0"/>
    <w:rsid w:val="0006414E"/>
    <w:rsid w:val="00064162"/>
    <w:rsid w:val="000641AE"/>
    <w:rsid w:val="000641F7"/>
    <w:rsid w:val="0006425A"/>
    <w:rsid w:val="000642A5"/>
    <w:rsid w:val="000642B6"/>
    <w:rsid w:val="00064439"/>
    <w:rsid w:val="0006449B"/>
    <w:rsid w:val="000644F3"/>
    <w:rsid w:val="00064509"/>
    <w:rsid w:val="00064576"/>
    <w:rsid w:val="000645DC"/>
    <w:rsid w:val="00064605"/>
    <w:rsid w:val="00064608"/>
    <w:rsid w:val="0006460C"/>
    <w:rsid w:val="0006464A"/>
    <w:rsid w:val="00064709"/>
    <w:rsid w:val="00064723"/>
    <w:rsid w:val="0006475E"/>
    <w:rsid w:val="00064775"/>
    <w:rsid w:val="0006488D"/>
    <w:rsid w:val="000648BB"/>
    <w:rsid w:val="000648DF"/>
    <w:rsid w:val="000648F6"/>
    <w:rsid w:val="00064934"/>
    <w:rsid w:val="00064962"/>
    <w:rsid w:val="000649FE"/>
    <w:rsid w:val="00064AF1"/>
    <w:rsid w:val="00064AF8"/>
    <w:rsid w:val="00064B17"/>
    <w:rsid w:val="00064BDC"/>
    <w:rsid w:val="00064BF0"/>
    <w:rsid w:val="00064D76"/>
    <w:rsid w:val="00064ECE"/>
    <w:rsid w:val="00064FC7"/>
    <w:rsid w:val="00065078"/>
    <w:rsid w:val="000650EF"/>
    <w:rsid w:val="000651D2"/>
    <w:rsid w:val="00065210"/>
    <w:rsid w:val="0006525D"/>
    <w:rsid w:val="0006525F"/>
    <w:rsid w:val="000652EF"/>
    <w:rsid w:val="00065300"/>
    <w:rsid w:val="00065327"/>
    <w:rsid w:val="000653D8"/>
    <w:rsid w:val="000653F1"/>
    <w:rsid w:val="0006545B"/>
    <w:rsid w:val="000654C8"/>
    <w:rsid w:val="000654CA"/>
    <w:rsid w:val="000654E4"/>
    <w:rsid w:val="000654EC"/>
    <w:rsid w:val="000654F8"/>
    <w:rsid w:val="00065519"/>
    <w:rsid w:val="00065609"/>
    <w:rsid w:val="00065784"/>
    <w:rsid w:val="000657A8"/>
    <w:rsid w:val="000657AB"/>
    <w:rsid w:val="000657D3"/>
    <w:rsid w:val="000658E1"/>
    <w:rsid w:val="000659AC"/>
    <w:rsid w:val="00065A1A"/>
    <w:rsid w:val="00065D05"/>
    <w:rsid w:val="00065D4B"/>
    <w:rsid w:val="00065D6D"/>
    <w:rsid w:val="00065DCC"/>
    <w:rsid w:val="00065E58"/>
    <w:rsid w:val="00065ECF"/>
    <w:rsid w:val="00065F4E"/>
    <w:rsid w:val="00065FCF"/>
    <w:rsid w:val="00066077"/>
    <w:rsid w:val="0006610D"/>
    <w:rsid w:val="00066136"/>
    <w:rsid w:val="00066215"/>
    <w:rsid w:val="00066286"/>
    <w:rsid w:val="000662A0"/>
    <w:rsid w:val="000662C2"/>
    <w:rsid w:val="00066374"/>
    <w:rsid w:val="000664B7"/>
    <w:rsid w:val="000664D9"/>
    <w:rsid w:val="0006658B"/>
    <w:rsid w:val="000665B5"/>
    <w:rsid w:val="000665FC"/>
    <w:rsid w:val="0006661F"/>
    <w:rsid w:val="00066684"/>
    <w:rsid w:val="000666C7"/>
    <w:rsid w:val="00066705"/>
    <w:rsid w:val="00066A83"/>
    <w:rsid w:val="00066AA6"/>
    <w:rsid w:val="00066AD3"/>
    <w:rsid w:val="00066B4E"/>
    <w:rsid w:val="00066BD6"/>
    <w:rsid w:val="00066CB7"/>
    <w:rsid w:val="00066CF7"/>
    <w:rsid w:val="00066D26"/>
    <w:rsid w:val="00066D57"/>
    <w:rsid w:val="00066E51"/>
    <w:rsid w:val="00066EA9"/>
    <w:rsid w:val="00066ED6"/>
    <w:rsid w:val="00066ED8"/>
    <w:rsid w:val="00066F03"/>
    <w:rsid w:val="00066FA2"/>
    <w:rsid w:val="00066FAA"/>
    <w:rsid w:val="00066FD6"/>
    <w:rsid w:val="00067025"/>
    <w:rsid w:val="000670C4"/>
    <w:rsid w:val="000670D7"/>
    <w:rsid w:val="000670E4"/>
    <w:rsid w:val="000670EA"/>
    <w:rsid w:val="0006729D"/>
    <w:rsid w:val="000672D9"/>
    <w:rsid w:val="00067385"/>
    <w:rsid w:val="000673ED"/>
    <w:rsid w:val="000673EF"/>
    <w:rsid w:val="00067429"/>
    <w:rsid w:val="00067483"/>
    <w:rsid w:val="0006756F"/>
    <w:rsid w:val="000675BD"/>
    <w:rsid w:val="000675CB"/>
    <w:rsid w:val="000675F6"/>
    <w:rsid w:val="000676B8"/>
    <w:rsid w:val="00067721"/>
    <w:rsid w:val="00067750"/>
    <w:rsid w:val="00067770"/>
    <w:rsid w:val="0006779E"/>
    <w:rsid w:val="000677DE"/>
    <w:rsid w:val="000677F9"/>
    <w:rsid w:val="0006787E"/>
    <w:rsid w:val="000678AF"/>
    <w:rsid w:val="000678E9"/>
    <w:rsid w:val="000678F1"/>
    <w:rsid w:val="000678FD"/>
    <w:rsid w:val="0006792F"/>
    <w:rsid w:val="0006799B"/>
    <w:rsid w:val="000679F2"/>
    <w:rsid w:val="00067A85"/>
    <w:rsid w:val="00067C0E"/>
    <w:rsid w:val="00067C9F"/>
    <w:rsid w:val="00067D3A"/>
    <w:rsid w:val="00067D4D"/>
    <w:rsid w:val="00067DAA"/>
    <w:rsid w:val="00067E64"/>
    <w:rsid w:val="00067E82"/>
    <w:rsid w:val="00067FA3"/>
    <w:rsid w:val="00070022"/>
    <w:rsid w:val="0007024E"/>
    <w:rsid w:val="00070287"/>
    <w:rsid w:val="0007028A"/>
    <w:rsid w:val="00070312"/>
    <w:rsid w:val="00070369"/>
    <w:rsid w:val="00070434"/>
    <w:rsid w:val="000704B6"/>
    <w:rsid w:val="000704E0"/>
    <w:rsid w:val="0007051A"/>
    <w:rsid w:val="00070578"/>
    <w:rsid w:val="00070591"/>
    <w:rsid w:val="000705BA"/>
    <w:rsid w:val="000705C0"/>
    <w:rsid w:val="000705EE"/>
    <w:rsid w:val="0007067A"/>
    <w:rsid w:val="0007067D"/>
    <w:rsid w:val="00070698"/>
    <w:rsid w:val="00070718"/>
    <w:rsid w:val="000707C1"/>
    <w:rsid w:val="0007080E"/>
    <w:rsid w:val="00070865"/>
    <w:rsid w:val="00070A09"/>
    <w:rsid w:val="00070AAA"/>
    <w:rsid w:val="00070B23"/>
    <w:rsid w:val="00070B49"/>
    <w:rsid w:val="00070B71"/>
    <w:rsid w:val="00070CF4"/>
    <w:rsid w:val="00070D38"/>
    <w:rsid w:val="00070DC2"/>
    <w:rsid w:val="00070E3C"/>
    <w:rsid w:val="00070F23"/>
    <w:rsid w:val="00070FA0"/>
    <w:rsid w:val="00070FF8"/>
    <w:rsid w:val="00071009"/>
    <w:rsid w:val="00071028"/>
    <w:rsid w:val="00071097"/>
    <w:rsid w:val="0007109E"/>
    <w:rsid w:val="000710B5"/>
    <w:rsid w:val="000710F6"/>
    <w:rsid w:val="00071200"/>
    <w:rsid w:val="00071202"/>
    <w:rsid w:val="0007122E"/>
    <w:rsid w:val="000712AB"/>
    <w:rsid w:val="00071314"/>
    <w:rsid w:val="0007134D"/>
    <w:rsid w:val="000713A7"/>
    <w:rsid w:val="000713D9"/>
    <w:rsid w:val="0007143B"/>
    <w:rsid w:val="000714FE"/>
    <w:rsid w:val="00071673"/>
    <w:rsid w:val="00071750"/>
    <w:rsid w:val="0007178E"/>
    <w:rsid w:val="00071849"/>
    <w:rsid w:val="000718E4"/>
    <w:rsid w:val="0007194B"/>
    <w:rsid w:val="000719BF"/>
    <w:rsid w:val="00071ACB"/>
    <w:rsid w:val="00071C1E"/>
    <w:rsid w:val="00071C3F"/>
    <w:rsid w:val="00071D23"/>
    <w:rsid w:val="00071D9C"/>
    <w:rsid w:val="00071DBA"/>
    <w:rsid w:val="00071DC4"/>
    <w:rsid w:val="00071DE5"/>
    <w:rsid w:val="00071E2A"/>
    <w:rsid w:val="00071EB0"/>
    <w:rsid w:val="00071EBC"/>
    <w:rsid w:val="00071FB0"/>
    <w:rsid w:val="00071FDD"/>
    <w:rsid w:val="00072033"/>
    <w:rsid w:val="000721F1"/>
    <w:rsid w:val="00072244"/>
    <w:rsid w:val="000722CB"/>
    <w:rsid w:val="000722D1"/>
    <w:rsid w:val="00072464"/>
    <w:rsid w:val="000724CC"/>
    <w:rsid w:val="000725D8"/>
    <w:rsid w:val="00072620"/>
    <w:rsid w:val="00072667"/>
    <w:rsid w:val="0007268B"/>
    <w:rsid w:val="000726F3"/>
    <w:rsid w:val="0007279B"/>
    <w:rsid w:val="00072806"/>
    <w:rsid w:val="00072852"/>
    <w:rsid w:val="00072875"/>
    <w:rsid w:val="000728EF"/>
    <w:rsid w:val="000729D4"/>
    <w:rsid w:val="000729E1"/>
    <w:rsid w:val="00072AC6"/>
    <w:rsid w:val="00072B26"/>
    <w:rsid w:val="00072B4F"/>
    <w:rsid w:val="00072B61"/>
    <w:rsid w:val="00072B7D"/>
    <w:rsid w:val="00072C97"/>
    <w:rsid w:val="00072CAE"/>
    <w:rsid w:val="00072CE5"/>
    <w:rsid w:val="00072D61"/>
    <w:rsid w:val="00072E78"/>
    <w:rsid w:val="00072EC1"/>
    <w:rsid w:val="00072F2C"/>
    <w:rsid w:val="00072F63"/>
    <w:rsid w:val="000730E6"/>
    <w:rsid w:val="0007311C"/>
    <w:rsid w:val="0007319B"/>
    <w:rsid w:val="000731DE"/>
    <w:rsid w:val="000731FA"/>
    <w:rsid w:val="00073207"/>
    <w:rsid w:val="000732B3"/>
    <w:rsid w:val="000732CD"/>
    <w:rsid w:val="000733E7"/>
    <w:rsid w:val="0007346E"/>
    <w:rsid w:val="00073497"/>
    <w:rsid w:val="000734BB"/>
    <w:rsid w:val="000734C6"/>
    <w:rsid w:val="000734C8"/>
    <w:rsid w:val="00073578"/>
    <w:rsid w:val="0007357A"/>
    <w:rsid w:val="00073620"/>
    <w:rsid w:val="00073707"/>
    <w:rsid w:val="0007371F"/>
    <w:rsid w:val="00073736"/>
    <w:rsid w:val="0007377D"/>
    <w:rsid w:val="00073855"/>
    <w:rsid w:val="000738CE"/>
    <w:rsid w:val="00073A3C"/>
    <w:rsid w:val="00073B01"/>
    <w:rsid w:val="00073B30"/>
    <w:rsid w:val="00073B42"/>
    <w:rsid w:val="00073B5A"/>
    <w:rsid w:val="00073BB2"/>
    <w:rsid w:val="00073C16"/>
    <w:rsid w:val="00073C29"/>
    <w:rsid w:val="00073CAA"/>
    <w:rsid w:val="00073CEA"/>
    <w:rsid w:val="00073D35"/>
    <w:rsid w:val="00073DA1"/>
    <w:rsid w:val="00073DE9"/>
    <w:rsid w:val="00073DF9"/>
    <w:rsid w:val="00073E4F"/>
    <w:rsid w:val="00073E59"/>
    <w:rsid w:val="00073ECC"/>
    <w:rsid w:val="00073EDB"/>
    <w:rsid w:val="00073EDC"/>
    <w:rsid w:val="00073F5C"/>
    <w:rsid w:val="00073FA3"/>
    <w:rsid w:val="00073FE7"/>
    <w:rsid w:val="00073FE9"/>
    <w:rsid w:val="00074090"/>
    <w:rsid w:val="00074151"/>
    <w:rsid w:val="0007415B"/>
    <w:rsid w:val="00074303"/>
    <w:rsid w:val="00074404"/>
    <w:rsid w:val="0007442F"/>
    <w:rsid w:val="00074497"/>
    <w:rsid w:val="00074498"/>
    <w:rsid w:val="0007451F"/>
    <w:rsid w:val="000745BF"/>
    <w:rsid w:val="0007471B"/>
    <w:rsid w:val="00074769"/>
    <w:rsid w:val="00074774"/>
    <w:rsid w:val="000747C4"/>
    <w:rsid w:val="000747D8"/>
    <w:rsid w:val="00074831"/>
    <w:rsid w:val="00074895"/>
    <w:rsid w:val="000748CD"/>
    <w:rsid w:val="00074907"/>
    <w:rsid w:val="00074AE2"/>
    <w:rsid w:val="00074B1F"/>
    <w:rsid w:val="00074C2E"/>
    <w:rsid w:val="00074DBE"/>
    <w:rsid w:val="00074E10"/>
    <w:rsid w:val="00074EC7"/>
    <w:rsid w:val="000750B5"/>
    <w:rsid w:val="000750D9"/>
    <w:rsid w:val="000750F6"/>
    <w:rsid w:val="00075106"/>
    <w:rsid w:val="0007514D"/>
    <w:rsid w:val="00075176"/>
    <w:rsid w:val="000752C6"/>
    <w:rsid w:val="00075310"/>
    <w:rsid w:val="00075341"/>
    <w:rsid w:val="0007539E"/>
    <w:rsid w:val="00075421"/>
    <w:rsid w:val="000755CD"/>
    <w:rsid w:val="0007566E"/>
    <w:rsid w:val="000756CA"/>
    <w:rsid w:val="0007573A"/>
    <w:rsid w:val="00075761"/>
    <w:rsid w:val="00075823"/>
    <w:rsid w:val="00075838"/>
    <w:rsid w:val="00075863"/>
    <w:rsid w:val="000758B1"/>
    <w:rsid w:val="00075908"/>
    <w:rsid w:val="0007593E"/>
    <w:rsid w:val="0007599F"/>
    <w:rsid w:val="00075A13"/>
    <w:rsid w:val="00075AFD"/>
    <w:rsid w:val="00075B47"/>
    <w:rsid w:val="00075B6A"/>
    <w:rsid w:val="00075C27"/>
    <w:rsid w:val="00075C2E"/>
    <w:rsid w:val="00075CB9"/>
    <w:rsid w:val="00075CBE"/>
    <w:rsid w:val="00075D2C"/>
    <w:rsid w:val="00075D51"/>
    <w:rsid w:val="00075E8D"/>
    <w:rsid w:val="00075E99"/>
    <w:rsid w:val="00075EAA"/>
    <w:rsid w:val="00075F08"/>
    <w:rsid w:val="00075F18"/>
    <w:rsid w:val="00075F80"/>
    <w:rsid w:val="00075F9E"/>
    <w:rsid w:val="0007604E"/>
    <w:rsid w:val="000760BE"/>
    <w:rsid w:val="0007616F"/>
    <w:rsid w:val="00076260"/>
    <w:rsid w:val="00076290"/>
    <w:rsid w:val="0007629D"/>
    <w:rsid w:val="00076344"/>
    <w:rsid w:val="0007639A"/>
    <w:rsid w:val="0007639F"/>
    <w:rsid w:val="0007645B"/>
    <w:rsid w:val="00076483"/>
    <w:rsid w:val="0007648B"/>
    <w:rsid w:val="000764B7"/>
    <w:rsid w:val="000764F1"/>
    <w:rsid w:val="0007651D"/>
    <w:rsid w:val="00076530"/>
    <w:rsid w:val="00076540"/>
    <w:rsid w:val="0007656E"/>
    <w:rsid w:val="000765B6"/>
    <w:rsid w:val="0007668D"/>
    <w:rsid w:val="000766D4"/>
    <w:rsid w:val="00076761"/>
    <w:rsid w:val="000767CB"/>
    <w:rsid w:val="0007684A"/>
    <w:rsid w:val="000768E1"/>
    <w:rsid w:val="00076939"/>
    <w:rsid w:val="000769A3"/>
    <w:rsid w:val="000769A8"/>
    <w:rsid w:val="00076A59"/>
    <w:rsid w:val="00076A8A"/>
    <w:rsid w:val="00076AEC"/>
    <w:rsid w:val="00076C78"/>
    <w:rsid w:val="00076CD6"/>
    <w:rsid w:val="00076D3A"/>
    <w:rsid w:val="00076D85"/>
    <w:rsid w:val="00076E1E"/>
    <w:rsid w:val="00076E34"/>
    <w:rsid w:val="00076E45"/>
    <w:rsid w:val="00076F0D"/>
    <w:rsid w:val="00076F95"/>
    <w:rsid w:val="00077019"/>
    <w:rsid w:val="000771BD"/>
    <w:rsid w:val="0007722D"/>
    <w:rsid w:val="000772AC"/>
    <w:rsid w:val="000773BA"/>
    <w:rsid w:val="000773F0"/>
    <w:rsid w:val="0007743B"/>
    <w:rsid w:val="00077446"/>
    <w:rsid w:val="00077454"/>
    <w:rsid w:val="000774CD"/>
    <w:rsid w:val="000774EA"/>
    <w:rsid w:val="000774FA"/>
    <w:rsid w:val="000774FC"/>
    <w:rsid w:val="00077621"/>
    <w:rsid w:val="00077634"/>
    <w:rsid w:val="0007764B"/>
    <w:rsid w:val="00077656"/>
    <w:rsid w:val="00077676"/>
    <w:rsid w:val="0007771F"/>
    <w:rsid w:val="00077754"/>
    <w:rsid w:val="00077808"/>
    <w:rsid w:val="0007798C"/>
    <w:rsid w:val="000779CB"/>
    <w:rsid w:val="00077A18"/>
    <w:rsid w:val="00077A5E"/>
    <w:rsid w:val="00077A8C"/>
    <w:rsid w:val="00077AE4"/>
    <w:rsid w:val="00077AF6"/>
    <w:rsid w:val="00077B33"/>
    <w:rsid w:val="00077BCB"/>
    <w:rsid w:val="00077BD6"/>
    <w:rsid w:val="00077D76"/>
    <w:rsid w:val="00077DA7"/>
    <w:rsid w:val="00077EA4"/>
    <w:rsid w:val="00077EC5"/>
    <w:rsid w:val="00077EFF"/>
    <w:rsid w:val="00077F2E"/>
    <w:rsid w:val="00077F7A"/>
    <w:rsid w:val="00077FB5"/>
    <w:rsid w:val="0008004F"/>
    <w:rsid w:val="000800C9"/>
    <w:rsid w:val="000802C8"/>
    <w:rsid w:val="000803A5"/>
    <w:rsid w:val="000803DE"/>
    <w:rsid w:val="000803E1"/>
    <w:rsid w:val="00080436"/>
    <w:rsid w:val="000804B8"/>
    <w:rsid w:val="000804C6"/>
    <w:rsid w:val="0008057F"/>
    <w:rsid w:val="00080635"/>
    <w:rsid w:val="00080663"/>
    <w:rsid w:val="0008071E"/>
    <w:rsid w:val="0008071F"/>
    <w:rsid w:val="0008073E"/>
    <w:rsid w:val="00080753"/>
    <w:rsid w:val="000807CC"/>
    <w:rsid w:val="00080846"/>
    <w:rsid w:val="0008094C"/>
    <w:rsid w:val="00080A35"/>
    <w:rsid w:val="00080B10"/>
    <w:rsid w:val="00080B71"/>
    <w:rsid w:val="00080C1B"/>
    <w:rsid w:val="00080C5A"/>
    <w:rsid w:val="00080C81"/>
    <w:rsid w:val="00080CF6"/>
    <w:rsid w:val="00080D2B"/>
    <w:rsid w:val="00080D82"/>
    <w:rsid w:val="00080DF5"/>
    <w:rsid w:val="00080EAC"/>
    <w:rsid w:val="00080EAF"/>
    <w:rsid w:val="00080EEE"/>
    <w:rsid w:val="00080F0F"/>
    <w:rsid w:val="00080F61"/>
    <w:rsid w:val="00080F9B"/>
    <w:rsid w:val="0008101D"/>
    <w:rsid w:val="000810C4"/>
    <w:rsid w:val="0008119F"/>
    <w:rsid w:val="00081214"/>
    <w:rsid w:val="000812AE"/>
    <w:rsid w:val="00081312"/>
    <w:rsid w:val="00081327"/>
    <w:rsid w:val="0008133D"/>
    <w:rsid w:val="0008133E"/>
    <w:rsid w:val="000814B0"/>
    <w:rsid w:val="00081562"/>
    <w:rsid w:val="00081594"/>
    <w:rsid w:val="00081596"/>
    <w:rsid w:val="00081639"/>
    <w:rsid w:val="0008165F"/>
    <w:rsid w:val="0008167E"/>
    <w:rsid w:val="0008177D"/>
    <w:rsid w:val="000817C6"/>
    <w:rsid w:val="000817D3"/>
    <w:rsid w:val="00081819"/>
    <w:rsid w:val="0008190F"/>
    <w:rsid w:val="00081910"/>
    <w:rsid w:val="00081BB1"/>
    <w:rsid w:val="00081BC4"/>
    <w:rsid w:val="00081C41"/>
    <w:rsid w:val="00081DB6"/>
    <w:rsid w:val="00081DEC"/>
    <w:rsid w:val="00081E17"/>
    <w:rsid w:val="00081E46"/>
    <w:rsid w:val="00081E53"/>
    <w:rsid w:val="00081E60"/>
    <w:rsid w:val="00081E73"/>
    <w:rsid w:val="00081ED9"/>
    <w:rsid w:val="00081EE6"/>
    <w:rsid w:val="00081EF6"/>
    <w:rsid w:val="00081F72"/>
    <w:rsid w:val="00081FFE"/>
    <w:rsid w:val="0008200D"/>
    <w:rsid w:val="0008205D"/>
    <w:rsid w:val="00082092"/>
    <w:rsid w:val="0008222C"/>
    <w:rsid w:val="0008225A"/>
    <w:rsid w:val="000822B3"/>
    <w:rsid w:val="0008233F"/>
    <w:rsid w:val="000823BB"/>
    <w:rsid w:val="000823BE"/>
    <w:rsid w:val="000823FE"/>
    <w:rsid w:val="00082464"/>
    <w:rsid w:val="000824A1"/>
    <w:rsid w:val="000824FB"/>
    <w:rsid w:val="0008254C"/>
    <w:rsid w:val="00082554"/>
    <w:rsid w:val="0008255A"/>
    <w:rsid w:val="0008261D"/>
    <w:rsid w:val="00082624"/>
    <w:rsid w:val="00082733"/>
    <w:rsid w:val="00082778"/>
    <w:rsid w:val="000827BC"/>
    <w:rsid w:val="000827C1"/>
    <w:rsid w:val="00082953"/>
    <w:rsid w:val="00082977"/>
    <w:rsid w:val="000829F4"/>
    <w:rsid w:val="00082A7D"/>
    <w:rsid w:val="00082B24"/>
    <w:rsid w:val="00082B3E"/>
    <w:rsid w:val="00082BC4"/>
    <w:rsid w:val="00082BE5"/>
    <w:rsid w:val="00082BE7"/>
    <w:rsid w:val="00082C38"/>
    <w:rsid w:val="00082CC6"/>
    <w:rsid w:val="00082CDE"/>
    <w:rsid w:val="00082CF9"/>
    <w:rsid w:val="00082D50"/>
    <w:rsid w:val="00082DC4"/>
    <w:rsid w:val="00082EFA"/>
    <w:rsid w:val="00082F32"/>
    <w:rsid w:val="00082F6C"/>
    <w:rsid w:val="0008302A"/>
    <w:rsid w:val="00083091"/>
    <w:rsid w:val="000830E7"/>
    <w:rsid w:val="0008310F"/>
    <w:rsid w:val="000831EF"/>
    <w:rsid w:val="00083342"/>
    <w:rsid w:val="00083396"/>
    <w:rsid w:val="000834B9"/>
    <w:rsid w:val="0008350F"/>
    <w:rsid w:val="0008354B"/>
    <w:rsid w:val="000835FC"/>
    <w:rsid w:val="000836A3"/>
    <w:rsid w:val="000836D9"/>
    <w:rsid w:val="0008373D"/>
    <w:rsid w:val="00083744"/>
    <w:rsid w:val="00083817"/>
    <w:rsid w:val="00083892"/>
    <w:rsid w:val="00083AA4"/>
    <w:rsid w:val="00083AF3"/>
    <w:rsid w:val="00083B65"/>
    <w:rsid w:val="00083C0E"/>
    <w:rsid w:val="00083C10"/>
    <w:rsid w:val="00083C7E"/>
    <w:rsid w:val="00083D09"/>
    <w:rsid w:val="00083E66"/>
    <w:rsid w:val="00083E83"/>
    <w:rsid w:val="00083F04"/>
    <w:rsid w:val="00083F54"/>
    <w:rsid w:val="00083F99"/>
    <w:rsid w:val="0008400D"/>
    <w:rsid w:val="0008401E"/>
    <w:rsid w:val="00084052"/>
    <w:rsid w:val="000840A0"/>
    <w:rsid w:val="000840AE"/>
    <w:rsid w:val="00084100"/>
    <w:rsid w:val="000841B6"/>
    <w:rsid w:val="000841B8"/>
    <w:rsid w:val="000841BE"/>
    <w:rsid w:val="000841C8"/>
    <w:rsid w:val="000841FD"/>
    <w:rsid w:val="00084217"/>
    <w:rsid w:val="0008421D"/>
    <w:rsid w:val="000842FA"/>
    <w:rsid w:val="00084352"/>
    <w:rsid w:val="00084359"/>
    <w:rsid w:val="0008435E"/>
    <w:rsid w:val="00084408"/>
    <w:rsid w:val="000844B0"/>
    <w:rsid w:val="00084517"/>
    <w:rsid w:val="000845A2"/>
    <w:rsid w:val="00084614"/>
    <w:rsid w:val="0008463A"/>
    <w:rsid w:val="0008473F"/>
    <w:rsid w:val="0008476A"/>
    <w:rsid w:val="000847BB"/>
    <w:rsid w:val="000847D7"/>
    <w:rsid w:val="0008483A"/>
    <w:rsid w:val="0008490C"/>
    <w:rsid w:val="0008491B"/>
    <w:rsid w:val="00084947"/>
    <w:rsid w:val="00084950"/>
    <w:rsid w:val="00084964"/>
    <w:rsid w:val="00084A5E"/>
    <w:rsid w:val="00084AD0"/>
    <w:rsid w:val="00084AE8"/>
    <w:rsid w:val="00084B7F"/>
    <w:rsid w:val="00084BA3"/>
    <w:rsid w:val="00084BC2"/>
    <w:rsid w:val="00084CA1"/>
    <w:rsid w:val="00084CCB"/>
    <w:rsid w:val="00084F42"/>
    <w:rsid w:val="00084F8B"/>
    <w:rsid w:val="00085078"/>
    <w:rsid w:val="000850FA"/>
    <w:rsid w:val="000851C1"/>
    <w:rsid w:val="000851F1"/>
    <w:rsid w:val="00085343"/>
    <w:rsid w:val="0008536B"/>
    <w:rsid w:val="000853EF"/>
    <w:rsid w:val="0008543E"/>
    <w:rsid w:val="000854C7"/>
    <w:rsid w:val="00085568"/>
    <w:rsid w:val="0008557B"/>
    <w:rsid w:val="000855E9"/>
    <w:rsid w:val="0008565E"/>
    <w:rsid w:val="00085668"/>
    <w:rsid w:val="00085694"/>
    <w:rsid w:val="0008571D"/>
    <w:rsid w:val="0008582B"/>
    <w:rsid w:val="00085ACB"/>
    <w:rsid w:val="00085ADC"/>
    <w:rsid w:val="00085B44"/>
    <w:rsid w:val="00085C65"/>
    <w:rsid w:val="00085CF1"/>
    <w:rsid w:val="00085DE7"/>
    <w:rsid w:val="00085E8B"/>
    <w:rsid w:val="00085EDE"/>
    <w:rsid w:val="00085EE7"/>
    <w:rsid w:val="00085F9B"/>
    <w:rsid w:val="000861B8"/>
    <w:rsid w:val="000862BF"/>
    <w:rsid w:val="000862F7"/>
    <w:rsid w:val="00086322"/>
    <w:rsid w:val="000863C3"/>
    <w:rsid w:val="00086417"/>
    <w:rsid w:val="0008645D"/>
    <w:rsid w:val="000864E3"/>
    <w:rsid w:val="00086514"/>
    <w:rsid w:val="0008652A"/>
    <w:rsid w:val="00086558"/>
    <w:rsid w:val="000865B7"/>
    <w:rsid w:val="000865F9"/>
    <w:rsid w:val="000867B1"/>
    <w:rsid w:val="0008683D"/>
    <w:rsid w:val="00086879"/>
    <w:rsid w:val="000868BE"/>
    <w:rsid w:val="00086972"/>
    <w:rsid w:val="0008697D"/>
    <w:rsid w:val="0008699A"/>
    <w:rsid w:val="000869B4"/>
    <w:rsid w:val="00086A1E"/>
    <w:rsid w:val="00086A68"/>
    <w:rsid w:val="00086B04"/>
    <w:rsid w:val="00086CB7"/>
    <w:rsid w:val="00086CB9"/>
    <w:rsid w:val="00086D3A"/>
    <w:rsid w:val="00086D72"/>
    <w:rsid w:val="00086DD4"/>
    <w:rsid w:val="00086E8B"/>
    <w:rsid w:val="00086F63"/>
    <w:rsid w:val="00086F66"/>
    <w:rsid w:val="00086F8D"/>
    <w:rsid w:val="00086FB6"/>
    <w:rsid w:val="000870F4"/>
    <w:rsid w:val="00087189"/>
    <w:rsid w:val="0008718E"/>
    <w:rsid w:val="00087194"/>
    <w:rsid w:val="00087270"/>
    <w:rsid w:val="00087281"/>
    <w:rsid w:val="00087389"/>
    <w:rsid w:val="00087421"/>
    <w:rsid w:val="0008743D"/>
    <w:rsid w:val="0008743F"/>
    <w:rsid w:val="0008748B"/>
    <w:rsid w:val="0008749D"/>
    <w:rsid w:val="000874FE"/>
    <w:rsid w:val="00087516"/>
    <w:rsid w:val="00087564"/>
    <w:rsid w:val="00087666"/>
    <w:rsid w:val="00087674"/>
    <w:rsid w:val="0008768C"/>
    <w:rsid w:val="000876F6"/>
    <w:rsid w:val="00087743"/>
    <w:rsid w:val="000877E1"/>
    <w:rsid w:val="00087889"/>
    <w:rsid w:val="0008788B"/>
    <w:rsid w:val="000878C9"/>
    <w:rsid w:val="000878E4"/>
    <w:rsid w:val="000879AD"/>
    <w:rsid w:val="00087A8C"/>
    <w:rsid w:val="00087B15"/>
    <w:rsid w:val="00087B9F"/>
    <w:rsid w:val="00087C63"/>
    <w:rsid w:val="00087C9F"/>
    <w:rsid w:val="00087D41"/>
    <w:rsid w:val="00087DA8"/>
    <w:rsid w:val="00087E17"/>
    <w:rsid w:val="00087E40"/>
    <w:rsid w:val="00087EC3"/>
    <w:rsid w:val="00087ED4"/>
    <w:rsid w:val="00087F4C"/>
    <w:rsid w:val="00087F8D"/>
    <w:rsid w:val="0009008C"/>
    <w:rsid w:val="000900BC"/>
    <w:rsid w:val="000900D0"/>
    <w:rsid w:val="000900E7"/>
    <w:rsid w:val="000900E8"/>
    <w:rsid w:val="00090137"/>
    <w:rsid w:val="0009014A"/>
    <w:rsid w:val="00090163"/>
    <w:rsid w:val="000901F8"/>
    <w:rsid w:val="000901FF"/>
    <w:rsid w:val="00090364"/>
    <w:rsid w:val="00090369"/>
    <w:rsid w:val="00090473"/>
    <w:rsid w:val="00090476"/>
    <w:rsid w:val="0009054F"/>
    <w:rsid w:val="00090552"/>
    <w:rsid w:val="00090596"/>
    <w:rsid w:val="00090619"/>
    <w:rsid w:val="0009067D"/>
    <w:rsid w:val="000906FB"/>
    <w:rsid w:val="0009073F"/>
    <w:rsid w:val="0009095C"/>
    <w:rsid w:val="0009098E"/>
    <w:rsid w:val="00090998"/>
    <w:rsid w:val="00090A23"/>
    <w:rsid w:val="00090A6C"/>
    <w:rsid w:val="00090AFF"/>
    <w:rsid w:val="00090B2C"/>
    <w:rsid w:val="00090B69"/>
    <w:rsid w:val="00090BBF"/>
    <w:rsid w:val="00090C54"/>
    <w:rsid w:val="00090C55"/>
    <w:rsid w:val="00090CC4"/>
    <w:rsid w:val="00090CC7"/>
    <w:rsid w:val="00090CFC"/>
    <w:rsid w:val="00090D20"/>
    <w:rsid w:val="00090D5C"/>
    <w:rsid w:val="00090D79"/>
    <w:rsid w:val="00090DBB"/>
    <w:rsid w:val="00090E0F"/>
    <w:rsid w:val="00090E43"/>
    <w:rsid w:val="00090E93"/>
    <w:rsid w:val="00090EB9"/>
    <w:rsid w:val="00090EBD"/>
    <w:rsid w:val="00090FC5"/>
    <w:rsid w:val="00090FC7"/>
    <w:rsid w:val="00090FCB"/>
    <w:rsid w:val="00090FDD"/>
    <w:rsid w:val="00090FE3"/>
    <w:rsid w:val="00091020"/>
    <w:rsid w:val="0009103C"/>
    <w:rsid w:val="00091055"/>
    <w:rsid w:val="00091059"/>
    <w:rsid w:val="0009109C"/>
    <w:rsid w:val="00091169"/>
    <w:rsid w:val="00091195"/>
    <w:rsid w:val="000911BE"/>
    <w:rsid w:val="0009121F"/>
    <w:rsid w:val="0009129C"/>
    <w:rsid w:val="0009141D"/>
    <w:rsid w:val="000914FA"/>
    <w:rsid w:val="00091551"/>
    <w:rsid w:val="0009156F"/>
    <w:rsid w:val="0009157D"/>
    <w:rsid w:val="0009159D"/>
    <w:rsid w:val="000915F3"/>
    <w:rsid w:val="0009167A"/>
    <w:rsid w:val="0009175B"/>
    <w:rsid w:val="000917C6"/>
    <w:rsid w:val="00091805"/>
    <w:rsid w:val="00091810"/>
    <w:rsid w:val="00091850"/>
    <w:rsid w:val="00091883"/>
    <w:rsid w:val="00091939"/>
    <w:rsid w:val="00091A33"/>
    <w:rsid w:val="00091A5C"/>
    <w:rsid w:val="00091A6C"/>
    <w:rsid w:val="00091A70"/>
    <w:rsid w:val="00091AFF"/>
    <w:rsid w:val="00091B62"/>
    <w:rsid w:val="00091B89"/>
    <w:rsid w:val="00091D55"/>
    <w:rsid w:val="00091D81"/>
    <w:rsid w:val="00091D85"/>
    <w:rsid w:val="00091DE1"/>
    <w:rsid w:val="00091E41"/>
    <w:rsid w:val="00091E4B"/>
    <w:rsid w:val="00091E53"/>
    <w:rsid w:val="00091EEF"/>
    <w:rsid w:val="00091FAE"/>
    <w:rsid w:val="000920CB"/>
    <w:rsid w:val="000920CC"/>
    <w:rsid w:val="000921B3"/>
    <w:rsid w:val="000921B8"/>
    <w:rsid w:val="0009220A"/>
    <w:rsid w:val="0009222B"/>
    <w:rsid w:val="00092293"/>
    <w:rsid w:val="0009229F"/>
    <w:rsid w:val="000922DB"/>
    <w:rsid w:val="0009233C"/>
    <w:rsid w:val="0009236D"/>
    <w:rsid w:val="000923A2"/>
    <w:rsid w:val="000923B5"/>
    <w:rsid w:val="00092415"/>
    <w:rsid w:val="0009241D"/>
    <w:rsid w:val="0009243F"/>
    <w:rsid w:val="00092496"/>
    <w:rsid w:val="000924BB"/>
    <w:rsid w:val="0009253F"/>
    <w:rsid w:val="000925AC"/>
    <w:rsid w:val="0009267A"/>
    <w:rsid w:val="00092680"/>
    <w:rsid w:val="00092704"/>
    <w:rsid w:val="0009275C"/>
    <w:rsid w:val="0009279E"/>
    <w:rsid w:val="00092809"/>
    <w:rsid w:val="0009282C"/>
    <w:rsid w:val="0009291F"/>
    <w:rsid w:val="00092A14"/>
    <w:rsid w:val="00092A7F"/>
    <w:rsid w:val="00092AA3"/>
    <w:rsid w:val="00092ADA"/>
    <w:rsid w:val="00092AFD"/>
    <w:rsid w:val="00092BB9"/>
    <w:rsid w:val="00092CA7"/>
    <w:rsid w:val="00092D97"/>
    <w:rsid w:val="00092DA7"/>
    <w:rsid w:val="00092DBB"/>
    <w:rsid w:val="00092DC2"/>
    <w:rsid w:val="00092DCC"/>
    <w:rsid w:val="00092DF4"/>
    <w:rsid w:val="00092F01"/>
    <w:rsid w:val="00092F10"/>
    <w:rsid w:val="00092F46"/>
    <w:rsid w:val="00092F7B"/>
    <w:rsid w:val="0009311F"/>
    <w:rsid w:val="00093124"/>
    <w:rsid w:val="000931AC"/>
    <w:rsid w:val="0009328D"/>
    <w:rsid w:val="00093339"/>
    <w:rsid w:val="00093381"/>
    <w:rsid w:val="00093467"/>
    <w:rsid w:val="000934D2"/>
    <w:rsid w:val="0009351E"/>
    <w:rsid w:val="000935D0"/>
    <w:rsid w:val="0009367F"/>
    <w:rsid w:val="0009370E"/>
    <w:rsid w:val="00093754"/>
    <w:rsid w:val="000937A9"/>
    <w:rsid w:val="000937E7"/>
    <w:rsid w:val="000938E1"/>
    <w:rsid w:val="00093925"/>
    <w:rsid w:val="000939EB"/>
    <w:rsid w:val="00093A5F"/>
    <w:rsid w:val="00093B16"/>
    <w:rsid w:val="00093C57"/>
    <w:rsid w:val="00093CEC"/>
    <w:rsid w:val="00093D46"/>
    <w:rsid w:val="00093DF4"/>
    <w:rsid w:val="00093E5A"/>
    <w:rsid w:val="00093E6A"/>
    <w:rsid w:val="00093EA1"/>
    <w:rsid w:val="00093FEC"/>
    <w:rsid w:val="000940AA"/>
    <w:rsid w:val="000940DA"/>
    <w:rsid w:val="00094138"/>
    <w:rsid w:val="00094165"/>
    <w:rsid w:val="0009416B"/>
    <w:rsid w:val="0009422B"/>
    <w:rsid w:val="0009423D"/>
    <w:rsid w:val="00094316"/>
    <w:rsid w:val="00094346"/>
    <w:rsid w:val="00094355"/>
    <w:rsid w:val="00094384"/>
    <w:rsid w:val="0009440A"/>
    <w:rsid w:val="00094420"/>
    <w:rsid w:val="00094453"/>
    <w:rsid w:val="0009447D"/>
    <w:rsid w:val="000944A4"/>
    <w:rsid w:val="000944AA"/>
    <w:rsid w:val="000944B5"/>
    <w:rsid w:val="000944BA"/>
    <w:rsid w:val="0009459D"/>
    <w:rsid w:val="000945BB"/>
    <w:rsid w:val="000945CA"/>
    <w:rsid w:val="00094646"/>
    <w:rsid w:val="000946AF"/>
    <w:rsid w:val="0009472D"/>
    <w:rsid w:val="00094797"/>
    <w:rsid w:val="0009491E"/>
    <w:rsid w:val="0009494E"/>
    <w:rsid w:val="000949B3"/>
    <w:rsid w:val="00094A9C"/>
    <w:rsid w:val="00094B31"/>
    <w:rsid w:val="00094B45"/>
    <w:rsid w:val="00094B6B"/>
    <w:rsid w:val="00094B6D"/>
    <w:rsid w:val="00094C04"/>
    <w:rsid w:val="00094C2A"/>
    <w:rsid w:val="00094C83"/>
    <w:rsid w:val="00094CBE"/>
    <w:rsid w:val="00094E29"/>
    <w:rsid w:val="00094E31"/>
    <w:rsid w:val="00094E9C"/>
    <w:rsid w:val="00094F14"/>
    <w:rsid w:val="00094F59"/>
    <w:rsid w:val="00095008"/>
    <w:rsid w:val="0009502A"/>
    <w:rsid w:val="00095057"/>
    <w:rsid w:val="0009508E"/>
    <w:rsid w:val="00095125"/>
    <w:rsid w:val="00095132"/>
    <w:rsid w:val="0009514B"/>
    <w:rsid w:val="00095205"/>
    <w:rsid w:val="0009521D"/>
    <w:rsid w:val="0009523B"/>
    <w:rsid w:val="00095244"/>
    <w:rsid w:val="0009525B"/>
    <w:rsid w:val="000952D9"/>
    <w:rsid w:val="000953D7"/>
    <w:rsid w:val="000954F1"/>
    <w:rsid w:val="000955DB"/>
    <w:rsid w:val="0009562C"/>
    <w:rsid w:val="00095658"/>
    <w:rsid w:val="000956EB"/>
    <w:rsid w:val="000956F0"/>
    <w:rsid w:val="00095719"/>
    <w:rsid w:val="000957AA"/>
    <w:rsid w:val="00095877"/>
    <w:rsid w:val="000958B7"/>
    <w:rsid w:val="00095935"/>
    <w:rsid w:val="00095953"/>
    <w:rsid w:val="000959B3"/>
    <w:rsid w:val="000959DF"/>
    <w:rsid w:val="00095A80"/>
    <w:rsid w:val="00095ADD"/>
    <w:rsid w:val="00095AFD"/>
    <w:rsid w:val="00095B01"/>
    <w:rsid w:val="00095B6B"/>
    <w:rsid w:val="00095BBC"/>
    <w:rsid w:val="00095BF2"/>
    <w:rsid w:val="00095BFA"/>
    <w:rsid w:val="00095C05"/>
    <w:rsid w:val="00095C33"/>
    <w:rsid w:val="00095C34"/>
    <w:rsid w:val="00095C7B"/>
    <w:rsid w:val="00095C83"/>
    <w:rsid w:val="00095C8B"/>
    <w:rsid w:val="00095D26"/>
    <w:rsid w:val="00095E95"/>
    <w:rsid w:val="00095EA3"/>
    <w:rsid w:val="00095EDD"/>
    <w:rsid w:val="00096039"/>
    <w:rsid w:val="00096052"/>
    <w:rsid w:val="00096082"/>
    <w:rsid w:val="00096097"/>
    <w:rsid w:val="00096169"/>
    <w:rsid w:val="00096271"/>
    <w:rsid w:val="000962B9"/>
    <w:rsid w:val="000962FC"/>
    <w:rsid w:val="0009643A"/>
    <w:rsid w:val="000964DF"/>
    <w:rsid w:val="000965F2"/>
    <w:rsid w:val="00096647"/>
    <w:rsid w:val="00096648"/>
    <w:rsid w:val="0009665B"/>
    <w:rsid w:val="0009668C"/>
    <w:rsid w:val="0009669F"/>
    <w:rsid w:val="00096743"/>
    <w:rsid w:val="00096890"/>
    <w:rsid w:val="000968B2"/>
    <w:rsid w:val="00096937"/>
    <w:rsid w:val="0009697D"/>
    <w:rsid w:val="00096983"/>
    <w:rsid w:val="000969F3"/>
    <w:rsid w:val="00096A50"/>
    <w:rsid w:val="00096BE5"/>
    <w:rsid w:val="00096CBB"/>
    <w:rsid w:val="00096D5F"/>
    <w:rsid w:val="00096D6D"/>
    <w:rsid w:val="00096DB3"/>
    <w:rsid w:val="00096DD6"/>
    <w:rsid w:val="00096F28"/>
    <w:rsid w:val="00096FFB"/>
    <w:rsid w:val="0009700C"/>
    <w:rsid w:val="00097090"/>
    <w:rsid w:val="0009713D"/>
    <w:rsid w:val="0009718D"/>
    <w:rsid w:val="000971BA"/>
    <w:rsid w:val="00097254"/>
    <w:rsid w:val="00097268"/>
    <w:rsid w:val="000972C7"/>
    <w:rsid w:val="00097378"/>
    <w:rsid w:val="00097380"/>
    <w:rsid w:val="000973B4"/>
    <w:rsid w:val="000975A5"/>
    <w:rsid w:val="000975A7"/>
    <w:rsid w:val="000975ED"/>
    <w:rsid w:val="000975F5"/>
    <w:rsid w:val="0009765D"/>
    <w:rsid w:val="0009767C"/>
    <w:rsid w:val="000976E3"/>
    <w:rsid w:val="00097707"/>
    <w:rsid w:val="000978BD"/>
    <w:rsid w:val="000978C2"/>
    <w:rsid w:val="000978CE"/>
    <w:rsid w:val="0009791B"/>
    <w:rsid w:val="000979A1"/>
    <w:rsid w:val="00097A60"/>
    <w:rsid w:val="00097BCF"/>
    <w:rsid w:val="00097C54"/>
    <w:rsid w:val="00097C83"/>
    <w:rsid w:val="00097CAC"/>
    <w:rsid w:val="00097CBA"/>
    <w:rsid w:val="00097CE2"/>
    <w:rsid w:val="00097D2D"/>
    <w:rsid w:val="00097D58"/>
    <w:rsid w:val="00097D93"/>
    <w:rsid w:val="00097DD5"/>
    <w:rsid w:val="00097ECF"/>
    <w:rsid w:val="00097EF5"/>
    <w:rsid w:val="00097EFB"/>
    <w:rsid w:val="00097F34"/>
    <w:rsid w:val="000A0054"/>
    <w:rsid w:val="000A0079"/>
    <w:rsid w:val="000A026E"/>
    <w:rsid w:val="000A029E"/>
    <w:rsid w:val="000A036D"/>
    <w:rsid w:val="000A0488"/>
    <w:rsid w:val="000A049B"/>
    <w:rsid w:val="000A0531"/>
    <w:rsid w:val="000A0692"/>
    <w:rsid w:val="000A06A2"/>
    <w:rsid w:val="000A0707"/>
    <w:rsid w:val="000A074E"/>
    <w:rsid w:val="000A0772"/>
    <w:rsid w:val="000A0813"/>
    <w:rsid w:val="000A0834"/>
    <w:rsid w:val="000A09C8"/>
    <w:rsid w:val="000A0A53"/>
    <w:rsid w:val="000A0A65"/>
    <w:rsid w:val="000A0B36"/>
    <w:rsid w:val="000A0C62"/>
    <w:rsid w:val="000A0E24"/>
    <w:rsid w:val="000A0E51"/>
    <w:rsid w:val="000A0E78"/>
    <w:rsid w:val="000A0E9F"/>
    <w:rsid w:val="000A0F1E"/>
    <w:rsid w:val="000A0FC2"/>
    <w:rsid w:val="000A0FCA"/>
    <w:rsid w:val="000A1006"/>
    <w:rsid w:val="000A1018"/>
    <w:rsid w:val="000A1075"/>
    <w:rsid w:val="000A10FF"/>
    <w:rsid w:val="000A11E2"/>
    <w:rsid w:val="000A12D4"/>
    <w:rsid w:val="000A12EE"/>
    <w:rsid w:val="000A1394"/>
    <w:rsid w:val="000A1408"/>
    <w:rsid w:val="000A140E"/>
    <w:rsid w:val="000A1418"/>
    <w:rsid w:val="000A1422"/>
    <w:rsid w:val="000A1432"/>
    <w:rsid w:val="000A1456"/>
    <w:rsid w:val="000A14EB"/>
    <w:rsid w:val="000A1587"/>
    <w:rsid w:val="000A1624"/>
    <w:rsid w:val="000A169B"/>
    <w:rsid w:val="000A16D8"/>
    <w:rsid w:val="000A1741"/>
    <w:rsid w:val="000A18AD"/>
    <w:rsid w:val="000A1942"/>
    <w:rsid w:val="000A1ABD"/>
    <w:rsid w:val="000A1ABE"/>
    <w:rsid w:val="000A1ACA"/>
    <w:rsid w:val="000A1B48"/>
    <w:rsid w:val="000A1B4A"/>
    <w:rsid w:val="000A1B88"/>
    <w:rsid w:val="000A1C1B"/>
    <w:rsid w:val="000A1C39"/>
    <w:rsid w:val="000A1C8D"/>
    <w:rsid w:val="000A1CDA"/>
    <w:rsid w:val="000A1D7B"/>
    <w:rsid w:val="000A1DCC"/>
    <w:rsid w:val="000A1E66"/>
    <w:rsid w:val="000A1EBC"/>
    <w:rsid w:val="000A1EFA"/>
    <w:rsid w:val="000A1F00"/>
    <w:rsid w:val="000A1F46"/>
    <w:rsid w:val="000A1F59"/>
    <w:rsid w:val="000A1FA6"/>
    <w:rsid w:val="000A1FC0"/>
    <w:rsid w:val="000A2004"/>
    <w:rsid w:val="000A203C"/>
    <w:rsid w:val="000A20E6"/>
    <w:rsid w:val="000A210A"/>
    <w:rsid w:val="000A2154"/>
    <w:rsid w:val="000A21AE"/>
    <w:rsid w:val="000A21BF"/>
    <w:rsid w:val="000A2206"/>
    <w:rsid w:val="000A22D1"/>
    <w:rsid w:val="000A22DA"/>
    <w:rsid w:val="000A23F0"/>
    <w:rsid w:val="000A2440"/>
    <w:rsid w:val="000A24FD"/>
    <w:rsid w:val="000A254B"/>
    <w:rsid w:val="000A256E"/>
    <w:rsid w:val="000A25C8"/>
    <w:rsid w:val="000A26B2"/>
    <w:rsid w:val="000A26B5"/>
    <w:rsid w:val="000A26BE"/>
    <w:rsid w:val="000A26C6"/>
    <w:rsid w:val="000A26DB"/>
    <w:rsid w:val="000A26FF"/>
    <w:rsid w:val="000A2711"/>
    <w:rsid w:val="000A2754"/>
    <w:rsid w:val="000A2799"/>
    <w:rsid w:val="000A286C"/>
    <w:rsid w:val="000A286F"/>
    <w:rsid w:val="000A291F"/>
    <w:rsid w:val="000A2963"/>
    <w:rsid w:val="000A298B"/>
    <w:rsid w:val="000A29CA"/>
    <w:rsid w:val="000A29D0"/>
    <w:rsid w:val="000A29F3"/>
    <w:rsid w:val="000A2A1D"/>
    <w:rsid w:val="000A2A6C"/>
    <w:rsid w:val="000A2AB6"/>
    <w:rsid w:val="000A2ABA"/>
    <w:rsid w:val="000A2ACE"/>
    <w:rsid w:val="000A2ADD"/>
    <w:rsid w:val="000A2AE3"/>
    <w:rsid w:val="000A2B03"/>
    <w:rsid w:val="000A2B4E"/>
    <w:rsid w:val="000A2B53"/>
    <w:rsid w:val="000A2BD6"/>
    <w:rsid w:val="000A2CD2"/>
    <w:rsid w:val="000A2CEE"/>
    <w:rsid w:val="000A2E34"/>
    <w:rsid w:val="000A2E36"/>
    <w:rsid w:val="000A2EA3"/>
    <w:rsid w:val="000A3012"/>
    <w:rsid w:val="000A30EF"/>
    <w:rsid w:val="000A3143"/>
    <w:rsid w:val="000A319A"/>
    <w:rsid w:val="000A3357"/>
    <w:rsid w:val="000A33B2"/>
    <w:rsid w:val="000A345B"/>
    <w:rsid w:val="000A3497"/>
    <w:rsid w:val="000A349C"/>
    <w:rsid w:val="000A356D"/>
    <w:rsid w:val="000A359A"/>
    <w:rsid w:val="000A35D1"/>
    <w:rsid w:val="000A3645"/>
    <w:rsid w:val="000A3655"/>
    <w:rsid w:val="000A368B"/>
    <w:rsid w:val="000A36D8"/>
    <w:rsid w:val="000A379A"/>
    <w:rsid w:val="000A3822"/>
    <w:rsid w:val="000A3904"/>
    <w:rsid w:val="000A39F9"/>
    <w:rsid w:val="000A3A72"/>
    <w:rsid w:val="000A3A83"/>
    <w:rsid w:val="000A3ABF"/>
    <w:rsid w:val="000A3AD4"/>
    <w:rsid w:val="000A3AF1"/>
    <w:rsid w:val="000A3B43"/>
    <w:rsid w:val="000A3B87"/>
    <w:rsid w:val="000A3BEE"/>
    <w:rsid w:val="000A3BF8"/>
    <w:rsid w:val="000A3CA2"/>
    <w:rsid w:val="000A3E1B"/>
    <w:rsid w:val="000A3E2E"/>
    <w:rsid w:val="000A3E44"/>
    <w:rsid w:val="000A3E78"/>
    <w:rsid w:val="000A3E95"/>
    <w:rsid w:val="000A3F31"/>
    <w:rsid w:val="000A3F35"/>
    <w:rsid w:val="000A3F4B"/>
    <w:rsid w:val="000A40F3"/>
    <w:rsid w:val="000A4140"/>
    <w:rsid w:val="000A4300"/>
    <w:rsid w:val="000A4361"/>
    <w:rsid w:val="000A454C"/>
    <w:rsid w:val="000A45AB"/>
    <w:rsid w:val="000A46B4"/>
    <w:rsid w:val="000A4721"/>
    <w:rsid w:val="000A478C"/>
    <w:rsid w:val="000A4869"/>
    <w:rsid w:val="000A4936"/>
    <w:rsid w:val="000A499C"/>
    <w:rsid w:val="000A4A43"/>
    <w:rsid w:val="000A4A8E"/>
    <w:rsid w:val="000A4CA8"/>
    <w:rsid w:val="000A4CB1"/>
    <w:rsid w:val="000A4DA5"/>
    <w:rsid w:val="000A4DFD"/>
    <w:rsid w:val="000A4E3B"/>
    <w:rsid w:val="000A4EC5"/>
    <w:rsid w:val="000A4F19"/>
    <w:rsid w:val="000A4F36"/>
    <w:rsid w:val="000A4F82"/>
    <w:rsid w:val="000A4F85"/>
    <w:rsid w:val="000A5049"/>
    <w:rsid w:val="000A504D"/>
    <w:rsid w:val="000A50B3"/>
    <w:rsid w:val="000A5116"/>
    <w:rsid w:val="000A51E6"/>
    <w:rsid w:val="000A51EF"/>
    <w:rsid w:val="000A51F0"/>
    <w:rsid w:val="000A5228"/>
    <w:rsid w:val="000A52E8"/>
    <w:rsid w:val="000A539F"/>
    <w:rsid w:val="000A53DE"/>
    <w:rsid w:val="000A5563"/>
    <w:rsid w:val="000A55C4"/>
    <w:rsid w:val="000A56CC"/>
    <w:rsid w:val="000A56FB"/>
    <w:rsid w:val="000A5721"/>
    <w:rsid w:val="000A57FE"/>
    <w:rsid w:val="000A589D"/>
    <w:rsid w:val="000A5953"/>
    <w:rsid w:val="000A5982"/>
    <w:rsid w:val="000A59C5"/>
    <w:rsid w:val="000A5A33"/>
    <w:rsid w:val="000A5A41"/>
    <w:rsid w:val="000A5DB6"/>
    <w:rsid w:val="000A5DF1"/>
    <w:rsid w:val="000A5E15"/>
    <w:rsid w:val="000A5ECF"/>
    <w:rsid w:val="000A5ED9"/>
    <w:rsid w:val="000A5EDB"/>
    <w:rsid w:val="000A5F65"/>
    <w:rsid w:val="000A5F9A"/>
    <w:rsid w:val="000A5FAB"/>
    <w:rsid w:val="000A61E6"/>
    <w:rsid w:val="000A6265"/>
    <w:rsid w:val="000A6270"/>
    <w:rsid w:val="000A6382"/>
    <w:rsid w:val="000A64D2"/>
    <w:rsid w:val="000A64EE"/>
    <w:rsid w:val="000A656B"/>
    <w:rsid w:val="000A6571"/>
    <w:rsid w:val="000A659A"/>
    <w:rsid w:val="000A65CE"/>
    <w:rsid w:val="000A66CD"/>
    <w:rsid w:val="000A678A"/>
    <w:rsid w:val="000A6791"/>
    <w:rsid w:val="000A67F3"/>
    <w:rsid w:val="000A685A"/>
    <w:rsid w:val="000A693C"/>
    <w:rsid w:val="000A6A57"/>
    <w:rsid w:val="000A6ACB"/>
    <w:rsid w:val="000A6AF5"/>
    <w:rsid w:val="000A6B90"/>
    <w:rsid w:val="000A6BBD"/>
    <w:rsid w:val="000A6C23"/>
    <w:rsid w:val="000A6CF8"/>
    <w:rsid w:val="000A6D7E"/>
    <w:rsid w:val="000A6E62"/>
    <w:rsid w:val="000A6E7E"/>
    <w:rsid w:val="000A6EB4"/>
    <w:rsid w:val="000A6F27"/>
    <w:rsid w:val="000A712C"/>
    <w:rsid w:val="000A712D"/>
    <w:rsid w:val="000A7157"/>
    <w:rsid w:val="000A7196"/>
    <w:rsid w:val="000A725B"/>
    <w:rsid w:val="000A7290"/>
    <w:rsid w:val="000A7349"/>
    <w:rsid w:val="000A7368"/>
    <w:rsid w:val="000A73C8"/>
    <w:rsid w:val="000A73FB"/>
    <w:rsid w:val="000A753B"/>
    <w:rsid w:val="000A76B9"/>
    <w:rsid w:val="000A778C"/>
    <w:rsid w:val="000A78ED"/>
    <w:rsid w:val="000A790D"/>
    <w:rsid w:val="000A795C"/>
    <w:rsid w:val="000A7973"/>
    <w:rsid w:val="000A7A6D"/>
    <w:rsid w:val="000A7A88"/>
    <w:rsid w:val="000A7AE3"/>
    <w:rsid w:val="000A7B10"/>
    <w:rsid w:val="000A7CDA"/>
    <w:rsid w:val="000A7D36"/>
    <w:rsid w:val="000A7D39"/>
    <w:rsid w:val="000A7D4E"/>
    <w:rsid w:val="000A7D5D"/>
    <w:rsid w:val="000A7DF0"/>
    <w:rsid w:val="000A7E40"/>
    <w:rsid w:val="000A7E41"/>
    <w:rsid w:val="000A7E89"/>
    <w:rsid w:val="000A7EC8"/>
    <w:rsid w:val="000A7FB1"/>
    <w:rsid w:val="000B0039"/>
    <w:rsid w:val="000B006B"/>
    <w:rsid w:val="000B0131"/>
    <w:rsid w:val="000B0142"/>
    <w:rsid w:val="000B0195"/>
    <w:rsid w:val="000B0212"/>
    <w:rsid w:val="000B025C"/>
    <w:rsid w:val="000B0368"/>
    <w:rsid w:val="000B040F"/>
    <w:rsid w:val="000B0466"/>
    <w:rsid w:val="000B0581"/>
    <w:rsid w:val="000B066D"/>
    <w:rsid w:val="000B06BB"/>
    <w:rsid w:val="000B0823"/>
    <w:rsid w:val="000B0859"/>
    <w:rsid w:val="000B0869"/>
    <w:rsid w:val="000B096B"/>
    <w:rsid w:val="000B09DF"/>
    <w:rsid w:val="000B0ADF"/>
    <w:rsid w:val="000B0B67"/>
    <w:rsid w:val="000B0BB5"/>
    <w:rsid w:val="000B0BBC"/>
    <w:rsid w:val="000B0C25"/>
    <w:rsid w:val="000B0C73"/>
    <w:rsid w:val="000B0C79"/>
    <w:rsid w:val="000B0D07"/>
    <w:rsid w:val="000B0DC4"/>
    <w:rsid w:val="000B0DCB"/>
    <w:rsid w:val="000B0DD1"/>
    <w:rsid w:val="000B0E1C"/>
    <w:rsid w:val="000B0ED4"/>
    <w:rsid w:val="000B0F24"/>
    <w:rsid w:val="000B0FEE"/>
    <w:rsid w:val="000B1022"/>
    <w:rsid w:val="000B106C"/>
    <w:rsid w:val="000B10E8"/>
    <w:rsid w:val="000B1111"/>
    <w:rsid w:val="000B117E"/>
    <w:rsid w:val="000B11EE"/>
    <w:rsid w:val="000B11F2"/>
    <w:rsid w:val="000B12BA"/>
    <w:rsid w:val="000B12DA"/>
    <w:rsid w:val="000B13A1"/>
    <w:rsid w:val="000B13F9"/>
    <w:rsid w:val="000B13FD"/>
    <w:rsid w:val="000B1441"/>
    <w:rsid w:val="000B14F7"/>
    <w:rsid w:val="000B1502"/>
    <w:rsid w:val="000B1545"/>
    <w:rsid w:val="000B15D8"/>
    <w:rsid w:val="000B16AF"/>
    <w:rsid w:val="000B16DE"/>
    <w:rsid w:val="000B1707"/>
    <w:rsid w:val="000B1803"/>
    <w:rsid w:val="000B1870"/>
    <w:rsid w:val="000B1901"/>
    <w:rsid w:val="000B194C"/>
    <w:rsid w:val="000B19A1"/>
    <w:rsid w:val="000B19E4"/>
    <w:rsid w:val="000B19EE"/>
    <w:rsid w:val="000B1A2D"/>
    <w:rsid w:val="000B1A70"/>
    <w:rsid w:val="000B1AAB"/>
    <w:rsid w:val="000B1D9E"/>
    <w:rsid w:val="000B1DD8"/>
    <w:rsid w:val="000B1F1D"/>
    <w:rsid w:val="000B1F37"/>
    <w:rsid w:val="000B1F46"/>
    <w:rsid w:val="000B1F53"/>
    <w:rsid w:val="000B1F6D"/>
    <w:rsid w:val="000B205A"/>
    <w:rsid w:val="000B2088"/>
    <w:rsid w:val="000B211C"/>
    <w:rsid w:val="000B2174"/>
    <w:rsid w:val="000B2191"/>
    <w:rsid w:val="000B21BD"/>
    <w:rsid w:val="000B233C"/>
    <w:rsid w:val="000B2349"/>
    <w:rsid w:val="000B23C7"/>
    <w:rsid w:val="000B2421"/>
    <w:rsid w:val="000B2487"/>
    <w:rsid w:val="000B2513"/>
    <w:rsid w:val="000B259B"/>
    <w:rsid w:val="000B2718"/>
    <w:rsid w:val="000B271E"/>
    <w:rsid w:val="000B27D3"/>
    <w:rsid w:val="000B2848"/>
    <w:rsid w:val="000B288D"/>
    <w:rsid w:val="000B28E5"/>
    <w:rsid w:val="000B29F6"/>
    <w:rsid w:val="000B2A21"/>
    <w:rsid w:val="000B2B15"/>
    <w:rsid w:val="000B2B19"/>
    <w:rsid w:val="000B2B55"/>
    <w:rsid w:val="000B2B62"/>
    <w:rsid w:val="000B2C02"/>
    <w:rsid w:val="000B2C42"/>
    <w:rsid w:val="000B2C74"/>
    <w:rsid w:val="000B2C93"/>
    <w:rsid w:val="000B2CAE"/>
    <w:rsid w:val="000B2D25"/>
    <w:rsid w:val="000B2D59"/>
    <w:rsid w:val="000B2D5C"/>
    <w:rsid w:val="000B2D74"/>
    <w:rsid w:val="000B2D93"/>
    <w:rsid w:val="000B2E0E"/>
    <w:rsid w:val="000B2E7A"/>
    <w:rsid w:val="000B2E90"/>
    <w:rsid w:val="000B2EA9"/>
    <w:rsid w:val="000B2EB1"/>
    <w:rsid w:val="000B2FA9"/>
    <w:rsid w:val="000B3039"/>
    <w:rsid w:val="000B303F"/>
    <w:rsid w:val="000B3051"/>
    <w:rsid w:val="000B30B6"/>
    <w:rsid w:val="000B317D"/>
    <w:rsid w:val="000B318C"/>
    <w:rsid w:val="000B31B6"/>
    <w:rsid w:val="000B31D2"/>
    <w:rsid w:val="000B3324"/>
    <w:rsid w:val="000B33D2"/>
    <w:rsid w:val="000B3409"/>
    <w:rsid w:val="000B342E"/>
    <w:rsid w:val="000B344E"/>
    <w:rsid w:val="000B3451"/>
    <w:rsid w:val="000B34BC"/>
    <w:rsid w:val="000B3503"/>
    <w:rsid w:val="000B3537"/>
    <w:rsid w:val="000B356C"/>
    <w:rsid w:val="000B3587"/>
    <w:rsid w:val="000B358A"/>
    <w:rsid w:val="000B3759"/>
    <w:rsid w:val="000B3777"/>
    <w:rsid w:val="000B377F"/>
    <w:rsid w:val="000B37D8"/>
    <w:rsid w:val="000B37DA"/>
    <w:rsid w:val="000B37F8"/>
    <w:rsid w:val="000B380E"/>
    <w:rsid w:val="000B3830"/>
    <w:rsid w:val="000B3834"/>
    <w:rsid w:val="000B38E5"/>
    <w:rsid w:val="000B3926"/>
    <w:rsid w:val="000B3945"/>
    <w:rsid w:val="000B3957"/>
    <w:rsid w:val="000B397E"/>
    <w:rsid w:val="000B39AD"/>
    <w:rsid w:val="000B39ED"/>
    <w:rsid w:val="000B3B6C"/>
    <w:rsid w:val="000B3C64"/>
    <w:rsid w:val="000B3DDD"/>
    <w:rsid w:val="000B3E1F"/>
    <w:rsid w:val="000B3E73"/>
    <w:rsid w:val="000B3F85"/>
    <w:rsid w:val="000B4015"/>
    <w:rsid w:val="000B405E"/>
    <w:rsid w:val="000B408A"/>
    <w:rsid w:val="000B40F2"/>
    <w:rsid w:val="000B414C"/>
    <w:rsid w:val="000B430B"/>
    <w:rsid w:val="000B4373"/>
    <w:rsid w:val="000B442F"/>
    <w:rsid w:val="000B4446"/>
    <w:rsid w:val="000B4487"/>
    <w:rsid w:val="000B44D0"/>
    <w:rsid w:val="000B4510"/>
    <w:rsid w:val="000B45CE"/>
    <w:rsid w:val="000B4613"/>
    <w:rsid w:val="000B46BF"/>
    <w:rsid w:val="000B46F6"/>
    <w:rsid w:val="000B47E9"/>
    <w:rsid w:val="000B4839"/>
    <w:rsid w:val="000B4925"/>
    <w:rsid w:val="000B49B6"/>
    <w:rsid w:val="000B4B28"/>
    <w:rsid w:val="000B4B56"/>
    <w:rsid w:val="000B4B74"/>
    <w:rsid w:val="000B4B82"/>
    <w:rsid w:val="000B4C34"/>
    <w:rsid w:val="000B4C3A"/>
    <w:rsid w:val="000B4C48"/>
    <w:rsid w:val="000B4CD0"/>
    <w:rsid w:val="000B4CD1"/>
    <w:rsid w:val="000B4D20"/>
    <w:rsid w:val="000B4D2B"/>
    <w:rsid w:val="000B4D74"/>
    <w:rsid w:val="000B4DF7"/>
    <w:rsid w:val="000B4E09"/>
    <w:rsid w:val="000B4F0F"/>
    <w:rsid w:val="000B4F16"/>
    <w:rsid w:val="000B4F6E"/>
    <w:rsid w:val="000B4F9B"/>
    <w:rsid w:val="000B4FC4"/>
    <w:rsid w:val="000B5008"/>
    <w:rsid w:val="000B5079"/>
    <w:rsid w:val="000B5101"/>
    <w:rsid w:val="000B5162"/>
    <w:rsid w:val="000B5164"/>
    <w:rsid w:val="000B5169"/>
    <w:rsid w:val="000B520C"/>
    <w:rsid w:val="000B53E6"/>
    <w:rsid w:val="000B5539"/>
    <w:rsid w:val="000B558B"/>
    <w:rsid w:val="000B55AD"/>
    <w:rsid w:val="000B55B6"/>
    <w:rsid w:val="000B55C3"/>
    <w:rsid w:val="000B55C5"/>
    <w:rsid w:val="000B560A"/>
    <w:rsid w:val="000B5659"/>
    <w:rsid w:val="000B5692"/>
    <w:rsid w:val="000B5716"/>
    <w:rsid w:val="000B5721"/>
    <w:rsid w:val="000B576C"/>
    <w:rsid w:val="000B5811"/>
    <w:rsid w:val="000B581B"/>
    <w:rsid w:val="000B584A"/>
    <w:rsid w:val="000B5865"/>
    <w:rsid w:val="000B594E"/>
    <w:rsid w:val="000B5964"/>
    <w:rsid w:val="000B5A00"/>
    <w:rsid w:val="000B5A8B"/>
    <w:rsid w:val="000B5AB6"/>
    <w:rsid w:val="000B5B70"/>
    <w:rsid w:val="000B5BDC"/>
    <w:rsid w:val="000B5C30"/>
    <w:rsid w:val="000B5CF9"/>
    <w:rsid w:val="000B5CFD"/>
    <w:rsid w:val="000B5D69"/>
    <w:rsid w:val="000B5DCB"/>
    <w:rsid w:val="000B5DEF"/>
    <w:rsid w:val="000B5E7C"/>
    <w:rsid w:val="000B5F76"/>
    <w:rsid w:val="000B5FC5"/>
    <w:rsid w:val="000B5FD9"/>
    <w:rsid w:val="000B6070"/>
    <w:rsid w:val="000B60E9"/>
    <w:rsid w:val="000B610C"/>
    <w:rsid w:val="000B6272"/>
    <w:rsid w:val="000B62B4"/>
    <w:rsid w:val="000B62ED"/>
    <w:rsid w:val="000B647A"/>
    <w:rsid w:val="000B648A"/>
    <w:rsid w:val="000B6541"/>
    <w:rsid w:val="000B657D"/>
    <w:rsid w:val="000B65D5"/>
    <w:rsid w:val="000B663F"/>
    <w:rsid w:val="000B6725"/>
    <w:rsid w:val="000B6734"/>
    <w:rsid w:val="000B67EF"/>
    <w:rsid w:val="000B6851"/>
    <w:rsid w:val="000B6852"/>
    <w:rsid w:val="000B6874"/>
    <w:rsid w:val="000B69F9"/>
    <w:rsid w:val="000B6A06"/>
    <w:rsid w:val="000B6A24"/>
    <w:rsid w:val="000B6AE0"/>
    <w:rsid w:val="000B6B23"/>
    <w:rsid w:val="000B6B3A"/>
    <w:rsid w:val="000B6B3F"/>
    <w:rsid w:val="000B6B86"/>
    <w:rsid w:val="000B6B8C"/>
    <w:rsid w:val="000B6B8F"/>
    <w:rsid w:val="000B6BB1"/>
    <w:rsid w:val="000B6C1F"/>
    <w:rsid w:val="000B6C6D"/>
    <w:rsid w:val="000B6C80"/>
    <w:rsid w:val="000B6CBE"/>
    <w:rsid w:val="000B6CDC"/>
    <w:rsid w:val="000B6D5D"/>
    <w:rsid w:val="000B6D97"/>
    <w:rsid w:val="000B6DB3"/>
    <w:rsid w:val="000B6E1C"/>
    <w:rsid w:val="000B6E8F"/>
    <w:rsid w:val="000B6EB5"/>
    <w:rsid w:val="000B7052"/>
    <w:rsid w:val="000B705F"/>
    <w:rsid w:val="000B7069"/>
    <w:rsid w:val="000B7146"/>
    <w:rsid w:val="000B7199"/>
    <w:rsid w:val="000B719A"/>
    <w:rsid w:val="000B72BC"/>
    <w:rsid w:val="000B7361"/>
    <w:rsid w:val="000B73C2"/>
    <w:rsid w:val="000B746A"/>
    <w:rsid w:val="000B7477"/>
    <w:rsid w:val="000B750D"/>
    <w:rsid w:val="000B75A3"/>
    <w:rsid w:val="000B75BB"/>
    <w:rsid w:val="000B75D1"/>
    <w:rsid w:val="000B7655"/>
    <w:rsid w:val="000B76C9"/>
    <w:rsid w:val="000B7724"/>
    <w:rsid w:val="000B7739"/>
    <w:rsid w:val="000B77B4"/>
    <w:rsid w:val="000B77E2"/>
    <w:rsid w:val="000B77FC"/>
    <w:rsid w:val="000B77FF"/>
    <w:rsid w:val="000B782B"/>
    <w:rsid w:val="000B7850"/>
    <w:rsid w:val="000B7853"/>
    <w:rsid w:val="000B7A48"/>
    <w:rsid w:val="000B7AE8"/>
    <w:rsid w:val="000B7B32"/>
    <w:rsid w:val="000B7B56"/>
    <w:rsid w:val="000B7B72"/>
    <w:rsid w:val="000B7B87"/>
    <w:rsid w:val="000B7C53"/>
    <w:rsid w:val="000B7C58"/>
    <w:rsid w:val="000B7C5F"/>
    <w:rsid w:val="000B7CFE"/>
    <w:rsid w:val="000B7E33"/>
    <w:rsid w:val="000B7E43"/>
    <w:rsid w:val="000B7E6C"/>
    <w:rsid w:val="000B7F2D"/>
    <w:rsid w:val="000B7F9C"/>
    <w:rsid w:val="000C0034"/>
    <w:rsid w:val="000C007F"/>
    <w:rsid w:val="000C008F"/>
    <w:rsid w:val="000C00B4"/>
    <w:rsid w:val="000C00EA"/>
    <w:rsid w:val="000C00FF"/>
    <w:rsid w:val="000C0182"/>
    <w:rsid w:val="000C02A8"/>
    <w:rsid w:val="000C02FE"/>
    <w:rsid w:val="000C0404"/>
    <w:rsid w:val="000C0464"/>
    <w:rsid w:val="000C054B"/>
    <w:rsid w:val="000C05A7"/>
    <w:rsid w:val="000C067F"/>
    <w:rsid w:val="000C06CE"/>
    <w:rsid w:val="000C0755"/>
    <w:rsid w:val="000C07B5"/>
    <w:rsid w:val="000C07C5"/>
    <w:rsid w:val="000C0847"/>
    <w:rsid w:val="000C088E"/>
    <w:rsid w:val="000C08CC"/>
    <w:rsid w:val="000C0A44"/>
    <w:rsid w:val="000C0A71"/>
    <w:rsid w:val="000C0AFC"/>
    <w:rsid w:val="000C0B9E"/>
    <w:rsid w:val="000C0CE7"/>
    <w:rsid w:val="000C0D44"/>
    <w:rsid w:val="000C0DFA"/>
    <w:rsid w:val="000C0E9A"/>
    <w:rsid w:val="000C0F85"/>
    <w:rsid w:val="000C0F86"/>
    <w:rsid w:val="000C1147"/>
    <w:rsid w:val="000C1198"/>
    <w:rsid w:val="000C1200"/>
    <w:rsid w:val="000C1259"/>
    <w:rsid w:val="000C12B0"/>
    <w:rsid w:val="000C131A"/>
    <w:rsid w:val="000C131D"/>
    <w:rsid w:val="000C1379"/>
    <w:rsid w:val="000C13C9"/>
    <w:rsid w:val="000C140F"/>
    <w:rsid w:val="000C141F"/>
    <w:rsid w:val="000C1488"/>
    <w:rsid w:val="000C1546"/>
    <w:rsid w:val="000C163C"/>
    <w:rsid w:val="000C16FC"/>
    <w:rsid w:val="000C1709"/>
    <w:rsid w:val="000C17EC"/>
    <w:rsid w:val="000C1822"/>
    <w:rsid w:val="000C182D"/>
    <w:rsid w:val="000C18BE"/>
    <w:rsid w:val="000C18E4"/>
    <w:rsid w:val="000C1913"/>
    <w:rsid w:val="000C1ADB"/>
    <w:rsid w:val="000C1AEE"/>
    <w:rsid w:val="000C1AF7"/>
    <w:rsid w:val="000C1BB1"/>
    <w:rsid w:val="000C1BBE"/>
    <w:rsid w:val="000C1CB0"/>
    <w:rsid w:val="000C1D55"/>
    <w:rsid w:val="000C1DB4"/>
    <w:rsid w:val="000C1DFF"/>
    <w:rsid w:val="000C1E6F"/>
    <w:rsid w:val="000C1E90"/>
    <w:rsid w:val="000C1EC9"/>
    <w:rsid w:val="000C1F0F"/>
    <w:rsid w:val="000C1F7A"/>
    <w:rsid w:val="000C1F81"/>
    <w:rsid w:val="000C1FA8"/>
    <w:rsid w:val="000C1FB6"/>
    <w:rsid w:val="000C206C"/>
    <w:rsid w:val="000C209F"/>
    <w:rsid w:val="000C21B9"/>
    <w:rsid w:val="000C21DA"/>
    <w:rsid w:val="000C2207"/>
    <w:rsid w:val="000C2236"/>
    <w:rsid w:val="000C22C6"/>
    <w:rsid w:val="000C235F"/>
    <w:rsid w:val="000C243F"/>
    <w:rsid w:val="000C2454"/>
    <w:rsid w:val="000C2508"/>
    <w:rsid w:val="000C2603"/>
    <w:rsid w:val="000C269D"/>
    <w:rsid w:val="000C26CB"/>
    <w:rsid w:val="000C271A"/>
    <w:rsid w:val="000C27E9"/>
    <w:rsid w:val="000C2830"/>
    <w:rsid w:val="000C2896"/>
    <w:rsid w:val="000C2897"/>
    <w:rsid w:val="000C289B"/>
    <w:rsid w:val="000C28ED"/>
    <w:rsid w:val="000C291B"/>
    <w:rsid w:val="000C29B2"/>
    <w:rsid w:val="000C29FF"/>
    <w:rsid w:val="000C2AB2"/>
    <w:rsid w:val="000C2B93"/>
    <w:rsid w:val="000C2D5F"/>
    <w:rsid w:val="000C2DCE"/>
    <w:rsid w:val="000C2E8E"/>
    <w:rsid w:val="000C2F2D"/>
    <w:rsid w:val="000C2F62"/>
    <w:rsid w:val="000C2F65"/>
    <w:rsid w:val="000C2F90"/>
    <w:rsid w:val="000C2F9A"/>
    <w:rsid w:val="000C2FB8"/>
    <w:rsid w:val="000C3067"/>
    <w:rsid w:val="000C3097"/>
    <w:rsid w:val="000C31E8"/>
    <w:rsid w:val="000C31FB"/>
    <w:rsid w:val="000C3214"/>
    <w:rsid w:val="000C3268"/>
    <w:rsid w:val="000C3269"/>
    <w:rsid w:val="000C3273"/>
    <w:rsid w:val="000C32D9"/>
    <w:rsid w:val="000C3390"/>
    <w:rsid w:val="000C351F"/>
    <w:rsid w:val="000C354D"/>
    <w:rsid w:val="000C3557"/>
    <w:rsid w:val="000C3576"/>
    <w:rsid w:val="000C3595"/>
    <w:rsid w:val="000C35A3"/>
    <w:rsid w:val="000C3622"/>
    <w:rsid w:val="000C3670"/>
    <w:rsid w:val="000C367A"/>
    <w:rsid w:val="000C378C"/>
    <w:rsid w:val="000C3803"/>
    <w:rsid w:val="000C3808"/>
    <w:rsid w:val="000C387D"/>
    <w:rsid w:val="000C388A"/>
    <w:rsid w:val="000C39EF"/>
    <w:rsid w:val="000C3A81"/>
    <w:rsid w:val="000C3B98"/>
    <w:rsid w:val="000C3BDC"/>
    <w:rsid w:val="000C3C8C"/>
    <w:rsid w:val="000C3CB1"/>
    <w:rsid w:val="000C3D06"/>
    <w:rsid w:val="000C3D51"/>
    <w:rsid w:val="000C3D71"/>
    <w:rsid w:val="000C3E11"/>
    <w:rsid w:val="000C3EA4"/>
    <w:rsid w:val="000C3EA6"/>
    <w:rsid w:val="000C3F90"/>
    <w:rsid w:val="000C3FC7"/>
    <w:rsid w:val="000C3FF9"/>
    <w:rsid w:val="000C404D"/>
    <w:rsid w:val="000C4188"/>
    <w:rsid w:val="000C424A"/>
    <w:rsid w:val="000C4362"/>
    <w:rsid w:val="000C437C"/>
    <w:rsid w:val="000C440D"/>
    <w:rsid w:val="000C44DA"/>
    <w:rsid w:val="000C44EC"/>
    <w:rsid w:val="000C45C2"/>
    <w:rsid w:val="000C45D6"/>
    <w:rsid w:val="000C4619"/>
    <w:rsid w:val="000C464A"/>
    <w:rsid w:val="000C4709"/>
    <w:rsid w:val="000C471B"/>
    <w:rsid w:val="000C47A8"/>
    <w:rsid w:val="000C4801"/>
    <w:rsid w:val="000C48F2"/>
    <w:rsid w:val="000C4904"/>
    <w:rsid w:val="000C491B"/>
    <w:rsid w:val="000C496C"/>
    <w:rsid w:val="000C49AF"/>
    <w:rsid w:val="000C4B3A"/>
    <w:rsid w:val="000C4B56"/>
    <w:rsid w:val="000C4B9A"/>
    <w:rsid w:val="000C4C14"/>
    <w:rsid w:val="000C4C6D"/>
    <w:rsid w:val="000C4CC3"/>
    <w:rsid w:val="000C4D20"/>
    <w:rsid w:val="000C4D7E"/>
    <w:rsid w:val="000C4E19"/>
    <w:rsid w:val="000C4E25"/>
    <w:rsid w:val="000C4E9E"/>
    <w:rsid w:val="000C4F20"/>
    <w:rsid w:val="000C4FF4"/>
    <w:rsid w:val="000C50B5"/>
    <w:rsid w:val="000C5123"/>
    <w:rsid w:val="000C5159"/>
    <w:rsid w:val="000C524B"/>
    <w:rsid w:val="000C52B1"/>
    <w:rsid w:val="000C52CE"/>
    <w:rsid w:val="000C52FA"/>
    <w:rsid w:val="000C53A6"/>
    <w:rsid w:val="000C544F"/>
    <w:rsid w:val="000C5450"/>
    <w:rsid w:val="000C5532"/>
    <w:rsid w:val="000C5576"/>
    <w:rsid w:val="000C566A"/>
    <w:rsid w:val="000C5754"/>
    <w:rsid w:val="000C5827"/>
    <w:rsid w:val="000C58A2"/>
    <w:rsid w:val="000C591F"/>
    <w:rsid w:val="000C597E"/>
    <w:rsid w:val="000C5987"/>
    <w:rsid w:val="000C59F8"/>
    <w:rsid w:val="000C5A59"/>
    <w:rsid w:val="000C5A7A"/>
    <w:rsid w:val="000C5A89"/>
    <w:rsid w:val="000C5AE8"/>
    <w:rsid w:val="000C5AEC"/>
    <w:rsid w:val="000C5B05"/>
    <w:rsid w:val="000C5B2B"/>
    <w:rsid w:val="000C5B48"/>
    <w:rsid w:val="000C5C43"/>
    <w:rsid w:val="000C5C5B"/>
    <w:rsid w:val="000C5EB6"/>
    <w:rsid w:val="000C5F09"/>
    <w:rsid w:val="000C5F9A"/>
    <w:rsid w:val="000C603D"/>
    <w:rsid w:val="000C6101"/>
    <w:rsid w:val="000C613E"/>
    <w:rsid w:val="000C6157"/>
    <w:rsid w:val="000C61B2"/>
    <w:rsid w:val="000C61E1"/>
    <w:rsid w:val="000C61E5"/>
    <w:rsid w:val="000C6206"/>
    <w:rsid w:val="000C6233"/>
    <w:rsid w:val="000C628B"/>
    <w:rsid w:val="000C62B8"/>
    <w:rsid w:val="000C6301"/>
    <w:rsid w:val="000C6325"/>
    <w:rsid w:val="000C636F"/>
    <w:rsid w:val="000C63AF"/>
    <w:rsid w:val="000C6443"/>
    <w:rsid w:val="000C6513"/>
    <w:rsid w:val="000C65C4"/>
    <w:rsid w:val="000C6680"/>
    <w:rsid w:val="000C668D"/>
    <w:rsid w:val="000C66AD"/>
    <w:rsid w:val="000C66ED"/>
    <w:rsid w:val="000C67C9"/>
    <w:rsid w:val="000C68E2"/>
    <w:rsid w:val="000C6908"/>
    <w:rsid w:val="000C693E"/>
    <w:rsid w:val="000C697D"/>
    <w:rsid w:val="000C6991"/>
    <w:rsid w:val="000C6AD7"/>
    <w:rsid w:val="000C6B7A"/>
    <w:rsid w:val="000C6BBB"/>
    <w:rsid w:val="000C6BDF"/>
    <w:rsid w:val="000C6C41"/>
    <w:rsid w:val="000C6C4F"/>
    <w:rsid w:val="000C6C9D"/>
    <w:rsid w:val="000C6CA5"/>
    <w:rsid w:val="000C6CDF"/>
    <w:rsid w:val="000C6D16"/>
    <w:rsid w:val="000C6DA9"/>
    <w:rsid w:val="000C6DC6"/>
    <w:rsid w:val="000C6E86"/>
    <w:rsid w:val="000C6ECA"/>
    <w:rsid w:val="000C6F07"/>
    <w:rsid w:val="000C6F71"/>
    <w:rsid w:val="000C6F90"/>
    <w:rsid w:val="000C6FDC"/>
    <w:rsid w:val="000C6FF4"/>
    <w:rsid w:val="000C7031"/>
    <w:rsid w:val="000C7036"/>
    <w:rsid w:val="000C7112"/>
    <w:rsid w:val="000C7184"/>
    <w:rsid w:val="000C7193"/>
    <w:rsid w:val="000C71FD"/>
    <w:rsid w:val="000C7227"/>
    <w:rsid w:val="000C722B"/>
    <w:rsid w:val="000C722F"/>
    <w:rsid w:val="000C7271"/>
    <w:rsid w:val="000C733C"/>
    <w:rsid w:val="000C7355"/>
    <w:rsid w:val="000C737E"/>
    <w:rsid w:val="000C7450"/>
    <w:rsid w:val="000C7472"/>
    <w:rsid w:val="000C74BF"/>
    <w:rsid w:val="000C74DA"/>
    <w:rsid w:val="000C750B"/>
    <w:rsid w:val="000C7654"/>
    <w:rsid w:val="000C781B"/>
    <w:rsid w:val="000C78F5"/>
    <w:rsid w:val="000C79EE"/>
    <w:rsid w:val="000C79F2"/>
    <w:rsid w:val="000C7A23"/>
    <w:rsid w:val="000C7A68"/>
    <w:rsid w:val="000C7AAF"/>
    <w:rsid w:val="000C7C75"/>
    <w:rsid w:val="000C7D0E"/>
    <w:rsid w:val="000C7D1D"/>
    <w:rsid w:val="000C7DCF"/>
    <w:rsid w:val="000C7E11"/>
    <w:rsid w:val="000C7E3C"/>
    <w:rsid w:val="000C7E5E"/>
    <w:rsid w:val="000C7EA5"/>
    <w:rsid w:val="000C7F21"/>
    <w:rsid w:val="000C7F42"/>
    <w:rsid w:val="000C7F51"/>
    <w:rsid w:val="000C7FBC"/>
    <w:rsid w:val="000C7FD1"/>
    <w:rsid w:val="000D0000"/>
    <w:rsid w:val="000D0043"/>
    <w:rsid w:val="000D007C"/>
    <w:rsid w:val="000D00A3"/>
    <w:rsid w:val="000D0267"/>
    <w:rsid w:val="000D026D"/>
    <w:rsid w:val="000D0278"/>
    <w:rsid w:val="000D0285"/>
    <w:rsid w:val="000D0384"/>
    <w:rsid w:val="000D03D8"/>
    <w:rsid w:val="000D0447"/>
    <w:rsid w:val="000D04AC"/>
    <w:rsid w:val="000D0551"/>
    <w:rsid w:val="000D055A"/>
    <w:rsid w:val="000D0606"/>
    <w:rsid w:val="000D060F"/>
    <w:rsid w:val="000D0693"/>
    <w:rsid w:val="000D08CC"/>
    <w:rsid w:val="000D08D7"/>
    <w:rsid w:val="000D0903"/>
    <w:rsid w:val="000D093E"/>
    <w:rsid w:val="000D09AC"/>
    <w:rsid w:val="000D09D3"/>
    <w:rsid w:val="000D09EF"/>
    <w:rsid w:val="000D09F6"/>
    <w:rsid w:val="000D0ADD"/>
    <w:rsid w:val="000D0B54"/>
    <w:rsid w:val="000D0B78"/>
    <w:rsid w:val="000D0B96"/>
    <w:rsid w:val="000D0BFD"/>
    <w:rsid w:val="000D0C1F"/>
    <w:rsid w:val="000D0CD2"/>
    <w:rsid w:val="000D0D19"/>
    <w:rsid w:val="000D0D72"/>
    <w:rsid w:val="000D0D90"/>
    <w:rsid w:val="000D0F2F"/>
    <w:rsid w:val="000D0FDE"/>
    <w:rsid w:val="000D0FEA"/>
    <w:rsid w:val="000D101C"/>
    <w:rsid w:val="000D1020"/>
    <w:rsid w:val="000D104C"/>
    <w:rsid w:val="000D1067"/>
    <w:rsid w:val="000D1076"/>
    <w:rsid w:val="000D107B"/>
    <w:rsid w:val="000D10C8"/>
    <w:rsid w:val="000D10E7"/>
    <w:rsid w:val="000D10EC"/>
    <w:rsid w:val="000D1112"/>
    <w:rsid w:val="000D1151"/>
    <w:rsid w:val="000D1152"/>
    <w:rsid w:val="000D1203"/>
    <w:rsid w:val="000D121D"/>
    <w:rsid w:val="000D1224"/>
    <w:rsid w:val="000D12E0"/>
    <w:rsid w:val="000D1344"/>
    <w:rsid w:val="000D137C"/>
    <w:rsid w:val="000D1395"/>
    <w:rsid w:val="000D140A"/>
    <w:rsid w:val="000D1429"/>
    <w:rsid w:val="000D145A"/>
    <w:rsid w:val="000D1480"/>
    <w:rsid w:val="000D14E8"/>
    <w:rsid w:val="000D15C0"/>
    <w:rsid w:val="000D1626"/>
    <w:rsid w:val="000D1742"/>
    <w:rsid w:val="000D178F"/>
    <w:rsid w:val="000D179D"/>
    <w:rsid w:val="000D17C3"/>
    <w:rsid w:val="000D1823"/>
    <w:rsid w:val="000D18BC"/>
    <w:rsid w:val="000D18E5"/>
    <w:rsid w:val="000D1988"/>
    <w:rsid w:val="000D198C"/>
    <w:rsid w:val="000D1AD2"/>
    <w:rsid w:val="000D1ADF"/>
    <w:rsid w:val="000D1B0A"/>
    <w:rsid w:val="000D1B31"/>
    <w:rsid w:val="000D1B9B"/>
    <w:rsid w:val="000D1BD3"/>
    <w:rsid w:val="000D1C33"/>
    <w:rsid w:val="000D1C68"/>
    <w:rsid w:val="000D1DB2"/>
    <w:rsid w:val="000D1E37"/>
    <w:rsid w:val="000D1F16"/>
    <w:rsid w:val="000D1F79"/>
    <w:rsid w:val="000D1F7C"/>
    <w:rsid w:val="000D1FA5"/>
    <w:rsid w:val="000D20C2"/>
    <w:rsid w:val="000D2157"/>
    <w:rsid w:val="000D2190"/>
    <w:rsid w:val="000D22E6"/>
    <w:rsid w:val="000D2317"/>
    <w:rsid w:val="000D235E"/>
    <w:rsid w:val="000D2376"/>
    <w:rsid w:val="000D238A"/>
    <w:rsid w:val="000D2417"/>
    <w:rsid w:val="000D254D"/>
    <w:rsid w:val="000D2555"/>
    <w:rsid w:val="000D2568"/>
    <w:rsid w:val="000D2635"/>
    <w:rsid w:val="000D2719"/>
    <w:rsid w:val="000D2726"/>
    <w:rsid w:val="000D272D"/>
    <w:rsid w:val="000D2737"/>
    <w:rsid w:val="000D275F"/>
    <w:rsid w:val="000D2766"/>
    <w:rsid w:val="000D2776"/>
    <w:rsid w:val="000D27B4"/>
    <w:rsid w:val="000D2823"/>
    <w:rsid w:val="000D2840"/>
    <w:rsid w:val="000D2906"/>
    <w:rsid w:val="000D298D"/>
    <w:rsid w:val="000D29C3"/>
    <w:rsid w:val="000D29D7"/>
    <w:rsid w:val="000D2A47"/>
    <w:rsid w:val="000D2ACE"/>
    <w:rsid w:val="000D2AEA"/>
    <w:rsid w:val="000D2B0D"/>
    <w:rsid w:val="000D2B27"/>
    <w:rsid w:val="000D2B48"/>
    <w:rsid w:val="000D2B62"/>
    <w:rsid w:val="000D2B7C"/>
    <w:rsid w:val="000D2CFB"/>
    <w:rsid w:val="000D2D53"/>
    <w:rsid w:val="000D2DA3"/>
    <w:rsid w:val="000D2DB4"/>
    <w:rsid w:val="000D2DCD"/>
    <w:rsid w:val="000D2E3C"/>
    <w:rsid w:val="000D2E59"/>
    <w:rsid w:val="000D2E65"/>
    <w:rsid w:val="000D2EF6"/>
    <w:rsid w:val="000D2FF3"/>
    <w:rsid w:val="000D304E"/>
    <w:rsid w:val="000D3066"/>
    <w:rsid w:val="000D3069"/>
    <w:rsid w:val="000D30E9"/>
    <w:rsid w:val="000D313C"/>
    <w:rsid w:val="000D3169"/>
    <w:rsid w:val="000D3250"/>
    <w:rsid w:val="000D33BB"/>
    <w:rsid w:val="000D33FB"/>
    <w:rsid w:val="000D353D"/>
    <w:rsid w:val="000D3591"/>
    <w:rsid w:val="000D35F5"/>
    <w:rsid w:val="000D365C"/>
    <w:rsid w:val="000D3686"/>
    <w:rsid w:val="000D3750"/>
    <w:rsid w:val="000D375A"/>
    <w:rsid w:val="000D3788"/>
    <w:rsid w:val="000D381D"/>
    <w:rsid w:val="000D38E1"/>
    <w:rsid w:val="000D390D"/>
    <w:rsid w:val="000D390F"/>
    <w:rsid w:val="000D3923"/>
    <w:rsid w:val="000D39A3"/>
    <w:rsid w:val="000D3A02"/>
    <w:rsid w:val="000D3A13"/>
    <w:rsid w:val="000D3A74"/>
    <w:rsid w:val="000D3A8D"/>
    <w:rsid w:val="000D3B24"/>
    <w:rsid w:val="000D3BB1"/>
    <w:rsid w:val="000D3C28"/>
    <w:rsid w:val="000D3C70"/>
    <w:rsid w:val="000D3DE0"/>
    <w:rsid w:val="000D3EE7"/>
    <w:rsid w:val="000D3F05"/>
    <w:rsid w:val="000D3F19"/>
    <w:rsid w:val="000D3F7F"/>
    <w:rsid w:val="000D3FEF"/>
    <w:rsid w:val="000D4039"/>
    <w:rsid w:val="000D404E"/>
    <w:rsid w:val="000D406D"/>
    <w:rsid w:val="000D415A"/>
    <w:rsid w:val="000D41A0"/>
    <w:rsid w:val="000D4337"/>
    <w:rsid w:val="000D448B"/>
    <w:rsid w:val="000D460E"/>
    <w:rsid w:val="000D4658"/>
    <w:rsid w:val="000D467A"/>
    <w:rsid w:val="000D46DB"/>
    <w:rsid w:val="000D4707"/>
    <w:rsid w:val="000D4818"/>
    <w:rsid w:val="000D4867"/>
    <w:rsid w:val="000D4B12"/>
    <w:rsid w:val="000D4B1C"/>
    <w:rsid w:val="000D4B62"/>
    <w:rsid w:val="000D4B7E"/>
    <w:rsid w:val="000D4C73"/>
    <w:rsid w:val="000D4CD2"/>
    <w:rsid w:val="000D4D06"/>
    <w:rsid w:val="000D4D08"/>
    <w:rsid w:val="000D4D1A"/>
    <w:rsid w:val="000D4D51"/>
    <w:rsid w:val="000D4D67"/>
    <w:rsid w:val="000D4D6C"/>
    <w:rsid w:val="000D4E75"/>
    <w:rsid w:val="000D4F5D"/>
    <w:rsid w:val="000D5047"/>
    <w:rsid w:val="000D508E"/>
    <w:rsid w:val="000D50D4"/>
    <w:rsid w:val="000D523E"/>
    <w:rsid w:val="000D527C"/>
    <w:rsid w:val="000D5313"/>
    <w:rsid w:val="000D55BA"/>
    <w:rsid w:val="000D561E"/>
    <w:rsid w:val="000D5632"/>
    <w:rsid w:val="000D563A"/>
    <w:rsid w:val="000D5732"/>
    <w:rsid w:val="000D57B4"/>
    <w:rsid w:val="000D57CA"/>
    <w:rsid w:val="000D57E8"/>
    <w:rsid w:val="000D5886"/>
    <w:rsid w:val="000D59AA"/>
    <w:rsid w:val="000D59B8"/>
    <w:rsid w:val="000D5AC9"/>
    <w:rsid w:val="000D5B01"/>
    <w:rsid w:val="000D5B54"/>
    <w:rsid w:val="000D5BA7"/>
    <w:rsid w:val="000D5C2D"/>
    <w:rsid w:val="000D5D8D"/>
    <w:rsid w:val="000D5DC5"/>
    <w:rsid w:val="000D5E1B"/>
    <w:rsid w:val="000D5E72"/>
    <w:rsid w:val="000D5E81"/>
    <w:rsid w:val="000D5EF7"/>
    <w:rsid w:val="000D5F1C"/>
    <w:rsid w:val="000D5F62"/>
    <w:rsid w:val="000D6111"/>
    <w:rsid w:val="000D61AF"/>
    <w:rsid w:val="000D6236"/>
    <w:rsid w:val="000D6284"/>
    <w:rsid w:val="000D62BA"/>
    <w:rsid w:val="000D62F3"/>
    <w:rsid w:val="000D6357"/>
    <w:rsid w:val="000D64A2"/>
    <w:rsid w:val="000D64BA"/>
    <w:rsid w:val="000D659E"/>
    <w:rsid w:val="000D65A0"/>
    <w:rsid w:val="000D65CD"/>
    <w:rsid w:val="000D6607"/>
    <w:rsid w:val="000D662B"/>
    <w:rsid w:val="000D6647"/>
    <w:rsid w:val="000D67A8"/>
    <w:rsid w:val="000D67BC"/>
    <w:rsid w:val="000D67DD"/>
    <w:rsid w:val="000D6809"/>
    <w:rsid w:val="000D6879"/>
    <w:rsid w:val="000D688E"/>
    <w:rsid w:val="000D68D0"/>
    <w:rsid w:val="000D6975"/>
    <w:rsid w:val="000D6992"/>
    <w:rsid w:val="000D69E3"/>
    <w:rsid w:val="000D69E7"/>
    <w:rsid w:val="000D6ADA"/>
    <w:rsid w:val="000D6B41"/>
    <w:rsid w:val="000D6B90"/>
    <w:rsid w:val="000D6BC7"/>
    <w:rsid w:val="000D6C59"/>
    <w:rsid w:val="000D6DC6"/>
    <w:rsid w:val="000D6DC7"/>
    <w:rsid w:val="000D6E0B"/>
    <w:rsid w:val="000D6E68"/>
    <w:rsid w:val="000D6E86"/>
    <w:rsid w:val="000D6EAE"/>
    <w:rsid w:val="000D6EEE"/>
    <w:rsid w:val="000D6F68"/>
    <w:rsid w:val="000D70AD"/>
    <w:rsid w:val="000D7103"/>
    <w:rsid w:val="000D7136"/>
    <w:rsid w:val="000D71A8"/>
    <w:rsid w:val="000D71BB"/>
    <w:rsid w:val="000D71D1"/>
    <w:rsid w:val="000D71DC"/>
    <w:rsid w:val="000D71F4"/>
    <w:rsid w:val="000D7223"/>
    <w:rsid w:val="000D7230"/>
    <w:rsid w:val="000D7247"/>
    <w:rsid w:val="000D735C"/>
    <w:rsid w:val="000D7386"/>
    <w:rsid w:val="000D7429"/>
    <w:rsid w:val="000D749D"/>
    <w:rsid w:val="000D75A3"/>
    <w:rsid w:val="000D75E0"/>
    <w:rsid w:val="000D7694"/>
    <w:rsid w:val="000D7696"/>
    <w:rsid w:val="000D7701"/>
    <w:rsid w:val="000D776D"/>
    <w:rsid w:val="000D7790"/>
    <w:rsid w:val="000D77BF"/>
    <w:rsid w:val="000D77F3"/>
    <w:rsid w:val="000D788A"/>
    <w:rsid w:val="000D78A5"/>
    <w:rsid w:val="000D78C1"/>
    <w:rsid w:val="000D7961"/>
    <w:rsid w:val="000D7A15"/>
    <w:rsid w:val="000D7A6F"/>
    <w:rsid w:val="000D7A8A"/>
    <w:rsid w:val="000D7AAA"/>
    <w:rsid w:val="000D7ADD"/>
    <w:rsid w:val="000D7B3E"/>
    <w:rsid w:val="000D7B99"/>
    <w:rsid w:val="000D7B9B"/>
    <w:rsid w:val="000D7B9D"/>
    <w:rsid w:val="000D7BF6"/>
    <w:rsid w:val="000D7C1B"/>
    <w:rsid w:val="000D7C4B"/>
    <w:rsid w:val="000D7CA8"/>
    <w:rsid w:val="000D7D2E"/>
    <w:rsid w:val="000D7D40"/>
    <w:rsid w:val="000D7D8B"/>
    <w:rsid w:val="000D7E2C"/>
    <w:rsid w:val="000D7E62"/>
    <w:rsid w:val="000D7E65"/>
    <w:rsid w:val="000D7E80"/>
    <w:rsid w:val="000D7ECC"/>
    <w:rsid w:val="000D7F76"/>
    <w:rsid w:val="000D7F7F"/>
    <w:rsid w:val="000D7FBE"/>
    <w:rsid w:val="000E0087"/>
    <w:rsid w:val="000E0089"/>
    <w:rsid w:val="000E010A"/>
    <w:rsid w:val="000E0112"/>
    <w:rsid w:val="000E013F"/>
    <w:rsid w:val="000E01C1"/>
    <w:rsid w:val="000E0236"/>
    <w:rsid w:val="000E02E1"/>
    <w:rsid w:val="000E02E8"/>
    <w:rsid w:val="000E035F"/>
    <w:rsid w:val="000E03CC"/>
    <w:rsid w:val="000E03DF"/>
    <w:rsid w:val="000E04E1"/>
    <w:rsid w:val="000E04E4"/>
    <w:rsid w:val="000E04FC"/>
    <w:rsid w:val="000E05B1"/>
    <w:rsid w:val="000E05EF"/>
    <w:rsid w:val="000E0622"/>
    <w:rsid w:val="000E0689"/>
    <w:rsid w:val="000E0729"/>
    <w:rsid w:val="000E0790"/>
    <w:rsid w:val="000E08B4"/>
    <w:rsid w:val="000E091D"/>
    <w:rsid w:val="000E0A33"/>
    <w:rsid w:val="000E0A50"/>
    <w:rsid w:val="000E0A9A"/>
    <w:rsid w:val="000E0B28"/>
    <w:rsid w:val="000E0B2A"/>
    <w:rsid w:val="000E0B4B"/>
    <w:rsid w:val="000E0B56"/>
    <w:rsid w:val="000E0B7A"/>
    <w:rsid w:val="000E0BA7"/>
    <w:rsid w:val="000E0C44"/>
    <w:rsid w:val="000E0CCB"/>
    <w:rsid w:val="000E0D04"/>
    <w:rsid w:val="000E0D49"/>
    <w:rsid w:val="000E0D93"/>
    <w:rsid w:val="000E0E57"/>
    <w:rsid w:val="000E0F14"/>
    <w:rsid w:val="000E0F60"/>
    <w:rsid w:val="000E0F8D"/>
    <w:rsid w:val="000E0FC9"/>
    <w:rsid w:val="000E1006"/>
    <w:rsid w:val="000E1066"/>
    <w:rsid w:val="000E108E"/>
    <w:rsid w:val="000E10D2"/>
    <w:rsid w:val="000E10FF"/>
    <w:rsid w:val="000E115B"/>
    <w:rsid w:val="000E11A9"/>
    <w:rsid w:val="000E12CC"/>
    <w:rsid w:val="000E12E4"/>
    <w:rsid w:val="000E12F6"/>
    <w:rsid w:val="000E1313"/>
    <w:rsid w:val="000E1340"/>
    <w:rsid w:val="000E13B0"/>
    <w:rsid w:val="000E13BA"/>
    <w:rsid w:val="000E1408"/>
    <w:rsid w:val="000E15A1"/>
    <w:rsid w:val="000E15E5"/>
    <w:rsid w:val="000E16A5"/>
    <w:rsid w:val="000E16DF"/>
    <w:rsid w:val="000E17A2"/>
    <w:rsid w:val="000E17CD"/>
    <w:rsid w:val="000E182D"/>
    <w:rsid w:val="000E196B"/>
    <w:rsid w:val="000E1A02"/>
    <w:rsid w:val="000E1A74"/>
    <w:rsid w:val="000E1A81"/>
    <w:rsid w:val="000E1B33"/>
    <w:rsid w:val="000E1BAF"/>
    <w:rsid w:val="000E1BCE"/>
    <w:rsid w:val="000E1C1A"/>
    <w:rsid w:val="000E1DD9"/>
    <w:rsid w:val="000E1E7C"/>
    <w:rsid w:val="000E1E85"/>
    <w:rsid w:val="000E1EC7"/>
    <w:rsid w:val="000E1F09"/>
    <w:rsid w:val="000E1F20"/>
    <w:rsid w:val="000E1F53"/>
    <w:rsid w:val="000E1F65"/>
    <w:rsid w:val="000E1F9D"/>
    <w:rsid w:val="000E1FF4"/>
    <w:rsid w:val="000E210C"/>
    <w:rsid w:val="000E220D"/>
    <w:rsid w:val="000E2245"/>
    <w:rsid w:val="000E2267"/>
    <w:rsid w:val="000E2287"/>
    <w:rsid w:val="000E22C9"/>
    <w:rsid w:val="000E241D"/>
    <w:rsid w:val="000E2445"/>
    <w:rsid w:val="000E246D"/>
    <w:rsid w:val="000E24A3"/>
    <w:rsid w:val="000E25C8"/>
    <w:rsid w:val="000E261F"/>
    <w:rsid w:val="000E2681"/>
    <w:rsid w:val="000E26A3"/>
    <w:rsid w:val="000E26D9"/>
    <w:rsid w:val="000E2709"/>
    <w:rsid w:val="000E2900"/>
    <w:rsid w:val="000E2906"/>
    <w:rsid w:val="000E2A29"/>
    <w:rsid w:val="000E2AE1"/>
    <w:rsid w:val="000E2AF3"/>
    <w:rsid w:val="000E2B23"/>
    <w:rsid w:val="000E2C19"/>
    <w:rsid w:val="000E2C9C"/>
    <w:rsid w:val="000E2CAF"/>
    <w:rsid w:val="000E2D19"/>
    <w:rsid w:val="000E2D32"/>
    <w:rsid w:val="000E2D56"/>
    <w:rsid w:val="000E2D7B"/>
    <w:rsid w:val="000E2DBA"/>
    <w:rsid w:val="000E2DF1"/>
    <w:rsid w:val="000E2EDC"/>
    <w:rsid w:val="000E2F93"/>
    <w:rsid w:val="000E2F9B"/>
    <w:rsid w:val="000E2FF5"/>
    <w:rsid w:val="000E3063"/>
    <w:rsid w:val="000E3079"/>
    <w:rsid w:val="000E31C0"/>
    <w:rsid w:val="000E3255"/>
    <w:rsid w:val="000E3410"/>
    <w:rsid w:val="000E343A"/>
    <w:rsid w:val="000E35B2"/>
    <w:rsid w:val="000E35C5"/>
    <w:rsid w:val="000E35C6"/>
    <w:rsid w:val="000E368B"/>
    <w:rsid w:val="000E36EE"/>
    <w:rsid w:val="000E37DA"/>
    <w:rsid w:val="000E3929"/>
    <w:rsid w:val="000E3975"/>
    <w:rsid w:val="000E3977"/>
    <w:rsid w:val="000E3996"/>
    <w:rsid w:val="000E3A43"/>
    <w:rsid w:val="000E3A99"/>
    <w:rsid w:val="000E3AA6"/>
    <w:rsid w:val="000E3ACF"/>
    <w:rsid w:val="000E3B0D"/>
    <w:rsid w:val="000E3B16"/>
    <w:rsid w:val="000E3B19"/>
    <w:rsid w:val="000E3BCE"/>
    <w:rsid w:val="000E3BD5"/>
    <w:rsid w:val="000E3BE9"/>
    <w:rsid w:val="000E3BED"/>
    <w:rsid w:val="000E3C34"/>
    <w:rsid w:val="000E3DFE"/>
    <w:rsid w:val="000E3E1E"/>
    <w:rsid w:val="000E3E40"/>
    <w:rsid w:val="000E3ED2"/>
    <w:rsid w:val="000E3EE6"/>
    <w:rsid w:val="000E3EE7"/>
    <w:rsid w:val="000E4075"/>
    <w:rsid w:val="000E408A"/>
    <w:rsid w:val="000E40C2"/>
    <w:rsid w:val="000E431E"/>
    <w:rsid w:val="000E4332"/>
    <w:rsid w:val="000E43E0"/>
    <w:rsid w:val="000E4456"/>
    <w:rsid w:val="000E44F4"/>
    <w:rsid w:val="000E45A4"/>
    <w:rsid w:val="000E45DB"/>
    <w:rsid w:val="000E4611"/>
    <w:rsid w:val="000E4770"/>
    <w:rsid w:val="000E47BB"/>
    <w:rsid w:val="000E47EB"/>
    <w:rsid w:val="000E4968"/>
    <w:rsid w:val="000E4A1C"/>
    <w:rsid w:val="000E4A7B"/>
    <w:rsid w:val="000E4AF9"/>
    <w:rsid w:val="000E4BAA"/>
    <w:rsid w:val="000E4BFC"/>
    <w:rsid w:val="000E4C11"/>
    <w:rsid w:val="000E4D76"/>
    <w:rsid w:val="000E4DD3"/>
    <w:rsid w:val="000E4F34"/>
    <w:rsid w:val="000E4F9E"/>
    <w:rsid w:val="000E4FF1"/>
    <w:rsid w:val="000E5008"/>
    <w:rsid w:val="000E5061"/>
    <w:rsid w:val="000E5147"/>
    <w:rsid w:val="000E5198"/>
    <w:rsid w:val="000E51D6"/>
    <w:rsid w:val="000E520C"/>
    <w:rsid w:val="000E5225"/>
    <w:rsid w:val="000E525E"/>
    <w:rsid w:val="000E53B6"/>
    <w:rsid w:val="000E5466"/>
    <w:rsid w:val="000E554B"/>
    <w:rsid w:val="000E55A1"/>
    <w:rsid w:val="000E5607"/>
    <w:rsid w:val="000E5617"/>
    <w:rsid w:val="000E5624"/>
    <w:rsid w:val="000E563D"/>
    <w:rsid w:val="000E5655"/>
    <w:rsid w:val="000E5671"/>
    <w:rsid w:val="000E5707"/>
    <w:rsid w:val="000E576B"/>
    <w:rsid w:val="000E577C"/>
    <w:rsid w:val="000E57BA"/>
    <w:rsid w:val="000E583E"/>
    <w:rsid w:val="000E58B4"/>
    <w:rsid w:val="000E58E8"/>
    <w:rsid w:val="000E590C"/>
    <w:rsid w:val="000E5A93"/>
    <w:rsid w:val="000E5AA9"/>
    <w:rsid w:val="000E5B2D"/>
    <w:rsid w:val="000E5BC9"/>
    <w:rsid w:val="000E5C52"/>
    <w:rsid w:val="000E5C7E"/>
    <w:rsid w:val="000E5D81"/>
    <w:rsid w:val="000E5D86"/>
    <w:rsid w:val="000E5D98"/>
    <w:rsid w:val="000E5DF0"/>
    <w:rsid w:val="000E5E00"/>
    <w:rsid w:val="000E5E55"/>
    <w:rsid w:val="000E5E8C"/>
    <w:rsid w:val="000E5F28"/>
    <w:rsid w:val="000E5FA1"/>
    <w:rsid w:val="000E6078"/>
    <w:rsid w:val="000E607A"/>
    <w:rsid w:val="000E6216"/>
    <w:rsid w:val="000E621F"/>
    <w:rsid w:val="000E624B"/>
    <w:rsid w:val="000E62D2"/>
    <w:rsid w:val="000E63A0"/>
    <w:rsid w:val="000E63E4"/>
    <w:rsid w:val="000E6426"/>
    <w:rsid w:val="000E6463"/>
    <w:rsid w:val="000E6475"/>
    <w:rsid w:val="000E6490"/>
    <w:rsid w:val="000E64B5"/>
    <w:rsid w:val="000E64EB"/>
    <w:rsid w:val="000E65E0"/>
    <w:rsid w:val="000E6645"/>
    <w:rsid w:val="000E664B"/>
    <w:rsid w:val="000E66BB"/>
    <w:rsid w:val="000E66C4"/>
    <w:rsid w:val="000E66E7"/>
    <w:rsid w:val="000E66FE"/>
    <w:rsid w:val="000E6710"/>
    <w:rsid w:val="000E676F"/>
    <w:rsid w:val="000E67EF"/>
    <w:rsid w:val="000E6862"/>
    <w:rsid w:val="000E6918"/>
    <w:rsid w:val="000E69D7"/>
    <w:rsid w:val="000E6A2D"/>
    <w:rsid w:val="000E6A8B"/>
    <w:rsid w:val="000E6ABD"/>
    <w:rsid w:val="000E6AE1"/>
    <w:rsid w:val="000E6B9F"/>
    <w:rsid w:val="000E6D06"/>
    <w:rsid w:val="000E6D7F"/>
    <w:rsid w:val="000E6DAB"/>
    <w:rsid w:val="000E6DE0"/>
    <w:rsid w:val="000E6F20"/>
    <w:rsid w:val="000E7009"/>
    <w:rsid w:val="000E7012"/>
    <w:rsid w:val="000E710A"/>
    <w:rsid w:val="000E718F"/>
    <w:rsid w:val="000E71E6"/>
    <w:rsid w:val="000E7230"/>
    <w:rsid w:val="000E731B"/>
    <w:rsid w:val="000E7390"/>
    <w:rsid w:val="000E73B8"/>
    <w:rsid w:val="000E73CC"/>
    <w:rsid w:val="000E73D1"/>
    <w:rsid w:val="000E7513"/>
    <w:rsid w:val="000E7620"/>
    <w:rsid w:val="000E764C"/>
    <w:rsid w:val="000E7655"/>
    <w:rsid w:val="000E7673"/>
    <w:rsid w:val="000E76DD"/>
    <w:rsid w:val="000E76F3"/>
    <w:rsid w:val="000E7712"/>
    <w:rsid w:val="000E772C"/>
    <w:rsid w:val="000E77A7"/>
    <w:rsid w:val="000E77D7"/>
    <w:rsid w:val="000E7A0B"/>
    <w:rsid w:val="000E7B5D"/>
    <w:rsid w:val="000E7B67"/>
    <w:rsid w:val="000E7B7A"/>
    <w:rsid w:val="000E7BE9"/>
    <w:rsid w:val="000E7C23"/>
    <w:rsid w:val="000E7C79"/>
    <w:rsid w:val="000E7C95"/>
    <w:rsid w:val="000E7CB1"/>
    <w:rsid w:val="000E7E5E"/>
    <w:rsid w:val="000E7E9F"/>
    <w:rsid w:val="000E7ECF"/>
    <w:rsid w:val="000E7F12"/>
    <w:rsid w:val="000E7F5D"/>
    <w:rsid w:val="000E7F74"/>
    <w:rsid w:val="000F00E7"/>
    <w:rsid w:val="000F01A8"/>
    <w:rsid w:val="000F027E"/>
    <w:rsid w:val="000F0286"/>
    <w:rsid w:val="000F028B"/>
    <w:rsid w:val="000F02E1"/>
    <w:rsid w:val="000F0301"/>
    <w:rsid w:val="000F0318"/>
    <w:rsid w:val="000F035E"/>
    <w:rsid w:val="000F03B4"/>
    <w:rsid w:val="000F03CD"/>
    <w:rsid w:val="000F03CE"/>
    <w:rsid w:val="000F0433"/>
    <w:rsid w:val="000F045E"/>
    <w:rsid w:val="000F04BF"/>
    <w:rsid w:val="000F05D5"/>
    <w:rsid w:val="000F0665"/>
    <w:rsid w:val="000F069C"/>
    <w:rsid w:val="000F0735"/>
    <w:rsid w:val="000F079D"/>
    <w:rsid w:val="000F0890"/>
    <w:rsid w:val="000F090B"/>
    <w:rsid w:val="000F0987"/>
    <w:rsid w:val="000F0A5C"/>
    <w:rsid w:val="000F0AC2"/>
    <w:rsid w:val="000F0AEB"/>
    <w:rsid w:val="000F0B7D"/>
    <w:rsid w:val="000F0BB8"/>
    <w:rsid w:val="000F0BBF"/>
    <w:rsid w:val="000F0C23"/>
    <w:rsid w:val="000F0C3E"/>
    <w:rsid w:val="000F0C67"/>
    <w:rsid w:val="000F0CAE"/>
    <w:rsid w:val="000F0CD5"/>
    <w:rsid w:val="000F0D5B"/>
    <w:rsid w:val="000F0D9F"/>
    <w:rsid w:val="000F0E11"/>
    <w:rsid w:val="000F0E79"/>
    <w:rsid w:val="000F0EDD"/>
    <w:rsid w:val="000F0EF5"/>
    <w:rsid w:val="000F0F71"/>
    <w:rsid w:val="000F0FC0"/>
    <w:rsid w:val="000F0FCF"/>
    <w:rsid w:val="000F0FFE"/>
    <w:rsid w:val="000F104C"/>
    <w:rsid w:val="000F116C"/>
    <w:rsid w:val="000F118E"/>
    <w:rsid w:val="000F11B9"/>
    <w:rsid w:val="000F1273"/>
    <w:rsid w:val="000F1296"/>
    <w:rsid w:val="000F13DC"/>
    <w:rsid w:val="000F14F9"/>
    <w:rsid w:val="000F15E1"/>
    <w:rsid w:val="000F15F8"/>
    <w:rsid w:val="000F1624"/>
    <w:rsid w:val="000F16AC"/>
    <w:rsid w:val="000F179F"/>
    <w:rsid w:val="000F17E5"/>
    <w:rsid w:val="000F19EF"/>
    <w:rsid w:val="000F1AB3"/>
    <w:rsid w:val="000F1B05"/>
    <w:rsid w:val="000F1B1A"/>
    <w:rsid w:val="000F1BBA"/>
    <w:rsid w:val="000F1C39"/>
    <w:rsid w:val="000F1C56"/>
    <w:rsid w:val="000F1C74"/>
    <w:rsid w:val="000F1C7D"/>
    <w:rsid w:val="000F1CD3"/>
    <w:rsid w:val="000F1D0E"/>
    <w:rsid w:val="000F1D5F"/>
    <w:rsid w:val="000F1D7C"/>
    <w:rsid w:val="000F1E0A"/>
    <w:rsid w:val="000F1E2E"/>
    <w:rsid w:val="000F1F44"/>
    <w:rsid w:val="000F1F71"/>
    <w:rsid w:val="000F1F85"/>
    <w:rsid w:val="000F1F97"/>
    <w:rsid w:val="000F2097"/>
    <w:rsid w:val="000F212A"/>
    <w:rsid w:val="000F225D"/>
    <w:rsid w:val="000F22AB"/>
    <w:rsid w:val="000F23DA"/>
    <w:rsid w:val="000F251D"/>
    <w:rsid w:val="000F2608"/>
    <w:rsid w:val="000F2637"/>
    <w:rsid w:val="000F2648"/>
    <w:rsid w:val="000F2690"/>
    <w:rsid w:val="000F276F"/>
    <w:rsid w:val="000F27F0"/>
    <w:rsid w:val="000F280F"/>
    <w:rsid w:val="000F2AD4"/>
    <w:rsid w:val="000F2B1F"/>
    <w:rsid w:val="000F2C20"/>
    <w:rsid w:val="000F2C7B"/>
    <w:rsid w:val="000F2DC2"/>
    <w:rsid w:val="000F2E8F"/>
    <w:rsid w:val="000F2EEB"/>
    <w:rsid w:val="000F2FB6"/>
    <w:rsid w:val="000F2FC0"/>
    <w:rsid w:val="000F301F"/>
    <w:rsid w:val="000F3023"/>
    <w:rsid w:val="000F3079"/>
    <w:rsid w:val="000F315B"/>
    <w:rsid w:val="000F316D"/>
    <w:rsid w:val="000F32C2"/>
    <w:rsid w:val="000F32F5"/>
    <w:rsid w:val="000F33C7"/>
    <w:rsid w:val="000F340E"/>
    <w:rsid w:val="000F3467"/>
    <w:rsid w:val="000F3586"/>
    <w:rsid w:val="000F35A9"/>
    <w:rsid w:val="000F3658"/>
    <w:rsid w:val="000F3660"/>
    <w:rsid w:val="000F3669"/>
    <w:rsid w:val="000F36AC"/>
    <w:rsid w:val="000F3704"/>
    <w:rsid w:val="000F3718"/>
    <w:rsid w:val="000F3727"/>
    <w:rsid w:val="000F37AD"/>
    <w:rsid w:val="000F37B0"/>
    <w:rsid w:val="000F38BA"/>
    <w:rsid w:val="000F394D"/>
    <w:rsid w:val="000F3993"/>
    <w:rsid w:val="000F39AB"/>
    <w:rsid w:val="000F39B7"/>
    <w:rsid w:val="000F3B3B"/>
    <w:rsid w:val="000F3BAB"/>
    <w:rsid w:val="000F3D20"/>
    <w:rsid w:val="000F3DF2"/>
    <w:rsid w:val="000F3E39"/>
    <w:rsid w:val="000F3F69"/>
    <w:rsid w:val="000F3F72"/>
    <w:rsid w:val="000F3F88"/>
    <w:rsid w:val="000F3FA2"/>
    <w:rsid w:val="000F4072"/>
    <w:rsid w:val="000F4105"/>
    <w:rsid w:val="000F4146"/>
    <w:rsid w:val="000F4181"/>
    <w:rsid w:val="000F41E3"/>
    <w:rsid w:val="000F41E4"/>
    <w:rsid w:val="000F4224"/>
    <w:rsid w:val="000F422A"/>
    <w:rsid w:val="000F4234"/>
    <w:rsid w:val="000F42F0"/>
    <w:rsid w:val="000F4314"/>
    <w:rsid w:val="000F4340"/>
    <w:rsid w:val="000F4349"/>
    <w:rsid w:val="000F43A1"/>
    <w:rsid w:val="000F43A2"/>
    <w:rsid w:val="000F44B2"/>
    <w:rsid w:val="000F4503"/>
    <w:rsid w:val="000F452E"/>
    <w:rsid w:val="000F4535"/>
    <w:rsid w:val="000F457C"/>
    <w:rsid w:val="000F4651"/>
    <w:rsid w:val="000F46B3"/>
    <w:rsid w:val="000F46E2"/>
    <w:rsid w:val="000F477A"/>
    <w:rsid w:val="000F47C7"/>
    <w:rsid w:val="000F493A"/>
    <w:rsid w:val="000F496E"/>
    <w:rsid w:val="000F497F"/>
    <w:rsid w:val="000F49BF"/>
    <w:rsid w:val="000F4AB5"/>
    <w:rsid w:val="000F4B32"/>
    <w:rsid w:val="000F4B88"/>
    <w:rsid w:val="000F4BAF"/>
    <w:rsid w:val="000F4C2E"/>
    <w:rsid w:val="000F4D7A"/>
    <w:rsid w:val="000F4E2D"/>
    <w:rsid w:val="000F4F15"/>
    <w:rsid w:val="000F4F8F"/>
    <w:rsid w:val="000F5070"/>
    <w:rsid w:val="000F508D"/>
    <w:rsid w:val="000F50C6"/>
    <w:rsid w:val="000F5183"/>
    <w:rsid w:val="000F51CA"/>
    <w:rsid w:val="000F52AD"/>
    <w:rsid w:val="000F52D3"/>
    <w:rsid w:val="000F52F7"/>
    <w:rsid w:val="000F5339"/>
    <w:rsid w:val="000F536D"/>
    <w:rsid w:val="000F5392"/>
    <w:rsid w:val="000F53AA"/>
    <w:rsid w:val="000F53BE"/>
    <w:rsid w:val="000F5452"/>
    <w:rsid w:val="000F54E7"/>
    <w:rsid w:val="000F5531"/>
    <w:rsid w:val="000F55B4"/>
    <w:rsid w:val="000F5679"/>
    <w:rsid w:val="000F5721"/>
    <w:rsid w:val="000F5802"/>
    <w:rsid w:val="000F58D8"/>
    <w:rsid w:val="000F58E5"/>
    <w:rsid w:val="000F5902"/>
    <w:rsid w:val="000F59DC"/>
    <w:rsid w:val="000F5A4E"/>
    <w:rsid w:val="000F5A51"/>
    <w:rsid w:val="000F5A89"/>
    <w:rsid w:val="000F5BC3"/>
    <w:rsid w:val="000F5BCB"/>
    <w:rsid w:val="000F5CF0"/>
    <w:rsid w:val="000F5CFA"/>
    <w:rsid w:val="000F5D0C"/>
    <w:rsid w:val="000F5D12"/>
    <w:rsid w:val="000F5E3C"/>
    <w:rsid w:val="000F5EAF"/>
    <w:rsid w:val="000F5F02"/>
    <w:rsid w:val="000F5F06"/>
    <w:rsid w:val="000F6062"/>
    <w:rsid w:val="000F6125"/>
    <w:rsid w:val="000F61AA"/>
    <w:rsid w:val="000F61FA"/>
    <w:rsid w:val="000F6211"/>
    <w:rsid w:val="000F62BF"/>
    <w:rsid w:val="000F634E"/>
    <w:rsid w:val="000F63A5"/>
    <w:rsid w:val="000F63AF"/>
    <w:rsid w:val="000F644C"/>
    <w:rsid w:val="000F645F"/>
    <w:rsid w:val="000F646E"/>
    <w:rsid w:val="000F6489"/>
    <w:rsid w:val="000F649F"/>
    <w:rsid w:val="000F651F"/>
    <w:rsid w:val="000F653B"/>
    <w:rsid w:val="000F658F"/>
    <w:rsid w:val="000F65A0"/>
    <w:rsid w:val="000F65A5"/>
    <w:rsid w:val="000F6620"/>
    <w:rsid w:val="000F667C"/>
    <w:rsid w:val="000F6707"/>
    <w:rsid w:val="000F6729"/>
    <w:rsid w:val="000F6815"/>
    <w:rsid w:val="000F681A"/>
    <w:rsid w:val="000F688B"/>
    <w:rsid w:val="000F6895"/>
    <w:rsid w:val="000F690A"/>
    <w:rsid w:val="000F690F"/>
    <w:rsid w:val="000F692E"/>
    <w:rsid w:val="000F6A87"/>
    <w:rsid w:val="000F6ABA"/>
    <w:rsid w:val="000F6AC5"/>
    <w:rsid w:val="000F6B11"/>
    <w:rsid w:val="000F6B30"/>
    <w:rsid w:val="000F6B88"/>
    <w:rsid w:val="000F6B8F"/>
    <w:rsid w:val="000F6D57"/>
    <w:rsid w:val="000F6DE4"/>
    <w:rsid w:val="000F6E4D"/>
    <w:rsid w:val="000F6F2B"/>
    <w:rsid w:val="000F6F33"/>
    <w:rsid w:val="000F6F80"/>
    <w:rsid w:val="000F6FBF"/>
    <w:rsid w:val="000F6FFF"/>
    <w:rsid w:val="000F70F1"/>
    <w:rsid w:val="000F711A"/>
    <w:rsid w:val="000F713D"/>
    <w:rsid w:val="000F7195"/>
    <w:rsid w:val="000F726E"/>
    <w:rsid w:val="000F7282"/>
    <w:rsid w:val="000F72B0"/>
    <w:rsid w:val="000F72C6"/>
    <w:rsid w:val="000F7346"/>
    <w:rsid w:val="000F7398"/>
    <w:rsid w:val="000F742D"/>
    <w:rsid w:val="000F7442"/>
    <w:rsid w:val="000F74C0"/>
    <w:rsid w:val="000F74ED"/>
    <w:rsid w:val="000F7535"/>
    <w:rsid w:val="000F7636"/>
    <w:rsid w:val="000F764E"/>
    <w:rsid w:val="000F76F5"/>
    <w:rsid w:val="000F7788"/>
    <w:rsid w:val="000F79BB"/>
    <w:rsid w:val="000F79FC"/>
    <w:rsid w:val="000F7A1C"/>
    <w:rsid w:val="000F7B0C"/>
    <w:rsid w:val="000F7BC6"/>
    <w:rsid w:val="000F7C6A"/>
    <w:rsid w:val="000F7C7C"/>
    <w:rsid w:val="000F7CBF"/>
    <w:rsid w:val="000F7D2D"/>
    <w:rsid w:val="000F7D9F"/>
    <w:rsid w:val="000F7DEC"/>
    <w:rsid w:val="000F7E09"/>
    <w:rsid w:val="000F7E17"/>
    <w:rsid w:val="000F7E22"/>
    <w:rsid w:val="000F7EC6"/>
    <w:rsid w:val="00100004"/>
    <w:rsid w:val="00100061"/>
    <w:rsid w:val="001000AD"/>
    <w:rsid w:val="0010021F"/>
    <w:rsid w:val="001002D2"/>
    <w:rsid w:val="001002E0"/>
    <w:rsid w:val="00100308"/>
    <w:rsid w:val="001003D2"/>
    <w:rsid w:val="0010047A"/>
    <w:rsid w:val="00100533"/>
    <w:rsid w:val="00100639"/>
    <w:rsid w:val="00100646"/>
    <w:rsid w:val="0010065C"/>
    <w:rsid w:val="001006A1"/>
    <w:rsid w:val="001007A0"/>
    <w:rsid w:val="001007E8"/>
    <w:rsid w:val="00100831"/>
    <w:rsid w:val="0010083D"/>
    <w:rsid w:val="00100880"/>
    <w:rsid w:val="0010099A"/>
    <w:rsid w:val="00100A2E"/>
    <w:rsid w:val="00100B85"/>
    <w:rsid w:val="00100C30"/>
    <w:rsid w:val="00100C3C"/>
    <w:rsid w:val="00100CD9"/>
    <w:rsid w:val="00100CFE"/>
    <w:rsid w:val="00100D34"/>
    <w:rsid w:val="00100DB0"/>
    <w:rsid w:val="00100DB4"/>
    <w:rsid w:val="00100DF4"/>
    <w:rsid w:val="00100E44"/>
    <w:rsid w:val="00100E45"/>
    <w:rsid w:val="00100EA6"/>
    <w:rsid w:val="00100EC1"/>
    <w:rsid w:val="00100FC6"/>
    <w:rsid w:val="00101068"/>
    <w:rsid w:val="001010BB"/>
    <w:rsid w:val="00101135"/>
    <w:rsid w:val="0010116E"/>
    <w:rsid w:val="001011A0"/>
    <w:rsid w:val="001011E5"/>
    <w:rsid w:val="00101281"/>
    <w:rsid w:val="00101299"/>
    <w:rsid w:val="001012B0"/>
    <w:rsid w:val="0010133B"/>
    <w:rsid w:val="00101368"/>
    <w:rsid w:val="001013A3"/>
    <w:rsid w:val="001013C6"/>
    <w:rsid w:val="001015E4"/>
    <w:rsid w:val="0010160B"/>
    <w:rsid w:val="0010163E"/>
    <w:rsid w:val="001016B4"/>
    <w:rsid w:val="001016F8"/>
    <w:rsid w:val="00101700"/>
    <w:rsid w:val="00101716"/>
    <w:rsid w:val="00101743"/>
    <w:rsid w:val="00101754"/>
    <w:rsid w:val="001017F7"/>
    <w:rsid w:val="00101801"/>
    <w:rsid w:val="0010185E"/>
    <w:rsid w:val="001018D0"/>
    <w:rsid w:val="0010193D"/>
    <w:rsid w:val="0010198A"/>
    <w:rsid w:val="001019B8"/>
    <w:rsid w:val="00101A2E"/>
    <w:rsid w:val="00101A3C"/>
    <w:rsid w:val="00101AD5"/>
    <w:rsid w:val="00101AE6"/>
    <w:rsid w:val="00101B1C"/>
    <w:rsid w:val="00101B51"/>
    <w:rsid w:val="00101BC9"/>
    <w:rsid w:val="00101BF6"/>
    <w:rsid w:val="00101C4C"/>
    <w:rsid w:val="00101D32"/>
    <w:rsid w:val="00101D59"/>
    <w:rsid w:val="00101D9D"/>
    <w:rsid w:val="00101EC5"/>
    <w:rsid w:val="00101EF0"/>
    <w:rsid w:val="00101FA9"/>
    <w:rsid w:val="00101FC1"/>
    <w:rsid w:val="0010213B"/>
    <w:rsid w:val="00102251"/>
    <w:rsid w:val="001022A9"/>
    <w:rsid w:val="0010237F"/>
    <w:rsid w:val="001023A6"/>
    <w:rsid w:val="0010242F"/>
    <w:rsid w:val="00102443"/>
    <w:rsid w:val="001024F8"/>
    <w:rsid w:val="00102618"/>
    <w:rsid w:val="0010265B"/>
    <w:rsid w:val="001027FD"/>
    <w:rsid w:val="0010280F"/>
    <w:rsid w:val="00102838"/>
    <w:rsid w:val="00102839"/>
    <w:rsid w:val="00102970"/>
    <w:rsid w:val="00102989"/>
    <w:rsid w:val="001029BE"/>
    <w:rsid w:val="00102A5F"/>
    <w:rsid w:val="00102B0D"/>
    <w:rsid w:val="00102B60"/>
    <w:rsid w:val="00102B95"/>
    <w:rsid w:val="00102C26"/>
    <w:rsid w:val="00102C47"/>
    <w:rsid w:val="00102CD2"/>
    <w:rsid w:val="00102CFE"/>
    <w:rsid w:val="00102D03"/>
    <w:rsid w:val="00102D56"/>
    <w:rsid w:val="00102DC2"/>
    <w:rsid w:val="00102E4F"/>
    <w:rsid w:val="00102E57"/>
    <w:rsid w:val="00102F19"/>
    <w:rsid w:val="00102F9F"/>
    <w:rsid w:val="00103003"/>
    <w:rsid w:val="001031D3"/>
    <w:rsid w:val="0010329A"/>
    <w:rsid w:val="00103357"/>
    <w:rsid w:val="001033B2"/>
    <w:rsid w:val="00103458"/>
    <w:rsid w:val="0010349D"/>
    <w:rsid w:val="001034ED"/>
    <w:rsid w:val="0010357A"/>
    <w:rsid w:val="00103599"/>
    <w:rsid w:val="001035BD"/>
    <w:rsid w:val="00103644"/>
    <w:rsid w:val="00103714"/>
    <w:rsid w:val="00103722"/>
    <w:rsid w:val="001037E9"/>
    <w:rsid w:val="0010383A"/>
    <w:rsid w:val="0010389C"/>
    <w:rsid w:val="00103913"/>
    <w:rsid w:val="00103996"/>
    <w:rsid w:val="001039A8"/>
    <w:rsid w:val="001039F1"/>
    <w:rsid w:val="00103A0E"/>
    <w:rsid w:val="00103A58"/>
    <w:rsid w:val="00103AD1"/>
    <w:rsid w:val="00103B11"/>
    <w:rsid w:val="00103B49"/>
    <w:rsid w:val="00103B5B"/>
    <w:rsid w:val="00103BA9"/>
    <w:rsid w:val="00103BE1"/>
    <w:rsid w:val="00103BEE"/>
    <w:rsid w:val="00103C03"/>
    <w:rsid w:val="00103C61"/>
    <w:rsid w:val="00103CBF"/>
    <w:rsid w:val="00103D4C"/>
    <w:rsid w:val="00103D82"/>
    <w:rsid w:val="00103DC0"/>
    <w:rsid w:val="00103DF0"/>
    <w:rsid w:val="00104018"/>
    <w:rsid w:val="001040B4"/>
    <w:rsid w:val="0010422F"/>
    <w:rsid w:val="00104254"/>
    <w:rsid w:val="00104317"/>
    <w:rsid w:val="00104335"/>
    <w:rsid w:val="00104383"/>
    <w:rsid w:val="001043A7"/>
    <w:rsid w:val="0010446D"/>
    <w:rsid w:val="001044C6"/>
    <w:rsid w:val="001044CC"/>
    <w:rsid w:val="00104557"/>
    <w:rsid w:val="001045C0"/>
    <w:rsid w:val="00104616"/>
    <w:rsid w:val="00104623"/>
    <w:rsid w:val="0010463B"/>
    <w:rsid w:val="00104725"/>
    <w:rsid w:val="00104831"/>
    <w:rsid w:val="00104868"/>
    <w:rsid w:val="0010488E"/>
    <w:rsid w:val="00104AA9"/>
    <w:rsid w:val="00104AE7"/>
    <w:rsid w:val="00104B3A"/>
    <w:rsid w:val="00104B60"/>
    <w:rsid w:val="00104C6A"/>
    <w:rsid w:val="00104C93"/>
    <w:rsid w:val="00104C9A"/>
    <w:rsid w:val="00104CB4"/>
    <w:rsid w:val="00104CD3"/>
    <w:rsid w:val="00104D8B"/>
    <w:rsid w:val="00104EBD"/>
    <w:rsid w:val="00104F0E"/>
    <w:rsid w:val="00105049"/>
    <w:rsid w:val="00105076"/>
    <w:rsid w:val="0010509C"/>
    <w:rsid w:val="001050FF"/>
    <w:rsid w:val="0010515A"/>
    <w:rsid w:val="0010519E"/>
    <w:rsid w:val="00105209"/>
    <w:rsid w:val="00105431"/>
    <w:rsid w:val="0010552A"/>
    <w:rsid w:val="0010555B"/>
    <w:rsid w:val="00105586"/>
    <w:rsid w:val="00105622"/>
    <w:rsid w:val="001056F2"/>
    <w:rsid w:val="001056F6"/>
    <w:rsid w:val="0010577B"/>
    <w:rsid w:val="0010590D"/>
    <w:rsid w:val="001059B2"/>
    <w:rsid w:val="00105A67"/>
    <w:rsid w:val="00105B28"/>
    <w:rsid w:val="00105B54"/>
    <w:rsid w:val="00105BBC"/>
    <w:rsid w:val="00105BE8"/>
    <w:rsid w:val="00105C2E"/>
    <w:rsid w:val="00105C36"/>
    <w:rsid w:val="00105D04"/>
    <w:rsid w:val="00105D5A"/>
    <w:rsid w:val="00105D67"/>
    <w:rsid w:val="00105DA9"/>
    <w:rsid w:val="00105E2C"/>
    <w:rsid w:val="00105E39"/>
    <w:rsid w:val="00105F59"/>
    <w:rsid w:val="00105FEF"/>
    <w:rsid w:val="0010605F"/>
    <w:rsid w:val="00106114"/>
    <w:rsid w:val="00106168"/>
    <w:rsid w:val="0010620D"/>
    <w:rsid w:val="00106250"/>
    <w:rsid w:val="001062D2"/>
    <w:rsid w:val="00106387"/>
    <w:rsid w:val="001063F7"/>
    <w:rsid w:val="001064B5"/>
    <w:rsid w:val="00106514"/>
    <w:rsid w:val="0010653A"/>
    <w:rsid w:val="0010658D"/>
    <w:rsid w:val="001065AB"/>
    <w:rsid w:val="001065CA"/>
    <w:rsid w:val="00106629"/>
    <w:rsid w:val="00106704"/>
    <w:rsid w:val="00106771"/>
    <w:rsid w:val="001067E8"/>
    <w:rsid w:val="00106805"/>
    <w:rsid w:val="0010682C"/>
    <w:rsid w:val="00106837"/>
    <w:rsid w:val="00106941"/>
    <w:rsid w:val="0010694C"/>
    <w:rsid w:val="00106A2E"/>
    <w:rsid w:val="00106BCE"/>
    <w:rsid w:val="00106BD9"/>
    <w:rsid w:val="00106C15"/>
    <w:rsid w:val="00106D5D"/>
    <w:rsid w:val="00106E40"/>
    <w:rsid w:val="00106E75"/>
    <w:rsid w:val="00106ECE"/>
    <w:rsid w:val="00106EEA"/>
    <w:rsid w:val="00106EF7"/>
    <w:rsid w:val="00106F4B"/>
    <w:rsid w:val="00107081"/>
    <w:rsid w:val="001070CC"/>
    <w:rsid w:val="0010713C"/>
    <w:rsid w:val="00107260"/>
    <w:rsid w:val="00107298"/>
    <w:rsid w:val="001073F5"/>
    <w:rsid w:val="001074E6"/>
    <w:rsid w:val="00107515"/>
    <w:rsid w:val="00107563"/>
    <w:rsid w:val="00107567"/>
    <w:rsid w:val="0010756B"/>
    <w:rsid w:val="0010756D"/>
    <w:rsid w:val="00107573"/>
    <w:rsid w:val="0010757B"/>
    <w:rsid w:val="001075A5"/>
    <w:rsid w:val="001075EE"/>
    <w:rsid w:val="00107673"/>
    <w:rsid w:val="00107826"/>
    <w:rsid w:val="001078D3"/>
    <w:rsid w:val="001078D6"/>
    <w:rsid w:val="00107909"/>
    <w:rsid w:val="001079AB"/>
    <w:rsid w:val="00107A13"/>
    <w:rsid w:val="00107A23"/>
    <w:rsid w:val="00107A7A"/>
    <w:rsid w:val="00107AC9"/>
    <w:rsid w:val="00107B17"/>
    <w:rsid w:val="00107B55"/>
    <w:rsid w:val="00107CAF"/>
    <w:rsid w:val="00107CD4"/>
    <w:rsid w:val="00107CEB"/>
    <w:rsid w:val="00107D2E"/>
    <w:rsid w:val="00107D9B"/>
    <w:rsid w:val="00107E13"/>
    <w:rsid w:val="00107E1A"/>
    <w:rsid w:val="00107E1C"/>
    <w:rsid w:val="00107E37"/>
    <w:rsid w:val="00107E4F"/>
    <w:rsid w:val="00107F0A"/>
    <w:rsid w:val="00107F37"/>
    <w:rsid w:val="00107F48"/>
    <w:rsid w:val="00107F49"/>
    <w:rsid w:val="00107F4E"/>
    <w:rsid w:val="00107F53"/>
    <w:rsid w:val="00107F6F"/>
    <w:rsid w:val="00110036"/>
    <w:rsid w:val="00110061"/>
    <w:rsid w:val="00110130"/>
    <w:rsid w:val="00110138"/>
    <w:rsid w:val="001101F3"/>
    <w:rsid w:val="001102DC"/>
    <w:rsid w:val="00110311"/>
    <w:rsid w:val="00110386"/>
    <w:rsid w:val="00110419"/>
    <w:rsid w:val="0011041F"/>
    <w:rsid w:val="0011060E"/>
    <w:rsid w:val="00110614"/>
    <w:rsid w:val="00110623"/>
    <w:rsid w:val="00110632"/>
    <w:rsid w:val="00110654"/>
    <w:rsid w:val="0011066C"/>
    <w:rsid w:val="00110688"/>
    <w:rsid w:val="001107AB"/>
    <w:rsid w:val="001107C6"/>
    <w:rsid w:val="001108BE"/>
    <w:rsid w:val="00110BA8"/>
    <w:rsid w:val="00110BAD"/>
    <w:rsid w:val="00110C0B"/>
    <w:rsid w:val="00110C48"/>
    <w:rsid w:val="00110C62"/>
    <w:rsid w:val="00110C85"/>
    <w:rsid w:val="00110CB7"/>
    <w:rsid w:val="00110D69"/>
    <w:rsid w:val="00110DAA"/>
    <w:rsid w:val="00110E2D"/>
    <w:rsid w:val="00110E48"/>
    <w:rsid w:val="00110F06"/>
    <w:rsid w:val="00110FC6"/>
    <w:rsid w:val="00111026"/>
    <w:rsid w:val="00111027"/>
    <w:rsid w:val="0011105B"/>
    <w:rsid w:val="00111067"/>
    <w:rsid w:val="00111073"/>
    <w:rsid w:val="00111075"/>
    <w:rsid w:val="0011114C"/>
    <w:rsid w:val="001111A0"/>
    <w:rsid w:val="001111D9"/>
    <w:rsid w:val="001111E0"/>
    <w:rsid w:val="00111256"/>
    <w:rsid w:val="00111319"/>
    <w:rsid w:val="00111367"/>
    <w:rsid w:val="0011139C"/>
    <w:rsid w:val="001113B4"/>
    <w:rsid w:val="001113D5"/>
    <w:rsid w:val="0011145B"/>
    <w:rsid w:val="0011150C"/>
    <w:rsid w:val="0011154B"/>
    <w:rsid w:val="0011158C"/>
    <w:rsid w:val="00111599"/>
    <w:rsid w:val="001115EB"/>
    <w:rsid w:val="00111600"/>
    <w:rsid w:val="0011179A"/>
    <w:rsid w:val="00111839"/>
    <w:rsid w:val="0011188D"/>
    <w:rsid w:val="001118A8"/>
    <w:rsid w:val="001118F3"/>
    <w:rsid w:val="001119AD"/>
    <w:rsid w:val="00111A0E"/>
    <w:rsid w:val="00111A5C"/>
    <w:rsid w:val="00111A72"/>
    <w:rsid w:val="00111AAB"/>
    <w:rsid w:val="00111AD9"/>
    <w:rsid w:val="00111B84"/>
    <w:rsid w:val="00111BE7"/>
    <w:rsid w:val="00111C26"/>
    <w:rsid w:val="00111C9E"/>
    <w:rsid w:val="00111CD1"/>
    <w:rsid w:val="00111D43"/>
    <w:rsid w:val="00111D73"/>
    <w:rsid w:val="00111D9D"/>
    <w:rsid w:val="00111DA7"/>
    <w:rsid w:val="00111DCF"/>
    <w:rsid w:val="00111EBA"/>
    <w:rsid w:val="00111ED2"/>
    <w:rsid w:val="00111EDD"/>
    <w:rsid w:val="00111F43"/>
    <w:rsid w:val="00111F7C"/>
    <w:rsid w:val="00112072"/>
    <w:rsid w:val="00112119"/>
    <w:rsid w:val="0011216E"/>
    <w:rsid w:val="00112230"/>
    <w:rsid w:val="00112325"/>
    <w:rsid w:val="00112381"/>
    <w:rsid w:val="001123B6"/>
    <w:rsid w:val="001123C1"/>
    <w:rsid w:val="00112440"/>
    <w:rsid w:val="00112473"/>
    <w:rsid w:val="001124E1"/>
    <w:rsid w:val="001124EA"/>
    <w:rsid w:val="00112505"/>
    <w:rsid w:val="0011260C"/>
    <w:rsid w:val="0011266B"/>
    <w:rsid w:val="001126EE"/>
    <w:rsid w:val="00112710"/>
    <w:rsid w:val="00112722"/>
    <w:rsid w:val="001127DC"/>
    <w:rsid w:val="001127F5"/>
    <w:rsid w:val="00112808"/>
    <w:rsid w:val="0011281A"/>
    <w:rsid w:val="00112842"/>
    <w:rsid w:val="00112886"/>
    <w:rsid w:val="001128BA"/>
    <w:rsid w:val="001128EF"/>
    <w:rsid w:val="0011296C"/>
    <w:rsid w:val="001129C8"/>
    <w:rsid w:val="00112A20"/>
    <w:rsid w:val="00112A24"/>
    <w:rsid w:val="00112B24"/>
    <w:rsid w:val="00112B2A"/>
    <w:rsid w:val="00112B42"/>
    <w:rsid w:val="00112BD7"/>
    <w:rsid w:val="00112D49"/>
    <w:rsid w:val="00112D4A"/>
    <w:rsid w:val="00112D66"/>
    <w:rsid w:val="00112D99"/>
    <w:rsid w:val="00112DA3"/>
    <w:rsid w:val="00112E55"/>
    <w:rsid w:val="00112E77"/>
    <w:rsid w:val="00112EC3"/>
    <w:rsid w:val="00112ED7"/>
    <w:rsid w:val="00113027"/>
    <w:rsid w:val="00113075"/>
    <w:rsid w:val="0011307C"/>
    <w:rsid w:val="0011313F"/>
    <w:rsid w:val="001131CC"/>
    <w:rsid w:val="00113226"/>
    <w:rsid w:val="0011325A"/>
    <w:rsid w:val="0011327E"/>
    <w:rsid w:val="001132C9"/>
    <w:rsid w:val="00113308"/>
    <w:rsid w:val="00113343"/>
    <w:rsid w:val="001133EE"/>
    <w:rsid w:val="00113409"/>
    <w:rsid w:val="0011340A"/>
    <w:rsid w:val="00113458"/>
    <w:rsid w:val="0011357C"/>
    <w:rsid w:val="001135CA"/>
    <w:rsid w:val="001135D2"/>
    <w:rsid w:val="001135E7"/>
    <w:rsid w:val="0011368C"/>
    <w:rsid w:val="00113725"/>
    <w:rsid w:val="0011375F"/>
    <w:rsid w:val="0011376A"/>
    <w:rsid w:val="001137B9"/>
    <w:rsid w:val="001137D6"/>
    <w:rsid w:val="001138D4"/>
    <w:rsid w:val="001138D5"/>
    <w:rsid w:val="001139DD"/>
    <w:rsid w:val="00113A1F"/>
    <w:rsid w:val="00113A74"/>
    <w:rsid w:val="00113AD0"/>
    <w:rsid w:val="00113B6C"/>
    <w:rsid w:val="00113C03"/>
    <w:rsid w:val="00113C82"/>
    <w:rsid w:val="00113D3F"/>
    <w:rsid w:val="00113D87"/>
    <w:rsid w:val="00113DEB"/>
    <w:rsid w:val="00113E44"/>
    <w:rsid w:val="00113F0E"/>
    <w:rsid w:val="00113F90"/>
    <w:rsid w:val="00114046"/>
    <w:rsid w:val="0011408D"/>
    <w:rsid w:val="00114174"/>
    <w:rsid w:val="00114281"/>
    <w:rsid w:val="00114284"/>
    <w:rsid w:val="00114320"/>
    <w:rsid w:val="00114372"/>
    <w:rsid w:val="0011439D"/>
    <w:rsid w:val="00114435"/>
    <w:rsid w:val="0011445C"/>
    <w:rsid w:val="001145AE"/>
    <w:rsid w:val="00114646"/>
    <w:rsid w:val="0011465C"/>
    <w:rsid w:val="001147A3"/>
    <w:rsid w:val="0011485C"/>
    <w:rsid w:val="00114872"/>
    <w:rsid w:val="001148F0"/>
    <w:rsid w:val="00114907"/>
    <w:rsid w:val="0011494C"/>
    <w:rsid w:val="0011495D"/>
    <w:rsid w:val="00114987"/>
    <w:rsid w:val="001149CB"/>
    <w:rsid w:val="001149F3"/>
    <w:rsid w:val="00114B5C"/>
    <w:rsid w:val="00114BB4"/>
    <w:rsid w:val="00114CC9"/>
    <w:rsid w:val="00114CE9"/>
    <w:rsid w:val="00114D47"/>
    <w:rsid w:val="00114E02"/>
    <w:rsid w:val="00115038"/>
    <w:rsid w:val="00115040"/>
    <w:rsid w:val="00115047"/>
    <w:rsid w:val="001150F6"/>
    <w:rsid w:val="00115193"/>
    <w:rsid w:val="00115279"/>
    <w:rsid w:val="00115343"/>
    <w:rsid w:val="001153A2"/>
    <w:rsid w:val="001153D7"/>
    <w:rsid w:val="001154EF"/>
    <w:rsid w:val="001155A5"/>
    <w:rsid w:val="00115617"/>
    <w:rsid w:val="001157DA"/>
    <w:rsid w:val="001158C3"/>
    <w:rsid w:val="00115915"/>
    <w:rsid w:val="00115924"/>
    <w:rsid w:val="00115A8D"/>
    <w:rsid w:val="00115ADA"/>
    <w:rsid w:val="00115B40"/>
    <w:rsid w:val="00115BB3"/>
    <w:rsid w:val="00115C18"/>
    <w:rsid w:val="00115D0E"/>
    <w:rsid w:val="00115DD7"/>
    <w:rsid w:val="00115DE4"/>
    <w:rsid w:val="00115EBF"/>
    <w:rsid w:val="00115EF4"/>
    <w:rsid w:val="00115F67"/>
    <w:rsid w:val="00115F6D"/>
    <w:rsid w:val="00115FCA"/>
    <w:rsid w:val="0011603B"/>
    <w:rsid w:val="00116092"/>
    <w:rsid w:val="00116142"/>
    <w:rsid w:val="001161B9"/>
    <w:rsid w:val="001161C9"/>
    <w:rsid w:val="0011624C"/>
    <w:rsid w:val="001162D1"/>
    <w:rsid w:val="00116315"/>
    <w:rsid w:val="001163AF"/>
    <w:rsid w:val="001163D7"/>
    <w:rsid w:val="001163D8"/>
    <w:rsid w:val="001163E4"/>
    <w:rsid w:val="001163E6"/>
    <w:rsid w:val="00116417"/>
    <w:rsid w:val="001164A1"/>
    <w:rsid w:val="001164A3"/>
    <w:rsid w:val="0011651A"/>
    <w:rsid w:val="0011651B"/>
    <w:rsid w:val="0011654D"/>
    <w:rsid w:val="0011658F"/>
    <w:rsid w:val="001165B5"/>
    <w:rsid w:val="00116661"/>
    <w:rsid w:val="0011671C"/>
    <w:rsid w:val="0011679E"/>
    <w:rsid w:val="00116823"/>
    <w:rsid w:val="00116839"/>
    <w:rsid w:val="0011688B"/>
    <w:rsid w:val="0011698D"/>
    <w:rsid w:val="001169AA"/>
    <w:rsid w:val="001169BD"/>
    <w:rsid w:val="001169F1"/>
    <w:rsid w:val="00116A2C"/>
    <w:rsid w:val="00116B64"/>
    <w:rsid w:val="00116B66"/>
    <w:rsid w:val="00116BC1"/>
    <w:rsid w:val="00116C79"/>
    <w:rsid w:val="00116C8F"/>
    <w:rsid w:val="00116C99"/>
    <w:rsid w:val="00116D3C"/>
    <w:rsid w:val="00116DC2"/>
    <w:rsid w:val="00116E18"/>
    <w:rsid w:val="00116FBF"/>
    <w:rsid w:val="00117008"/>
    <w:rsid w:val="00117013"/>
    <w:rsid w:val="00117087"/>
    <w:rsid w:val="001170B8"/>
    <w:rsid w:val="0011711F"/>
    <w:rsid w:val="0011713E"/>
    <w:rsid w:val="00117159"/>
    <w:rsid w:val="001171F5"/>
    <w:rsid w:val="0011722A"/>
    <w:rsid w:val="001174F7"/>
    <w:rsid w:val="00117514"/>
    <w:rsid w:val="0011752F"/>
    <w:rsid w:val="001175D6"/>
    <w:rsid w:val="001175E3"/>
    <w:rsid w:val="0011760E"/>
    <w:rsid w:val="00117636"/>
    <w:rsid w:val="001177CA"/>
    <w:rsid w:val="0011784C"/>
    <w:rsid w:val="001178A6"/>
    <w:rsid w:val="00117913"/>
    <w:rsid w:val="001179FD"/>
    <w:rsid w:val="00117A4A"/>
    <w:rsid w:val="00117A5E"/>
    <w:rsid w:val="00117AEC"/>
    <w:rsid w:val="00117B4A"/>
    <w:rsid w:val="00117CA1"/>
    <w:rsid w:val="00117DA1"/>
    <w:rsid w:val="00117DBA"/>
    <w:rsid w:val="00117E26"/>
    <w:rsid w:val="00117E3D"/>
    <w:rsid w:val="00117E90"/>
    <w:rsid w:val="00117EA5"/>
    <w:rsid w:val="00117EF0"/>
    <w:rsid w:val="00117F05"/>
    <w:rsid w:val="00117FD5"/>
    <w:rsid w:val="00117FF0"/>
    <w:rsid w:val="0012002D"/>
    <w:rsid w:val="0012006F"/>
    <w:rsid w:val="001200BA"/>
    <w:rsid w:val="001200E4"/>
    <w:rsid w:val="00120132"/>
    <w:rsid w:val="0012018A"/>
    <w:rsid w:val="001201BE"/>
    <w:rsid w:val="001201F0"/>
    <w:rsid w:val="00120296"/>
    <w:rsid w:val="0012031A"/>
    <w:rsid w:val="00120369"/>
    <w:rsid w:val="00120374"/>
    <w:rsid w:val="001203A5"/>
    <w:rsid w:val="001203E0"/>
    <w:rsid w:val="001204E8"/>
    <w:rsid w:val="0012055E"/>
    <w:rsid w:val="001205C3"/>
    <w:rsid w:val="0012064A"/>
    <w:rsid w:val="00120651"/>
    <w:rsid w:val="00120660"/>
    <w:rsid w:val="0012068F"/>
    <w:rsid w:val="001206DC"/>
    <w:rsid w:val="0012073A"/>
    <w:rsid w:val="001207A2"/>
    <w:rsid w:val="001207B3"/>
    <w:rsid w:val="00120915"/>
    <w:rsid w:val="00120922"/>
    <w:rsid w:val="001209EE"/>
    <w:rsid w:val="00120A04"/>
    <w:rsid w:val="00120AF0"/>
    <w:rsid w:val="00120B09"/>
    <w:rsid w:val="00120BFA"/>
    <w:rsid w:val="00120C79"/>
    <w:rsid w:val="00120CDC"/>
    <w:rsid w:val="00120E7E"/>
    <w:rsid w:val="00120F73"/>
    <w:rsid w:val="00120F87"/>
    <w:rsid w:val="00121007"/>
    <w:rsid w:val="00121019"/>
    <w:rsid w:val="0012104C"/>
    <w:rsid w:val="00121098"/>
    <w:rsid w:val="001210E2"/>
    <w:rsid w:val="00121139"/>
    <w:rsid w:val="00121287"/>
    <w:rsid w:val="0012136C"/>
    <w:rsid w:val="001214FC"/>
    <w:rsid w:val="0012153E"/>
    <w:rsid w:val="00121555"/>
    <w:rsid w:val="00121653"/>
    <w:rsid w:val="00121666"/>
    <w:rsid w:val="00121676"/>
    <w:rsid w:val="001216BF"/>
    <w:rsid w:val="001216E2"/>
    <w:rsid w:val="0012170D"/>
    <w:rsid w:val="00121755"/>
    <w:rsid w:val="0012178A"/>
    <w:rsid w:val="001218A7"/>
    <w:rsid w:val="001218B2"/>
    <w:rsid w:val="00121956"/>
    <w:rsid w:val="00121967"/>
    <w:rsid w:val="001219A4"/>
    <w:rsid w:val="001219C3"/>
    <w:rsid w:val="001219FB"/>
    <w:rsid w:val="00121A75"/>
    <w:rsid w:val="00121A97"/>
    <w:rsid w:val="00121BF2"/>
    <w:rsid w:val="00121C9F"/>
    <w:rsid w:val="00121CAE"/>
    <w:rsid w:val="00121CC4"/>
    <w:rsid w:val="00121D1C"/>
    <w:rsid w:val="00121D45"/>
    <w:rsid w:val="00121DD1"/>
    <w:rsid w:val="00121F73"/>
    <w:rsid w:val="00121F83"/>
    <w:rsid w:val="00121FE7"/>
    <w:rsid w:val="00121FEB"/>
    <w:rsid w:val="0012210C"/>
    <w:rsid w:val="001221E2"/>
    <w:rsid w:val="00122571"/>
    <w:rsid w:val="001225C8"/>
    <w:rsid w:val="001225DB"/>
    <w:rsid w:val="001225F5"/>
    <w:rsid w:val="0012268B"/>
    <w:rsid w:val="001226A0"/>
    <w:rsid w:val="0012270C"/>
    <w:rsid w:val="00122735"/>
    <w:rsid w:val="00122777"/>
    <w:rsid w:val="001228E6"/>
    <w:rsid w:val="00122A00"/>
    <w:rsid w:val="00122A2F"/>
    <w:rsid w:val="00122A9A"/>
    <w:rsid w:val="00122AE9"/>
    <w:rsid w:val="00122B26"/>
    <w:rsid w:val="00122B51"/>
    <w:rsid w:val="00122C3C"/>
    <w:rsid w:val="00122D06"/>
    <w:rsid w:val="00122D44"/>
    <w:rsid w:val="00122D48"/>
    <w:rsid w:val="00122D8D"/>
    <w:rsid w:val="00122DA0"/>
    <w:rsid w:val="00122DC2"/>
    <w:rsid w:val="00122E03"/>
    <w:rsid w:val="00122E1F"/>
    <w:rsid w:val="00122E69"/>
    <w:rsid w:val="00122E77"/>
    <w:rsid w:val="00122F03"/>
    <w:rsid w:val="00122F1D"/>
    <w:rsid w:val="00122FA4"/>
    <w:rsid w:val="0012304C"/>
    <w:rsid w:val="00123097"/>
    <w:rsid w:val="001231AE"/>
    <w:rsid w:val="001232EE"/>
    <w:rsid w:val="00123304"/>
    <w:rsid w:val="0012330F"/>
    <w:rsid w:val="00123351"/>
    <w:rsid w:val="0012344B"/>
    <w:rsid w:val="00123463"/>
    <w:rsid w:val="001234C3"/>
    <w:rsid w:val="001234D2"/>
    <w:rsid w:val="00123516"/>
    <w:rsid w:val="00123584"/>
    <w:rsid w:val="0012361D"/>
    <w:rsid w:val="00123639"/>
    <w:rsid w:val="0012364A"/>
    <w:rsid w:val="0012366A"/>
    <w:rsid w:val="001236B8"/>
    <w:rsid w:val="001236F8"/>
    <w:rsid w:val="0012372A"/>
    <w:rsid w:val="0012372F"/>
    <w:rsid w:val="001237A3"/>
    <w:rsid w:val="00123836"/>
    <w:rsid w:val="00123868"/>
    <w:rsid w:val="001238E2"/>
    <w:rsid w:val="00123976"/>
    <w:rsid w:val="001239CA"/>
    <w:rsid w:val="001239E0"/>
    <w:rsid w:val="001239EE"/>
    <w:rsid w:val="00123A09"/>
    <w:rsid w:val="00123AAE"/>
    <w:rsid w:val="00123AC3"/>
    <w:rsid w:val="00123ADB"/>
    <w:rsid w:val="00123BE5"/>
    <w:rsid w:val="00123C20"/>
    <w:rsid w:val="00123C9C"/>
    <w:rsid w:val="00123CA4"/>
    <w:rsid w:val="00123D19"/>
    <w:rsid w:val="00123D78"/>
    <w:rsid w:val="00123D94"/>
    <w:rsid w:val="00123E53"/>
    <w:rsid w:val="00123E7C"/>
    <w:rsid w:val="00123F01"/>
    <w:rsid w:val="00123F9D"/>
    <w:rsid w:val="00123FA9"/>
    <w:rsid w:val="0012403E"/>
    <w:rsid w:val="0012409A"/>
    <w:rsid w:val="001240D7"/>
    <w:rsid w:val="00124121"/>
    <w:rsid w:val="0012412D"/>
    <w:rsid w:val="001241F4"/>
    <w:rsid w:val="00124244"/>
    <w:rsid w:val="0012435F"/>
    <w:rsid w:val="0012436D"/>
    <w:rsid w:val="0012440F"/>
    <w:rsid w:val="0012452B"/>
    <w:rsid w:val="00124564"/>
    <w:rsid w:val="001245DB"/>
    <w:rsid w:val="00124651"/>
    <w:rsid w:val="001246CE"/>
    <w:rsid w:val="00124761"/>
    <w:rsid w:val="0012477A"/>
    <w:rsid w:val="001247F8"/>
    <w:rsid w:val="0012482C"/>
    <w:rsid w:val="0012485A"/>
    <w:rsid w:val="0012496E"/>
    <w:rsid w:val="001249E1"/>
    <w:rsid w:val="00124B0A"/>
    <w:rsid w:val="00124C56"/>
    <w:rsid w:val="00124CC1"/>
    <w:rsid w:val="00124CD2"/>
    <w:rsid w:val="00124DD2"/>
    <w:rsid w:val="00124DDF"/>
    <w:rsid w:val="00124DFB"/>
    <w:rsid w:val="00124E17"/>
    <w:rsid w:val="00124E3A"/>
    <w:rsid w:val="00124E69"/>
    <w:rsid w:val="00124EC2"/>
    <w:rsid w:val="00124ED4"/>
    <w:rsid w:val="00124F7D"/>
    <w:rsid w:val="00124F8B"/>
    <w:rsid w:val="00124FF7"/>
    <w:rsid w:val="00124FF8"/>
    <w:rsid w:val="00125002"/>
    <w:rsid w:val="0012504C"/>
    <w:rsid w:val="0012505C"/>
    <w:rsid w:val="00125068"/>
    <w:rsid w:val="001250D0"/>
    <w:rsid w:val="001250EE"/>
    <w:rsid w:val="00125122"/>
    <w:rsid w:val="00125192"/>
    <w:rsid w:val="0012521F"/>
    <w:rsid w:val="00125243"/>
    <w:rsid w:val="00125368"/>
    <w:rsid w:val="001253A7"/>
    <w:rsid w:val="001253BC"/>
    <w:rsid w:val="001253CC"/>
    <w:rsid w:val="001253D7"/>
    <w:rsid w:val="001254B3"/>
    <w:rsid w:val="0012555C"/>
    <w:rsid w:val="001255A4"/>
    <w:rsid w:val="001255E5"/>
    <w:rsid w:val="00125641"/>
    <w:rsid w:val="00125651"/>
    <w:rsid w:val="00125699"/>
    <w:rsid w:val="00125785"/>
    <w:rsid w:val="001258E9"/>
    <w:rsid w:val="0012594B"/>
    <w:rsid w:val="0012599C"/>
    <w:rsid w:val="001259A4"/>
    <w:rsid w:val="00125A9D"/>
    <w:rsid w:val="00125AAE"/>
    <w:rsid w:val="00125B66"/>
    <w:rsid w:val="00125C13"/>
    <w:rsid w:val="00125C2E"/>
    <w:rsid w:val="00125C96"/>
    <w:rsid w:val="00125CBB"/>
    <w:rsid w:val="00125CFA"/>
    <w:rsid w:val="00125D08"/>
    <w:rsid w:val="00125DA6"/>
    <w:rsid w:val="00125DF0"/>
    <w:rsid w:val="00125ECF"/>
    <w:rsid w:val="0012602D"/>
    <w:rsid w:val="00126089"/>
    <w:rsid w:val="00126132"/>
    <w:rsid w:val="001262A0"/>
    <w:rsid w:val="001262E6"/>
    <w:rsid w:val="0012630E"/>
    <w:rsid w:val="0012642C"/>
    <w:rsid w:val="0012647A"/>
    <w:rsid w:val="00126484"/>
    <w:rsid w:val="0012649C"/>
    <w:rsid w:val="001264BF"/>
    <w:rsid w:val="001264C5"/>
    <w:rsid w:val="001264ED"/>
    <w:rsid w:val="00126501"/>
    <w:rsid w:val="00126516"/>
    <w:rsid w:val="00126527"/>
    <w:rsid w:val="001265EE"/>
    <w:rsid w:val="00126651"/>
    <w:rsid w:val="00126669"/>
    <w:rsid w:val="001266FB"/>
    <w:rsid w:val="00126750"/>
    <w:rsid w:val="0012678F"/>
    <w:rsid w:val="001268D5"/>
    <w:rsid w:val="001269B6"/>
    <w:rsid w:val="001269D7"/>
    <w:rsid w:val="00126AA1"/>
    <w:rsid w:val="00126B60"/>
    <w:rsid w:val="00126B9D"/>
    <w:rsid w:val="00126C15"/>
    <w:rsid w:val="00126C68"/>
    <w:rsid w:val="00126C87"/>
    <w:rsid w:val="00126E64"/>
    <w:rsid w:val="00126EA4"/>
    <w:rsid w:val="00126FF5"/>
    <w:rsid w:val="00127044"/>
    <w:rsid w:val="0012709F"/>
    <w:rsid w:val="001270FD"/>
    <w:rsid w:val="00127193"/>
    <w:rsid w:val="001271EE"/>
    <w:rsid w:val="001272D4"/>
    <w:rsid w:val="0012730C"/>
    <w:rsid w:val="00127376"/>
    <w:rsid w:val="00127425"/>
    <w:rsid w:val="00127436"/>
    <w:rsid w:val="00127451"/>
    <w:rsid w:val="00127474"/>
    <w:rsid w:val="001275E0"/>
    <w:rsid w:val="001277DF"/>
    <w:rsid w:val="00127822"/>
    <w:rsid w:val="0012785B"/>
    <w:rsid w:val="00127A01"/>
    <w:rsid w:val="00127A86"/>
    <w:rsid w:val="00127B0B"/>
    <w:rsid w:val="00127B52"/>
    <w:rsid w:val="00127B64"/>
    <w:rsid w:val="00127BB5"/>
    <w:rsid w:val="00127BFF"/>
    <w:rsid w:val="00127CC5"/>
    <w:rsid w:val="00127CC9"/>
    <w:rsid w:val="00127D04"/>
    <w:rsid w:val="00127D1D"/>
    <w:rsid w:val="00127D31"/>
    <w:rsid w:val="00127D59"/>
    <w:rsid w:val="00127DAD"/>
    <w:rsid w:val="00127E4B"/>
    <w:rsid w:val="00127EA7"/>
    <w:rsid w:val="00127F92"/>
    <w:rsid w:val="00127F99"/>
    <w:rsid w:val="00127FA1"/>
    <w:rsid w:val="0013003A"/>
    <w:rsid w:val="001300F3"/>
    <w:rsid w:val="00130146"/>
    <w:rsid w:val="0013015C"/>
    <w:rsid w:val="001301AF"/>
    <w:rsid w:val="00130223"/>
    <w:rsid w:val="0013024F"/>
    <w:rsid w:val="001302D6"/>
    <w:rsid w:val="00130428"/>
    <w:rsid w:val="00130432"/>
    <w:rsid w:val="00130450"/>
    <w:rsid w:val="0013058F"/>
    <w:rsid w:val="001305D1"/>
    <w:rsid w:val="00130606"/>
    <w:rsid w:val="00130721"/>
    <w:rsid w:val="00130727"/>
    <w:rsid w:val="0013085E"/>
    <w:rsid w:val="0013087F"/>
    <w:rsid w:val="0013089E"/>
    <w:rsid w:val="001308CA"/>
    <w:rsid w:val="001308FE"/>
    <w:rsid w:val="00130949"/>
    <w:rsid w:val="00130AB9"/>
    <w:rsid w:val="00130BBF"/>
    <w:rsid w:val="00130BC2"/>
    <w:rsid w:val="00130BF7"/>
    <w:rsid w:val="00130C71"/>
    <w:rsid w:val="00130D64"/>
    <w:rsid w:val="00130D8A"/>
    <w:rsid w:val="00130DD4"/>
    <w:rsid w:val="00130DDB"/>
    <w:rsid w:val="00130EF2"/>
    <w:rsid w:val="00130F3F"/>
    <w:rsid w:val="00130F4A"/>
    <w:rsid w:val="00130F5E"/>
    <w:rsid w:val="00130F7B"/>
    <w:rsid w:val="00130FE5"/>
    <w:rsid w:val="00131079"/>
    <w:rsid w:val="001310D5"/>
    <w:rsid w:val="001311F6"/>
    <w:rsid w:val="0013125C"/>
    <w:rsid w:val="001312D9"/>
    <w:rsid w:val="001312E1"/>
    <w:rsid w:val="0013134A"/>
    <w:rsid w:val="0013135D"/>
    <w:rsid w:val="00131364"/>
    <w:rsid w:val="00131491"/>
    <w:rsid w:val="001314BB"/>
    <w:rsid w:val="001314BF"/>
    <w:rsid w:val="001314C7"/>
    <w:rsid w:val="00131541"/>
    <w:rsid w:val="001315F3"/>
    <w:rsid w:val="001315F7"/>
    <w:rsid w:val="00131676"/>
    <w:rsid w:val="00131694"/>
    <w:rsid w:val="001316BE"/>
    <w:rsid w:val="00131710"/>
    <w:rsid w:val="00131781"/>
    <w:rsid w:val="0013178E"/>
    <w:rsid w:val="0013187E"/>
    <w:rsid w:val="0013189E"/>
    <w:rsid w:val="001318D8"/>
    <w:rsid w:val="00131943"/>
    <w:rsid w:val="001319D2"/>
    <w:rsid w:val="001319DF"/>
    <w:rsid w:val="00131B16"/>
    <w:rsid w:val="00131B7E"/>
    <w:rsid w:val="00131B9B"/>
    <w:rsid w:val="00131C51"/>
    <w:rsid w:val="00131CC8"/>
    <w:rsid w:val="00131D43"/>
    <w:rsid w:val="00131DD1"/>
    <w:rsid w:val="00131F51"/>
    <w:rsid w:val="00131F68"/>
    <w:rsid w:val="00131FAF"/>
    <w:rsid w:val="001320FA"/>
    <w:rsid w:val="0013215C"/>
    <w:rsid w:val="0013222D"/>
    <w:rsid w:val="00132273"/>
    <w:rsid w:val="00132294"/>
    <w:rsid w:val="00132373"/>
    <w:rsid w:val="001323C3"/>
    <w:rsid w:val="00132402"/>
    <w:rsid w:val="0013246B"/>
    <w:rsid w:val="001324D3"/>
    <w:rsid w:val="001324E3"/>
    <w:rsid w:val="001325D1"/>
    <w:rsid w:val="0013261B"/>
    <w:rsid w:val="00132640"/>
    <w:rsid w:val="00132668"/>
    <w:rsid w:val="00132691"/>
    <w:rsid w:val="00132717"/>
    <w:rsid w:val="00132718"/>
    <w:rsid w:val="00132815"/>
    <w:rsid w:val="0013281D"/>
    <w:rsid w:val="00132842"/>
    <w:rsid w:val="0013286C"/>
    <w:rsid w:val="00132980"/>
    <w:rsid w:val="00132987"/>
    <w:rsid w:val="001329D5"/>
    <w:rsid w:val="001329EC"/>
    <w:rsid w:val="00132A90"/>
    <w:rsid w:val="00132B70"/>
    <w:rsid w:val="00132C18"/>
    <w:rsid w:val="00132CAD"/>
    <w:rsid w:val="00132E2F"/>
    <w:rsid w:val="00132E31"/>
    <w:rsid w:val="00132EB5"/>
    <w:rsid w:val="00132F03"/>
    <w:rsid w:val="00132F1E"/>
    <w:rsid w:val="00132F5F"/>
    <w:rsid w:val="00132F7A"/>
    <w:rsid w:val="00132F8C"/>
    <w:rsid w:val="00133072"/>
    <w:rsid w:val="001330DA"/>
    <w:rsid w:val="001330FF"/>
    <w:rsid w:val="00133181"/>
    <w:rsid w:val="0013320E"/>
    <w:rsid w:val="001333D3"/>
    <w:rsid w:val="001333D9"/>
    <w:rsid w:val="00133454"/>
    <w:rsid w:val="00133461"/>
    <w:rsid w:val="001334C1"/>
    <w:rsid w:val="001334CA"/>
    <w:rsid w:val="0013357F"/>
    <w:rsid w:val="001335C5"/>
    <w:rsid w:val="001336C9"/>
    <w:rsid w:val="00133748"/>
    <w:rsid w:val="0013375A"/>
    <w:rsid w:val="00133793"/>
    <w:rsid w:val="001337DA"/>
    <w:rsid w:val="00133827"/>
    <w:rsid w:val="0013388E"/>
    <w:rsid w:val="001338B9"/>
    <w:rsid w:val="001338D4"/>
    <w:rsid w:val="00133953"/>
    <w:rsid w:val="00133990"/>
    <w:rsid w:val="001339CB"/>
    <w:rsid w:val="001339E9"/>
    <w:rsid w:val="00133A03"/>
    <w:rsid w:val="00133C28"/>
    <w:rsid w:val="00133C52"/>
    <w:rsid w:val="00133DB7"/>
    <w:rsid w:val="00133E09"/>
    <w:rsid w:val="00133E4F"/>
    <w:rsid w:val="00133FC7"/>
    <w:rsid w:val="00133FCF"/>
    <w:rsid w:val="00133FD1"/>
    <w:rsid w:val="00134012"/>
    <w:rsid w:val="00134024"/>
    <w:rsid w:val="00134031"/>
    <w:rsid w:val="0013406B"/>
    <w:rsid w:val="001340B0"/>
    <w:rsid w:val="00134124"/>
    <w:rsid w:val="0013419F"/>
    <w:rsid w:val="001341F0"/>
    <w:rsid w:val="00134227"/>
    <w:rsid w:val="00134318"/>
    <w:rsid w:val="00134345"/>
    <w:rsid w:val="00134379"/>
    <w:rsid w:val="00134450"/>
    <w:rsid w:val="001344FA"/>
    <w:rsid w:val="00134525"/>
    <w:rsid w:val="00134577"/>
    <w:rsid w:val="0013459B"/>
    <w:rsid w:val="00134623"/>
    <w:rsid w:val="00134632"/>
    <w:rsid w:val="00134686"/>
    <w:rsid w:val="001347DE"/>
    <w:rsid w:val="00134923"/>
    <w:rsid w:val="0013499E"/>
    <w:rsid w:val="001349A4"/>
    <w:rsid w:val="001349F5"/>
    <w:rsid w:val="00134AE4"/>
    <w:rsid w:val="00134BE3"/>
    <w:rsid w:val="00134C77"/>
    <w:rsid w:val="00134CDD"/>
    <w:rsid w:val="00134D03"/>
    <w:rsid w:val="00134D1D"/>
    <w:rsid w:val="00134D43"/>
    <w:rsid w:val="00134D5D"/>
    <w:rsid w:val="00134EE4"/>
    <w:rsid w:val="00134F0A"/>
    <w:rsid w:val="00134F57"/>
    <w:rsid w:val="00134F6D"/>
    <w:rsid w:val="0013501D"/>
    <w:rsid w:val="00135115"/>
    <w:rsid w:val="00135146"/>
    <w:rsid w:val="0013515D"/>
    <w:rsid w:val="001351F9"/>
    <w:rsid w:val="00135203"/>
    <w:rsid w:val="00135259"/>
    <w:rsid w:val="001352C9"/>
    <w:rsid w:val="001352F9"/>
    <w:rsid w:val="00135340"/>
    <w:rsid w:val="00135372"/>
    <w:rsid w:val="001353E1"/>
    <w:rsid w:val="001353F1"/>
    <w:rsid w:val="001353FA"/>
    <w:rsid w:val="00135453"/>
    <w:rsid w:val="0013549E"/>
    <w:rsid w:val="0013549F"/>
    <w:rsid w:val="001354A2"/>
    <w:rsid w:val="001354F2"/>
    <w:rsid w:val="001355D0"/>
    <w:rsid w:val="001355EE"/>
    <w:rsid w:val="00135619"/>
    <w:rsid w:val="00135650"/>
    <w:rsid w:val="00135655"/>
    <w:rsid w:val="001356CB"/>
    <w:rsid w:val="001356EB"/>
    <w:rsid w:val="0013581E"/>
    <w:rsid w:val="00135872"/>
    <w:rsid w:val="00135913"/>
    <w:rsid w:val="001359B4"/>
    <w:rsid w:val="001359E8"/>
    <w:rsid w:val="00135A06"/>
    <w:rsid w:val="00135A1A"/>
    <w:rsid w:val="00135AFE"/>
    <w:rsid w:val="00135B04"/>
    <w:rsid w:val="00135B08"/>
    <w:rsid w:val="00135B74"/>
    <w:rsid w:val="00135BC2"/>
    <w:rsid w:val="00135DBB"/>
    <w:rsid w:val="00135DEF"/>
    <w:rsid w:val="00135E99"/>
    <w:rsid w:val="00135EE5"/>
    <w:rsid w:val="00135EF2"/>
    <w:rsid w:val="00135F14"/>
    <w:rsid w:val="00135F7C"/>
    <w:rsid w:val="00135FFB"/>
    <w:rsid w:val="00136140"/>
    <w:rsid w:val="001361E0"/>
    <w:rsid w:val="0013625E"/>
    <w:rsid w:val="001363B0"/>
    <w:rsid w:val="0013654A"/>
    <w:rsid w:val="00136556"/>
    <w:rsid w:val="0013658A"/>
    <w:rsid w:val="001365F8"/>
    <w:rsid w:val="001366A6"/>
    <w:rsid w:val="001366A8"/>
    <w:rsid w:val="0013678F"/>
    <w:rsid w:val="001367EE"/>
    <w:rsid w:val="00136832"/>
    <w:rsid w:val="00136836"/>
    <w:rsid w:val="0013683F"/>
    <w:rsid w:val="00136842"/>
    <w:rsid w:val="0013685B"/>
    <w:rsid w:val="0013686D"/>
    <w:rsid w:val="001368C9"/>
    <w:rsid w:val="001368DF"/>
    <w:rsid w:val="00136917"/>
    <w:rsid w:val="00136921"/>
    <w:rsid w:val="00136A9D"/>
    <w:rsid w:val="00136B47"/>
    <w:rsid w:val="00136BBC"/>
    <w:rsid w:val="00136BFC"/>
    <w:rsid w:val="00136C58"/>
    <w:rsid w:val="00136C64"/>
    <w:rsid w:val="00136E9F"/>
    <w:rsid w:val="00136EAB"/>
    <w:rsid w:val="00136EF6"/>
    <w:rsid w:val="00136EFE"/>
    <w:rsid w:val="00136FB8"/>
    <w:rsid w:val="00136FBC"/>
    <w:rsid w:val="0013700C"/>
    <w:rsid w:val="00137084"/>
    <w:rsid w:val="001370E5"/>
    <w:rsid w:val="001371A1"/>
    <w:rsid w:val="001371A8"/>
    <w:rsid w:val="001371F9"/>
    <w:rsid w:val="00137358"/>
    <w:rsid w:val="001373AA"/>
    <w:rsid w:val="00137404"/>
    <w:rsid w:val="00137421"/>
    <w:rsid w:val="0013758E"/>
    <w:rsid w:val="001375CE"/>
    <w:rsid w:val="00137615"/>
    <w:rsid w:val="00137629"/>
    <w:rsid w:val="00137690"/>
    <w:rsid w:val="00137748"/>
    <w:rsid w:val="00137758"/>
    <w:rsid w:val="001377DE"/>
    <w:rsid w:val="001377FF"/>
    <w:rsid w:val="001378BF"/>
    <w:rsid w:val="001378C2"/>
    <w:rsid w:val="001378FB"/>
    <w:rsid w:val="00137905"/>
    <w:rsid w:val="00137908"/>
    <w:rsid w:val="0013793E"/>
    <w:rsid w:val="001379A2"/>
    <w:rsid w:val="001379B1"/>
    <w:rsid w:val="001379C4"/>
    <w:rsid w:val="001379CB"/>
    <w:rsid w:val="00137AED"/>
    <w:rsid w:val="00137AF4"/>
    <w:rsid w:val="00137B2B"/>
    <w:rsid w:val="00137B73"/>
    <w:rsid w:val="00137B7C"/>
    <w:rsid w:val="00137BAC"/>
    <w:rsid w:val="00137C68"/>
    <w:rsid w:val="00137D8C"/>
    <w:rsid w:val="00137DB6"/>
    <w:rsid w:val="00137DE2"/>
    <w:rsid w:val="00137E95"/>
    <w:rsid w:val="00137EAE"/>
    <w:rsid w:val="00137F21"/>
    <w:rsid w:val="00137F60"/>
    <w:rsid w:val="00137FFD"/>
    <w:rsid w:val="0014000B"/>
    <w:rsid w:val="00140066"/>
    <w:rsid w:val="0014014C"/>
    <w:rsid w:val="00140187"/>
    <w:rsid w:val="0014020F"/>
    <w:rsid w:val="001402C6"/>
    <w:rsid w:val="0014043E"/>
    <w:rsid w:val="00140461"/>
    <w:rsid w:val="00140489"/>
    <w:rsid w:val="001404B8"/>
    <w:rsid w:val="00140558"/>
    <w:rsid w:val="0014061F"/>
    <w:rsid w:val="00140699"/>
    <w:rsid w:val="00140757"/>
    <w:rsid w:val="0014076A"/>
    <w:rsid w:val="00140778"/>
    <w:rsid w:val="00140811"/>
    <w:rsid w:val="0014082C"/>
    <w:rsid w:val="001408BB"/>
    <w:rsid w:val="00140A97"/>
    <w:rsid w:val="00140AEB"/>
    <w:rsid w:val="00140B10"/>
    <w:rsid w:val="00140C6F"/>
    <w:rsid w:val="00140CDD"/>
    <w:rsid w:val="00140D1B"/>
    <w:rsid w:val="00140D8E"/>
    <w:rsid w:val="00140D95"/>
    <w:rsid w:val="00140DBA"/>
    <w:rsid w:val="00140DD6"/>
    <w:rsid w:val="00140DE9"/>
    <w:rsid w:val="00140E2B"/>
    <w:rsid w:val="00140EA8"/>
    <w:rsid w:val="00140F1C"/>
    <w:rsid w:val="00140F94"/>
    <w:rsid w:val="0014102B"/>
    <w:rsid w:val="00141139"/>
    <w:rsid w:val="00141160"/>
    <w:rsid w:val="0014117F"/>
    <w:rsid w:val="00141199"/>
    <w:rsid w:val="001411EA"/>
    <w:rsid w:val="0014125B"/>
    <w:rsid w:val="001412E8"/>
    <w:rsid w:val="001412FE"/>
    <w:rsid w:val="00141383"/>
    <w:rsid w:val="0014138F"/>
    <w:rsid w:val="001413B2"/>
    <w:rsid w:val="001413D9"/>
    <w:rsid w:val="001415A1"/>
    <w:rsid w:val="001415B1"/>
    <w:rsid w:val="00141628"/>
    <w:rsid w:val="00141794"/>
    <w:rsid w:val="00141849"/>
    <w:rsid w:val="001418D0"/>
    <w:rsid w:val="00141926"/>
    <w:rsid w:val="001419A3"/>
    <w:rsid w:val="001419FC"/>
    <w:rsid w:val="001419FE"/>
    <w:rsid w:val="00141A20"/>
    <w:rsid w:val="00141A48"/>
    <w:rsid w:val="00141AB4"/>
    <w:rsid w:val="00141B79"/>
    <w:rsid w:val="00141BEF"/>
    <w:rsid w:val="00141C3F"/>
    <w:rsid w:val="00141CCD"/>
    <w:rsid w:val="00141D52"/>
    <w:rsid w:val="00141D9A"/>
    <w:rsid w:val="00141E45"/>
    <w:rsid w:val="00141E83"/>
    <w:rsid w:val="00141F2D"/>
    <w:rsid w:val="00141F3F"/>
    <w:rsid w:val="00142081"/>
    <w:rsid w:val="001420AE"/>
    <w:rsid w:val="001420C6"/>
    <w:rsid w:val="001420E8"/>
    <w:rsid w:val="00142112"/>
    <w:rsid w:val="00142147"/>
    <w:rsid w:val="001421C0"/>
    <w:rsid w:val="001421F2"/>
    <w:rsid w:val="0014221C"/>
    <w:rsid w:val="001422CC"/>
    <w:rsid w:val="001422EF"/>
    <w:rsid w:val="00142416"/>
    <w:rsid w:val="00142471"/>
    <w:rsid w:val="00142506"/>
    <w:rsid w:val="00142687"/>
    <w:rsid w:val="001426FC"/>
    <w:rsid w:val="0014270B"/>
    <w:rsid w:val="00142783"/>
    <w:rsid w:val="00142785"/>
    <w:rsid w:val="00142796"/>
    <w:rsid w:val="00142798"/>
    <w:rsid w:val="001428BC"/>
    <w:rsid w:val="001428BD"/>
    <w:rsid w:val="00142931"/>
    <w:rsid w:val="00142A29"/>
    <w:rsid w:val="00142A63"/>
    <w:rsid w:val="00142A8C"/>
    <w:rsid w:val="00142B14"/>
    <w:rsid w:val="00142BCD"/>
    <w:rsid w:val="00142BE3"/>
    <w:rsid w:val="00142BFD"/>
    <w:rsid w:val="00142D91"/>
    <w:rsid w:val="00142D96"/>
    <w:rsid w:val="00142DE4"/>
    <w:rsid w:val="00143000"/>
    <w:rsid w:val="00143088"/>
    <w:rsid w:val="001431C2"/>
    <w:rsid w:val="00143324"/>
    <w:rsid w:val="0014335E"/>
    <w:rsid w:val="00143399"/>
    <w:rsid w:val="001434B5"/>
    <w:rsid w:val="0014350A"/>
    <w:rsid w:val="00143539"/>
    <w:rsid w:val="00143599"/>
    <w:rsid w:val="001435D4"/>
    <w:rsid w:val="001435E3"/>
    <w:rsid w:val="001436D6"/>
    <w:rsid w:val="00143777"/>
    <w:rsid w:val="00143784"/>
    <w:rsid w:val="00143795"/>
    <w:rsid w:val="001437C7"/>
    <w:rsid w:val="001437F3"/>
    <w:rsid w:val="00143851"/>
    <w:rsid w:val="001438AB"/>
    <w:rsid w:val="0014392B"/>
    <w:rsid w:val="00143942"/>
    <w:rsid w:val="00143946"/>
    <w:rsid w:val="0014397C"/>
    <w:rsid w:val="001439E1"/>
    <w:rsid w:val="001439FC"/>
    <w:rsid w:val="00143A9A"/>
    <w:rsid w:val="00143B07"/>
    <w:rsid w:val="00143B0C"/>
    <w:rsid w:val="00143B71"/>
    <w:rsid w:val="00143BC2"/>
    <w:rsid w:val="00143BC8"/>
    <w:rsid w:val="00143C80"/>
    <w:rsid w:val="00143CAD"/>
    <w:rsid w:val="00143CDE"/>
    <w:rsid w:val="00143CF9"/>
    <w:rsid w:val="00143D19"/>
    <w:rsid w:val="00143D2C"/>
    <w:rsid w:val="00143D89"/>
    <w:rsid w:val="00143F17"/>
    <w:rsid w:val="00143F34"/>
    <w:rsid w:val="00143F38"/>
    <w:rsid w:val="001440AE"/>
    <w:rsid w:val="00144134"/>
    <w:rsid w:val="00144294"/>
    <w:rsid w:val="001442F5"/>
    <w:rsid w:val="0014432F"/>
    <w:rsid w:val="00144330"/>
    <w:rsid w:val="00144403"/>
    <w:rsid w:val="00144521"/>
    <w:rsid w:val="00144536"/>
    <w:rsid w:val="001445AB"/>
    <w:rsid w:val="001445D0"/>
    <w:rsid w:val="001445D3"/>
    <w:rsid w:val="00144602"/>
    <w:rsid w:val="0014460B"/>
    <w:rsid w:val="00144637"/>
    <w:rsid w:val="001446C2"/>
    <w:rsid w:val="0014470D"/>
    <w:rsid w:val="0014471A"/>
    <w:rsid w:val="0014472D"/>
    <w:rsid w:val="00144738"/>
    <w:rsid w:val="0014487E"/>
    <w:rsid w:val="001448D5"/>
    <w:rsid w:val="001449B9"/>
    <w:rsid w:val="001449E7"/>
    <w:rsid w:val="00144A0F"/>
    <w:rsid w:val="00144AB6"/>
    <w:rsid w:val="00144B33"/>
    <w:rsid w:val="00144B9F"/>
    <w:rsid w:val="00144BEF"/>
    <w:rsid w:val="00144C86"/>
    <w:rsid w:val="00144D15"/>
    <w:rsid w:val="00144D23"/>
    <w:rsid w:val="00144E02"/>
    <w:rsid w:val="00144E06"/>
    <w:rsid w:val="00144E2A"/>
    <w:rsid w:val="00144E45"/>
    <w:rsid w:val="00144EBA"/>
    <w:rsid w:val="00144F3E"/>
    <w:rsid w:val="00144F88"/>
    <w:rsid w:val="0014502E"/>
    <w:rsid w:val="0014506C"/>
    <w:rsid w:val="00145071"/>
    <w:rsid w:val="0014514F"/>
    <w:rsid w:val="00145174"/>
    <w:rsid w:val="0014519B"/>
    <w:rsid w:val="00145213"/>
    <w:rsid w:val="00145226"/>
    <w:rsid w:val="00145300"/>
    <w:rsid w:val="001453BF"/>
    <w:rsid w:val="00145504"/>
    <w:rsid w:val="0014554C"/>
    <w:rsid w:val="001455B6"/>
    <w:rsid w:val="00145735"/>
    <w:rsid w:val="00145768"/>
    <w:rsid w:val="00145803"/>
    <w:rsid w:val="00145831"/>
    <w:rsid w:val="00145841"/>
    <w:rsid w:val="0014586C"/>
    <w:rsid w:val="0014587F"/>
    <w:rsid w:val="00145A3E"/>
    <w:rsid w:val="00145AC8"/>
    <w:rsid w:val="00145CA6"/>
    <w:rsid w:val="00145CD6"/>
    <w:rsid w:val="00145D26"/>
    <w:rsid w:val="00145D46"/>
    <w:rsid w:val="00145D5E"/>
    <w:rsid w:val="00145E00"/>
    <w:rsid w:val="00145E16"/>
    <w:rsid w:val="00145EFA"/>
    <w:rsid w:val="00145F40"/>
    <w:rsid w:val="00145F59"/>
    <w:rsid w:val="00145FF0"/>
    <w:rsid w:val="00146077"/>
    <w:rsid w:val="001460E2"/>
    <w:rsid w:val="00146116"/>
    <w:rsid w:val="0014613F"/>
    <w:rsid w:val="0014615A"/>
    <w:rsid w:val="00146179"/>
    <w:rsid w:val="001461AC"/>
    <w:rsid w:val="00146268"/>
    <w:rsid w:val="00146295"/>
    <w:rsid w:val="001462D2"/>
    <w:rsid w:val="00146328"/>
    <w:rsid w:val="001463B0"/>
    <w:rsid w:val="001463D1"/>
    <w:rsid w:val="001463E5"/>
    <w:rsid w:val="001464A9"/>
    <w:rsid w:val="001464D6"/>
    <w:rsid w:val="00146562"/>
    <w:rsid w:val="00146594"/>
    <w:rsid w:val="0014685C"/>
    <w:rsid w:val="001468D6"/>
    <w:rsid w:val="00146944"/>
    <w:rsid w:val="00146984"/>
    <w:rsid w:val="00146994"/>
    <w:rsid w:val="00146A30"/>
    <w:rsid w:val="00146B88"/>
    <w:rsid w:val="00146BFA"/>
    <w:rsid w:val="00146C53"/>
    <w:rsid w:val="00146C6B"/>
    <w:rsid w:val="00146C7E"/>
    <w:rsid w:val="00146CD0"/>
    <w:rsid w:val="00146CE2"/>
    <w:rsid w:val="00146D97"/>
    <w:rsid w:val="00146E54"/>
    <w:rsid w:val="00146E83"/>
    <w:rsid w:val="00146E94"/>
    <w:rsid w:val="00146EB6"/>
    <w:rsid w:val="00146F7E"/>
    <w:rsid w:val="00147032"/>
    <w:rsid w:val="001470AC"/>
    <w:rsid w:val="001470D2"/>
    <w:rsid w:val="0014714A"/>
    <w:rsid w:val="0014724A"/>
    <w:rsid w:val="00147254"/>
    <w:rsid w:val="00147297"/>
    <w:rsid w:val="00147373"/>
    <w:rsid w:val="001474A7"/>
    <w:rsid w:val="001474B6"/>
    <w:rsid w:val="001474FE"/>
    <w:rsid w:val="00147562"/>
    <w:rsid w:val="00147603"/>
    <w:rsid w:val="00147654"/>
    <w:rsid w:val="001476D1"/>
    <w:rsid w:val="001476ED"/>
    <w:rsid w:val="00147709"/>
    <w:rsid w:val="00147789"/>
    <w:rsid w:val="0014787E"/>
    <w:rsid w:val="00147887"/>
    <w:rsid w:val="001478C3"/>
    <w:rsid w:val="00147978"/>
    <w:rsid w:val="00147982"/>
    <w:rsid w:val="00147998"/>
    <w:rsid w:val="00147A40"/>
    <w:rsid w:val="00147A73"/>
    <w:rsid w:val="00147C72"/>
    <w:rsid w:val="00147D0D"/>
    <w:rsid w:val="00147D56"/>
    <w:rsid w:val="00147D86"/>
    <w:rsid w:val="00147DD3"/>
    <w:rsid w:val="00147E97"/>
    <w:rsid w:val="00147EFE"/>
    <w:rsid w:val="00147F29"/>
    <w:rsid w:val="00147F77"/>
    <w:rsid w:val="0015009F"/>
    <w:rsid w:val="001500AD"/>
    <w:rsid w:val="001500B9"/>
    <w:rsid w:val="001500C8"/>
    <w:rsid w:val="0015012A"/>
    <w:rsid w:val="001501AC"/>
    <w:rsid w:val="001501C0"/>
    <w:rsid w:val="001501F8"/>
    <w:rsid w:val="00150208"/>
    <w:rsid w:val="0015028C"/>
    <w:rsid w:val="001503A3"/>
    <w:rsid w:val="001503C1"/>
    <w:rsid w:val="00150486"/>
    <w:rsid w:val="001504D6"/>
    <w:rsid w:val="001504ED"/>
    <w:rsid w:val="001504F4"/>
    <w:rsid w:val="00150531"/>
    <w:rsid w:val="0015056F"/>
    <w:rsid w:val="00150610"/>
    <w:rsid w:val="0015061D"/>
    <w:rsid w:val="0015066A"/>
    <w:rsid w:val="00150690"/>
    <w:rsid w:val="0015069E"/>
    <w:rsid w:val="001506DD"/>
    <w:rsid w:val="001506EA"/>
    <w:rsid w:val="00150741"/>
    <w:rsid w:val="0015078A"/>
    <w:rsid w:val="001507C3"/>
    <w:rsid w:val="001507DD"/>
    <w:rsid w:val="0015080B"/>
    <w:rsid w:val="00150842"/>
    <w:rsid w:val="0015084E"/>
    <w:rsid w:val="0015093D"/>
    <w:rsid w:val="00150950"/>
    <w:rsid w:val="0015099D"/>
    <w:rsid w:val="001509B6"/>
    <w:rsid w:val="001509DA"/>
    <w:rsid w:val="00150BEF"/>
    <w:rsid w:val="00150C03"/>
    <w:rsid w:val="00150C24"/>
    <w:rsid w:val="00150C31"/>
    <w:rsid w:val="00150C97"/>
    <w:rsid w:val="00150C99"/>
    <w:rsid w:val="00150CB5"/>
    <w:rsid w:val="00150CBB"/>
    <w:rsid w:val="00150CDB"/>
    <w:rsid w:val="00150CEF"/>
    <w:rsid w:val="00150D52"/>
    <w:rsid w:val="00150D7A"/>
    <w:rsid w:val="00150DA3"/>
    <w:rsid w:val="00150DAF"/>
    <w:rsid w:val="00150E0B"/>
    <w:rsid w:val="00150E1C"/>
    <w:rsid w:val="00150E55"/>
    <w:rsid w:val="00150E8E"/>
    <w:rsid w:val="00150EE4"/>
    <w:rsid w:val="00150FA1"/>
    <w:rsid w:val="00150FB1"/>
    <w:rsid w:val="00151004"/>
    <w:rsid w:val="001510F8"/>
    <w:rsid w:val="001511CB"/>
    <w:rsid w:val="00151272"/>
    <w:rsid w:val="00151296"/>
    <w:rsid w:val="001512BE"/>
    <w:rsid w:val="00151306"/>
    <w:rsid w:val="00151369"/>
    <w:rsid w:val="0015145E"/>
    <w:rsid w:val="0015149C"/>
    <w:rsid w:val="001514A9"/>
    <w:rsid w:val="001514DF"/>
    <w:rsid w:val="001514ED"/>
    <w:rsid w:val="00151543"/>
    <w:rsid w:val="001515A1"/>
    <w:rsid w:val="001515BC"/>
    <w:rsid w:val="00151623"/>
    <w:rsid w:val="0015176A"/>
    <w:rsid w:val="0015176C"/>
    <w:rsid w:val="001517B0"/>
    <w:rsid w:val="001517D8"/>
    <w:rsid w:val="00151886"/>
    <w:rsid w:val="0015196A"/>
    <w:rsid w:val="00151A5D"/>
    <w:rsid w:val="00151A86"/>
    <w:rsid w:val="00151ADB"/>
    <w:rsid w:val="00151B0C"/>
    <w:rsid w:val="00151B85"/>
    <w:rsid w:val="00151C5C"/>
    <w:rsid w:val="00151C7F"/>
    <w:rsid w:val="00151CCE"/>
    <w:rsid w:val="00151D24"/>
    <w:rsid w:val="00151D27"/>
    <w:rsid w:val="00151D61"/>
    <w:rsid w:val="00151DB6"/>
    <w:rsid w:val="00151DC3"/>
    <w:rsid w:val="00151DDE"/>
    <w:rsid w:val="00151E3F"/>
    <w:rsid w:val="00151E40"/>
    <w:rsid w:val="00151F22"/>
    <w:rsid w:val="0015209B"/>
    <w:rsid w:val="001520B2"/>
    <w:rsid w:val="00152169"/>
    <w:rsid w:val="001521EF"/>
    <w:rsid w:val="00152283"/>
    <w:rsid w:val="00152319"/>
    <w:rsid w:val="0015231D"/>
    <w:rsid w:val="00152331"/>
    <w:rsid w:val="00152451"/>
    <w:rsid w:val="00152482"/>
    <w:rsid w:val="0015248E"/>
    <w:rsid w:val="00152537"/>
    <w:rsid w:val="0015261C"/>
    <w:rsid w:val="00152673"/>
    <w:rsid w:val="001526B5"/>
    <w:rsid w:val="00152800"/>
    <w:rsid w:val="0015287E"/>
    <w:rsid w:val="001528B7"/>
    <w:rsid w:val="001528FC"/>
    <w:rsid w:val="00152952"/>
    <w:rsid w:val="00152957"/>
    <w:rsid w:val="00152995"/>
    <w:rsid w:val="00152A07"/>
    <w:rsid w:val="00152B51"/>
    <w:rsid w:val="00152B9C"/>
    <w:rsid w:val="00152C2A"/>
    <w:rsid w:val="00152C39"/>
    <w:rsid w:val="00152C50"/>
    <w:rsid w:val="00152C67"/>
    <w:rsid w:val="00152C73"/>
    <w:rsid w:val="00152C85"/>
    <w:rsid w:val="00152D2A"/>
    <w:rsid w:val="00152D2B"/>
    <w:rsid w:val="00152DF3"/>
    <w:rsid w:val="00152E13"/>
    <w:rsid w:val="00152E57"/>
    <w:rsid w:val="00152E7A"/>
    <w:rsid w:val="00152F1B"/>
    <w:rsid w:val="00152F98"/>
    <w:rsid w:val="00152FA3"/>
    <w:rsid w:val="0015306C"/>
    <w:rsid w:val="0015310E"/>
    <w:rsid w:val="001532A0"/>
    <w:rsid w:val="001532CD"/>
    <w:rsid w:val="0015330B"/>
    <w:rsid w:val="00153337"/>
    <w:rsid w:val="00153383"/>
    <w:rsid w:val="001535A1"/>
    <w:rsid w:val="001536F2"/>
    <w:rsid w:val="00153704"/>
    <w:rsid w:val="00153784"/>
    <w:rsid w:val="001538F2"/>
    <w:rsid w:val="0015390B"/>
    <w:rsid w:val="001539AB"/>
    <w:rsid w:val="001539DF"/>
    <w:rsid w:val="00153A2B"/>
    <w:rsid w:val="00153A35"/>
    <w:rsid w:val="00153A54"/>
    <w:rsid w:val="00153ABC"/>
    <w:rsid w:val="00153ACF"/>
    <w:rsid w:val="00153B4C"/>
    <w:rsid w:val="00153B8C"/>
    <w:rsid w:val="00153B8E"/>
    <w:rsid w:val="00153BE6"/>
    <w:rsid w:val="00153BE7"/>
    <w:rsid w:val="00153C77"/>
    <w:rsid w:val="00153C89"/>
    <w:rsid w:val="00153CF8"/>
    <w:rsid w:val="00153D68"/>
    <w:rsid w:val="00153DA1"/>
    <w:rsid w:val="00153E05"/>
    <w:rsid w:val="00153E89"/>
    <w:rsid w:val="00153F9C"/>
    <w:rsid w:val="00153FC8"/>
    <w:rsid w:val="001540D1"/>
    <w:rsid w:val="00154237"/>
    <w:rsid w:val="0015428E"/>
    <w:rsid w:val="001542C8"/>
    <w:rsid w:val="001542CB"/>
    <w:rsid w:val="001542F2"/>
    <w:rsid w:val="0015437D"/>
    <w:rsid w:val="0015438B"/>
    <w:rsid w:val="0015439B"/>
    <w:rsid w:val="00154462"/>
    <w:rsid w:val="001544F0"/>
    <w:rsid w:val="001545AB"/>
    <w:rsid w:val="001545C0"/>
    <w:rsid w:val="001545C6"/>
    <w:rsid w:val="001545FE"/>
    <w:rsid w:val="00154646"/>
    <w:rsid w:val="0015476E"/>
    <w:rsid w:val="001547A4"/>
    <w:rsid w:val="001547F7"/>
    <w:rsid w:val="001548C2"/>
    <w:rsid w:val="00154939"/>
    <w:rsid w:val="0015493B"/>
    <w:rsid w:val="00154958"/>
    <w:rsid w:val="001549AC"/>
    <w:rsid w:val="001549AF"/>
    <w:rsid w:val="00154BB1"/>
    <w:rsid w:val="00154C63"/>
    <w:rsid w:val="00154D13"/>
    <w:rsid w:val="00154D72"/>
    <w:rsid w:val="00154DB5"/>
    <w:rsid w:val="00154E3D"/>
    <w:rsid w:val="00154EAB"/>
    <w:rsid w:val="00154EAC"/>
    <w:rsid w:val="00154F65"/>
    <w:rsid w:val="00154FF1"/>
    <w:rsid w:val="0015505C"/>
    <w:rsid w:val="0015506C"/>
    <w:rsid w:val="001550A8"/>
    <w:rsid w:val="001550D1"/>
    <w:rsid w:val="001550DB"/>
    <w:rsid w:val="00155100"/>
    <w:rsid w:val="00155105"/>
    <w:rsid w:val="00155139"/>
    <w:rsid w:val="001551B8"/>
    <w:rsid w:val="0015520D"/>
    <w:rsid w:val="0015522A"/>
    <w:rsid w:val="001552B1"/>
    <w:rsid w:val="001552D7"/>
    <w:rsid w:val="00155324"/>
    <w:rsid w:val="0015532F"/>
    <w:rsid w:val="001553A6"/>
    <w:rsid w:val="00155433"/>
    <w:rsid w:val="0015544D"/>
    <w:rsid w:val="001554B4"/>
    <w:rsid w:val="001554B9"/>
    <w:rsid w:val="001554EF"/>
    <w:rsid w:val="00155507"/>
    <w:rsid w:val="0015551B"/>
    <w:rsid w:val="001555F2"/>
    <w:rsid w:val="00155619"/>
    <w:rsid w:val="0015562F"/>
    <w:rsid w:val="0015564C"/>
    <w:rsid w:val="00155660"/>
    <w:rsid w:val="00155799"/>
    <w:rsid w:val="001557C7"/>
    <w:rsid w:val="00155982"/>
    <w:rsid w:val="001559BA"/>
    <w:rsid w:val="001559CD"/>
    <w:rsid w:val="00155ABC"/>
    <w:rsid w:val="00155B2E"/>
    <w:rsid w:val="00155B8A"/>
    <w:rsid w:val="00155BDA"/>
    <w:rsid w:val="00155BE2"/>
    <w:rsid w:val="00155C4D"/>
    <w:rsid w:val="00155C82"/>
    <w:rsid w:val="00155D54"/>
    <w:rsid w:val="00155DA7"/>
    <w:rsid w:val="00155DBA"/>
    <w:rsid w:val="00155E0D"/>
    <w:rsid w:val="00155E12"/>
    <w:rsid w:val="00155E1F"/>
    <w:rsid w:val="00155F09"/>
    <w:rsid w:val="00155F3A"/>
    <w:rsid w:val="00155F45"/>
    <w:rsid w:val="00155FEC"/>
    <w:rsid w:val="001560AA"/>
    <w:rsid w:val="001560DF"/>
    <w:rsid w:val="00156371"/>
    <w:rsid w:val="001563D0"/>
    <w:rsid w:val="001563E0"/>
    <w:rsid w:val="001563FE"/>
    <w:rsid w:val="00156515"/>
    <w:rsid w:val="0015657C"/>
    <w:rsid w:val="0015659C"/>
    <w:rsid w:val="001565DF"/>
    <w:rsid w:val="00156632"/>
    <w:rsid w:val="00156654"/>
    <w:rsid w:val="00156692"/>
    <w:rsid w:val="001566FA"/>
    <w:rsid w:val="0015675A"/>
    <w:rsid w:val="0015678C"/>
    <w:rsid w:val="001567AC"/>
    <w:rsid w:val="001568C2"/>
    <w:rsid w:val="001568E4"/>
    <w:rsid w:val="0015695D"/>
    <w:rsid w:val="0015695F"/>
    <w:rsid w:val="00156A95"/>
    <w:rsid w:val="00156BD0"/>
    <w:rsid w:val="00156C15"/>
    <w:rsid w:val="00156D1F"/>
    <w:rsid w:val="00156D44"/>
    <w:rsid w:val="00156ED0"/>
    <w:rsid w:val="00156F82"/>
    <w:rsid w:val="00157014"/>
    <w:rsid w:val="001570E5"/>
    <w:rsid w:val="001571AB"/>
    <w:rsid w:val="0015730F"/>
    <w:rsid w:val="00157359"/>
    <w:rsid w:val="001573B0"/>
    <w:rsid w:val="001573B1"/>
    <w:rsid w:val="001574A7"/>
    <w:rsid w:val="001574E6"/>
    <w:rsid w:val="0015751D"/>
    <w:rsid w:val="001575B5"/>
    <w:rsid w:val="00157675"/>
    <w:rsid w:val="0015768D"/>
    <w:rsid w:val="001577A6"/>
    <w:rsid w:val="001577C5"/>
    <w:rsid w:val="00157812"/>
    <w:rsid w:val="00157886"/>
    <w:rsid w:val="00157A66"/>
    <w:rsid w:val="00157B13"/>
    <w:rsid w:val="00157B85"/>
    <w:rsid w:val="00157CC2"/>
    <w:rsid w:val="00157D09"/>
    <w:rsid w:val="00157D41"/>
    <w:rsid w:val="00157E58"/>
    <w:rsid w:val="00157E79"/>
    <w:rsid w:val="00157F59"/>
    <w:rsid w:val="00160022"/>
    <w:rsid w:val="00160066"/>
    <w:rsid w:val="0016006C"/>
    <w:rsid w:val="0016011A"/>
    <w:rsid w:val="001601CC"/>
    <w:rsid w:val="00160205"/>
    <w:rsid w:val="00160226"/>
    <w:rsid w:val="00160279"/>
    <w:rsid w:val="001602BC"/>
    <w:rsid w:val="00160311"/>
    <w:rsid w:val="001603D8"/>
    <w:rsid w:val="0016048B"/>
    <w:rsid w:val="0016048D"/>
    <w:rsid w:val="001604A2"/>
    <w:rsid w:val="00160556"/>
    <w:rsid w:val="001605E1"/>
    <w:rsid w:val="00160646"/>
    <w:rsid w:val="00160676"/>
    <w:rsid w:val="00160688"/>
    <w:rsid w:val="0016069A"/>
    <w:rsid w:val="00160701"/>
    <w:rsid w:val="001607E6"/>
    <w:rsid w:val="00160829"/>
    <w:rsid w:val="00160903"/>
    <w:rsid w:val="0016094E"/>
    <w:rsid w:val="001609BD"/>
    <w:rsid w:val="001609DE"/>
    <w:rsid w:val="00160A55"/>
    <w:rsid w:val="00160A71"/>
    <w:rsid w:val="00160C24"/>
    <w:rsid w:val="00160C51"/>
    <w:rsid w:val="00160CB9"/>
    <w:rsid w:val="00160CD6"/>
    <w:rsid w:val="00160CD8"/>
    <w:rsid w:val="00160D03"/>
    <w:rsid w:val="00160D9E"/>
    <w:rsid w:val="00160E0D"/>
    <w:rsid w:val="00160EA4"/>
    <w:rsid w:val="00160F49"/>
    <w:rsid w:val="00160F5C"/>
    <w:rsid w:val="00160F77"/>
    <w:rsid w:val="00160FD2"/>
    <w:rsid w:val="00160FF3"/>
    <w:rsid w:val="0016100F"/>
    <w:rsid w:val="001610B9"/>
    <w:rsid w:val="00161136"/>
    <w:rsid w:val="0016119E"/>
    <w:rsid w:val="001611A0"/>
    <w:rsid w:val="001611B6"/>
    <w:rsid w:val="001611D1"/>
    <w:rsid w:val="00161207"/>
    <w:rsid w:val="001612A1"/>
    <w:rsid w:val="0016137E"/>
    <w:rsid w:val="0016139E"/>
    <w:rsid w:val="001613E1"/>
    <w:rsid w:val="0016141A"/>
    <w:rsid w:val="0016158E"/>
    <w:rsid w:val="00161612"/>
    <w:rsid w:val="00161633"/>
    <w:rsid w:val="001616D2"/>
    <w:rsid w:val="00161705"/>
    <w:rsid w:val="00161719"/>
    <w:rsid w:val="0016172C"/>
    <w:rsid w:val="00161734"/>
    <w:rsid w:val="0016176D"/>
    <w:rsid w:val="001617A4"/>
    <w:rsid w:val="0016184F"/>
    <w:rsid w:val="0016199A"/>
    <w:rsid w:val="00161A53"/>
    <w:rsid w:val="00161A9F"/>
    <w:rsid w:val="00161B3F"/>
    <w:rsid w:val="00161B61"/>
    <w:rsid w:val="00161B84"/>
    <w:rsid w:val="00161BBD"/>
    <w:rsid w:val="00161EBC"/>
    <w:rsid w:val="00162015"/>
    <w:rsid w:val="0016203D"/>
    <w:rsid w:val="0016208A"/>
    <w:rsid w:val="001620D4"/>
    <w:rsid w:val="00162100"/>
    <w:rsid w:val="001621AF"/>
    <w:rsid w:val="001621BF"/>
    <w:rsid w:val="001621C1"/>
    <w:rsid w:val="001621DB"/>
    <w:rsid w:val="00162236"/>
    <w:rsid w:val="001622CD"/>
    <w:rsid w:val="001623BE"/>
    <w:rsid w:val="001623D2"/>
    <w:rsid w:val="00162432"/>
    <w:rsid w:val="0016257D"/>
    <w:rsid w:val="00162645"/>
    <w:rsid w:val="00162774"/>
    <w:rsid w:val="001627EC"/>
    <w:rsid w:val="001628BD"/>
    <w:rsid w:val="001628E8"/>
    <w:rsid w:val="00162912"/>
    <w:rsid w:val="001629B1"/>
    <w:rsid w:val="001629C8"/>
    <w:rsid w:val="00162ABC"/>
    <w:rsid w:val="00162B8E"/>
    <w:rsid w:val="00162C35"/>
    <w:rsid w:val="00162C57"/>
    <w:rsid w:val="00162C7B"/>
    <w:rsid w:val="00162C96"/>
    <w:rsid w:val="00162D58"/>
    <w:rsid w:val="00162D6C"/>
    <w:rsid w:val="00162D78"/>
    <w:rsid w:val="00162D9D"/>
    <w:rsid w:val="00162EA1"/>
    <w:rsid w:val="00162F06"/>
    <w:rsid w:val="00162F6E"/>
    <w:rsid w:val="00163076"/>
    <w:rsid w:val="0016338A"/>
    <w:rsid w:val="00163615"/>
    <w:rsid w:val="00163638"/>
    <w:rsid w:val="00163649"/>
    <w:rsid w:val="00163652"/>
    <w:rsid w:val="001636DE"/>
    <w:rsid w:val="0016375C"/>
    <w:rsid w:val="00163791"/>
    <w:rsid w:val="001637BC"/>
    <w:rsid w:val="0016382B"/>
    <w:rsid w:val="001638F6"/>
    <w:rsid w:val="0016393F"/>
    <w:rsid w:val="00163955"/>
    <w:rsid w:val="001639B6"/>
    <w:rsid w:val="001639C7"/>
    <w:rsid w:val="001639EA"/>
    <w:rsid w:val="001639FC"/>
    <w:rsid w:val="00163A80"/>
    <w:rsid w:val="00163AB1"/>
    <w:rsid w:val="00163B25"/>
    <w:rsid w:val="00163B81"/>
    <w:rsid w:val="00163BE9"/>
    <w:rsid w:val="00163DEE"/>
    <w:rsid w:val="00163E88"/>
    <w:rsid w:val="00163E9B"/>
    <w:rsid w:val="00163F0D"/>
    <w:rsid w:val="00163F42"/>
    <w:rsid w:val="001640D2"/>
    <w:rsid w:val="0016412F"/>
    <w:rsid w:val="001642A1"/>
    <w:rsid w:val="00164496"/>
    <w:rsid w:val="001644DF"/>
    <w:rsid w:val="0016457B"/>
    <w:rsid w:val="001645CB"/>
    <w:rsid w:val="001645CE"/>
    <w:rsid w:val="00164619"/>
    <w:rsid w:val="00164720"/>
    <w:rsid w:val="0016473A"/>
    <w:rsid w:val="0016474A"/>
    <w:rsid w:val="001647A5"/>
    <w:rsid w:val="0016487B"/>
    <w:rsid w:val="001648CF"/>
    <w:rsid w:val="00164936"/>
    <w:rsid w:val="00164978"/>
    <w:rsid w:val="001649A1"/>
    <w:rsid w:val="00164A17"/>
    <w:rsid w:val="00164A19"/>
    <w:rsid w:val="00164A2D"/>
    <w:rsid w:val="00164B2B"/>
    <w:rsid w:val="00164B5D"/>
    <w:rsid w:val="00164BCD"/>
    <w:rsid w:val="00164D68"/>
    <w:rsid w:val="00164E26"/>
    <w:rsid w:val="00164E32"/>
    <w:rsid w:val="00164E4F"/>
    <w:rsid w:val="00164E84"/>
    <w:rsid w:val="00164E86"/>
    <w:rsid w:val="00164EC4"/>
    <w:rsid w:val="00164EDB"/>
    <w:rsid w:val="00164FCD"/>
    <w:rsid w:val="00164FDA"/>
    <w:rsid w:val="00165172"/>
    <w:rsid w:val="0016517A"/>
    <w:rsid w:val="0016518F"/>
    <w:rsid w:val="001651B9"/>
    <w:rsid w:val="001651BC"/>
    <w:rsid w:val="001651CF"/>
    <w:rsid w:val="0016526D"/>
    <w:rsid w:val="001652AE"/>
    <w:rsid w:val="00165355"/>
    <w:rsid w:val="0016535A"/>
    <w:rsid w:val="00165372"/>
    <w:rsid w:val="00165473"/>
    <w:rsid w:val="00165487"/>
    <w:rsid w:val="00165489"/>
    <w:rsid w:val="001654EE"/>
    <w:rsid w:val="00165507"/>
    <w:rsid w:val="00165566"/>
    <w:rsid w:val="001655FE"/>
    <w:rsid w:val="0016569C"/>
    <w:rsid w:val="001656A0"/>
    <w:rsid w:val="00165770"/>
    <w:rsid w:val="00165783"/>
    <w:rsid w:val="0016578D"/>
    <w:rsid w:val="001657DE"/>
    <w:rsid w:val="0016581D"/>
    <w:rsid w:val="00165874"/>
    <w:rsid w:val="001658DB"/>
    <w:rsid w:val="0016597D"/>
    <w:rsid w:val="001659E8"/>
    <w:rsid w:val="00165A87"/>
    <w:rsid w:val="00165A9E"/>
    <w:rsid w:val="00165B20"/>
    <w:rsid w:val="00165B3F"/>
    <w:rsid w:val="00165B5F"/>
    <w:rsid w:val="00165B60"/>
    <w:rsid w:val="00165BB1"/>
    <w:rsid w:val="00165D83"/>
    <w:rsid w:val="00165E33"/>
    <w:rsid w:val="00165E41"/>
    <w:rsid w:val="00165E46"/>
    <w:rsid w:val="00165E5D"/>
    <w:rsid w:val="00165E70"/>
    <w:rsid w:val="00165E9B"/>
    <w:rsid w:val="00165EAA"/>
    <w:rsid w:val="00165EC0"/>
    <w:rsid w:val="00165EE8"/>
    <w:rsid w:val="00165F46"/>
    <w:rsid w:val="00165F72"/>
    <w:rsid w:val="00166088"/>
    <w:rsid w:val="00166096"/>
    <w:rsid w:val="001660AE"/>
    <w:rsid w:val="001660E2"/>
    <w:rsid w:val="0016614A"/>
    <w:rsid w:val="0016614E"/>
    <w:rsid w:val="0016616B"/>
    <w:rsid w:val="001661A5"/>
    <w:rsid w:val="0016627E"/>
    <w:rsid w:val="001662D1"/>
    <w:rsid w:val="001662D5"/>
    <w:rsid w:val="00166341"/>
    <w:rsid w:val="00166401"/>
    <w:rsid w:val="0016640A"/>
    <w:rsid w:val="0016643D"/>
    <w:rsid w:val="00166498"/>
    <w:rsid w:val="001665A0"/>
    <w:rsid w:val="0016669F"/>
    <w:rsid w:val="001666E2"/>
    <w:rsid w:val="00166750"/>
    <w:rsid w:val="001668D5"/>
    <w:rsid w:val="001668FF"/>
    <w:rsid w:val="001669E2"/>
    <w:rsid w:val="00166A04"/>
    <w:rsid w:val="00166A68"/>
    <w:rsid w:val="00166A8B"/>
    <w:rsid w:val="00166AC5"/>
    <w:rsid w:val="00166ACE"/>
    <w:rsid w:val="00166ACF"/>
    <w:rsid w:val="00166B1B"/>
    <w:rsid w:val="00166B4C"/>
    <w:rsid w:val="00166B60"/>
    <w:rsid w:val="00166B6D"/>
    <w:rsid w:val="00166BD7"/>
    <w:rsid w:val="00166C73"/>
    <w:rsid w:val="00166D28"/>
    <w:rsid w:val="00166D44"/>
    <w:rsid w:val="00166DCA"/>
    <w:rsid w:val="00166E03"/>
    <w:rsid w:val="00166E24"/>
    <w:rsid w:val="00166EE2"/>
    <w:rsid w:val="00166F75"/>
    <w:rsid w:val="0016702D"/>
    <w:rsid w:val="00167035"/>
    <w:rsid w:val="00167045"/>
    <w:rsid w:val="001670B2"/>
    <w:rsid w:val="001670F3"/>
    <w:rsid w:val="00167146"/>
    <w:rsid w:val="0016715C"/>
    <w:rsid w:val="001671F7"/>
    <w:rsid w:val="0016732B"/>
    <w:rsid w:val="00167331"/>
    <w:rsid w:val="0016740C"/>
    <w:rsid w:val="00167489"/>
    <w:rsid w:val="001674E3"/>
    <w:rsid w:val="001674FF"/>
    <w:rsid w:val="00167539"/>
    <w:rsid w:val="0016755E"/>
    <w:rsid w:val="00167579"/>
    <w:rsid w:val="00167643"/>
    <w:rsid w:val="001676A7"/>
    <w:rsid w:val="0016777F"/>
    <w:rsid w:val="00167781"/>
    <w:rsid w:val="001677AA"/>
    <w:rsid w:val="001677DA"/>
    <w:rsid w:val="001677FE"/>
    <w:rsid w:val="00167844"/>
    <w:rsid w:val="00167845"/>
    <w:rsid w:val="0016786F"/>
    <w:rsid w:val="001679B7"/>
    <w:rsid w:val="001679BE"/>
    <w:rsid w:val="001679E8"/>
    <w:rsid w:val="00167A0F"/>
    <w:rsid w:val="00167A52"/>
    <w:rsid w:val="00167A64"/>
    <w:rsid w:val="00167B7D"/>
    <w:rsid w:val="00167C01"/>
    <w:rsid w:val="00167C5B"/>
    <w:rsid w:val="00167E1A"/>
    <w:rsid w:val="00167E30"/>
    <w:rsid w:val="00167E9B"/>
    <w:rsid w:val="00167EC2"/>
    <w:rsid w:val="00167EC9"/>
    <w:rsid w:val="00167F22"/>
    <w:rsid w:val="00167FDE"/>
    <w:rsid w:val="0017000F"/>
    <w:rsid w:val="00170037"/>
    <w:rsid w:val="001700BA"/>
    <w:rsid w:val="00170130"/>
    <w:rsid w:val="00170132"/>
    <w:rsid w:val="0017013C"/>
    <w:rsid w:val="0017016A"/>
    <w:rsid w:val="001702FC"/>
    <w:rsid w:val="00170309"/>
    <w:rsid w:val="00170365"/>
    <w:rsid w:val="00170418"/>
    <w:rsid w:val="0017045F"/>
    <w:rsid w:val="00170460"/>
    <w:rsid w:val="00170494"/>
    <w:rsid w:val="001704A0"/>
    <w:rsid w:val="001704C6"/>
    <w:rsid w:val="001705A0"/>
    <w:rsid w:val="001705C0"/>
    <w:rsid w:val="001706CE"/>
    <w:rsid w:val="00170717"/>
    <w:rsid w:val="00170733"/>
    <w:rsid w:val="001707A0"/>
    <w:rsid w:val="00170822"/>
    <w:rsid w:val="00170929"/>
    <w:rsid w:val="00170964"/>
    <w:rsid w:val="00170A38"/>
    <w:rsid w:val="00170A40"/>
    <w:rsid w:val="00170AA7"/>
    <w:rsid w:val="00170AC9"/>
    <w:rsid w:val="00170AFE"/>
    <w:rsid w:val="00170B33"/>
    <w:rsid w:val="00170B6E"/>
    <w:rsid w:val="00170B88"/>
    <w:rsid w:val="00170C85"/>
    <w:rsid w:val="00170C8E"/>
    <w:rsid w:val="00170C97"/>
    <w:rsid w:val="00170CAC"/>
    <w:rsid w:val="00170CC5"/>
    <w:rsid w:val="00170E67"/>
    <w:rsid w:val="00170E79"/>
    <w:rsid w:val="00170EAE"/>
    <w:rsid w:val="00170ED6"/>
    <w:rsid w:val="00170F6B"/>
    <w:rsid w:val="00170F85"/>
    <w:rsid w:val="00170FCD"/>
    <w:rsid w:val="00171008"/>
    <w:rsid w:val="0017102E"/>
    <w:rsid w:val="001710C5"/>
    <w:rsid w:val="00171198"/>
    <w:rsid w:val="001711D5"/>
    <w:rsid w:val="001711F9"/>
    <w:rsid w:val="0017121F"/>
    <w:rsid w:val="001712B2"/>
    <w:rsid w:val="0017131B"/>
    <w:rsid w:val="001713AC"/>
    <w:rsid w:val="001713E0"/>
    <w:rsid w:val="001713E9"/>
    <w:rsid w:val="0017141C"/>
    <w:rsid w:val="00171453"/>
    <w:rsid w:val="00171605"/>
    <w:rsid w:val="0017168F"/>
    <w:rsid w:val="0017173A"/>
    <w:rsid w:val="001717A2"/>
    <w:rsid w:val="001717E5"/>
    <w:rsid w:val="001718CC"/>
    <w:rsid w:val="00171948"/>
    <w:rsid w:val="00171AC3"/>
    <w:rsid w:val="00171B1E"/>
    <w:rsid w:val="00171B31"/>
    <w:rsid w:val="00171B8D"/>
    <w:rsid w:val="00171D6D"/>
    <w:rsid w:val="00171DFD"/>
    <w:rsid w:val="00171E12"/>
    <w:rsid w:val="00171FD4"/>
    <w:rsid w:val="0017204C"/>
    <w:rsid w:val="00172081"/>
    <w:rsid w:val="00172091"/>
    <w:rsid w:val="001720AD"/>
    <w:rsid w:val="001720F6"/>
    <w:rsid w:val="00172139"/>
    <w:rsid w:val="0017215A"/>
    <w:rsid w:val="001721E3"/>
    <w:rsid w:val="0017220C"/>
    <w:rsid w:val="00172214"/>
    <w:rsid w:val="00172222"/>
    <w:rsid w:val="001722CF"/>
    <w:rsid w:val="0017231F"/>
    <w:rsid w:val="00172388"/>
    <w:rsid w:val="001723E5"/>
    <w:rsid w:val="001724B3"/>
    <w:rsid w:val="00172536"/>
    <w:rsid w:val="001725E9"/>
    <w:rsid w:val="001725EC"/>
    <w:rsid w:val="00172653"/>
    <w:rsid w:val="001726C8"/>
    <w:rsid w:val="00172746"/>
    <w:rsid w:val="001727DF"/>
    <w:rsid w:val="00172867"/>
    <w:rsid w:val="0017288B"/>
    <w:rsid w:val="00172901"/>
    <w:rsid w:val="00172A16"/>
    <w:rsid w:val="00172A4E"/>
    <w:rsid w:val="00172A7C"/>
    <w:rsid w:val="00172AD1"/>
    <w:rsid w:val="00172B8F"/>
    <w:rsid w:val="00172C94"/>
    <w:rsid w:val="00172D5F"/>
    <w:rsid w:val="00172E76"/>
    <w:rsid w:val="00172F16"/>
    <w:rsid w:val="00172F3A"/>
    <w:rsid w:val="00172F3B"/>
    <w:rsid w:val="00172FBD"/>
    <w:rsid w:val="001730C4"/>
    <w:rsid w:val="0017312A"/>
    <w:rsid w:val="0017316B"/>
    <w:rsid w:val="001732D2"/>
    <w:rsid w:val="0017333B"/>
    <w:rsid w:val="001733EF"/>
    <w:rsid w:val="001733FD"/>
    <w:rsid w:val="00173418"/>
    <w:rsid w:val="001734A3"/>
    <w:rsid w:val="001735C7"/>
    <w:rsid w:val="0017368F"/>
    <w:rsid w:val="00173691"/>
    <w:rsid w:val="00173780"/>
    <w:rsid w:val="0017381D"/>
    <w:rsid w:val="0017383C"/>
    <w:rsid w:val="0017384B"/>
    <w:rsid w:val="00173874"/>
    <w:rsid w:val="001738CE"/>
    <w:rsid w:val="001738DF"/>
    <w:rsid w:val="00173913"/>
    <w:rsid w:val="00173A84"/>
    <w:rsid w:val="00173A9C"/>
    <w:rsid w:val="00173BE8"/>
    <w:rsid w:val="00173CF9"/>
    <w:rsid w:val="00173D10"/>
    <w:rsid w:val="00173DC9"/>
    <w:rsid w:val="00173E7B"/>
    <w:rsid w:val="00173F9E"/>
    <w:rsid w:val="0017408B"/>
    <w:rsid w:val="00174133"/>
    <w:rsid w:val="00174140"/>
    <w:rsid w:val="001741CE"/>
    <w:rsid w:val="00174309"/>
    <w:rsid w:val="0017432B"/>
    <w:rsid w:val="00174357"/>
    <w:rsid w:val="001743B9"/>
    <w:rsid w:val="001743C2"/>
    <w:rsid w:val="00174550"/>
    <w:rsid w:val="001745AD"/>
    <w:rsid w:val="001745D7"/>
    <w:rsid w:val="001747FB"/>
    <w:rsid w:val="0017480F"/>
    <w:rsid w:val="00174857"/>
    <w:rsid w:val="001748A8"/>
    <w:rsid w:val="001748B7"/>
    <w:rsid w:val="00174965"/>
    <w:rsid w:val="0017497B"/>
    <w:rsid w:val="001749CB"/>
    <w:rsid w:val="001749F2"/>
    <w:rsid w:val="00174A09"/>
    <w:rsid w:val="00174A4C"/>
    <w:rsid w:val="00174AF1"/>
    <w:rsid w:val="00174B35"/>
    <w:rsid w:val="00174BA8"/>
    <w:rsid w:val="00174C8D"/>
    <w:rsid w:val="00174CE0"/>
    <w:rsid w:val="00174CE2"/>
    <w:rsid w:val="00174CE7"/>
    <w:rsid w:val="00174D3F"/>
    <w:rsid w:val="00174DFA"/>
    <w:rsid w:val="00174E61"/>
    <w:rsid w:val="00174E92"/>
    <w:rsid w:val="00174EBF"/>
    <w:rsid w:val="00174ED8"/>
    <w:rsid w:val="00174EE8"/>
    <w:rsid w:val="00174EF4"/>
    <w:rsid w:val="00174FDD"/>
    <w:rsid w:val="0017503C"/>
    <w:rsid w:val="0017505B"/>
    <w:rsid w:val="001750CB"/>
    <w:rsid w:val="0017511B"/>
    <w:rsid w:val="001753F4"/>
    <w:rsid w:val="00175493"/>
    <w:rsid w:val="00175568"/>
    <w:rsid w:val="0017558A"/>
    <w:rsid w:val="0017562F"/>
    <w:rsid w:val="0017567F"/>
    <w:rsid w:val="0017575B"/>
    <w:rsid w:val="00175785"/>
    <w:rsid w:val="001757CB"/>
    <w:rsid w:val="001757F9"/>
    <w:rsid w:val="00175897"/>
    <w:rsid w:val="001758F6"/>
    <w:rsid w:val="00175966"/>
    <w:rsid w:val="001759D3"/>
    <w:rsid w:val="00175A38"/>
    <w:rsid w:val="00175A44"/>
    <w:rsid w:val="00175ACB"/>
    <w:rsid w:val="00175AED"/>
    <w:rsid w:val="00175BF6"/>
    <w:rsid w:val="00175CD5"/>
    <w:rsid w:val="00175D02"/>
    <w:rsid w:val="00175D51"/>
    <w:rsid w:val="00175D6A"/>
    <w:rsid w:val="00175D74"/>
    <w:rsid w:val="00175DA0"/>
    <w:rsid w:val="00175DE8"/>
    <w:rsid w:val="00175F13"/>
    <w:rsid w:val="00175F3A"/>
    <w:rsid w:val="00176063"/>
    <w:rsid w:val="001760D9"/>
    <w:rsid w:val="0017630F"/>
    <w:rsid w:val="00176358"/>
    <w:rsid w:val="001763B0"/>
    <w:rsid w:val="001763B8"/>
    <w:rsid w:val="00176445"/>
    <w:rsid w:val="00176481"/>
    <w:rsid w:val="00176748"/>
    <w:rsid w:val="0017684E"/>
    <w:rsid w:val="0017689A"/>
    <w:rsid w:val="001768DA"/>
    <w:rsid w:val="00176910"/>
    <w:rsid w:val="00176917"/>
    <w:rsid w:val="0017695F"/>
    <w:rsid w:val="00176B5D"/>
    <w:rsid w:val="00176BA1"/>
    <w:rsid w:val="00176BF8"/>
    <w:rsid w:val="00176C17"/>
    <w:rsid w:val="00176CFB"/>
    <w:rsid w:val="00176D3F"/>
    <w:rsid w:val="00176D7B"/>
    <w:rsid w:val="00176DAC"/>
    <w:rsid w:val="00176E85"/>
    <w:rsid w:val="00176E96"/>
    <w:rsid w:val="00176F27"/>
    <w:rsid w:val="00176FB4"/>
    <w:rsid w:val="00176FB7"/>
    <w:rsid w:val="00177033"/>
    <w:rsid w:val="00177095"/>
    <w:rsid w:val="001771C8"/>
    <w:rsid w:val="001772DC"/>
    <w:rsid w:val="00177327"/>
    <w:rsid w:val="00177376"/>
    <w:rsid w:val="00177421"/>
    <w:rsid w:val="00177482"/>
    <w:rsid w:val="00177495"/>
    <w:rsid w:val="00177517"/>
    <w:rsid w:val="0017756E"/>
    <w:rsid w:val="001775BC"/>
    <w:rsid w:val="001775D2"/>
    <w:rsid w:val="0017764E"/>
    <w:rsid w:val="001776C2"/>
    <w:rsid w:val="001776DC"/>
    <w:rsid w:val="001777D4"/>
    <w:rsid w:val="001777DE"/>
    <w:rsid w:val="00177835"/>
    <w:rsid w:val="00177836"/>
    <w:rsid w:val="00177855"/>
    <w:rsid w:val="00177875"/>
    <w:rsid w:val="001778DC"/>
    <w:rsid w:val="001778E3"/>
    <w:rsid w:val="001778E5"/>
    <w:rsid w:val="001778E6"/>
    <w:rsid w:val="00177958"/>
    <w:rsid w:val="0017796B"/>
    <w:rsid w:val="00177A98"/>
    <w:rsid w:val="00177AE6"/>
    <w:rsid w:val="00177B19"/>
    <w:rsid w:val="00177B48"/>
    <w:rsid w:val="00177B97"/>
    <w:rsid w:val="00177C25"/>
    <w:rsid w:val="00177C62"/>
    <w:rsid w:val="00177D01"/>
    <w:rsid w:val="00177D26"/>
    <w:rsid w:val="00177D3A"/>
    <w:rsid w:val="00177DB2"/>
    <w:rsid w:val="00177E30"/>
    <w:rsid w:val="00177E72"/>
    <w:rsid w:val="00177E7D"/>
    <w:rsid w:val="00177F25"/>
    <w:rsid w:val="00180032"/>
    <w:rsid w:val="001800D1"/>
    <w:rsid w:val="00180161"/>
    <w:rsid w:val="001801CD"/>
    <w:rsid w:val="00180377"/>
    <w:rsid w:val="001803C5"/>
    <w:rsid w:val="001803E2"/>
    <w:rsid w:val="001803E3"/>
    <w:rsid w:val="001804AF"/>
    <w:rsid w:val="0018056A"/>
    <w:rsid w:val="001806C7"/>
    <w:rsid w:val="0018076D"/>
    <w:rsid w:val="001807E7"/>
    <w:rsid w:val="0018099B"/>
    <w:rsid w:val="00180A33"/>
    <w:rsid w:val="00180AD1"/>
    <w:rsid w:val="00180AE3"/>
    <w:rsid w:val="00180B29"/>
    <w:rsid w:val="00180B6F"/>
    <w:rsid w:val="00180B77"/>
    <w:rsid w:val="00180C1C"/>
    <w:rsid w:val="00180CAE"/>
    <w:rsid w:val="00180D11"/>
    <w:rsid w:val="00180D47"/>
    <w:rsid w:val="00180E6E"/>
    <w:rsid w:val="00180EB0"/>
    <w:rsid w:val="00180FAC"/>
    <w:rsid w:val="0018104A"/>
    <w:rsid w:val="0018109C"/>
    <w:rsid w:val="001810C4"/>
    <w:rsid w:val="001810F9"/>
    <w:rsid w:val="00181203"/>
    <w:rsid w:val="00181249"/>
    <w:rsid w:val="00181253"/>
    <w:rsid w:val="0018131D"/>
    <w:rsid w:val="00181355"/>
    <w:rsid w:val="00181364"/>
    <w:rsid w:val="001813E9"/>
    <w:rsid w:val="00181438"/>
    <w:rsid w:val="00181440"/>
    <w:rsid w:val="001815F2"/>
    <w:rsid w:val="00181620"/>
    <w:rsid w:val="00181664"/>
    <w:rsid w:val="0018172E"/>
    <w:rsid w:val="0018178B"/>
    <w:rsid w:val="00181890"/>
    <w:rsid w:val="00181934"/>
    <w:rsid w:val="001819DD"/>
    <w:rsid w:val="001819F1"/>
    <w:rsid w:val="00181ABC"/>
    <w:rsid w:val="00181AC2"/>
    <w:rsid w:val="00181B1C"/>
    <w:rsid w:val="00181B42"/>
    <w:rsid w:val="00181BA5"/>
    <w:rsid w:val="00181C41"/>
    <w:rsid w:val="00181C65"/>
    <w:rsid w:val="00181C9B"/>
    <w:rsid w:val="00181CE4"/>
    <w:rsid w:val="00181D48"/>
    <w:rsid w:val="00181E14"/>
    <w:rsid w:val="0018202A"/>
    <w:rsid w:val="0018202D"/>
    <w:rsid w:val="0018219D"/>
    <w:rsid w:val="001821C6"/>
    <w:rsid w:val="0018220B"/>
    <w:rsid w:val="001822A1"/>
    <w:rsid w:val="0018230C"/>
    <w:rsid w:val="0018230D"/>
    <w:rsid w:val="0018234B"/>
    <w:rsid w:val="00182442"/>
    <w:rsid w:val="001824B4"/>
    <w:rsid w:val="001824CD"/>
    <w:rsid w:val="001824D5"/>
    <w:rsid w:val="0018262D"/>
    <w:rsid w:val="00182734"/>
    <w:rsid w:val="00182740"/>
    <w:rsid w:val="0018279A"/>
    <w:rsid w:val="00182879"/>
    <w:rsid w:val="0018292D"/>
    <w:rsid w:val="0018293A"/>
    <w:rsid w:val="00182945"/>
    <w:rsid w:val="001829EF"/>
    <w:rsid w:val="00182A74"/>
    <w:rsid w:val="00182AA3"/>
    <w:rsid w:val="00182C2B"/>
    <w:rsid w:val="00182CA3"/>
    <w:rsid w:val="00182D0D"/>
    <w:rsid w:val="00182DAC"/>
    <w:rsid w:val="00182DE7"/>
    <w:rsid w:val="00182DF9"/>
    <w:rsid w:val="00182E23"/>
    <w:rsid w:val="00182E45"/>
    <w:rsid w:val="00182E5C"/>
    <w:rsid w:val="00182E72"/>
    <w:rsid w:val="00182EBA"/>
    <w:rsid w:val="00182F03"/>
    <w:rsid w:val="00182F44"/>
    <w:rsid w:val="00182FE8"/>
    <w:rsid w:val="00183059"/>
    <w:rsid w:val="001830A8"/>
    <w:rsid w:val="001830B5"/>
    <w:rsid w:val="001830EE"/>
    <w:rsid w:val="00183249"/>
    <w:rsid w:val="0018331E"/>
    <w:rsid w:val="00183337"/>
    <w:rsid w:val="00183361"/>
    <w:rsid w:val="00183374"/>
    <w:rsid w:val="00183375"/>
    <w:rsid w:val="001833E0"/>
    <w:rsid w:val="0018357B"/>
    <w:rsid w:val="001835C1"/>
    <w:rsid w:val="00183622"/>
    <w:rsid w:val="00183673"/>
    <w:rsid w:val="001836BF"/>
    <w:rsid w:val="001836D7"/>
    <w:rsid w:val="0018370C"/>
    <w:rsid w:val="0018371D"/>
    <w:rsid w:val="0018378D"/>
    <w:rsid w:val="001837AC"/>
    <w:rsid w:val="001837AD"/>
    <w:rsid w:val="0018389D"/>
    <w:rsid w:val="001838F8"/>
    <w:rsid w:val="00183915"/>
    <w:rsid w:val="00183918"/>
    <w:rsid w:val="00183965"/>
    <w:rsid w:val="00183B0D"/>
    <w:rsid w:val="00183B5A"/>
    <w:rsid w:val="00183C54"/>
    <w:rsid w:val="00183D42"/>
    <w:rsid w:val="00183D99"/>
    <w:rsid w:val="00183E43"/>
    <w:rsid w:val="00183F18"/>
    <w:rsid w:val="00183F2C"/>
    <w:rsid w:val="00183F5C"/>
    <w:rsid w:val="00183F94"/>
    <w:rsid w:val="00184063"/>
    <w:rsid w:val="0018418A"/>
    <w:rsid w:val="00184229"/>
    <w:rsid w:val="0018426A"/>
    <w:rsid w:val="001842AF"/>
    <w:rsid w:val="001842FB"/>
    <w:rsid w:val="00184399"/>
    <w:rsid w:val="001843C6"/>
    <w:rsid w:val="0018445B"/>
    <w:rsid w:val="0018446D"/>
    <w:rsid w:val="001844DF"/>
    <w:rsid w:val="0018450D"/>
    <w:rsid w:val="00184531"/>
    <w:rsid w:val="00184588"/>
    <w:rsid w:val="00184661"/>
    <w:rsid w:val="00184713"/>
    <w:rsid w:val="001847C6"/>
    <w:rsid w:val="00184817"/>
    <w:rsid w:val="00184829"/>
    <w:rsid w:val="0018482D"/>
    <w:rsid w:val="00184856"/>
    <w:rsid w:val="001848AF"/>
    <w:rsid w:val="001848F6"/>
    <w:rsid w:val="00184999"/>
    <w:rsid w:val="00184AC2"/>
    <w:rsid w:val="00184BB1"/>
    <w:rsid w:val="00184CA2"/>
    <w:rsid w:val="00184CF6"/>
    <w:rsid w:val="00184D3A"/>
    <w:rsid w:val="00184D47"/>
    <w:rsid w:val="00184D79"/>
    <w:rsid w:val="00184D80"/>
    <w:rsid w:val="00184DBD"/>
    <w:rsid w:val="00184E65"/>
    <w:rsid w:val="0018501A"/>
    <w:rsid w:val="00185071"/>
    <w:rsid w:val="0018513F"/>
    <w:rsid w:val="00185183"/>
    <w:rsid w:val="00185265"/>
    <w:rsid w:val="00185272"/>
    <w:rsid w:val="00185282"/>
    <w:rsid w:val="001852E6"/>
    <w:rsid w:val="001852F3"/>
    <w:rsid w:val="0018533F"/>
    <w:rsid w:val="00185364"/>
    <w:rsid w:val="00185477"/>
    <w:rsid w:val="0018547B"/>
    <w:rsid w:val="00185616"/>
    <w:rsid w:val="00185688"/>
    <w:rsid w:val="0018576E"/>
    <w:rsid w:val="0018577A"/>
    <w:rsid w:val="00185795"/>
    <w:rsid w:val="001857E2"/>
    <w:rsid w:val="001858B5"/>
    <w:rsid w:val="00185961"/>
    <w:rsid w:val="00185A0E"/>
    <w:rsid w:val="00185A1D"/>
    <w:rsid w:val="00185A28"/>
    <w:rsid w:val="00185A91"/>
    <w:rsid w:val="00185AE3"/>
    <w:rsid w:val="00185B05"/>
    <w:rsid w:val="00185B39"/>
    <w:rsid w:val="00185B47"/>
    <w:rsid w:val="00185B7A"/>
    <w:rsid w:val="00185C30"/>
    <w:rsid w:val="00185D5E"/>
    <w:rsid w:val="00185E1F"/>
    <w:rsid w:val="00185E27"/>
    <w:rsid w:val="00185E85"/>
    <w:rsid w:val="00185F58"/>
    <w:rsid w:val="00185F89"/>
    <w:rsid w:val="00185F97"/>
    <w:rsid w:val="00185FC2"/>
    <w:rsid w:val="001860F4"/>
    <w:rsid w:val="001862B5"/>
    <w:rsid w:val="001862D1"/>
    <w:rsid w:val="001862F8"/>
    <w:rsid w:val="00186328"/>
    <w:rsid w:val="00186340"/>
    <w:rsid w:val="00186366"/>
    <w:rsid w:val="00186441"/>
    <w:rsid w:val="00186598"/>
    <w:rsid w:val="0018673E"/>
    <w:rsid w:val="00186746"/>
    <w:rsid w:val="00186748"/>
    <w:rsid w:val="001867E9"/>
    <w:rsid w:val="00186849"/>
    <w:rsid w:val="00186962"/>
    <w:rsid w:val="0018696E"/>
    <w:rsid w:val="0018698E"/>
    <w:rsid w:val="00186A16"/>
    <w:rsid w:val="00186A23"/>
    <w:rsid w:val="00186B29"/>
    <w:rsid w:val="00186B40"/>
    <w:rsid w:val="00186B95"/>
    <w:rsid w:val="00186BA5"/>
    <w:rsid w:val="00186C62"/>
    <w:rsid w:val="00186CB8"/>
    <w:rsid w:val="00186CFF"/>
    <w:rsid w:val="00186D6F"/>
    <w:rsid w:val="00186DD2"/>
    <w:rsid w:val="00186E29"/>
    <w:rsid w:val="00186ED8"/>
    <w:rsid w:val="00186F18"/>
    <w:rsid w:val="00186FB2"/>
    <w:rsid w:val="00186FEE"/>
    <w:rsid w:val="00187006"/>
    <w:rsid w:val="00187035"/>
    <w:rsid w:val="0018703D"/>
    <w:rsid w:val="0018704C"/>
    <w:rsid w:val="00187072"/>
    <w:rsid w:val="0018708B"/>
    <w:rsid w:val="00187177"/>
    <w:rsid w:val="00187184"/>
    <w:rsid w:val="001871A5"/>
    <w:rsid w:val="001871CB"/>
    <w:rsid w:val="0018725F"/>
    <w:rsid w:val="001872A4"/>
    <w:rsid w:val="001872C3"/>
    <w:rsid w:val="001872C9"/>
    <w:rsid w:val="00187334"/>
    <w:rsid w:val="0018733B"/>
    <w:rsid w:val="001873CE"/>
    <w:rsid w:val="001873DC"/>
    <w:rsid w:val="00187423"/>
    <w:rsid w:val="0018752C"/>
    <w:rsid w:val="0018759B"/>
    <w:rsid w:val="0018760B"/>
    <w:rsid w:val="00187621"/>
    <w:rsid w:val="0018765B"/>
    <w:rsid w:val="0018771A"/>
    <w:rsid w:val="00187838"/>
    <w:rsid w:val="0018785F"/>
    <w:rsid w:val="00187879"/>
    <w:rsid w:val="00187896"/>
    <w:rsid w:val="0018797F"/>
    <w:rsid w:val="001879A0"/>
    <w:rsid w:val="001879D9"/>
    <w:rsid w:val="00187A6D"/>
    <w:rsid w:val="00187A77"/>
    <w:rsid w:val="00187AEA"/>
    <w:rsid w:val="00187B28"/>
    <w:rsid w:val="00187B5D"/>
    <w:rsid w:val="00187B6E"/>
    <w:rsid w:val="00187BB1"/>
    <w:rsid w:val="00187CBD"/>
    <w:rsid w:val="00187CC2"/>
    <w:rsid w:val="00187D89"/>
    <w:rsid w:val="00187E1A"/>
    <w:rsid w:val="00187E45"/>
    <w:rsid w:val="00187E7A"/>
    <w:rsid w:val="00187F30"/>
    <w:rsid w:val="00190045"/>
    <w:rsid w:val="00190057"/>
    <w:rsid w:val="00190103"/>
    <w:rsid w:val="00190120"/>
    <w:rsid w:val="00190325"/>
    <w:rsid w:val="0019038E"/>
    <w:rsid w:val="00190390"/>
    <w:rsid w:val="001903C7"/>
    <w:rsid w:val="0019043F"/>
    <w:rsid w:val="00190477"/>
    <w:rsid w:val="0019049C"/>
    <w:rsid w:val="001905D6"/>
    <w:rsid w:val="0019060C"/>
    <w:rsid w:val="00190678"/>
    <w:rsid w:val="00190695"/>
    <w:rsid w:val="001906C2"/>
    <w:rsid w:val="00190704"/>
    <w:rsid w:val="00190729"/>
    <w:rsid w:val="00190795"/>
    <w:rsid w:val="00190857"/>
    <w:rsid w:val="00190977"/>
    <w:rsid w:val="0019098C"/>
    <w:rsid w:val="001909C5"/>
    <w:rsid w:val="001909C9"/>
    <w:rsid w:val="001909D2"/>
    <w:rsid w:val="001909D4"/>
    <w:rsid w:val="00190AB8"/>
    <w:rsid w:val="00190ADB"/>
    <w:rsid w:val="00190AF3"/>
    <w:rsid w:val="00190B0F"/>
    <w:rsid w:val="00190B11"/>
    <w:rsid w:val="00190B1B"/>
    <w:rsid w:val="00190B35"/>
    <w:rsid w:val="00190C67"/>
    <w:rsid w:val="00190C91"/>
    <w:rsid w:val="00190D5C"/>
    <w:rsid w:val="00190D6F"/>
    <w:rsid w:val="00190DD3"/>
    <w:rsid w:val="00190E2A"/>
    <w:rsid w:val="00190E5E"/>
    <w:rsid w:val="00190E60"/>
    <w:rsid w:val="00190FEA"/>
    <w:rsid w:val="00191011"/>
    <w:rsid w:val="00191062"/>
    <w:rsid w:val="00191081"/>
    <w:rsid w:val="00191115"/>
    <w:rsid w:val="00191213"/>
    <w:rsid w:val="001912B4"/>
    <w:rsid w:val="001912BC"/>
    <w:rsid w:val="001912F7"/>
    <w:rsid w:val="001914E7"/>
    <w:rsid w:val="0019150D"/>
    <w:rsid w:val="00191533"/>
    <w:rsid w:val="001915D4"/>
    <w:rsid w:val="00191620"/>
    <w:rsid w:val="001916A5"/>
    <w:rsid w:val="00191739"/>
    <w:rsid w:val="001917A2"/>
    <w:rsid w:val="00191934"/>
    <w:rsid w:val="00191A8F"/>
    <w:rsid w:val="00191AC8"/>
    <w:rsid w:val="00191B54"/>
    <w:rsid w:val="00191C41"/>
    <w:rsid w:val="00191C86"/>
    <w:rsid w:val="00191CAB"/>
    <w:rsid w:val="00191CAC"/>
    <w:rsid w:val="00191DF3"/>
    <w:rsid w:val="00191E44"/>
    <w:rsid w:val="00191E66"/>
    <w:rsid w:val="00191F79"/>
    <w:rsid w:val="00191FD3"/>
    <w:rsid w:val="00192007"/>
    <w:rsid w:val="00192058"/>
    <w:rsid w:val="00192127"/>
    <w:rsid w:val="00192220"/>
    <w:rsid w:val="00192223"/>
    <w:rsid w:val="001922C6"/>
    <w:rsid w:val="001922D6"/>
    <w:rsid w:val="001923A7"/>
    <w:rsid w:val="001923B7"/>
    <w:rsid w:val="00192423"/>
    <w:rsid w:val="001925A3"/>
    <w:rsid w:val="00192602"/>
    <w:rsid w:val="00192609"/>
    <w:rsid w:val="00192624"/>
    <w:rsid w:val="0019262B"/>
    <w:rsid w:val="00192631"/>
    <w:rsid w:val="0019263C"/>
    <w:rsid w:val="001927D1"/>
    <w:rsid w:val="0019294E"/>
    <w:rsid w:val="0019298F"/>
    <w:rsid w:val="001929B7"/>
    <w:rsid w:val="001929FA"/>
    <w:rsid w:val="00192A58"/>
    <w:rsid w:val="00192AC6"/>
    <w:rsid w:val="00192B14"/>
    <w:rsid w:val="00192B67"/>
    <w:rsid w:val="00192BFF"/>
    <w:rsid w:val="00192C19"/>
    <w:rsid w:val="00192C85"/>
    <w:rsid w:val="00192E2F"/>
    <w:rsid w:val="00192E66"/>
    <w:rsid w:val="00192F4E"/>
    <w:rsid w:val="00192FB0"/>
    <w:rsid w:val="00193076"/>
    <w:rsid w:val="001930BD"/>
    <w:rsid w:val="001930E6"/>
    <w:rsid w:val="00193118"/>
    <w:rsid w:val="0019316A"/>
    <w:rsid w:val="0019322C"/>
    <w:rsid w:val="0019327E"/>
    <w:rsid w:val="00193288"/>
    <w:rsid w:val="001932D7"/>
    <w:rsid w:val="00193565"/>
    <w:rsid w:val="001935AC"/>
    <w:rsid w:val="0019364C"/>
    <w:rsid w:val="0019364F"/>
    <w:rsid w:val="00193654"/>
    <w:rsid w:val="0019367E"/>
    <w:rsid w:val="001936DE"/>
    <w:rsid w:val="00193895"/>
    <w:rsid w:val="001938D4"/>
    <w:rsid w:val="00193928"/>
    <w:rsid w:val="001939B6"/>
    <w:rsid w:val="001939E7"/>
    <w:rsid w:val="00193A12"/>
    <w:rsid w:val="00193A17"/>
    <w:rsid w:val="00193A2C"/>
    <w:rsid w:val="00193A8D"/>
    <w:rsid w:val="00193ABF"/>
    <w:rsid w:val="00193B37"/>
    <w:rsid w:val="00193B5C"/>
    <w:rsid w:val="00193BE1"/>
    <w:rsid w:val="00193BEA"/>
    <w:rsid w:val="00193C0A"/>
    <w:rsid w:val="00193C35"/>
    <w:rsid w:val="00193C78"/>
    <w:rsid w:val="00193CBC"/>
    <w:rsid w:val="00193D65"/>
    <w:rsid w:val="00193EEF"/>
    <w:rsid w:val="00193F16"/>
    <w:rsid w:val="00193F43"/>
    <w:rsid w:val="00194069"/>
    <w:rsid w:val="0019416B"/>
    <w:rsid w:val="00194197"/>
    <w:rsid w:val="001941D0"/>
    <w:rsid w:val="0019420F"/>
    <w:rsid w:val="0019421C"/>
    <w:rsid w:val="001942C6"/>
    <w:rsid w:val="001942E6"/>
    <w:rsid w:val="00194369"/>
    <w:rsid w:val="00194401"/>
    <w:rsid w:val="001944D3"/>
    <w:rsid w:val="001944EF"/>
    <w:rsid w:val="0019451C"/>
    <w:rsid w:val="00194617"/>
    <w:rsid w:val="0019461B"/>
    <w:rsid w:val="0019462C"/>
    <w:rsid w:val="00194753"/>
    <w:rsid w:val="0019478D"/>
    <w:rsid w:val="001947D5"/>
    <w:rsid w:val="001947E3"/>
    <w:rsid w:val="00194832"/>
    <w:rsid w:val="0019484A"/>
    <w:rsid w:val="00194901"/>
    <w:rsid w:val="00194991"/>
    <w:rsid w:val="00194AB9"/>
    <w:rsid w:val="00194AD1"/>
    <w:rsid w:val="00194ADB"/>
    <w:rsid w:val="00194B8A"/>
    <w:rsid w:val="00194B94"/>
    <w:rsid w:val="00194BE6"/>
    <w:rsid w:val="00194C28"/>
    <w:rsid w:val="00194C62"/>
    <w:rsid w:val="00194C8B"/>
    <w:rsid w:val="00194C9B"/>
    <w:rsid w:val="00194CCB"/>
    <w:rsid w:val="00194CEE"/>
    <w:rsid w:val="00194D58"/>
    <w:rsid w:val="00194E89"/>
    <w:rsid w:val="00194EB0"/>
    <w:rsid w:val="00194ED3"/>
    <w:rsid w:val="00194EFB"/>
    <w:rsid w:val="00194F44"/>
    <w:rsid w:val="00194F58"/>
    <w:rsid w:val="00194F70"/>
    <w:rsid w:val="00194FB2"/>
    <w:rsid w:val="00194FBB"/>
    <w:rsid w:val="00194FCD"/>
    <w:rsid w:val="00195052"/>
    <w:rsid w:val="001950DE"/>
    <w:rsid w:val="00195113"/>
    <w:rsid w:val="00195221"/>
    <w:rsid w:val="001952B9"/>
    <w:rsid w:val="00195366"/>
    <w:rsid w:val="00195388"/>
    <w:rsid w:val="001953FB"/>
    <w:rsid w:val="00195405"/>
    <w:rsid w:val="0019543E"/>
    <w:rsid w:val="00195492"/>
    <w:rsid w:val="001954A8"/>
    <w:rsid w:val="001954AA"/>
    <w:rsid w:val="00195572"/>
    <w:rsid w:val="001955A4"/>
    <w:rsid w:val="001955AB"/>
    <w:rsid w:val="001956BE"/>
    <w:rsid w:val="001957CF"/>
    <w:rsid w:val="00195846"/>
    <w:rsid w:val="001958C8"/>
    <w:rsid w:val="00195934"/>
    <w:rsid w:val="0019596A"/>
    <w:rsid w:val="00195A13"/>
    <w:rsid w:val="00195A5B"/>
    <w:rsid w:val="00195AAC"/>
    <w:rsid w:val="00195B38"/>
    <w:rsid w:val="00195B95"/>
    <w:rsid w:val="00195BE6"/>
    <w:rsid w:val="00195BEA"/>
    <w:rsid w:val="00195C6F"/>
    <w:rsid w:val="00195CA8"/>
    <w:rsid w:val="00195D57"/>
    <w:rsid w:val="00195D5C"/>
    <w:rsid w:val="00195DA2"/>
    <w:rsid w:val="00195DD2"/>
    <w:rsid w:val="00195EC2"/>
    <w:rsid w:val="00195FEB"/>
    <w:rsid w:val="00195FEF"/>
    <w:rsid w:val="0019604A"/>
    <w:rsid w:val="00196147"/>
    <w:rsid w:val="001961A4"/>
    <w:rsid w:val="00196244"/>
    <w:rsid w:val="00196313"/>
    <w:rsid w:val="0019637D"/>
    <w:rsid w:val="00196387"/>
    <w:rsid w:val="001963F5"/>
    <w:rsid w:val="0019644F"/>
    <w:rsid w:val="0019645D"/>
    <w:rsid w:val="001964C0"/>
    <w:rsid w:val="001964F3"/>
    <w:rsid w:val="00196515"/>
    <w:rsid w:val="001965A7"/>
    <w:rsid w:val="00196642"/>
    <w:rsid w:val="00196673"/>
    <w:rsid w:val="00196674"/>
    <w:rsid w:val="0019670E"/>
    <w:rsid w:val="00196778"/>
    <w:rsid w:val="001967BC"/>
    <w:rsid w:val="001967E7"/>
    <w:rsid w:val="00196823"/>
    <w:rsid w:val="00196856"/>
    <w:rsid w:val="0019690C"/>
    <w:rsid w:val="00196916"/>
    <w:rsid w:val="001969BE"/>
    <w:rsid w:val="00196A67"/>
    <w:rsid w:val="00196AC0"/>
    <w:rsid w:val="00196B10"/>
    <w:rsid w:val="00196B2B"/>
    <w:rsid w:val="00196C07"/>
    <w:rsid w:val="00196C18"/>
    <w:rsid w:val="00196D15"/>
    <w:rsid w:val="00196D37"/>
    <w:rsid w:val="00196D4A"/>
    <w:rsid w:val="00196E01"/>
    <w:rsid w:val="00196EB0"/>
    <w:rsid w:val="00196EFD"/>
    <w:rsid w:val="00196F3B"/>
    <w:rsid w:val="00196FEE"/>
    <w:rsid w:val="00196FFB"/>
    <w:rsid w:val="001970C7"/>
    <w:rsid w:val="00197145"/>
    <w:rsid w:val="00197192"/>
    <w:rsid w:val="00197232"/>
    <w:rsid w:val="0019723E"/>
    <w:rsid w:val="001972BE"/>
    <w:rsid w:val="00197400"/>
    <w:rsid w:val="0019748E"/>
    <w:rsid w:val="001975AE"/>
    <w:rsid w:val="001977E6"/>
    <w:rsid w:val="00197849"/>
    <w:rsid w:val="001978A7"/>
    <w:rsid w:val="001978CD"/>
    <w:rsid w:val="001978EE"/>
    <w:rsid w:val="00197960"/>
    <w:rsid w:val="0019799B"/>
    <w:rsid w:val="001979B3"/>
    <w:rsid w:val="00197A1A"/>
    <w:rsid w:val="00197A2A"/>
    <w:rsid w:val="00197A70"/>
    <w:rsid w:val="00197B13"/>
    <w:rsid w:val="00197B27"/>
    <w:rsid w:val="00197C01"/>
    <w:rsid w:val="00197C8F"/>
    <w:rsid w:val="00197CA3"/>
    <w:rsid w:val="00197D16"/>
    <w:rsid w:val="00197DFC"/>
    <w:rsid w:val="00197E2F"/>
    <w:rsid w:val="00197EC0"/>
    <w:rsid w:val="00197F03"/>
    <w:rsid w:val="00197F05"/>
    <w:rsid w:val="00197F98"/>
    <w:rsid w:val="00197FB8"/>
    <w:rsid w:val="0019C3CF"/>
    <w:rsid w:val="001A004E"/>
    <w:rsid w:val="001A007C"/>
    <w:rsid w:val="001A0133"/>
    <w:rsid w:val="001A0197"/>
    <w:rsid w:val="001A01A0"/>
    <w:rsid w:val="001A02E8"/>
    <w:rsid w:val="001A038E"/>
    <w:rsid w:val="001A042A"/>
    <w:rsid w:val="001A0434"/>
    <w:rsid w:val="001A04B4"/>
    <w:rsid w:val="001A04CE"/>
    <w:rsid w:val="001A0522"/>
    <w:rsid w:val="001A054C"/>
    <w:rsid w:val="001A05D7"/>
    <w:rsid w:val="001A064E"/>
    <w:rsid w:val="001A0660"/>
    <w:rsid w:val="001A06A7"/>
    <w:rsid w:val="001A06FB"/>
    <w:rsid w:val="001A07E7"/>
    <w:rsid w:val="001A0811"/>
    <w:rsid w:val="001A081A"/>
    <w:rsid w:val="001A08CC"/>
    <w:rsid w:val="001A0970"/>
    <w:rsid w:val="001A0995"/>
    <w:rsid w:val="001A09AA"/>
    <w:rsid w:val="001A09DF"/>
    <w:rsid w:val="001A0A98"/>
    <w:rsid w:val="001A0B9F"/>
    <w:rsid w:val="001A0C12"/>
    <w:rsid w:val="001A0C64"/>
    <w:rsid w:val="001A0C87"/>
    <w:rsid w:val="001A0C92"/>
    <w:rsid w:val="001A0CC4"/>
    <w:rsid w:val="001A0CEE"/>
    <w:rsid w:val="001A0D49"/>
    <w:rsid w:val="001A0E1B"/>
    <w:rsid w:val="001A0EC8"/>
    <w:rsid w:val="001A0F00"/>
    <w:rsid w:val="001A0F03"/>
    <w:rsid w:val="001A0F7B"/>
    <w:rsid w:val="001A0FD9"/>
    <w:rsid w:val="001A0FFF"/>
    <w:rsid w:val="001A1063"/>
    <w:rsid w:val="001A108E"/>
    <w:rsid w:val="001A10A8"/>
    <w:rsid w:val="001A1183"/>
    <w:rsid w:val="001A12D0"/>
    <w:rsid w:val="001A12D5"/>
    <w:rsid w:val="001A12DE"/>
    <w:rsid w:val="001A131E"/>
    <w:rsid w:val="001A133E"/>
    <w:rsid w:val="001A1368"/>
    <w:rsid w:val="001A145D"/>
    <w:rsid w:val="001A14B0"/>
    <w:rsid w:val="001A14F5"/>
    <w:rsid w:val="001A1519"/>
    <w:rsid w:val="001A15D5"/>
    <w:rsid w:val="001A166C"/>
    <w:rsid w:val="001A173A"/>
    <w:rsid w:val="001A1844"/>
    <w:rsid w:val="001A194D"/>
    <w:rsid w:val="001A198A"/>
    <w:rsid w:val="001A199C"/>
    <w:rsid w:val="001A19C5"/>
    <w:rsid w:val="001A1A61"/>
    <w:rsid w:val="001A1AB4"/>
    <w:rsid w:val="001A1B94"/>
    <w:rsid w:val="001A1BC4"/>
    <w:rsid w:val="001A1BCD"/>
    <w:rsid w:val="001A1C29"/>
    <w:rsid w:val="001A1CBD"/>
    <w:rsid w:val="001A1CC3"/>
    <w:rsid w:val="001A1E11"/>
    <w:rsid w:val="001A1E25"/>
    <w:rsid w:val="001A1E45"/>
    <w:rsid w:val="001A1EBD"/>
    <w:rsid w:val="001A1EDE"/>
    <w:rsid w:val="001A1F39"/>
    <w:rsid w:val="001A1F6A"/>
    <w:rsid w:val="001A1FB7"/>
    <w:rsid w:val="001A1FEA"/>
    <w:rsid w:val="001A1FF0"/>
    <w:rsid w:val="001A2042"/>
    <w:rsid w:val="001A20A6"/>
    <w:rsid w:val="001A210F"/>
    <w:rsid w:val="001A2134"/>
    <w:rsid w:val="001A22F7"/>
    <w:rsid w:val="001A2369"/>
    <w:rsid w:val="001A243C"/>
    <w:rsid w:val="001A253F"/>
    <w:rsid w:val="001A2591"/>
    <w:rsid w:val="001A25C4"/>
    <w:rsid w:val="001A26EE"/>
    <w:rsid w:val="001A2771"/>
    <w:rsid w:val="001A2799"/>
    <w:rsid w:val="001A27A6"/>
    <w:rsid w:val="001A2850"/>
    <w:rsid w:val="001A2995"/>
    <w:rsid w:val="001A29E6"/>
    <w:rsid w:val="001A2A26"/>
    <w:rsid w:val="001A2A72"/>
    <w:rsid w:val="001A2AB2"/>
    <w:rsid w:val="001A2BBF"/>
    <w:rsid w:val="001A2BC6"/>
    <w:rsid w:val="001A2C22"/>
    <w:rsid w:val="001A2CAE"/>
    <w:rsid w:val="001A2CBE"/>
    <w:rsid w:val="001A2D46"/>
    <w:rsid w:val="001A2DDB"/>
    <w:rsid w:val="001A2DFF"/>
    <w:rsid w:val="001A2E15"/>
    <w:rsid w:val="001A2E38"/>
    <w:rsid w:val="001A2E4D"/>
    <w:rsid w:val="001A2E70"/>
    <w:rsid w:val="001A2ECE"/>
    <w:rsid w:val="001A2EF7"/>
    <w:rsid w:val="001A2F7D"/>
    <w:rsid w:val="001A2F81"/>
    <w:rsid w:val="001A307E"/>
    <w:rsid w:val="001A30C1"/>
    <w:rsid w:val="001A30F3"/>
    <w:rsid w:val="001A31AA"/>
    <w:rsid w:val="001A31EA"/>
    <w:rsid w:val="001A3278"/>
    <w:rsid w:val="001A3306"/>
    <w:rsid w:val="001A335C"/>
    <w:rsid w:val="001A338B"/>
    <w:rsid w:val="001A3467"/>
    <w:rsid w:val="001A348A"/>
    <w:rsid w:val="001A3500"/>
    <w:rsid w:val="001A352D"/>
    <w:rsid w:val="001A35A0"/>
    <w:rsid w:val="001A36B5"/>
    <w:rsid w:val="001A371B"/>
    <w:rsid w:val="001A372C"/>
    <w:rsid w:val="001A374D"/>
    <w:rsid w:val="001A3881"/>
    <w:rsid w:val="001A389B"/>
    <w:rsid w:val="001A3958"/>
    <w:rsid w:val="001A396F"/>
    <w:rsid w:val="001A3971"/>
    <w:rsid w:val="001A3973"/>
    <w:rsid w:val="001A39CC"/>
    <w:rsid w:val="001A3A59"/>
    <w:rsid w:val="001A3B32"/>
    <w:rsid w:val="001A3B46"/>
    <w:rsid w:val="001A3BA6"/>
    <w:rsid w:val="001A3C00"/>
    <w:rsid w:val="001A3C2B"/>
    <w:rsid w:val="001A3C64"/>
    <w:rsid w:val="001A3CB7"/>
    <w:rsid w:val="001A3D5B"/>
    <w:rsid w:val="001A3E69"/>
    <w:rsid w:val="001A3E71"/>
    <w:rsid w:val="001A3E86"/>
    <w:rsid w:val="001A3E8E"/>
    <w:rsid w:val="001A3ECA"/>
    <w:rsid w:val="001A3F5F"/>
    <w:rsid w:val="001A3F7D"/>
    <w:rsid w:val="001A4030"/>
    <w:rsid w:val="001A405E"/>
    <w:rsid w:val="001A4096"/>
    <w:rsid w:val="001A40BC"/>
    <w:rsid w:val="001A40BD"/>
    <w:rsid w:val="001A40F5"/>
    <w:rsid w:val="001A412E"/>
    <w:rsid w:val="001A413C"/>
    <w:rsid w:val="001A4211"/>
    <w:rsid w:val="001A42AD"/>
    <w:rsid w:val="001A42BE"/>
    <w:rsid w:val="001A435C"/>
    <w:rsid w:val="001A4439"/>
    <w:rsid w:val="001A4462"/>
    <w:rsid w:val="001A4488"/>
    <w:rsid w:val="001A456B"/>
    <w:rsid w:val="001A4593"/>
    <w:rsid w:val="001A462E"/>
    <w:rsid w:val="001A463F"/>
    <w:rsid w:val="001A4750"/>
    <w:rsid w:val="001A475B"/>
    <w:rsid w:val="001A4767"/>
    <w:rsid w:val="001A4768"/>
    <w:rsid w:val="001A4794"/>
    <w:rsid w:val="001A47E6"/>
    <w:rsid w:val="001A481B"/>
    <w:rsid w:val="001A4976"/>
    <w:rsid w:val="001A499A"/>
    <w:rsid w:val="001A4A28"/>
    <w:rsid w:val="001A4A55"/>
    <w:rsid w:val="001A4B52"/>
    <w:rsid w:val="001A4BA6"/>
    <w:rsid w:val="001A4C3E"/>
    <w:rsid w:val="001A4C43"/>
    <w:rsid w:val="001A4D7A"/>
    <w:rsid w:val="001A4E1B"/>
    <w:rsid w:val="001A4EA0"/>
    <w:rsid w:val="001A4F10"/>
    <w:rsid w:val="001A4F36"/>
    <w:rsid w:val="001A50D9"/>
    <w:rsid w:val="001A50DE"/>
    <w:rsid w:val="001A5118"/>
    <w:rsid w:val="001A514A"/>
    <w:rsid w:val="001A5159"/>
    <w:rsid w:val="001A5189"/>
    <w:rsid w:val="001A51C4"/>
    <w:rsid w:val="001A51F2"/>
    <w:rsid w:val="001A5208"/>
    <w:rsid w:val="001A527E"/>
    <w:rsid w:val="001A528C"/>
    <w:rsid w:val="001A5298"/>
    <w:rsid w:val="001A52E9"/>
    <w:rsid w:val="001A537B"/>
    <w:rsid w:val="001A53AF"/>
    <w:rsid w:val="001A53B4"/>
    <w:rsid w:val="001A53C5"/>
    <w:rsid w:val="001A5458"/>
    <w:rsid w:val="001A54D5"/>
    <w:rsid w:val="001A54EA"/>
    <w:rsid w:val="001A54ED"/>
    <w:rsid w:val="001A5576"/>
    <w:rsid w:val="001A566A"/>
    <w:rsid w:val="001A567C"/>
    <w:rsid w:val="001A5681"/>
    <w:rsid w:val="001A56A1"/>
    <w:rsid w:val="001A5714"/>
    <w:rsid w:val="001A5762"/>
    <w:rsid w:val="001A577D"/>
    <w:rsid w:val="001A57A6"/>
    <w:rsid w:val="001A57C5"/>
    <w:rsid w:val="001A57D2"/>
    <w:rsid w:val="001A585B"/>
    <w:rsid w:val="001A587C"/>
    <w:rsid w:val="001A5925"/>
    <w:rsid w:val="001A5929"/>
    <w:rsid w:val="001A5960"/>
    <w:rsid w:val="001A59EE"/>
    <w:rsid w:val="001A5A17"/>
    <w:rsid w:val="001A5A44"/>
    <w:rsid w:val="001A5A60"/>
    <w:rsid w:val="001A5A86"/>
    <w:rsid w:val="001A5AA5"/>
    <w:rsid w:val="001A5B1D"/>
    <w:rsid w:val="001A5B4C"/>
    <w:rsid w:val="001A5BAB"/>
    <w:rsid w:val="001A5BFF"/>
    <w:rsid w:val="001A5C18"/>
    <w:rsid w:val="001A5C62"/>
    <w:rsid w:val="001A5C69"/>
    <w:rsid w:val="001A5CC1"/>
    <w:rsid w:val="001A5CC6"/>
    <w:rsid w:val="001A5D09"/>
    <w:rsid w:val="001A5D4A"/>
    <w:rsid w:val="001A5D4E"/>
    <w:rsid w:val="001A5D5A"/>
    <w:rsid w:val="001A5EE5"/>
    <w:rsid w:val="001A5F09"/>
    <w:rsid w:val="001A5FCC"/>
    <w:rsid w:val="001A6001"/>
    <w:rsid w:val="001A60C1"/>
    <w:rsid w:val="001A6128"/>
    <w:rsid w:val="001A6135"/>
    <w:rsid w:val="001A6137"/>
    <w:rsid w:val="001A6155"/>
    <w:rsid w:val="001A6168"/>
    <w:rsid w:val="001A61C3"/>
    <w:rsid w:val="001A6209"/>
    <w:rsid w:val="001A623C"/>
    <w:rsid w:val="001A62E7"/>
    <w:rsid w:val="001A62F5"/>
    <w:rsid w:val="001A6350"/>
    <w:rsid w:val="001A63A4"/>
    <w:rsid w:val="001A6463"/>
    <w:rsid w:val="001A654F"/>
    <w:rsid w:val="001A660A"/>
    <w:rsid w:val="001A6671"/>
    <w:rsid w:val="001A66E2"/>
    <w:rsid w:val="001A676D"/>
    <w:rsid w:val="001A6795"/>
    <w:rsid w:val="001A683F"/>
    <w:rsid w:val="001A6884"/>
    <w:rsid w:val="001A6A18"/>
    <w:rsid w:val="001A6A57"/>
    <w:rsid w:val="001A6AD7"/>
    <w:rsid w:val="001A6AF5"/>
    <w:rsid w:val="001A6B53"/>
    <w:rsid w:val="001A6D83"/>
    <w:rsid w:val="001A6DFA"/>
    <w:rsid w:val="001A6EBA"/>
    <w:rsid w:val="001A6F19"/>
    <w:rsid w:val="001A6F36"/>
    <w:rsid w:val="001A6F7D"/>
    <w:rsid w:val="001A6FB6"/>
    <w:rsid w:val="001A6FCC"/>
    <w:rsid w:val="001A6FD4"/>
    <w:rsid w:val="001A6FDB"/>
    <w:rsid w:val="001A7075"/>
    <w:rsid w:val="001A7089"/>
    <w:rsid w:val="001A71A7"/>
    <w:rsid w:val="001A7248"/>
    <w:rsid w:val="001A7281"/>
    <w:rsid w:val="001A72B4"/>
    <w:rsid w:val="001A72C8"/>
    <w:rsid w:val="001A7401"/>
    <w:rsid w:val="001A7404"/>
    <w:rsid w:val="001A74C0"/>
    <w:rsid w:val="001A751B"/>
    <w:rsid w:val="001A75E9"/>
    <w:rsid w:val="001A7657"/>
    <w:rsid w:val="001A77F1"/>
    <w:rsid w:val="001A781A"/>
    <w:rsid w:val="001A781F"/>
    <w:rsid w:val="001A78C5"/>
    <w:rsid w:val="001A7996"/>
    <w:rsid w:val="001A79BF"/>
    <w:rsid w:val="001A7A35"/>
    <w:rsid w:val="001A7A67"/>
    <w:rsid w:val="001A7A78"/>
    <w:rsid w:val="001A7A95"/>
    <w:rsid w:val="001A7A9E"/>
    <w:rsid w:val="001A7AB5"/>
    <w:rsid w:val="001A7AB9"/>
    <w:rsid w:val="001A7AC1"/>
    <w:rsid w:val="001A7AD5"/>
    <w:rsid w:val="001A7B34"/>
    <w:rsid w:val="001A7B67"/>
    <w:rsid w:val="001A7B8A"/>
    <w:rsid w:val="001A7BDE"/>
    <w:rsid w:val="001A7BF7"/>
    <w:rsid w:val="001A7C51"/>
    <w:rsid w:val="001A7C61"/>
    <w:rsid w:val="001A7CB8"/>
    <w:rsid w:val="001A7CE5"/>
    <w:rsid w:val="001A7DD7"/>
    <w:rsid w:val="001A7E1A"/>
    <w:rsid w:val="001A7F06"/>
    <w:rsid w:val="001A7F09"/>
    <w:rsid w:val="001A7F6B"/>
    <w:rsid w:val="001B004F"/>
    <w:rsid w:val="001B00B8"/>
    <w:rsid w:val="001B019C"/>
    <w:rsid w:val="001B02F7"/>
    <w:rsid w:val="001B0343"/>
    <w:rsid w:val="001B034E"/>
    <w:rsid w:val="001B0351"/>
    <w:rsid w:val="001B0371"/>
    <w:rsid w:val="001B0394"/>
    <w:rsid w:val="001B03C2"/>
    <w:rsid w:val="001B03C7"/>
    <w:rsid w:val="001B047E"/>
    <w:rsid w:val="001B04A8"/>
    <w:rsid w:val="001B04C2"/>
    <w:rsid w:val="001B04DC"/>
    <w:rsid w:val="001B04F5"/>
    <w:rsid w:val="001B052F"/>
    <w:rsid w:val="001B0546"/>
    <w:rsid w:val="001B0548"/>
    <w:rsid w:val="001B059E"/>
    <w:rsid w:val="001B05ED"/>
    <w:rsid w:val="001B0617"/>
    <w:rsid w:val="001B0707"/>
    <w:rsid w:val="001B07B1"/>
    <w:rsid w:val="001B07D1"/>
    <w:rsid w:val="001B08A3"/>
    <w:rsid w:val="001B0918"/>
    <w:rsid w:val="001B0A71"/>
    <w:rsid w:val="001B0B13"/>
    <w:rsid w:val="001B0C0E"/>
    <w:rsid w:val="001B0C1A"/>
    <w:rsid w:val="001B0DE7"/>
    <w:rsid w:val="001B0E2A"/>
    <w:rsid w:val="001B0F63"/>
    <w:rsid w:val="001B0F99"/>
    <w:rsid w:val="001B0FC9"/>
    <w:rsid w:val="001B106D"/>
    <w:rsid w:val="001B1074"/>
    <w:rsid w:val="001B10A8"/>
    <w:rsid w:val="001B10BA"/>
    <w:rsid w:val="001B10C1"/>
    <w:rsid w:val="001B10DF"/>
    <w:rsid w:val="001B10EE"/>
    <w:rsid w:val="001B110B"/>
    <w:rsid w:val="001B1251"/>
    <w:rsid w:val="001B13AC"/>
    <w:rsid w:val="001B144F"/>
    <w:rsid w:val="001B1459"/>
    <w:rsid w:val="001B1501"/>
    <w:rsid w:val="001B1551"/>
    <w:rsid w:val="001B1656"/>
    <w:rsid w:val="001B1740"/>
    <w:rsid w:val="001B1761"/>
    <w:rsid w:val="001B1848"/>
    <w:rsid w:val="001B1861"/>
    <w:rsid w:val="001B1893"/>
    <w:rsid w:val="001B18ED"/>
    <w:rsid w:val="001B1914"/>
    <w:rsid w:val="001B199A"/>
    <w:rsid w:val="001B19AA"/>
    <w:rsid w:val="001B1B04"/>
    <w:rsid w:val="001B1B20"/>
    <w:rsid w:val="001B1B43"/>
    <w:rsid w:val="001B1C3A"/>
    <w:rsid w:val="001B1C57"/>
    <w:rsid w:val="001B1C8F"/>
    <w:rsid w:val="001B1CF2"/>
    <w:rsid w:val="001B1DF5"/>
    <w:rsid w:val="001B1EAE"/>
    <w:rsid w:val="001B1F34"/>
    <w:rsid w:val="001B1F58"/>
    <w:rsid w:val="001B1FBB"/>
    <w:rsid w:val="001B1FDA"/>
    <w:rsid w:val="001B1FFD"/>
    <w:rsid w:val="001B203E"/>
    <w:rsid w:val="001B2063"/>
    <w:rsid w:val="001B207A"/>
    <w:rsid w:val="001B213D"/>
    <w:rsid w:val="001B21E9"/>
    <w:rsid w:val="001B2220"/>
    <w:rsid w:val="001B2261"/>
    <w:rsid w:val="001B2265"/>
    <w:rsid w:val="001B227C"/>
    <w:rsid w:val="001B2311"/>
    <w:rsid w:val="001B23AE"/>
    <w:rsid w:val="001B23DF"/>
    <w:rsid w:val="001B2457"/>
    <w:rsid w:val="001B24CF"/>
    <w:rsid w:val="001B2577"/>
    <w:rsid w:val="001B2622"/>
    <w:rsid w:val="001B2636"/>
    <w:rsid w:val="001B263F"/>
    <w:rsid w:val="001B2672"/>
    <w:rsid w:val="001B273B"/>
    <w:rsid w:val="001B278D"/>
    <w:rsid w:val="001B2947"/>
    <w:rsid w:val="001B2960"/>
    <w:rsid w:val="001B296A"/>
    <w:rsid w:val="001B298A"/>
    <w:rsid w:val="001B2A1C"/>
    <w:rsid w:val="001B2A62"/>
    <w:rsid w:val="001B2AA4"/>
    <w:rsid w:val="001B2B7A"/>
    <w:rsid w:val="001B2C70"/>
    <w:rsid w:val="001B2CDC"/>
    <w:rsid w:val="001B2D3E"/>
    <w:rsid w:val="001B2D8D"/>
    <w:rsid w:val="001B2DB3"/>
    <w:rsid w:val="001B2DED"/>
    <w:rsid w:val="001B2EB8"/>
    <w:rsid w:val="001B2EB9"/>
    <w:rsid w:val="001B2ECB"/>
    <w:rsid w:val="001B2F27"/>
    <w:rsid w:val="001B300B"/>
    <w:rsid w:val="001B30C8"/>
    <w:rsid w:val="001B3103"/>
    <w:rsid w:val="001B3165"/>
    <w:rsid w:val="001B31D5"/>
    <w:rsid w:val="001B3294"/>
    <w:rsid w:val="001B329E"/>
    <w:rsid w:val="001B3304"/>
    <w:rsid w:val="001B3328"/>
    <w:rsid w:val="001B33EA"/>
    <w:rsid w:val="001B3424"/>
    <w:rsid w:val="001B3451"/>
    <w:rsid w:val="001B3625"/>
    <w:rsid w:val="001B3700"/>
    <w:rsid w:val="001B3725"/>
    <w:rsid w:val="001B37C4"/>
    <w:rsid w:val="001B37DD"/>
    <w:rsid w:val="001B37E7"/>
    <w:rsid w:val="001B38C9"/>
    <w:rsid w:val="001B3918"/>
    <w:rsid w:val="001B391E"/>
    <w:rsid w:val="001B3987"/>
    <w:rsid w:val="001B39C6"/>
    <w:rsid w:val="001B3A9E"/>
    <w:rsid w:val="001B3AF0"/>
    <w:rsid w:val="001B3BBB"/>
    <w:rsid w:val="001B3BCE"/>
    <w:rsid w:val="001B3C32"/>
    <w:rsid w:val="001B3C90"/>
    <w:rsid w:val="001B3D80"/>
    <w:rsid w:val="001B3DB4"/>
    <w:rsid w:val="001B3DC6"/>
    <w:rsid w:val="001B3EF1"/>
    <w:rsid w:val="001B3EF3"/>
    <w:rsid w:val="001B3FAA"/>
    <w:rsid w:val="001B40E4"/>
    <w:rsid w:val="001B41F7"/>
    <w:rsid w:val="001B4231"/>
    <w:rsid w:val="001B4278"/>
    <w:rsid w:val="001B4290"/>
    <w:rsid w:val="001B429B"/>
    <w:rsid w:val="001B429F"/>
    <w:rsid w:val="001B42E1"/>
    <w:rsid w:val="001B4354"/>
    <w:rsid w:val="001B435F"/>
    <w:rsid w:val="001B4363"/>
    <w:rsid w:val="001B43D8"/>
    <w:rsid w:val="001B43E4"/>
    <w:rsid w:val="001B443B"/>
    <w:rsid w:val="001B445D"/>
    <w:rsid w:val="001B446B"/>
    <w:rsid w:val="001B453F"/>
    <w:rsid w:val="001B4543"/>
    <w:rsid w:val="001B4597"/>
    <w:rsid w:val="001B4641"/>
    <w:rsid w:val="001B474D"/>
    <w:rsid w:val="001B4758"/>
    <w:rsid w:val="001B47C1"/>
    <w:rsid w:val="001B47C8"/>
    <w:rsid w:val="001B47E5"/>
    <w:rsid w:val="001B4859"/>
    <w:rsid w:val="001B48D2"/>
    <w:rsid w:val="001B496D"/>
    <w:rsid w:val="001B4A68"/>
    <w:rsid w:val="001B4B5D"/>
    <w:rsid w:val="001B4DAC"/>
    <w:rsid w:val="001B4DEA"/>
    <w:rsid w:val="001B4DF8"/>
    <w:rsid w:val="001B4E3B"/>
    <w:rsid w:val="001B4EA4"/>
    <w:rsid w:val="001B4EBC"/>
    <w:rsid w:val="001B4EE1"/>
    <w:rsid w:val="001B4F6A"/>
    <w:rsid w:val="001B4FA5"/>
    <w:rsid w:val="001B50B2"/>
    <w:rsid w:val="001B50C6"/>
    <w:rsid w:val="001B5154"/>
    <w:rsid w:val="001B526E"/>
    <w:rsid w:val="001B531D"/>
    <w:rsid w:val="001B532E"/>
    <w:rsid w:val="001B533F"/>
    <w:rsid w:val="001B5379"/>
    <w:rsid w:val="001B537F"/>
    <w:rsid w:val="001B53B9"/>
    <w:rsid w:val="001B5402"/>
    <w:rsid w:val="001B5414"/>
    <w:rsid w:val="001B55F7"/>
    <w:rsid w:val="001B5648"/>
    <w:rsid w:val="001B5666"/>
    <w:rsid w:val="001B56BE"/>
    <w:rsid w:val="001B5745"/>
    <w:rsid w:val="001B5746"/>
    <w:rsid w:val="001B5769"/>
    <w:rsid w:val="001B5776"/>
    <w:rsid w:val="001B579B"/>
    <w:rsid w:val="001B5852"/>
    <w:rsid w:val="001B5869"/>
    <w:rsid w:val="001B595E"/>
    <w:rsid w:val="001B5AC8"/>
    <w:rsid w:val="001B5AEE"/>
    <w:rsid w:val="001B5B10"/>
    <w:rsid w:val="001B5B88"/>
    <w:rsid w:val="001B5BB2"/>
    <w:rsid w:val="001B5D41"/>
    <w:rsid w:val="001B5D93"/>
    <w:rsid w:val="001B5E31"/>
    <w:rsid w:val="001B5E42"/>
    <w:rsid w:val="001B5E5D"/>
    <w:rsid w:val="001B5EF4"/>
    <w:rsid w:val="001B5EF6"/>
    <w:rsid w:val="001B5FD1"/>
    <w:rsid w:val="001B6091"/>
    <w:rsid w:val="001B60B6"/>
    <w:rsid w:val="001B6169"/>
    <w:rsid w:val="001B62C2"/>
    <w:rsid w:val="001B62E1"/>
    <w:rsid w:val="001B62E4"/>
    <w:rsid w:val="001B62F8"/>
    <w:rsid w:val="001B62FD"/>
    <w:rsid w:val="001B62FF"/>
    <w:rsid w:val="001B6364"/>
    <w:rsid w:val="001B63C0"/>
    <w:rsid w:val="001B63C8"/>
    <w:rsid w:val="001B6431"/>
    <w:rsid w:val="001B6447"/>
    <w:rsid w:val="001B64D0"/>
    <w:rsid w:val="001B65E3"/>
    <w:rsid w:val="001B65E9"/>
    <w:rsid w:val="001B65EB"/>
    <w:rsid w:val="001B66E4"/>
    <w:rsid w:val="001B673E"/>
    <w:rsid w:val="001B677E"/>
    <w:rsid w:val="001B67B8"/>
    <w:rsid w:val="001B6850"/>
    <w:rsid w:val="001B6884"/>
    <w:rsid w:val="001B68C3"/>
    <w:rsid w:val="001B693A"/>
    <w:rsid w:val="001B6A7B"/>
    <w:rsid w:val="001B6B0B"/>
    <w:rsid w:val="001B6B81"/>
    <w:rsid w:val="001B6C3E"/>
    <w:rsid w:val="001B6D00"/>
    <w:rsid w:val="001B6D35"/>
    <w:rsid w:val="001B6D9F"/>
    <w:rsid w:val="001B6E24"/>
    <w:rsid w:val="001B6F05"/>
    <w:rsid w:val="001B6F35"/>
    <w:rsid w:val="001B6F7B"/>
    <w:rsid w:val="001B7055"/>
    <w:rsid w:val="001B7062"/>
    <w:rsid w:val="001B70AD"/>
    <w:rsid w:val="001B70E4"/>
    <w:rsid w:val="001B710E"/>
    <w:rsid w:val="001B71F9"/>
    <w:rsid w:val="001B7328"/>
    <w:rsid w:val="001B7333"/>
    <w:rsid w:val="001B7345"/>
    <w:rsid w:val="001B738F"/>
    <w:rsid w:val="001B7412"/>
    <w:rsid w:val="001B7441"/>
    <w:rsid w:val="001B7619"/>
    <w:rsid w:val="001B761D"/>
    <w:rsid w:val="001B76E6"/>
    <w:rsid w:val="001B7710"/>
    <w:rsid w:val="001B7744"/>
    <w:rsid w:val="001B7813"/>
    <w:rsid w:val="001B7821"/>
    <w:rsid w:val="001B78C7"/>
    <w:rsid w:val="001B791A"/>
    <w:rsid w:val="001B791B"/>
    <w:rsid w:val="001B7A1E"/>
    <w:rsid w:val="001B7ACB"/>
    <w:rsid w:val="001B7B03"/>
    <w:rsid w:val="001B7B9B"/>
    <w:rsid w:val="001B7C52"/>
    <w:rsid w:val="001B7CD2"/>
    <w:rsid w:val="001B7D35"/>
    <w:rsid w:val="001B7D74"/>
    <w:rsid w:val="001B7D77"/>
    <w:rsid w:val="001B7D98"/>
    <w:rsid w:val="001B7E34"/>
    <w:rsid w:val="001B7E5B"/>
    <w:rsid w:val="001B7E7A"/>
    <w:rsid w:val="001B7F09"/>
    <w:rsid w:val="001B7F65"/>
    <w:rsid w:val="001C0038"/>
    <w:rsid w:val="001C00C9"/>
    <w:rsid w:val="001C0130"/>
    <w:rsid w:val="001C0147"/>
    <w:rsid w:val="001C01A9"/>
    <w:rsid w:val="001C01AC"/>
    <w:rsid w:val="001C0209"/>
    <w:rsid w:val="001C023A"/>
    <w:rsid w:val="001C034E"/>
    <w:rsid w:val="001C0364"/>
    <w:rsid w:val="001C0370"/>
    <w:rsid w:val="001C0497"/>
    <w:rsid w:val="001C04B1"/>
    <w:rsid w:val="001C04F2"/>
    <w:rsid w:val="001C0520"/>
    <w:rsid w:val="001C06C0"/>
    <w:rsid w:val="001C0738"/>
    <w:rsid w:val="001C0779"/>
    <w:rsid w:val="001C07CB"/>
    <w:rsid w:val="001C08B2"/>
    <w:rsid w:val="001C08E6"/>
    <w:rsid w:val="001C0914"/>
    <w:rsid w:val="001C0922"/>
    <w:rsid w:val="001C094E"/>
    <w:rsid w:val="001C097D"/>
    <w:rsid w:val="001C099D"/>
    <w:rsid w:val="001C0AF3"/>
    <w:rsid w:val="001C0B1B"/>
    <w:rsid w:val="001C0B35"/>
    <w:rsid w:val="001C0BB2"/>
    <w:rsid w:val="001C0BC0"/>
    <w:rsid w:val="001C0C55"/>
    <w:rsid w:val="001C0D0A"/>
    <w:rsid w:val="001C0D0B"/>
    <w:rsid w:val="001C0D1F"/>
    <w:rsid w:val="001C0D27"/>
    <w:rsid w:val="001C0D87"/>
    <w:rsid w:val="001C0E07"/>
    <w:rsid w:val="001C0E14"/>
    <w:rsid w:val="001C0E16"/>
    <w:rsid w:val="001C0E3D"/>
    <w:rsid w:val="001C0F62"/>
    <w:rsid w:val="001C106D"/>
    <w:rsid w:val="001C1098"/>
    <w:rsid w:val="001C1143"/>
    <w:rsid w:val="001C11A3"/>
    <w:rsid w:val="001C11AD"/>
    <w:rsid w:val="001C127B"/>
    <w:rsid w:val="001C127E"/>
    <w:rsid w:val="001C12DA"/>
    <w:rsid w:val="001C12EA"/>
    <w:rsid w:val="001C12F5"/>
    <w:rsid w:val="001C1382"/>
    <w:rsid w:val="001C13A1"/>
    <w:rsid w:val="001C13F4"/>
    <w:rsid w:val="001C141F"/>
    <w:rsid w:val="001C1494"/>
    <w:rsid w:val="001C14AA"/>
    <w:rsid w:val="001C14CA"/>
    <w:rsid w:val="001C14CB"/>
    <w:rsid w:val="001C15B0"/>
    <w:rsid w:val="001C15C2"/>
    <w:rsid w:val="001C15F0"/>
    <w:rsid w:val="001C15F4"/>
    <w:rsid w:val="001C163A"/>
    <w:rsid w:val="001C1760"/>
    <w:rsid w:val="001C1795"/>
    <w:rsid w:val="001C17A9"/>
    <w:rsid w:val="001C180E"/>
    <w:rsid w:val="001C18C6"/>
    <w:rsid w:val="001C18F8"/>
    <w:rsid w:val="001C1973"/>
    <w:rsid w:val="001C19B7"/>
    <w:rsid w:val="001C19C8"/>
    <w:rsid w:val="001C19E4"/>
    <w:rsid w:val="001C1A5A"/>
    <w:rsid w:val="001C1AB8"/>
    <w:rsid w:val="001C1AE3"/>
    <w:rsid w:val="001C1B37"/>
    <w:rsid w:val="001C1B65"/>
    <w:rsid w:val="001C1B78"/>
    <w:rsid w:val="001C1C50"/>
    <w:rsid w:val="001C1C85"/>
    <w:rsid w:val="001C1C99"/>
    <w:rsid w:val="001C1D03"/>
    <w:rsid w:val="001C1DC6"/>
    <w:rsid w:val="001C1DD0"/>
    <w:rsid w:val="001C1DDF"/>
    <w:rsid w:val="001C1DFD"/>
    <w:rsid w:val="001C1E59"/>
    <w:rsid w:val="001C1F07"/>
    <w:rsid w:val="001C1F73"/>
    <w:rsid w:val="001C1F83"/>
    <w:rsid w:val="001C1FDC"/>
    <w:rsid w:val="001C203F"/>
    <w:rsid w:val="001C2164"/>
    <w:rsid w:val="001C2195"/>
    <w:rsid w:val="001C21CE"/>
    <w:rsid w:val="001C225D"/>
    <w:rsid w:val="001C2260"/>
    <w:rsid w:val="001C2274"/>
    <w:rsid w:val="001C22C5"/>
    <w:rsid w:val="001C22C9"/>
    <w:rsid w:val="001C22D5"/>
    <w:rsid w:val="001C239D"/>
    <w:rsid w:val="001C23B3"/>
    <w:rsid w:val="001C253E"/>
    <w:rsid w:val="001C2546"/>
    <w:rsid w:val="001C2549"/>
    <w:rsid w:val="001C25D9"/>
    <w:rsid w:val="001C2608"/>
    <w:rsid w:val="001C260B"/>
    <w:rsid w:val="001C2667"/>
    <w:rsid w:val="001C276A"/>
    <w:rsid w:val="001C278B"/>
    <w:rsid w:val="001C28EC"/>
    <w:rsid w:val="001C2975"/>
    <w:rsid w:val="001C2980"/>
    <w:rsid w:val="001C2A25"/>
    <w:rsid w:val="001C2A4F"/>
    <w:rsid w:val="001C2A63"/>
    <w:rsid w:val="001C2AB2"/>
    <w:rsid w:val="001C2BB4"/>
    <w:rsid w:val="001C2C8F"/>
    <w:rsid w:val="001C2CD3"/>
    <w:rsid w:val="001C2CFB"/>
    <w:rsid w:val="001C2D0C"/>
    <w:rsid w:val="001C2E25"/>
    <w:rsid w:val="001C2F95"/>
    <w:rsid w:val="001C2F9B"/>
    <w:rsid w:val="001C2FD3"/>
    <w:rsid w:val="001C300B"/>
    <w:rsid w:val="001C30AF"/>
    <w:rsid w:val="001C30B5"/>
    <w:rsid w:val="001C30D8"/>
    <w:rsid w:val="001C312E"/>
    <w:rsid w:val="001C316F"/>
    <w:rsid w:val="001C320A"/>
    <w:rsid w:val="001C3244"/>
    <w:rsid w:val="001C3269"/>
    <w:rsid w:val="001C3277"/>
    <w:rsid w:val="001C3331"/>
    <w:rsid w:val="001C33A0"/>
    <w:rsid w:val="001C3407"/>
    <w:rsid w:val="001C34E2"/>
    <w:rsid w:val="001C34E8"/>
    <w:rsid w:val="001C3540"/>
    <w:rsid w:val="001C358E"/>
    <w:rsid w:val="001C364D"/>
    <w:rsid w:val="001C364E"/>
    <w:rsid w:val="001C368E"/>
    <w:rsid w:val="001C37AF"/>
    <w:rsid w:val="001C3869"/>
    <w:rsid w:val="001C38D6"/>
    <w:rsid w:val="001C38F8"/>
    <w:rsid w:val="001C3AFD"/>
    <w:rsid w:val="001C3D41"/>
    <w:rsid w:val="001C3E2F"/>
    <w:rsid w:val="001C3EBA"/>
    <w:rsid w:val="001C3EF1"/>
    <w:rsid w:val="001C4026"/>
    <w:rsid w:val="001C4128"/>
    <w:rsid w:val="001C4176"/>
    <w:rsid w:val="001C426B"/>
    <w:rsid w:val="001C42E2"/>
    <w:rsid w:val="001C430A"/>
    <w:rsid w:val="001C4334"/>
    <w:rsid w:val="001C441E"/>
    <w:rsid w:val="001C444A"/>
    <w:rsid w:val="001C4475"/>
    <w:rsid w:val="001C458E"/>
    <w:rsid w:val="001C45D6"/>
    <w:rsid w:val="001C4625"/>
    <w:rsid w:val="001C4636"/>
    <w:rsid w:val="001C4637"/>
    <w:rsid w:val="001C4655"/>
    <w:rsid w:val="001C4683"/>
    <w:rsid w:val="001C46B8"/>
    <w:rsid w:val="001C46D8"/>
    <w:rsid w:val="001C4739"/>
    <w:rsid w:val="001C4758"/>
    <w:rsid w:val="001C479C"/>
    <w:rsid w:val="001C47A6"/>
    <w:rsid w:val="001C47CB"/>
    <w:rsid w:val="001C484A"/>
    <w:rsid w:val="001C4858"/>
    <w:rsid w:val="001C492D"/>
    <w:rsid w:val="001C495B"/>
    <w:rsid w:val="001C498D"/>
    <w:rsid w:val="001C49C2"/>
    <w:rsid w:val="001C4A2A"/>
    <w:rsid w:val="001C4B77"/>
    <w:rsid w:val="001C4BCF"/>
    <w:rsid w:val="001C4BF0"/>
    <w:rsid w:val="001C4CB8"/>
    <w:rsid w:val="001C4D4C"/>
    <w:rsid w:val="001C4DA1"/>
    <w:rsid w:val="001C4E4A"/>
    <w:rsid w:val="001C4E7D"/>
    <w:rsid w:val="001C4EE7"/>
    <w:rsid w:val="001C4F2E"/>
    <w:rsid w:val="001C4F7E"/>
    <w:rsid w:val="001C4FD2"/>
    <w:rsid w:val="001C4FF6"/>
    <w:rsid w:val="001C5035"/>
    <w:rsid w:val="001C5058"/>
    <w:rsid w:val="001C518B"/>
    <w:rsid w:val="001C5204"/>
    <w:rsid w:val="001C5216"/>
    <w:rsid w:val="001C5291"/>
    <w:rsid w:val="001C5301"/>
    <w:rsid w:val="001C535A"/>
    <w:rsid w:val="001C53F3"/>
    <w:rsid w:val="001C5432"/>
    <w:rsid w:val="001C54AE"/>
    <w:rsid w:val="001C54DC"/>
    <w:rsid w:val="001C554C"/>
    <w:rsid w:val="001C55AF"/>
    <w:rsid w:val="001C55CB"/>
    <w:rsid w:val="001C565E"/>
    <w:rsid w:val="001C56A0"/>
    <w:rsid w:val="001C57FD"/>
    <w:rsid w:val="001C582A"/>
    <w:rsid w:val="001C5838"/>
    <w:rsid w:val="001C59A3"/>
    <w:rsid w:val="001C5B21"/>
    <w:rsid w:val="001C5B49"/>
    <w:rsid w:val="001C5BDB"/>
    <w:rsid w:val="001C5BE3"/>
    <w:rsid w:val="001C5C22"/>
    <w:rsid w:val="001C5CEB"/>
    <w:rsid w:val="001C5E80"/>
    <w:rsid w:val="001C5E83"/>
    <w:rsid w:val="001C5EBE"/>
    <w:rsid w:val="001C5ECB"/>
    <w:rsid w:val="001C5ED8"/>
    <w:rsid w:val="001C5F13"/>
    <w:rsid w:val="001C60A3"/>
    <w:rsid w:val="001C60CA"/>
    <w:rsid w:val="001C60D0"/>
    <w:rsid w:val="001C616C"/>
    <w:rsid w:val="001C619A"/>
    <w:rsid w:val="001C61B7"/>
    <w:rsid w:val="001C61BA"/>
    <w:rsid w:val="001C61C7"/>
    <w:rsid w:val="001C6215"/>
    <w:rsid w:val="001C6396"/>
    <w:rsid w:val="001C63C9"/>
    <w:rsid w:val="001C63D5"/>
    <w:rsid w:val="001C64CA"/>
    <w:rsid w:val="001C6574"/>
    <w:rsid w:val="001C65EB"/>
    <w:rsid w:val="001C662D"/>
    <w:rsid w:val="001C66C5"/>
    <w:rsid w:val="001C66EB"/>
    <w:rsid w:val="001C685A"/>
    <w:rsid w:val="001C68A5"/>
    <w:rsid w:val="001C68AA"/>
    <w:rsid w:val="001C68BC"/>
    <w:rsid w:val="001C68C0"/>
    <w:rsid w:val="001C698B"/>
    <w:rsid w:val="001C69AC"/>
    <w:rsid w:val="001C6A3E"/>
    <w:rsid w:val="001C6AAA"/>
    <w:rsid w:val="001C6B73"/>
    <w:rsid w:val="001C6BA7"/>
    <w:rsid w:val="001C6C25"/>
    <w:rsid w:val="001C6C2E"/>
    <w:rsid w:val="001C6C40"/>
    <w:rsid w:val="001C6CB8"/>
    <w:rsid w:val="001C6CFF"/>
    <w:rsid w:val="001C6D01"/>
    <w:rsid w:val="001C6DF9"/>
    <w:rsid w:val="001C6F1E"/>
    <w:rsid w:val="001C7007"/>
    <w:rsid w:val="001C70AB"/>
    <w:rsid w:val="001C7100"/>
    <w:rsid w:val="001C7120"/>
    <w:rsid w:val="001C71AB"/>
    <w:rsid w:val="001C71E0"/>
    <w:rsid w:val="001C71E2"/>
    <w:rsid w:val="001C7235"/>
    <w:rsid w:val="001C72B5"/>
    <w:rsid w:val="001C736D"/>
    <w:rsid w:val="001C7395"/>
    <w:rsid w:val="001C73B8"/>
    <w:rsid w:val="001C7497"/>
    <w:rsid w:val="001C74A0"/>
    <w:rsid w:val="001C74BA"/>
    <w:rsid w:val="001C757E"/>
    <w:rsid w:val="001C768B"/>
    <w:rsid w:val="001C76FC"/>
    <w:rsid w:val="001C7717"/>
    <w:rsid w:val="001C77A5"/>
    <w:rsid w:val="001C7850"/>
    <w:rsid w:val="001C793B"/>
    <w:rsid w:val="001C7943"/>
    <w:rsid w:val="001C7948"/>
    <w:rsid w:val="001C79F4"/>
    <w:rsid w:val="001C79FF"/>
    <w:rsid w:val="001C7A53"/>
    <w:rsid w:val="001C7C4E"/>
    <w:rsid w:val="001C7C69"/>
    <w:rsid w:val="001C7CF7"/>
    <w:rsid w:val="001C7E46"/>
    <w:rsid w:val="001C7E51"/>
    <w:rsid w:val="001C7FC4"/>
    <w:rsid w:val="001D0005"/>
    <w:rsid w:val="001D0091"/>
    <w:rsid w:val="001D0106"/>
    <w:rsid w:val="001D01B6"/>
    <w:rsid w:val="001D025B"/>
    <w:rsid w:val="001D0326"/>
    <w:rsid w:val="001D0426"/>
    <w:rsid w:val="001D0481"/>
    <w:rsid w:val="001D0489"/>
    <w:rsid w:val="001D0511"/>
    <w:rsid w:val="001D0525"/>
    <w:rsid w:val="001D055E"/>
    <w:rsid w:val="001D058A"/>
    <w:rsid w:val="001D060C"/>
    <w:rsid w:val="001D06F0"/>
    <w:rsid w:val="001D072D"/>
    <w:rsid w:val="001D0754"/>
    <w:rsid w:val="001D0770"/>
    <w:rsid w:val="001D07B4"/>
    <w:rsid w:val="001D0824"/>
    <w:rsid w:val="001D0888"/>
    <w:rsid w:val="001D088F"/>
    <w:rsid w:val="001D08BE"/>
    <w:rsid w:val="001D08C2"/>
    <w:rsid w:val="001D08FD"/>
    <w:rsid w:val="001D0911"/>
    <w:rsid w:val="001D093C"/>
    <w:rsid w:val="001D09EC"/>
    <w:rsid w:val="001D0A1E"/>
    <w:rsid w:val="001D0A1F"/>
    <w:rsid w:val="001D0B67"/>
    <w:rsid w:val="001D0B72"/>
    <w:rsid w:val="001D0C34"/>
    <w:rsid w:val="001D0C83"/>
    <w:rsid w:val="001D0CB7"/>
    <w:rsid w:val="001D0D71"/>
    <w:rsid w:val="001D0E2E"/>
    <w:rsid w:val="001D0F3B"/>
    <w:rsid w:val="001D0F65"/>
    <w:rsid w:val="001D0FFE"/>
    <w:rsid w:val="001D108C"/>
    <w:rsid w:val="001D1093"/>
    <w:rsid w:val="001D10F0"/>
    <w:rsid w:val="001D11DD"/>
    <w:rsid w:val="001D11DF"/>
    <w:rsid w:val="001D11F9"/>
    <w:rsid w:val="001D122F"/>
    <w:rsid w:val="001D129A"/>
    <w:rsid w:val="001D1305"/>
    <w:rsid w:val="001D1334"/>
    <w:rsid w:val="001D1374"/>
    <w:rsid w:val="001D14BB"/>
    <w:rsid w:val="001D150C"/>
    <w:rsid w:val="001D153C"/>
    <w:rsid w:val="001D1585"/>
    <w:rsid w:val="001D1593"/>
    <w:rsid w:val="001D15E1"/>
    <w:rsid w:val="001D15F6"/>
    <w:rsid w:val="001D165E"/>
    <w:rsid w:val="001D168C"/>
    <w:rsid w:val="001D1785"/>
    <w:rsid w:val="001D193E"/>
    <w:rsid w:val="001D19DC"/>
    <w:rsid w:val="001D1A50"/>
    <w:rsid w:val="001D1A97"/>
    <w:rsid w:val="001D1AE9"/>
    <w:rsid w:val="001D1C2C"/>
    <w:rsid w:val="001D1C91"/>
    <w:rsid w:val="001D1CBB"/>
    <w:rsid w:val="001D1DC2"/>
    <w:rsid w:val="001D1EC7"/>
    <w:rsid w:val="001D1ED0"/>
    <w:rsid w:val="001D1F89"/>
    <w:rsid w:val="001D1F8F"/>
    <w:rsid w:val="001D1FF1"/>
    <w:rsid w:val="001D20E9"/>
    <w:rsid w:val="001D210E"/>
    <w:rsid w:val="001D2158"/>
    <w:rsid w:val="001D2205"/>
    <w:rsid w:val="001D2217"/>
    <w:rsid w:val="001D225D"/>
    <w:rsid w:val="001D22A9"/>
    <w:rsid w:val="001D23A1"/>
    <w:rsid w:val="001D23B2"/>
    <w:rsid w:val="001D23EC"/>
    <w:rsid w:val="001D23F6"/>
    <w:rsid w:val="001D247E"/>
    <w:rsid w:val="001D2513"/>
    <w:rsid w:val="001D254E"/>
    <w:rsid w:val="001D2795"/>
    <w:rsid w:val="001D2985"/>
    <w:rsid w:val="001D2A1E"/>
    <w:rsid w:val="001D2A43"/>
    <w:rsid w:val="001D2AA2"/>
    <w:rsid w:val="001D2AB2"/>
    <w:rsid w:val="001D2B68"/>
    <w:rsid w:val="001D2B9E"/>
    <w:rsid w:val="001D2BF3"/>
    <w:rsid w:val="001D2C3A"/>
    <w:rsid w:val="001D2C64"/>
    <w:rsid w:val="001D2D63"/>
    <w:rsid w:val="001D2DD8"/>
    <w:rsid w:val="001D2DED"/>
    <w:rsid w:val="001D2E03"/>
    <w:rsid w:val="001D2EBB"/>
    <w:rsid w:val="001D2ECC"/>
    <w:rsid w:val="001D2F3F"/>
    <w:rsid w:val="001D2F59"/>
    <w:rsid w:val="001D2FF8"/>
    <w:rsid w:val="001D3132"/>
    <w:rsid w:val="001D31F2"/>
    <w:rsid w:val="001D3255"/>
    <w:rsid w:val="001D3315"/>
    <w:rsid w:val="001D3417"/>
    <w:rsid w:val="001D34DB"/>
    <w:rsid w:val="001D3502"/>
    <w:rsid w:val="001D358A"/>
    <w:rsid w:val="001D362E"/>
    <w:rsid w:val="001D368A"/>
    <w:rsid w:val="001D368D"/>
    <w:rsid w:val="001D36C2"/>
    <w:rsid w:val="001D39C2"/>
    <w:rsid w:val="001D3A19"/>
    <w:rsid w:val="001D3C1F"/>
    <w:rsid w:val="001D3C6C"/>
    <w:rsid w:val="001D3C74"/>
    <w:rsid w:val="001D3E19"/>
    <w:rsid w:val="001D3E6C"/>
    <w:rsid w:val="001D3EDC"/>
    <w:rsid w:val="001D3F3A"/>
    <w:rsid w:val="001D3F6E"/>
    <w:rsid w:val="001D3FB9"/>
    <w:rsid w:val="001D4042"/>
    <w:rsid w:val="001D4143"/>
    <w:rsid w:val="001D4228"/>
    <w:rsid w:val="001D42B5"/>
    <w:rsid w:val="001D44AD"/>
    <w:rsid w:val="001D44DC"/>
    <w:rsid w:val="001D4571"/>
    <w:rsid w:val="001D45BD"/>
    <w:rsid w:val="001D45FA"/>
    <w:rsid w:val="001D45FB"/>
    <w:rsid w:val="001D4632"/>
    <w:rsid w:val="001D46FD"/>
    <w:rsid w:val="001D474D"/>
    <w:rsid w:val="001D4765"/>
    <w:rsid w:val="001D47B5"/>
    <w:rsid w:val="001D48F4"/>
    <w:rsid w:val="001D491C"/>
    <w:rsid w:val="001D4A62"/>
    <w:rsid w:val="001D4B95"/>
    <w:rsid w:val="001D4BA6"/>
    <w:rsid w:val="001D4BAA"/>
    <w:rsid w:val="001D4C34"/>
    <w:rsid w:val="001D4C5B"/>
    <w:rsid w:val="001D4CA7"/>
    <w:rsid w:val="001D4D46"/>
    <w:rsid w:val="001D4DE2"/>
    <w:rsid w:val="001D4DE3"/>
    <w:rsid w:val="001D4DF4"/>
    <w:rsid w:val="001D4E59"/>
    <w:rsid w:val="001D4E5B"/>
    <w:rsid w:val="001D4F93"/>
    <w:rsid w:val="001D504B"/>
    <w:rsid w:val="001D50D1"/>
    <w:rsid w:val="001D5172"/>
    <w:rsid w:val="001D517E"/>
    <w:rsid w:val="001D52D8"/>
    <w:rsid w:val="001D52EB"/>
    <w:rsid w:val="001D52F1"/>
    <w:rsid w:val="001D535C"/>
    <w:rsid w:val="001D5375"/>
    <w:rsid w:val="001D53D4"/>
    <w:rsid w:val="001D541B"/>
    <w:rsid w:val="001D546A"/>
    <w:rsid w:val="001D54B7"/>
    <w:rsid w:val="001D54F1"/>
    <w:rsid w:val="001D5609"/>
    <w:rsid w:val="001D5634"/>
    <w:rsid w:val="001D5642"/>
    <w:rsid w:val="001D5664"/>
    <w:rsid w:val="001D56D0"/>
    <w:rsid w:val="001D5725"/>
    <w:rsid w:val="001D580E"/>
    <w:rsid w:val="001D5854"/>
    <w:rsid w:val="001D5896"/>
    <w:rsid w:val="001D58C2"/>
    <w:rsid w:val="001D58CE"/>
    <w:rsid w:val="001D5A54"/>
    <w:rsid w:val="001D5ACE"/>
    <w:rsid w:val="001D5B03"/>
    <w:rsid w:val="001D5B43"/>
    <w:rsid w:val="001D5BF0"/>
    <w:rsid w:val="001D5C4C"/>
    <w:rsid w:val="001D5C9A"/>
    <w:rsid w:val="001D5CAB"/>
    <w:rsid w:val="001D5D0F"/>
    <w:rsid w:val="001D5D7F"/>
    <w:rsid w:val="001D5DDF"/>
    <w:rsid w:val="001D5E18"/>
    <w:rsid w:val="001D5ED3"/>
    <w:rsid w:val="001D5F5E"/>
    <w:rsid w:val="001D5FA3"/>
    <w:rsid w:val="001D5FDC"/>
    <w:rsid w:val="001D602A"/>
    <w:rsid w:val="001D6094"/>
    <w:rsid w:val="001D60A0"/>
    <w:rsid w:val="001D60BC"/>
    <w:rsid w:val="001D615D"/>
    <w:rsid w:val="001D616F"/>
    <w:rsid w:val="001D61A5"/>
    <w:rsid w:val="001D61AC"/>
    <w:rsid w:val="001D61C1"/>
    <w:rsid w:val="001D628F"/>
    <w:rsid w:val="001D62A8"/>
    <w:rsid w:val="001D62B2"/>
    <w:rsid w:val="001D635D"/>
    <w:rsid w:val="001D635E"/>
    <w:rsid w:val="001D639B"/>
    <w:rsid w:val="001D63A2"/>
    <w:rsid w:val="001D63C7"/>
    <w:rsid w:val="001D63FB"/>
    <w:rsid w:val="001D64FE"/>
    <w:rsid w:val="001D6521"/>
    <w:rsid w:val="001D6531"/>
    <w:rsid w:val="001D6672"/>
    <w:rsid w:val="001D66F2"/>
    <w:rsid w:val="001D6704"/>
    <w:rsid w:val="001D6795"/>
    <w:rsid w:val="001D6924"/>
    <w:rsid w:val="001D6933"/>
    <w:rsid w:val="001D696B"/>
    <w:rsid w:val="001D6A5C"/>
    <w:rsid w:val="001D6A7F"/>
    <w:rsid w:val="001D6B0E"/>
    <w:rsid w:val="001D6BA9"/>
    <w:rsid w:val="001D6C27"/>
    <w:rsid w:val="001D6D13"/>
    <w:rsid w:val="001D6DD6"/>
    <w:rsid w:val="001D6DEF"/>
    <w:rsid w:val="001D6E66"/>
    <w:rsid w:val="001D6EDA"/>
    <w:rsid w:val="001D7011"/>
    <w:rsid w:val="001D7029"/>
    <w:rsid w:val="001D7072"/>
    <w:rsid w:val="001D7176"/>
    <w:rsid w:val="001D718E"/>
    <w:rsid w:val="001D7190"/>
    <w:rsid w:val="001D722D"/>
    <w:rsid w:val="001D7277"/>
    <w:rsid w:val="001D7289"/>
    <w:rsid w:val="001D72D0"/>
    <w:rsid w:val="001D731D"/>
    <w:rsid w:val="001D734A"/>
    <w:rsid w:val="001D7383"/>
    <w:rsid w:val="001D73C0"/>
    <w:rsid w:val="001D73E5"/>
    <w:rsid w:val="001D740D"/>
    <w:rsid w:val="001D7432"/>
    <w:rsid w:val="001D74EC"/>
    <w:rsid w:val="001D7507"/>
    <w:rsid w:val="001D750B"/>
    <w:rsid w:val="001D751D"/>
    <w:rsid w:val="001D7560"/>
    <w:rsid w:val="001D75D6"/>
    <w:rsid w:val="001D75E4"/>
    <w:rsid w:val="001D763B"/>
    <w:rsid w:val="001D7652"/>
    <w:rsid w:val="001D76EA"/>
    <w:rsid w:val="001D773F"/>
    <w:rsid w:val="001D7783"/>
    <w:rsid w:val="001D77CC"/>
    <w:rsid w:val="001D7819"/>
    <w:rsid w:val="001D7845"/>
    <w:rsid w:val="001D789E"/>
    <w:rsid w:val="001D797E"/>
    <w:rsid w:val="001D7A74"/>
    <w:rsid w:val="001D7AF8"/>
    <w:rsid w:val="001D7BAE"/>
    <w:rsid w:val="001D7BE0"/>
    <w:rsid w:val="001D7C71"/>
    <w:rsid w:val="001D7CEA"/>
    <w:rsid w:val="001D7DEF"/>
    <w:rsid w:val="001D7E67"/>
    <w:rsid w:val="001D7E87"/>
    <w:rsid w:val="001D7F67"/>
    <w:rsid w:val="001D7F78"/>
    <w:rsid w:val="001D7FB4"/>
    <w:rsid w:val="001D7FB7"/>
    <w:rsid w:val="001D7FBA"/>
    <w:rsid w:val="001E0029"/>
    <w:rsid w:val="001E008C"/>
    <w:rsid w:val="001E008E"/>
    <w:rsid w:val="001E00AF"/>
    <w:rsid w:val="001E00BD"/>
    <w:rsid w:val="001E00EE"/>
    <w:rsid w:val="001E0146"/>
    <w:rsid w:val="001E016A"/>
    <w:rsid w:val="001E03CF"/>
    <w:rsid w:val="001E03F6"/>
    <w:rsid w:val="001E0420"/>
    <w:rsid w:val="001E043F"/>
    <w:rsid w:val="001E0501"/>
    <w:rsid w:val="001E0522"/>
    <w:rsid w:val="001E060E"/>
    <w:rsid w:val="001E0636"/>
    <w:rsid w:val="001E064D"/>
    <w:rsid w:val="001E0688"/>
    <w:rsid w:val="001E06AD"/>
    <w:rsid w:val="001E0705"/>
    <w:rsid w:val="001E078B"/>
    <w:rsid w:val="001E07A2"/>
    <w:rsid w:val="001E07D9"/>
    <w:rsid w:val="001E080B"/>
    <w:rsid w:val="001E0898"/>
    <w:rsid w:val="001E09B9"/>
    <w:rsid w:val="001E09E3"/>
    <w:rsid w:val="001E0AE6"/>
    <w:rsid w:val="001E0B98"/>
    <w:rsid w:val="001E0BA4"/>
    <w:rsid w:val="001E0BB0"/>
    <w:rsid w:val="001E0BB8"/>
    <w:rsid w:val="001E0CB1"/>
    <w:rsid w:val="001E0CC6"/>
    <w:rsid w:val="001E0CD4"/>
    <w:rsid w:val="001E0D12"/>
    <w:rsid w:val="001E0DC6"/>
    <w:rsid w:val="001E0E03"/>
    <w:rsid w:val="001E0E12"/>
    <w:rsid w:val="001E0EB1"/>
    <w:rsid w:val="001E0F27"/>
    <w:rsid w:val="001E0F8D"/>
    <w:rsid w:val="001E0FA8"/>
    <w:rsid w:val="001E0FCC"/>
    <w:rsid w:val="001E1004"/>
    <w:rsid w:val="001E1032"/>
    <w:rsid w:val="001E111E"/>
    <w:rsid w:val="001E1158"/>
    <w:rsid w:val="001E11C0"/>
    <w:rsid w:val="001E12D0"/>
    <w:rsid w:val="001E1390"/>
    <w:rsid w:val="001E13C8"/>
    <w:rsid w:val="001E1414"/>
    <w:rsid w:val="001E173E"/>
    <w:rsid w:val="001E17D2"/>
    <w:rsid w:val="001E1A62"/>
    <w:rsid w:val="001E1B3C"/>
    <w:rsid w:val="001E1B97"/>
    <w:rsid w:val="001E1B99"/>
    <w:rsid w:val="001E1C07"/>
    <w:rsid w:val="001E1C2B"/>
    <w:rsid w:val="001E1CCB"/>
    <w:rsid w:val="001E1DB0"/>
    <w:rsid w:val="001E1DC9"/>
    <w:rsid w:val="001E207F"/>
    <w:rsid w:val="001E2083"/>
    <w:rsid w:val="001E2153"/>
    <w:rsid w:val="001E2186"/>
    <w:rsid w:val="001E21B6"/>
    <w:rsid w:val="001E21F2"/>
    <w:rsid w:val="001E224B"/>
    <w:rsid w:val="001E23C0"/>
    <w:rsid w:val="001E23C4"/>
    <w:rsid w:val="001E23D3"/>
    <w:rsid w:val="001E23F8"/>
    <w:rsid w:val="001E24BE"/>
    <w:rsid w:val="001E24C6"/>
    <w:rsid w:val="001E24F9"/>
    <w:rsid w:val="001E254C"/>
    <w:rsid w:val="001E2553"/>
    <w:rsid w:val="001E25A7"/>
    <w:rsid w:val="001E25B6"/>
    <w:rsid w:val="001E26A8"/>
    <w:rsid w:val="001E26B0"/>
    <w:rsid w:val="001E273B"/>
    <w:rsid w:val="001E27FD"/>
    <w:rsid w:val="001E281B"/>
    <w:rsid w:val="001E2897"/>
    <w:rsid w:val="001E2925"/>
    <w:rsid w:val="001E2928"/>
    <w:rsid w:val="001E292A"/>
    <w:rsid w:val="001E2940"/>
    <w:rsid w:val="001E2980"/>
    <w:rsid w:val="001E298B"/>
    <w:rsid w:val="001E2B56"/>
    <w:rsid w:val="001E2C53"/>
    <w:rsid w:val="001E2CB0"/>
    <w:rsid w:val="001E2CF4"/>
    <w:rsid w:val="001E2CF6"/>
    <w:rsid w:val="001E2D34"/>
    <w:rsid w:val="001E2DE3"/>
    <w:rsid w:val="001E2E0F"/>
    <w:rsid w:val="001E2EA0"/>
    <w:rsid w:val="001E2EC8"/>
    <w:rsid w:val="001E2ED3"/>
    <w:rsid w:val="001E2EE9"/>
    <w:rsid w:val="001E2F27"/>
    <w:rsid w:val="001E2FA1"/>
    <w:rsid w:val="001E2FBE"/>
    <w:rsid w:val="001E2FFB"/>
    <w:rsid w:val="001E3063"/>
    <w:rsid w:val="001E311C"/>
    <w:rsid w:val="001E3207"/>
    <w:rsid w:val="001E3253"/>
    <w:rsid w:val="001E3280"/>
    <w:rsid w:val="001E3474"/>
    <w:rsid w:val="001E351B"/>
    <w:rsid w:val="001E353B"/>
    <w:rsid w:val="001E35D4"/>
    <w:rsid w:val="001E36AC"/>
    <w:rsid w:val="001E37F2"/>
    <w:rsid w:val="001E3855"/>
    <w:rsid w:val="001E3867"/>
    <w:rsid w:val="001E394F"/>
    <w:rsid w:val="001E3971"/>
    <w:rsid w:val="001E39B7"/>
    <w:rsid w:val="001E39CF"/>
    <w:rsid w:val="001E3B1B"/>
    <w:rsid w:val="001E3C24"/>
    <w:rsid w:val="001E3EF0"/>
    <w:rsid w:val="001E3F31"/>
    <w:rsid w:val="001E3FCF"/>
    <w:rsid w:val="001E3FE5"/>
    <w:rsid w:val="001E3FF2"/>
    <w:rsid w:val="001E3FFD"/>
    <w:rsid w:val="001E40DB"/>
    <w:rsid w:val="001E41AF"/>
    <w:rsid w:val="001E41B0"/>
    <w:rsid w:val="001E41BA"/>
    <w:rsid w:val="001E4228"/>
    <w:rsid w:val="001E42C2"/>
    <w:rsid w:val="001E434C"/>
    <w:rsid w:val="001E4350"/>
    <w:rsid w:val="001E437A"/>
    <w:rsid w:val="001E43A7"/>
    <w:rsid w:val="001E43FB"/>
    <w:rsid w:val="001E450C"/>
    <w:rsid w:val="001E4542"/>
    <w:rsid w:val="001E4544"/>
    <w:rsid w:val="001E4545"/>
    <w:rsid w:val="001E456B"/>
    <w:rsid w:val="001E458B"/>
    <w:rsid w:val="001E45D2"/>
    <w:rsid w:val="001E45D9"/>
    <w:rsid w:val="001E4651"/>
    <w:rsid w:val="001E4674"/>
    <w:rsid w:val="001E4846"/>
    <w:rsid w:val="001E4868"/>
    <w:rsid w:val="001E496C"/>
    <w:rsid w:val="001E4979"/>
    <w:rsid w:val="001E49A0"/>
    <w:rsid w:val="001E49D4"/>
    <w:rsid w:val="001E4A8A"/>
    <w:rsid w:val="001E4AF5"/>
    <w:rsid w:val="001E4B2E"/>
    <w:rsid w:val="001E4B39"/>
    <w:rsid w:val="001E4B4E"/>
    <w:rsid w:val="001E4BC5"/>
    <w:rsid w:val="001E4BEA"/>
    <w:rsid w:val="001E4BEC"/>
    <w:rsid w:val="001E4BF1"/>
    <w:rsid w:val="001E4D44"/>
    <w:rsid w:val="001E4D5A"/>
    <w:rsid w:val="001E4DC2"/>
    <w:rsid w:val="001E4DE1"/>
    <w:rsid w:val="001E4EA1"/>
    <w:rsid w:val="001E4EDC"/>
    <w:rsid w:val="001E4FA6"/>
    <w:rsid w:val="001E5111"/>
    <w:rsid w:val="001E51C7"/>
    <w:rsid w:val="001E51CC"/>
    <w:rsid w:val="001E51FC"/>
    <w:rsid w:val="001E5267"/>
    <w:rsid w:val="001E52A9"/>
    <w:rsid w:val="001E52B3"/>
    <w:rsid w:val="001E52FA"/>
    <w:rsid w:val="001E530D"/>
    <w:rsid w:val="001E5326"/>
    <w:rsid w:val="001E5340"/>
    <w:rsid w:val="001E53D6"/>
    <w:rsid w:val="001E5448"/>
    <w:rsid w:val="001E544E"/>
    <w:rsid w:val="001E5470"/>
    <w:rsid w:val="001E54AC"/>
    <w:rsid w:val="001E5538"/>
    <w:rsid w:val="001E554D"/>
    <w:rsid w:val="001E5589"/>
    <w:rsid w:val="001E5596"/>
    <w:rsid w:val="001E5599"/>
    <w:rsid w:val="001E55AD"/>
    <w:rsid w:val="001E5630"/>
    <w:rsid w:val="001E5639"/>
    <w:rsid w:val="001E567C"/>
    <w:rsid w:val="001E5793"/>
    <w:rsid w:val="001E58F7"/>
    <w:rsid w:val="001E5946"/>
    <w:rsid w:val="001E5AB0"/>
    <w:rsid w:val="001E5AF0"/>
    <w:rsid w:val="001E5B47"/>
    <w:rsid w:val="001E5B76"/>
    <w:rsid w:val="001E5BD6"/>
    <w:rsid w:val="001E5BFD"/>
    <w:rsid w:val="001E5C56"/>
    <w:rsid w:val="001E5C66"/>
    <w:rsid w:val="001E5CF8"/>
    <w:rsid w:val="001E5D81"/>
    <w:rsid w:val="001E5DAE"/>
    <w:rsid w:val="001E5EBF"/>
    <w:rsid w:val="001E5EE0"/>
    <w:rsid w:val="001E5F43"/>
    <w:rsid w:val="001E6084"/>
    <w:rsid w:val="001E60B1"/>
    <w:rsid w:val="001E60E3"/>
    <w:rsid w:val="001E6194"/>
    <w:rsid w:val="001E6199"/>
    <w:rsid w:val="001E61F6"/>
    <w:rsid w:val="001E6208"/>
    <w:rsid w:val="001E620D"/>
    <w:rsid w:val="001E6356"/>
    <w:rsid w:val="001E637F"/>
    <w:rsid w:val="001E648A"/>
    <w:rsid w:val="001E6501"/>
    <w:rsid w:val="001E6553"/>
    <w:rsid w:val="001E65F0"/>
    <w:rsid w:val="001E6828"/>
    <w:rsid w:val="001E68E5"/>
    <w:rsid w:val="001E68EC"/>
    <w:rsid w:val="001E68FC"/>
    <w:rsid w:val="001E6915"/>
    <w:rsid w:val="001E6944"/>
    <w:rsid w:val="001E695F"/>
    <w:rsid w:val="001E6A4F"/>
    <w:rsid w:val="001E6A5E"/>
    <w:rsid w:val="001E6ADF"/>
    <w:rsid w:val="001E6AFE"/>
    <w:rsid w:val="001E6BC1"/>
    <w:rsid w:val="001E6BE2"/>
    <w:rsid w:val="001E6E30"/>
    <w:rsid w:val="001E6E55"/>
    <w:rsid w:val="001E6F44"/>
    <w:rsid w:val="001E6F7F"/>
    <w:rsid w:val="001E70B6"/>
    <w:rsid w:val="001E70F5"/>
    <w:rsid w:val="001E7204"/>
    <w:rsid w:val="001E7207"/>
    <w:rsid w:val="001E7228"/>
    <w:rsid w:val="001E73D4"/>
    <w:rsid w:val="001E74E1"/>
    <w:rsid w:val="001E74E8"/>
    <w:rsid w:val="001E75AB"/>
    <w:rsid w:val="001E7639"/>
    <w:rsid w:val="001E7702"/>
    <w:rsid w:val="001E7763"/>
    <w:rsid w:val="001E777F"/>
    <w:rsid w:val="001E7784"/>
    <w:rsid w:val="001E7907"/>
    <w:rsid w:val="001E79C9"/>
    <w:rsid w:val="001E79FE"/>
    <w:rsid w:val="001E7ABC"/>
    <w:rsid w:val="001E7ABD"/>
    <w:rsid w:val="001E7ADA"/>
    <w:rsid w:val="001E7BE4"/>
    <w:rsid w:val="001E7D46"/>
    <w:rsid w:val="001E7D55"/>
    <w:rsid w:val="001E7DEE"/>
    <w:rsid w:val="001E7DF1"/>
    <w:rsid w:val="001E7E2E"/>
    <w:rsid w:val="001E7E35"/>
    <w:rsid w:val="001E7E3D"/>
    <w:rsid w:val="001E7E66"/>
    <w:rsid w:val="001E7EC2"/>
    <w:rsid w:val="001F00FF"/>
    <w:rsid w:val="001F02CF"/>
    <w:rsid w:val="001F030B"/>
    <w:rsid w:val="001F0324"/>
    <w:rsid w:val="001F0331"/>
    <w:rsid w:val="001F0363"/>
    <w:rsid w:val="001F0365"/>
    <w:rsid w:val="001F03BF"/>
    <w:rsid w:val="001F0432"/>
    <w:rsid w:val="001F0454"/>
    <w:rsid w:val="001F0473"/>
    <w:rsid w:val="001F04CF"/>
    <w:rsid w:val="001F053F"/>
    <w:rsid w:val="001F058F"/>
    <w:rsid w:val="001F05AC"/>
    <w:rsid w:val="001F05D0"/>
    <w:rsid w:val="001F05D1"/>
    <w:rsid w:val="001F0630"/>
    <w:rsid w:val="001F0636"/>
    <w:rsid w:val="001F0666"/>
    <w:rsid w:val="001F0672"/>
    <w:rsid w:val="001F067F"/>
    <w:rsid w:val="001F06A3"/>
    <w:rsid w:val="001F06D7"/>
    <w:rsid w:val="001F0713"/>
    <w:rsid w:val="001F082F"/>
    <w:rsid w:val="001F0855"/>
    <w:rsid w:val="001F0897"/>
    <w:rsid w:val="001F08A3"/>
    <w:rsid w:val="001F090A"/>
    <w:rsid w:val="001F0955"/>
    <w:rsid w:val="001F09FB"/>
    <w:rsid w:val="001F0A91"/>
    <w:rsid w:val="001F0AEB"/>
    <w:rsid w:val="001F0AF1"/>
    <w:rsid w:val="001F0B2E"/>
    <w:rsid w:val="001F0B92"/>
    <w:rsid w:val="001F0BB4"/>
    <w:rsid w:val="001F0BCE"/>
    <w:rsid w:val="001F0C97"/>
    <w:rsid w:val="001F0CE4"/>
    <w:rsid w:val="001F0DD6"/>
    <w:rsid w:val="001F0DE9"/>
    <w:rsid w:val="001F0E3A"/>
    <w:rsid w:val="001F0E6D"/>
    <w:rsid w:val="001F0E93"/>
    <w:rsid w:val="001F0EB7"/>
    <w:rsid w:val="001F0F31"/>
    <w:rsid w:val="001F0F5A"/>
    <w:rsid w:val="001F0F78"/>
    <w:rsid w:val="001F0F93"/>
    <w:rsid w:val="001F0F96"/>
    <w:rsid w:val="001F0F9B"/>
    <w:rsid w:val="001F103F"/>
    <w:rsid w:val="001F1049"/>
    <w:rsid w:val="001F105D"/>
    <w:rsid w:val="001F1074"/>
    <w:rsid w:val="001F1081"/>
    <w:rsid w:val="001F10F2"/>
    <w:rsid w:val="001F111A"/>
    <w:rsid w:val="001F1177"/>
    <w:rsid w:val="001F11F0"/>
    <w:rsid w:val="001F124F"/>
    <w:rsid w:val="001F1265"/>
    <w:rsid w:val="001F132A"/>
    <w:rsid w:val="001F13F3"/>
    <w:rsid w:val="001F1413"/>
    <w:rsid w:val="001F1480"/>
    <w:rsid w:val="001F1541"/>
    <w:rsid w:val="001F158E"/>
    <w:rsid w:val="001F15B2"/>
    <w:rsid w:val="001F15B9"/>
    <w:rsid w:val="001F1605"/>
    <w:rsid w:val="001F16CF"/>
    <w:rsid w:val="001F1703"/>
    <w:rsid w:val="001F171B"/>
    <w:rsid w:val="001F1798"/>
    <w:rsid w:val="001F17CC"/>
    <w:rsid w:val="001F1888"/>
    <w:rsid w:val="001F18A1"/>
    <w:rsid w:val="001F18C7"/>
    <w:rsid w:val="001F1972"/>
    <w:rsid w:val="001F19C4"/>
    <w:rsid w:val="001F1AA1"/>
    <w:rsid w:val="001F1ADD"/>
    <w:rsid w:val="001F1B29"/>
    <w:rsid w:val="001F1CF4"/>
    <w:rsid w:val="001F1D78"/>
    <w:rsid w:val="001F1DCA"/>
    <w:rsid w:val="001F1EB7"/>
    <w:rsid w:val="001F1ECD"/>
    <w:rsid w:val="001F1F0A"/>
    <w:rsid w:val="001F1F4B"/>
    <w:rsid w:val="001F1FD7"/>
    <w:rsid w:val="001F20A3"/>
    <w:rsid w:val="001F2186"/>
    <w:rsid w:val="001F21BC"/>
    <w:rsid w:val="001F2213"/>
    <w:rsid w:val="001F222B"/>
    <w:rsid w:val="001F2244"/>
    <w:rsid w:val="001F22D8"/>
    <w:rsid w:val="001F2327"/>
    <w:rsid w:val="001F2437"/>
    <w:rsid w:val="001F2446"/>
    <w:rsid w:val="001F248B"/>
    <w:rsid w:val="001F25CC"/>
    <w:rsid w:val="001F2672"/>
    <w:rsid w:val="001F2927"/>
    <w:rsid w:val="001F2965"/>
    <w:rsid w:val="001F29D6"/>
    <w:rsid w:val="001F29FF"/>
    <w:rsid w:val="001F2A5A"/>
    <w:rsid w:val="001F2B0E"/>
    <w:rsid w:val="001F2B80"/>
    <w:rsid w:val="001F2B88"/>
    <w:rsid w:val="001F2BBD"/>
    <w:rsid w:val="001F2BF9"/>
    <w:rsid w:val="001F2C4A"/>
    <w:rsid w:val="001F2C64"/>
    <w:rsid w:val="001F2CDF"/>
    <w:rsid w:val="001F2D2A"/>
    <w:rsid w:val="001F2D64"/>
    <w:rsid w:val="001F2EA2"/>
    <w:rsid w:val="001F2EA5"/>
    <w:rsid w:val="001F2FD1"/>
    <w:rsid w:val="001F3024"/>
    <w:rsid w:val="001F30AD"/>
    <w:rsid w:val="001F30C0"/>
    <w:rsid w:val="001F3174"/>
    <w:rsid w:val="001F325D"/>
    <w:rsid w:val="001F32BD"/>
    <w:rsid w:val="001F3320"/>
    <w:rsid w:val="001F3381"/>
    <w:rsid w:val="001F3391"/>
    <w:rsid w:val="001F3420"/>
    <w:rsid w:val="001F3460"/>
    <w:rsid w:val="001F3486"/>
    <w:rsid w:val="001F34B4"/>
    <w:rsid w:val="001F3523"/>
    <w:rsid w:val="001F3548"/>
    <w:rsid w:val="001F356B"/>
    <w:rsid w:val="001F35E7"/>
    <w:rsid w:val="001F3640"/>
    <w:rsid w:val="001F3642"/>
    <w:rsid w:val="001F3660"/>
    <w:rsid w:val="001F36A3"/>
    <w:rsid w:val="001F37D0"/>
    <w:rsid w:val="001F38A1"/>
    <w:rsid w:val="001F394C"/>
    <w:rsid w:val="001F39A7"/>
    <w:rsid w:val="001F39BC"/>
    <w:rsid w:val="001F3A04"/>
    <w:rsid w:val="001F3A60"/>
    <w:rsid w:val="001F3B3D"/>
    <w:rsid w:val="001F3BD3"/>
    <w:rsid w:val="001F3BE0"/>
    <w:rsid w:val="001F3BF6"/>
    <w:rsid w:val="001F3C42"/>
    <w:rsid w:val="001F3C9B"/>
    <w:rsid w:val="001F3CE9"/>
    <w:rsid w:val="001F3D0D"/>
    <w:rsid w:val="001F3E00"/>
    <w:rsid w:val="001F3EC8"/>
    <w:rsid w:val="001F3F89"/>
    <w:rsid w:val="001F3FA2"/>
    <w:rsid w:val="001F3FB2"/>
    <w:rsid w:val="001F4031"/>
    <w:rsid w:val="001F4033"/>
    <w:rsid w:val="001F403B"/>
    <w:rsid w:val="001F4044"/>
    <w:rsid w:val="001F4077"/>
    <w:rsid w:val="001F417A"/>
    <w:rsid w:val="001F4267"/>
    <w:rsid w:val="001F4306"/>
    <w:rsid w:val="001F434F"/>
    <w:rsid w:val="001F4353"/>
    <w:rsid w:val="001F4493"/>
    <w:rsid w:val="001F4517"/>
    <w:rsid w:val="001F4543"/>
    <w:rsid w:val="001F4622"/>
    <w:rsid w:val="001F4703"/>
    <w:rsid w:val="001F477D"/>
    <w:rsid w:val="001F4798"/>
    <w:rsid w:val="001F480E"/>
    <w:rsid w:val="001F497F"/>
    <w:rsid w:val="001F4A43"/>
    <w:rsid w:val="001F4BD7"/>
    <w:rsid w:val="001F4C25"/>
    <w:rsid w:val="001F4C28"/>
    <w:rsid w:val="001F4C2D"/>
    <w:rsid w:val="001F4DAE"/>
    <w:rsid w:val="001F4DCF"/>
    <w:rsid w:val="001F4F08"/>
    <w:rsid w:val="001F4FC0"/>
    <w:rsid w:val="001F5055"/>
    <w:rsid w:val="001F50F5"/>
    <w:rsid w:val="001F5149"/>
    <w:rsid w:val="001F5247"/>
    <w:rsid w:val="001F5253"/>
    <w:rsid w:val="001F52AD"/>
    <w:rsid w:val="001F52E0"/>
    <w:rsid w:val="001F5322"/>
    <w:rsid w:val="001F53EC"/>
    <w:rsid w:val="001F54E1"/>
    <w:rsid w:val="001F5544"/>
    <w:rsid w:val="001F5592"/>
    <w:rsid w:val="001F55A8"/>
    <w:rsid w:val="001F56A3"/>
    <w:rsid w:val="001F56B0"/>
    <w:rsid w:val="001F5716"/>
    <w:rsid w:val="001F5741"/>
    <w:rsid w:val="001F57A4"/>
    <w:rsid w:val="001F57B2"/>
    <w:rsid w:val="001F57C6"/>
    <w:rsid w:val="001F5808"/>
    <w:rsid w:val="001F5936"/>
    <w:rsid w:val="001F5A12"/>
    <w:rsid w:val="001F5A5C"/>
    <w:rsid w:val="001F5AA1"/>
    <w:rsid w:val="001F5C0E"/>
    <w:rsid w:val="001F5C70"/>
    <w:rsid w:val="001F5CD8"/>
    <w:rsid w:val="001F5D01"/>
    <w:rsid w:val="001F5D9A"/>
    <w:rsid w:val="001F5DE5"/>
    <w:rsid w:val="001F5E66"/>
    <w:rsid w:val="001F5E83"/>
    <w:rsid w:val="001F5E91"/>
    <w:rsid w:val="001F5EB7"/>
    <w:rsid w:val="001F5F16"/>
    <w:rsid w:val="001F5FD9"/>
    <w:rsid w:val="001F6330"/>
    <w:rsid w:val="001F633F"/>
    <w:rsid w:val="001F640F"/>
    <w:rsid w:val="001F6487"/>
    <w:rsid w:val="001F64C4"/>
    <w:rsid w:val="001F6628"/>
    <w:rsid w:val="001F672C"/>
    <w:rsid w:val="001F673F"/>
    <w:rsid w:val="001F6786"/>
    <w:rsid w:val="001F67BD"/>
    <w:rsid w:val="001F67E0"/>
    <w:rsid w:val="001F6807"/>
    <w:rsid w:val="001F686E"/>
    <w:rsid w:val="001F68D5"/>
    <w:rsid w:val="001F691C"/>
    <w:rsid w:val="001F692B"/>
    <w:rsid w:val="001F6993"/>
    <w:rsid w:val="001F69C4"/>
    <w:rsid w:val="001F6A36"/>
    <w:rsid w:val="001F6A44"/>
    <w:rsid w:val="001F6A6A"/>
    <w:rsid w:val="001F6B0B"/>
    <w:rsid w:val="001F6B8A"/>
    <w:rsid w:val="001F6C78"/>
    <w:rsid w:val="001F6E10"/>
    <w:rsid w:val="001F6E5C"/>
    <w:rsid w:val="001F6E9C"/>
    <w:rsid w:val="001F6F83"/>
    <w:rsid w:val="001F70DE"/>
    <w:rsid w:val="001F711D"/>
    <w:rsid w:val="001F720C"/>
    <w:rsid w:val="001F720F"/>
    <w:rsid w:val="001F7392"/>
    <w:rsid w:val="001F73BE"/>
    <w:rsid w:val="001F73D1"/>
    <w:rsid w:val="001F73EA"/>
    <w:rsid w:val="001F746E"/>
    <w:rsid w:val="001F746F"/>
    <w:rsid w:val="001F74C8"/>
    <w:rsid w:val="001F7525"/>
    <w:rsid w:val="001F75D0"/>
    <w:rsid w:val="001F75FE"/>
    <w:rsid w:val="001F767C"/>
    <w:rsid w:val="001F786A"/>
    <w:rsid w:val="001F78FD"/>
    <w:rsid w:val="001F7910"/>
    <w:rsid w:val="001F7962"/>
    <w:rsid w:val="001F797B"/>
    <w:rsid w:val="001F797E"/>
    <w:rsid w:val="001F79AD"/>
    <w:rsid w:val="001F7A65"/>
    <w:rsid w:val="001F7BBA"/>
    <w:rsid w:val="001F7BDC"/>
    <w:rsid w:val="001F7CD7"/>
    <w:rsid w:val="001F7DEC"/>
    <w:rsid w:val="001F7E0D"/>
    <w:rsid w:val="001F7E16"/>
    <w:rsid w:val="001F7E65"/>
    <w:rsid w:val="001F7FA4"/>
    <w:rsid w:val="001F7FC1"/>
    <w:rsid w:val="001F7FD5"/>
    <w:rsid w:val="001F7FDA"/>
    <w:rsid w:val="001F7FF0"/>
    <w:rsid w:val="001F8584"/>
    <w:rsid w:val="0020004C"/>
    <w:rsid w:val="00200074"/>
    <w:rsid w:val="0020008F"/>
    <w:rsid w:val="00200136"/>
    <w:rsid w:val="00200287"/>
    <w:rsid w:val="002002F7"/>
    <w:rsid w:val="0020031F"/>
    <w:rsid w:val="00200322"/>
    <w:rsid w:val="00200392"/>
    <w:rsid w:val="0020049E"/>
    <w:rsid w:val="00200569"/>
    <w:rsid w:val="0020057E"/>
    <w:rsid w:val="00200625"/>
    <w:rsid w:val="0020064D"/>
    <w:rsid w:val="00200666"/>
    <w:rsid w:val="0020067B"/>
    <w:rsid w:val="00200686"/>
    <w:rsid w:val="002006B2"/>
    <w:rsid w:val="002006D2"/>
    <w:rsid w:val="00200748"/>
    <w:rsid w:val="00200767"/>
    <w:rsid w:val="00200776"/>
    <w:rsid w:val="00200786"/>
    <w:rsid w:val="002007E6"/>
    <w:rsid w:val="00200938"/>
    <w:rsid w:val="00200994"/>
    <w:rsid w:val="002009AA"/>
    <w:rsid w:val="002009C5"/>
    <w:rsid w:val="002009D3"/>
    <w:rsid w:val="00200AF8"/>
    <w:rsid w:val="00200B22"/>
    <w:rsid w:val="00200C31"/>
    <w:rsid w:val="00200C46"/>
    <w:rsid w:val="00200CD8"/>
    <w:rsid w:val="00200D01"/>
    <w:rsid w:val="00200D7B"/>
    <w:rsid w:val="00200E9C"/>
    <w:rsid w:val="00200F1D"/>
    <w:rsid w:val="00200F74"/>
    <w:rsid w:val="00200FC0"/>
    <w:rsid w:val="00200FFA"/>
    <w:rsid w:val="0020101D"/>
    <w:rsid w:val="0020109B"/>
    <w:rsid w:val="0020113D"/>
    <w:rsid w:val="002011E1"/>
    <w:rsid w:val="00201275"/>
    <w:rsid w:val="002012A0"/>
    <w:rsid w:val="00201373"/>
    <w:rsid w:val="00201383"/>
    <w:rsid w:val="002013F1"/>
    <w:rsid w:val="00201414"/>
    <w:rsid w:val="00201435"/>
    <w:rsid w:val="0020146A"/>
    <w:rsid w:val="002015D8"/>
    <w:rsid w:val="002015DB"/>
    <w:rsid w:val="0020172B"/>
    <w:rsid w:val="0020188F"/>
    <w:rsid w:val="00201895"/>
    <w:rsid w:val="00201943"/>
    <w:rsid w:val="00201A15"/>
    <w:rsid w:val="00201A35"/>
    <w:rsid w:val="00201ABD"/>
    <w:rsid w:val="00201AE9"/>
    <w:rsid w:val="00201B8D"/>
    <w:rsid w:val="00201BD0"/>
    <w:rsid w:val="00201C26"/>
    <w:rsid w:val="00201C3F"/>
    <w:rsid w:val="00201CFD"/>
    <w:rsid w:val="00201D12"/>
    <w:rsid w:val="00201DB2"/>
    <w:rsid w:val="00201EBA"/>
    <w:rsid w:val="00201EFF"/>
    <w:rsid w:val="00201FC4"/>
    <w:rsid w:val="00201FC5"/>
    <w:rsid w:val="002020D5"/>
    <w:rsid w:val="00202117"/>
    <w:rsid w:val="002021C0"/>
    <w:rsid w:val="002021EA"/>
    <w:rsid w:val="002022BF"/>
    <w:rsid w:val="0020237D"/>
    <w:rsid w:val="002023C4"/>
    <w:rsid w:val="002023DE"/>
    <w:rsid w:val="00202490"/>
    <w:rsid w:val="0020249B"/>
    <w:rsid w:val="002024E6"/>
    <w:rsid w:val="00202581"/>
    <w:rsid w:val="002025AE"/>
    <w:rsid w:val="002025E2"/>
    <w:rsid w:val="002025E8"/>
    <w:rsid w:val="00202608"/>
    <w:rsid w:val="002026EE"/>
    <w:rsid w:val="00202766"/>
    <w:rsid w:val="002028DE"/>
    <w:rsid w:val="00202964"/>
    <w:rsid w:val="00202A3C"/>
    <w:rsid w:val="00202A82"/>
    <w:rsid w:val="00202AAB"/>
    <w:rsid w:val="00202ACC"/>
    <w:rsid w:val="00202ACF"/>
    <w:rsid w:val="00202AEE"/>
    <w:rsid w:val="00202B17"/>
    <w:rsid w:val="00202C3E"/>
    <w:rsid w:val="00202F1B"/>
    <w:rsid w:val="00202F24"/>
    <w:rsid w:val="00202FDA"/>
    <w:rsid w:val="002031C9"/>
    <w:rsid w:val="002031ED"/>
    <w:rsid w:val="002031F7"/>
    <w:rsid w:val="0020321B"/>
    <w:rsid w:val="0020334A"/>
    <w:rsid w:val="00203378"/>
    <w:rsid w:val="00203471"/>
    <w:rsid w:val="002034C6"/>
    <w:rsid w:val="002034DD"/>
    <w:rsid w:val="002034F4"/>
    <w:rsid w:val="00203566"/>
    <w:rsid w:val="0020375F"/>
    <w:rsid w:val="00203829"/>
    <w:rsid w:val="0020382C"/>
    <w:rsid w:val="00203878"/>
    <w:rsid w:val="002038C0"/>
    <w:rsid w:val="00203931"/>
    <w:rsid w:val="00203A77"/>
    <w:rsid w:val="00203B07"/>
    <w:rsid w:val="00203B9C"/>
    <w:rsid w:val="00203BB0"/>
    <w:rsid w:val="00203C87"/>
    <w:rsid w:val="00203CD7"/>
    <w:rsid w:val="00203CE8"/>
    <w:rsid w:val="00203D15"/>
    <w:rsid w:val="00203DE2"/>
    <w:rsid w:val="00203F49"/>
    <w:rsid w:val="00203F9D"/>
    <w:rsid w:val="00203FF3"/>
    <w:rsid w:val="00204031"/>
    <w:rsid w:val="0020411D"/>
    <w:rsid w:val="0020413C"/>
    <w:rsid w:val="00204152"/>
    <w:rsid w:val="00204170"/>
    <w:rsid w:val="00204225"/>
    <w:rsid w:val="00204262"/>
    <w:rsid w:val="00204268"/>
    <w:rsid w:val="0020426C"/>
    <w:rsid w:val="002042C2"/>
    <w:rsid w:val="002042E2"/>
    <w:rsid w:val="002043D7"/>
    <w:rsid w:val="0020449F"/>
    <w:rsid w:val="0020456C"/>
    <w:rsid w:val="0020457A"/>
    <w:rsid w:val="0020458C"/>
    <w:rsid w:val="002045B3"/>
    <w:rsid w:val="002045D1"/>
    <w:rsid w:val="002046CB"/>
    <w:rsid w:val="002046D4"/>
    <w:rsid w:val="002046E4"/>
    <w:rsid w:val="0020473A"/>
    <w:rsid w:val="00204779"/>
    <w:rsid w:val="00204782"/>
    <w:rsid w:val="0020481E"/>
    <w:rsid w:val="0020482B"/>
    <w:rsid w:val="00204853"/>
    <w:rsid w:val="0020489E"/>
    <w:rsid w:val="0020491C"/>
    <w:rsid w:val="0020497C"/>
    <w:rsid w:val="00204A27"/>
    <w:rsid w:val="00204A65"/>
    <w:rsid w:val="00204B2E"/>
    <w:rsid w:val="00204B76"/>
    <w:rsid w:val="00204B99"/>
    <w:rsid w:val="00204D8F"/>
    <w:rsid w:val="00204DF0"/>
    <w:rsid w:val="00204E68"/>
    <w:rsid w:val="00204F0C"/>
    <w:rsid w:val="00204F19"/>
    <w:rsid w:val="00204F59"/>
    <w:rsid w:val="00205020"/>
    <w:rsid w:val="00205038"/>
    <w:rsid w:val="0020505B"/>
    <w:rsid w:val="0020523D"/>
    <w:rsid w:val="0020524F"/>
    <w:rsid w:val="0020526D"/>
    <w:rsid w:val="00205296"/>
    <w:rsid w:val="00205316"/>
    <w:rsid w:val="0020539D"/>
    <w:rsid w:val="002053A5"/>
    <w:rsid w:val="0020546C"/>
    <w:rsid w:val="0020549C"/>
    <w:rsid w:val="00205527"/>
    <w:rsid w:val="00205582"/>
    <w:rsid w:val="002055AD"/>
    <w:rsid w:val="002056B6"/>
    <w:rsid w:val="002056C4"/>
    <w:rsid w:val="00205709"/>
    <w:rsid w:val="0020572E"/>
    <w:rsid w:val="0020577D"/>
    <w:rsid w:val="002057EE"/>
    <w:rsid w:val="0020589C"/>
    <w:rsid w:val="002058BD"/>
    <w:rsid w:val="0020596C"/>
    <w:rsid w:val="0020599E"/>
    <w:rsid w:val="00205A55"/>
    <w:rsid w:val="00205BB8"/>
    <w:rsid w:val="00205BC9"/>
    <w:rsid w:val="00205C70"/>
    <w:rsid w:val="00205C73"/>
    <w:rsid w:val="00205CD6"/>
    <w:rsid w:val="00205CE4"/>
    <w:rsid w:val="00205D5B"/>
    <w:rsid w:val="00205D70"/>
    <w:rsid w:val="00205DDE"/>
    <w:rsid w:val="00205E60"/>
    <w:rsid w:val="00205E6D"/>
    <w:rsid w:val="00205F66"/>
    <w:rsid w:val="00205F68"/>
    <w:rsid w:val="00206019"/>
    <w:rsid w:val="00206020"/>
    <w:rsid w:val="00206072"/>
    <w:rsid w:val="0020607F"/>
    <w:rsid w:val="002060AB"/>
    <w:rsid w:val="00206147"/>
    <w:rsid w:val="002061A3"/>
    <w:rsid w:val="002061D6"/>
    <w:rsid w:val="002061F1"/>
    <w:rsid w:val="002061FE"/>
    <w:rsid w:val="0020620D"/>
    <w:rsid w:val="00206232"/>
    <w:rsid w:val="002062EE"/>
    <w:rsid w:val="002062F4"/>
    <w:rsid w:val="00206398"/>
    <w:rsid w:val="00206404"/>
    <w:rsid w:val="0020659A"/>
    <w:rsid w:val="0020659F"/>
    <w:rsid w:val="002065BC"/>
    <w:rsid w:val="0020662D"/>
    <w:rsid w:val="00206672"/>
    <w:rsid w:val="00206702"/>
    <w:rsid w:val="00206769"/>
    <w:rsid w:val="00206818"/>
    <w:rsid w:val="00206848"/>
    <w:rsid w:val="00206870"/>
    <w:rsid w:val="002068A9"/>
    <w:rsid w:val="002068BF"/>
    <w:rsid w:val="002068D4"/>
    <w:rsid w:val="002068DA"/>
    <w:rsid w:val="002068F3"/>
    <w:rsid w:val="0020693E"/>
    <w:rsid w:val="00206971"/>
    <w:rsid w:val="00206994"/>
    <w:rsid w:val="002069FE"/>
    <w:rsid w:val="00206A52"/>
    <w:rsid w:val="00206AF3"/>
    <w:rsid w:val="00206B1D"/>
    <w:rsid w:val="00206B6F"/>
    <w:rsid w:val="00206C62"/>
    <w:rsid w:val="00206D22"/>
    <w:rsid w:val="00206D44"/>
    <w:rsid w:val="00206D4B"/>
    <w:rsid w:val="00206D62"/>
    <w:rsid w:val="00206E45"/>
    <w:rsid w:val="00206E7D"/>
    <w:rsid w:val="00206E8B"/>
    <w:rsid w:val="00206E9C"/>
    <w:rsid w:val="00206EC7"/>
    <w:rsid w:val="00206EEB"/>
    <w:rsid w:val="00206F05"/>
    <w:rsid w:val="00206F3A"/>
    <w:rsid w:val="0020723E"/>
    <w:rsid w:val="0020725F"/>
    <w:rsid w:val="0020735C"/>
    <w:rsid w:val="002073B5"/>
    <w:rsid w:val="002073CD"/>
    <w:rsid w:val="002076D6"/>
    <w:rsid w:val="00207709"/>
    <w:rsid w:val="0020773A"/>
    <w:rsid w:val="00207793"/>
    <w:rsid w:val="00207894"/>
    <w:rsid w:val="002078BE"/>
    <w:rsid w:val="00207A76"/>
    <w:rsid w:val="00207AD3"/>
    <w:rsid w:val="00207BDB"/>
    <w:rsid w:val="00207C81"/>
    <w:rsid w:val="00207CDC"/>
    <w:rsid w:val="00207FB5"/>
    <w:rsid w:val="00207FCE"/>
    <w:rsid w:val="00207FF6"/>
    <w:rsid w:val="0021005E"/>
    <w:rsid w:val="002101E6"/>
    <w:rsid w:val="00210226"/>
    <w:rsid w:val="00210262"/>
    <w:rsid w:val="00210493"/>
    <w:rsid w:val="002104C5"/>
    <w:rsid w:val="00210538"/>
    <w:rsid w:val="0021059E"/>
    <w:rsid w:val="0021065F"/>
    <w:rsid w:val="0021068B"/>
    <w:rsid w:val="002106BB"/>
    <w:rsid w:val="00210725"/>
    <w:rsid w:val="00210783"/>
    <w:rsid w:val="002107A2"/>
    <w:rsid w:val="002107DE"/>
    <w:rsid w:val="002107F0"/>
    <w:rsid w:val="00210975"/>
    <w:rsid w:val="00210A15"/>
    <w:rsid w:val="00210AF0"/>
    <w:rsid w:val="00210AF3"/>
    <w:rsid w:val="00210C02"/>
    <w:rsid w:val="00210C09"/>
    <w:rsid w:val="00210D54"/>
    <w:rsid w:val="00210E6B"/>
    <w:rsid w:val="00210EA4"/>
    <w:rsid w:val="00210EBC"/>
    <w:rsid w:val="00210EC1"/>
    <w:rsid w:val="00211026"/>
    <w:rsid w:val="00211093"/>
    <w:rsid w:val="00211165"/>
    <w:rsid w:val="002111A1"/>
    <w:rsid w:val="002111DD"/>
    <w:rsid w:val="00211209"/>
    <w:rsid w:val="002112AE"/>
    <w:rsid w:val="00211315"/>
    <w:rsid w:val="0021136D"/>
    <w:rsid w:val="0021146A"/>
    <w:rsid w:val="002114A1"/>
    <w:rsid w:val="002114D4"/>
    <w:rsid w:val="0021151E"/>
    <w:rsid w:val="0021161D"/>
    <w:rsid w:val="00211760"/>
    <w:rsid w:val="00211816"/>
    <w:rsid w:val="00211832"/>
    <w:rsid w:val="00211882"/>
    <w:rsid w:val="002118D4"/>
    <w:rsid w:val="002119AE"/>
    <w:rsid w:val="002119C5"/>
    <w:rsid w:val="002119CC"/>
    <w:rsid w:val="002119DC"/>
    <w:rsid w:val="00211ABD"/>
    <w:rsid w:val="00211B36"/>
    <w:rsid w:val="00211BF8"/>
    <w:rsid w:val="00211C5D"/>
    <w:rsid w:val="00211CA0"/>
    <w:rsid w:val="00211CC9"/>
    <w:rsid w:val="00211D1E"/>
    <w:rsid w:val="00211D44"/>
    <w:rsid w:val="00211D62"/>
    <w:rsid w:val="00211D8C"/>
    <w:rsid w:val="00211E2E"/>
    <w:rsid w:val="00211E84"/>
    <w:rsid w:val="00211EE1"/>
    <w:rsid w:val="00211F47"/>
    <w:rsid w:val="00212017"/>
    <w:rsid w:val="002120DD"/>
    <w:rsid w:val="00212125"/>
    <w:rsid w:val="00212153"/>
    <w:rsid w:val="00212183"/>
    <w:rsid w:val="002121C5"/>
    <w:rsid w:val="002121C8"/>
    <w:rsid w:val="002121FF"/>
    <w:rsid w:val="00212299"/>
    <w:rsid w:val="002122D9"/>
    <w:rsid w:val="002122FA"/>
    <w:rsid w:val="00212344"/>
    <w:rsid w:val="0021258E"/>
    <w:rsid w:val="002125D1"/>
    <w:rsid w:val="002125FD"/>
    <w:rsid w:val="00212616"/>
    <w:rsid w:val="0021269D"/>
    <w:rsid w:val="002126E5"/>
    <w:rsid w:val="00212836"/>
    <w:rsid w:val="00212897"/>
    <w:rsid w:val="0021289D"/>
    <w:rsid w:val="002128B6"/>
    <w:rsid w:val="0021295E"/>
    <w:rsid w:val="002129D8"/>
    <w:rsid w:val="002129F3"/>
    <w:rsid w:val="00212B0B"/>
    <w:rsid w:val="00212B47"/>
    <w:rsid w:val="00212B55"/>
    <w:rsid w:val="00212B5A"/>
    <w:rsid w:val="00212B63"/>
    <w:rsid w:val="00212B84"/>
    <w:rsid w:val="00212BD0"/>
    <w:rsid w:val="00212BE1"/>
    <w:rsid w:val="00212BF5"/>
    <w:rsid w:val="00212C9E"/>
    <w:rsid w:val="00212CD2"/>
    <w:rsid w:val="00212D63"/>
    <w:rsid w:val="00212D9C"/>
    <w:rsid w:val="00212DE4"/>
    <w:rsid w:val="00212EAC"/>
    <w:rsid w:val="00212FBC"/>
    <w:rsid w:val="00212FE4"/>
    <w:rsid w:val="00213161"/>
    <w:rsid w:val="0021318F"/>
    <w:rsid w:val="00213290"/>
    <w:rsid w:val="002132F6"/>
    <w:rsid w:val="00213390"/>
    <w:rsid w:val="002133E4"/>
    <w:rsid w:val="00213451"/>
    <w:rsid w:val="002134B7"/>
    <w:rsid w:val="002134C8"/>
    <w:rsid w:val="002134D9"/>
    <w:rsid w:val="00213501"/>
    <w:rsid w:val="0021359B"/>
    <w:rsid w:val="002135BD"/>
    <w:rsid w:val="00213699"/>
    <w:rsid w:val="00213753"/>
    <w:rsid w:val="00213783"/>
    <w:rsid w:val="00213809"/>
    <w:rsid w:val="002139F4"/>
    <w:rsid w:val="002139FA"/>
    <w:rsid w:val="00213AEC"/>
    <w:rsid w:val="00213AF0"/>
    <w:rsid w:val="00213B99"/>
    <w:rsid w:val="00213BA4"/>
    <w:rsid w:val="00213BEA"/>
    <w:rsid w:val="00213D01"/>
    <w:rsid w:val="00213DB4"/>
    <w:rsid w:val="00213DBA"/>
    <w:rsid w:val="00213E16"/>
    <w:rsid w:val="00213E40"/>
    <w:rsid w:val="00213E54"/>
    <w:rsid w:val="00213E8B"/>
    <w:rsid w:val="00213EAB"/>
    <w:rsid w:val="00213EB2"/>
    <w:rsid w:val="00213ED1"/>
    <w:rsid w:val="00213F4F"/>
    <w:rsid w:val="00213F65"/>
    <w:rsid w:val="00214002"/>
    <w:rsid w:val="00214097"/>
    <w:rsid w:val="002140EE"/>
    <w:rsid w:val="002140F1"/>
    <w:rsid w:val="002141A0"/>
    <w:rsid w:val="0021424C"/>
    <w:rsid w:val="00214409"/>
    <w:rsid w:val="00214422"/>
    <w:rsid w:val="002144A0"/>
    <w:rsid w:val="002144B7"/>
    <w:rsid w:val="002144EF"/>
    <w:rsid w:val="00214501"/>
    <w:rsid w:val="002145C5"/>
    <w:rsid w:val="00214695"/>
    <w:rsid w:val="0021469D"/>
    <w:rsid w:val="002146B8"/>
    <w:rsid w:val="00214755"/>
    <w:rsid w:val="0021484C"/>
    <w:rsid w:val="00214880"/>
    <w:rsid w:val="002148C7"/>
    <w:rsid w:val="0021491F"/>
    <w:rsid w:val="0021495F"/>
    <w:rsid w:val="00214985"/>
    <w:rsid w:val="00214AD9"/>
    <w:rsid w:val="00214B30"/>
    <w:rsid w:val="00214BC5"/>
    <w:rsid w:val="00214C38"/>
    <w:rsid w:val="00214C7F"/>
    <w:rsid w:val="00214C94"/>
    <w:rsid w:val="00214D0A"/>
    <w:rsid w:val="00214E72"/>
    <w:rsid w:val="00214FC8"/>
    <w:rsid w:val="0021507B"/>
    <w:rsid w:val="002150B2"/>
    <w:rsid w:val="0021517E"/>
    <w:rsid w:val="0021518A"/>
    <w:rsid w:val="00215236"/>
    <w:rsid w:val="00215256"/>
    <w:rsid w:val="00215302"/>
    <w:rsid w:val="00215369"/>
    <w:rsid w:val="002153DC"/>
    <w:rsid w:val="00215414"/>
    <w:rsid w:val="00215492"/>
    <w:rsid w:val="002154D5"/>
    <w:rsid w:val="0021550A"/>
    <w:rsid w:val="002155A3"/>
    <w:rsid w:val="0021567F"/>
    <w:rsid w:val="002156E1"/>
    <w:rsid w:val="00215743"/>
    <w:rsid w:val="00215758"/>
    <w:rsid w:val="002157AA"/>
    <w:rsid w:val="0021580C"/>
    <w:rsid w:val="00215870"/>
    <w:rsid w:val="002158C5"/>
    <w:rsid w:val="00215947"/>
    <w:rsid w:val="00215953"/>
    <w:rsid w:val="0021596B"/>
    <w:rsid w:val="0021599F"/>
    <w:rsid w:val="002159D5"/>
    <w:rsid w:val="002159EF"/>
    <w:rsid w:val="00215A41"/>
    <w:rsid w:val="00215AEF"/>
    <w:rsid w:val="00215CB0"/>
    <w:rsid w:val="00215DEA"/>
    <w:rsid w:val="00215EFC"/>
    <w:rsid w:val="00215F82"/>
    <w:rsid w:val="00216026"/>
    <w:rsid w:val="0021611D"/>
    <w:rsid w:val="00216156"/>
    <w:rsid w:val="00216243"/>
    <w:rsid w:val="00216263"/>
    <w:rsid w:val="002162C2"/>
    <w:rsid w:val="002162E2"/>
    <w:rsid w:val="00216444"/>
    <w:rsid w:val="00216482"/>
    <w:rsid w:val="00216516"/>
    <w:rsid w:val="0021658D"/>
    <w:rsid w:val="002165CE"/>
    <w:rsid w:val="00216618"/>
    <w:rsid w:val="0021665D"/>
    <w:rsid w:val="002166A3"/>
    <w:rsid w:val="00216775"/>
    <w:rsid w:val="002167B9"/>
    <w:rsid w:val="00216814"/>
    <w:rsid w:val="00216822"/>
    <w:rsid w:val="002168C4"/>
    <w:rsid w:val="002168D3"/>
    <w:rsid w:val="0021695B"/>
    <w:rsid w:val="00216961"/>
    <w:rsid w:val="00216978"/>
    <w:rsid w:val="00216990"/>
    <w:rsid w:val="002169B8"/>
    <w:rsid w:val="002169FC"/>
    <w:rsid w:val="00216A8A"/>
    <w:rsid w:val="00216B7E"/>
    <w:rsid w:val="00216CB8"/>
    <w:rsid w:val="00216D1D"/>
    <w:rsid w:val="00216EDF"/>
    <w:rsid w:val="00216F1D"/>
    <w:rsid w:val="00216FFF"/>
    <w:rsid w:val="0021701A"/>
    <w:rsid w:val="00217026"/>
    <w:rsid w:val="00217050"/>
    <w:rsid w:val="00217096"/>
    <w:rsid w:val="002170BC"/>
    <w:rsid w:val="0021714C"/>
    <w:rsid w:val="00217153"/>
    <w:rsid w:val="00217178"/>
    <w:rsid w:val="002171D3"/>
    <w:rsid w:val="0021724E"/>
    <w:rsid w:val="002172A2"/>
    <w:rsid w:val="002172AF"/>
    <w:rsid w:val="002172C3"/>
    <w:rsid w:val="0021733A"/>
    <w:rsid w:val="0021735D"/>
    <w:rsid w:val="0021738B"/>
    <w:rsid w:val="002174B2"/>
    <w:rsid w:val="002174CD"/>
    <w:rsid w:val="002174D9"/>
    <w:rsid w:val="0021757C"/>
    <w:rsid w:val="00217591"/>
    <w:rsid w:val="002175D2"/>
    <w:rsid w:val="0021770E"/>
    <w:rsid w:val="00217749"/>
    <w:rsid w:val="002177AF"/>
    <w:rsid w:val="00217821"/>
    <w:rsid w:val="00217823"/>
    <w:rsid w:val="0021785F"/>
    <w:rsid w:val="0021789C"/>
    <w:rsid w:val="00217903"/>
    <w:rsid w:val="0021796C"/>
    <w:rsid w:val="00217970"/>
    <w:rsid w:val="00217986"/>
    <w:rsid w:val="00217990"/>
    <w:rsid w:val="002179CE"/>
    <w:rsid w:val="002179E2"/>
    <w:rsid w:val="00217A61"/>
    <w:rsid w:val="00217AE2"/>
    <w:rsid w:val="00217B18"/>
    <w:rsid w:val="00217D2B"/>
    <w:rsid w:val="00217D84"/>
    <w:rsid w:val="00217DDF"/>
    <w:rsid w:val="00217E2C"/>
    <w:rsid w:val="00217E47"/>
    <w:rsid w:val="00217F2F"/>
    <w:rsid w:val="00217F5A"/>
    <w:rsid w:val="00217F84"/>
    <w:rsid w:val="00217FAD"/>
    <w:rsid w:val="00217FB5"/>
    <w:rsid w:val="00220004"/>
    <w:rsid w:val="00220023"/>
    <w:rsid w:val="0022002B"/>
    <w:rsid w:val="00220037"/>
    <w:rsid w:val="00220181"/>
    <w:rsid w:val="00220381"/>
    <w:rsid w:val="002203F7"/>
    <w:rsid w:val="002203FD"/>
    <w:rsid w:val="00220427"/>
    <w:rsid w:val="00220436"/>
    <w:rsid w:val="0022052C"/>
    <w:rsid w:val="00220535"/>
    <w:rsid w:val="002205ED"/>
    <w:rsid w:val="002205F1"/>
    <w:rsid w:val="00220694"/>
    <w:rsid w:val="002206B5"/>
    <w:rsid w:val="002206ED"/>
    <w:rsid w:val="00220717"/>
    <w:rsid w:val="00220799"/>
    <w:rsid w:val="0022083E"/>
    <w:rsid w:val="002208E3"/>
    <w:rsid w:val="002208FA"/>
    <w:rsid w:val="00220936"/>
    <w:rsid w:val="0022093E"/>
    <w:rsid w:val="0022094C"/>
    <w:rsid w:val="00220974"/>
    <w:rsid w:val="0022099A"/>
    <w:rsid w:val="00220A54"/>
    <w:rsid w:val="00220A9A"/>
    <w:rsid w:val="00220B20"/>
    <w:rsid w:val="00220BAC"/>
    <w:rsid w:val="00220CA9"/>
    <w:rsid w:val="00220DB3"/>
    <w:rsid w:val="00220E1B"/>
    <w:rsid w:val="00220EBA"/>
    <w:rsid w:val="00220EDA"/>
    <w:rsid w:val="00220EF9"/>
    <w:rsid w:val="00220F5C"/>
    <w:rsid w:val="00220F73"/>
    <w:rsid w:val="00220FEE"/>
    <w:rsid w:val="002210AE"/>
    <w:rsid w:val="00221107"/>
    <w:rsid w:val="0022119C"/>
    <w:rsid w:val="002211B5"/>
    <w:rsid w:val="00221298"/>
    <w:rsid w:val="0022137A"/>
    <w:rsid w:val="002213B6"/>
    <w:rsid w:val="00221476"/>
    <w:rsid w:val="00221479"/>
    <w:rsid w:val="0022168B"/>
    <w:rsid w:val="002216D6"/>
    <w:rsid w:val="00221701"/>
    <w:rsid w:val="0022174A"/>
    <w:rsid w:val="00221774"/>
    <w:rsid w:val="002217AF"/>
    <w:rsid w:val="00221807"/>
    <w:rsid w:val="00221818"/>
    <w:rsid w:val="00221895"/>
    <w:rsid w:val="002218E9"/>
    <w:rsid w:val="00221900"/>
    <w:rsid w:val="00221919"/>
    <w:rsid w:val="002219AD"/>
    <w:rsid w:val="00221AB8"/>
    <w:rsid w:val="00221B70"/>
    <w:rsid w:val="00221BC8"/>
    <w:rsid w:val="00221C79"/>
    <w:rsid w:val="00221C8E"/>
    <w:rsid w:val="00221D14"/>
    <w:rsid w:val="00221D7C"/>
    <w:rsid w:val="00221DD7"/>
    <w:rsid w:val="00221E06"/>
    <w:rsid w:val="00221E7F"/>
    <w:rsid w:val="00221E8A"/>
    <w:rsid w:val="00221E95"/>
    <w:rsid w:val="00221E9D"/>
    <w:rsid w:val="00221F33"/>
    <w:rsid w:val="00222034"/>
    <w:rsid w:val="002220CD"/>
    <w:rsid w:val="00222146"/>
    <w:rsid w:val="00222154"/>
    <w:rsid w:val="0022215E"/>
    <w:rsid w:val="00222173"/>
    <w:rsid w:val="002221A7"/>
    <w:rsid w:val="0022234A"/>
    <w:rsid w:val="002223C8"/>
    <w:rsid w:val="002223E1"/>
    <w:rsid w:val="00222431"/>
    <w:rsid w:val="002224B0"/>
    <w:rsid w:val="00222524"/>
    <w:rsid w:val="00222542"/>
    <w:rsid w:val="002225CB"/>
    <w:rsid w:val="0022276E"/>
    <w:rsid w:val="00222859"/>
    <w:rsid w:val="002228D1"/>
    <w:rsid w:val="0022292D"/>
    <w:rsid w:val="002229C8"/>
    <w:rsid w:val="002229CB"/>
    <w:rsid w:val="002229F5"/>
    <w:rsid w:val="00222A2D"/>
    <w:rsid w:val="00222AC7"/>
    <w:rsid w:val="00222B90"/>
    <w:rsid w:val="00222CA4"/>
    <w:rsid w:val="00222CFD"/>
    <w:rsid w:val="00222DA3"/>
    <w:rsid w:val="00222DC0"/>
    <w:rsid w:val="00222DF3"/>
    <w:rsid w:val="00222E87"/>
    <w:rsid w:val="00222EFF"/>
    <w:rsid w:val="00222FBB"/>
    <w:rsid w:val="00222FF2"/>
    <w:rsid w:val="00223025"/>
    <w:rsid w:val="0022303E"/>
    <w:rsid w:val="00223072"/>
    <w:rsid w:val="002230C5"/>
    <w:rsid w:val="002230F4"/>
    <w:rsid w:val="00223180"/>
    <w:rsid w:val="00223197"/>
    <w:rsid w:val="0022324D"/>
    <w:rsid w:val="00223251"/>
    <w:rsid w:val="00223293"/>
    <w:rsid w:val="002233D0"/>
    <w:rsid w:val="00223422"/>
    <w:rsid w:val="00223441"/>
    <w:rsid w:val="00223464"/>
    <w:rsid w:val="002234BA"/>
    <w:rsid w:val="00223588"/>
    <w:rsid w:val="00223667"/>
    <w:rsid w:val="0022366D"/>
    <w:rsid w:val="00223708"/>
    <w:rsid w:val="00223775"/>
    <w:rsid w:val="0022377A"/>
    <w:rsid w:val="002237E5"/>
    <w:rsid w:val="002237EC"/>
    <w:rsid w:val="002238A8"/>
    <w:rsid w:val="002238C3"/>
    <w:rsid w:val="00223910"/>
    <w:rsid w:val="00223953"/>
    <w:rsid w:val="0022397A"/>
    <w:rsid w:val="0022399D"/>
    <w:rsid w:val="00223AFB"/>
    <w:rsid w:val="00223B23"/>
    <w:rsid w:val="00223B7D"/>
    <w:rsid w:val="00223BA7"/>
    <w:rsid w:val="00223C14"/>
    <w:rsid w:val="00223C66"/>
    <w:rsid w:val="00223D27"/>
    <w:rsid w:val="00223D42"/>
    <w:rsid w:val="00223D68"/>
    <w:rsid w:val="00223DB4"/>
    <w:rsid w:val="00223DBF"/>
    <w:rsid w:val="00223EB2"/>
    <w:rsid w:val="00223EF7"/>
    <w:rsid w:val="00223F4F"/>
    <w:rsid w:val="00223F9C"/>
    <w:rsid w:val="00224095"/>
    <w:rsid w:val="0022409E"/>
    <w:rsid w:val="002241B6"/>
    <w:rsid w:val="002242FA"/>
    <w:rsid w:val="0022431E"/>
    <w:rsid w:val="00224375"/>
    <w:rsid w:val="00224390"/>
    <w:rsid w:val="002243C1"/>
    <w:rsid w:val="0022441E"/>
    <w:rsid w:val="00224448"/>
    <w:rsid w:val="002245C8"/>
    <w:rsid w:val="002245E7"/>
    <w:rsid w:val="0022468B"/>
    <w:rsid w:val="00224745"/>
    <w:rsid w:val="002247E9"/>
    <w:rsid w:val="002248E5"/>
    <w:rsid w:val="00224905"/>
    <w:rsid w:val="0022497F"/>
    <w:rsid w:val="00224987"/>
    <w:rsid w:val="00224AD8"/>
    <w:rsid w:val="00224AE1"/>
    <w:rsid w:val="00224B29"/>
    <w:rsid w:val="00224BCC"/>
    <w:rsid w:val="00224CBB"/>
    <w:rsid w:val="00224CCB"/>
    <w:rsid w:val="00224D2B"/>
    <w:rsid w:val="00224D46"/>
    <w:rsid w:val="00224DAF"/>
    <w:rsid w:val="00224DBF"/>
    <w:rsid w:val="00224DD2"/>
    <w:rsid w:val="00224DE8"/>
    <w:rsid w:val="00224DFF"/>
    <w:rsid w:val="00224E0E"/>
    <w:rsid w:val="00224E5E"/>
    <w:rsid w:val="00224ED3"/>
    <w:rsid w:val="00224EF4"/>
    <w:rsid w:val="00224F9B"/>
    <w:rsid w:val="00225128"/>
    <w:rsid w:val="0022514F"/>
    <w:rsid w:val="00225166"/>
    <w:rsid w:val="00225206"/>
    <w:rsid w:val="0022526D"/>
    <w:rsid w:val="002252F5"/>
    <w:rsid w:val="00225389"/>
    <w:rsid w:val="00225450"/>
    <w:rsid w:val="0022549A"/>
    <w:rsid w:val="00225512"/>
    <w:rsid w:val="002255E7"/>
    <w:rsid w:val="0022562F"/>
    <w:rsid w:val="0022565D"/>
    <w:rsid w:val="0022567C"/>
    <w:rsid w:val="002257B2"/>
    <w:rsid w:val="002257F8"/>
    <w:rsid w:val="0022581D"/>
    <w:rsid w:val="00225831"/>
    <w:rsid w:val="00225931"/>
    <w:rsid w:val="00225943"/>
    <w:rsid w:val="00225946"/>
    <w:rsid w:val="0022597E"/>
    <w:rsid w:val="002259C2"/>
    <w:rsid w:val="002259E9"/>
    <w:rsid w:val="00225AE5"/>
    <w:rsid w:val="00225BC5"/>
    <w:rsid w:val="00225C04"/>
    <w:rsid w:val="00225C1D"/>
    <w:rsid w:val="00225C4A"/>
    <w:rsid w:val="00225D9F"/>
    <w:rsid w:val="00225DAB"/>
    <w:rsid w:val="00225DEA"/>
    <w:rsid w:val="00225E0C"/>
    <w:rsid w:val="00225E50"/>
    <w:rsid w:val="00225E98"/>
    <w:rsid w:val="00225ED5"/>
    <w:rsid w:val="00225F0B"/>
    <w:rsid w:val="00225F3B"/>
    <w:rsid w:val="00225F74"/>
    <w:rsid w:val="0022604A"/>
    <w:rsid w:val="0022610B"/>
    <w:rsid w:val="0022613C"/>
    <w:rsid w:val="00226202"/>
    <w:rsid w:val="00226258"/>
    <w:rsid w:val="002263A6"/>
    <w:rsid w:val="00226422"/>
    <w:rsid w:val="00226585"/>
    <w:rsid w:val="002265F9"/>
    <w:rsid w:val="002266BA"/>
    <w:rsid w:val="002267B4"/>
    <w:rsid w:val="0022689E"/>
    <w:rsid w:val="00226909"/>
    <w:rsid w:val="0022693D"/>
    <w:rsid w:val="00226977"/>
    <w:rsid w:val="00226AC5"/>
    <w:rsid w:val="00226B5F"/>
    <w:rsid w:val="00226BC0"/>
    <w:rsid w:val="00226C8D"/>
    <w:rsid w:val="00226D55"/>
    <w:rsid w:val="00226DA5"/>
    <w:rsid w:val="00226E26"/>
    <w:rsid w:val="00226E7C"/>
    <w:rsid w:val="0022703A"/>
    <w:rsid w:val="0022709B"/>
    <w:rsid w:val="0022710B"/>
    <w:rsid w:val="00227190"/>
    <w:rsid w:val="0022722E"/>
    <w:rsid w:val="00227253"/>
    <w:rsid w:val="00227319"/>
    <w:rsid w:val="002273A4"/>
    <w:rsid w:val="0022756A"/>
    <w:rsid w:val="0022766D"/>
    <w:rsid w:val="002276FE"/>
    <w:rsid w:val="00227920"/>
    <w:rsid w:val="00227940"/>
    <w:rsid w:val="0022797B"/>
    <w:rsid w:val="0022797D"/>
    <w:rsid w:val="002279A0"/>
    <w:rsid w:val="00227A32"/>
    <w:rsid w:val="00227A59"/>
    <w:rsid w:val="00227A5B"/>
    <w:rsid w:val="00227AC4"/>
    <w:rsid w:val="00227ADC"/>
    <w:rsid w:val="00227B1D"/>
    <w:rsid w:val="00227CA3"/>
    <w:rsid w:val="00227CB3"/>
    <w:rsid w:val="00227CBB"/>
    <w:rsid w:val="00227D61"/>
    <w:rsid w:val="00227D96"/>
    <w:rsid w:val="00227DCC"/>
    <w:rsid w:val="00227E03"/>
    <w:rsid w:val="00227E90"/>
    <w:rsid w:val="00227F69"/>
    <w:rsid w:val="00227F7A"/>
    <w:rsid w:val="00227FD6"/>
    <w:rsid w:val="002300B9"/>
    <w:rsid w:val="00230199"/>
    <w:rsid w:val="002301A1"/>
    <w:rsid w:val="002301D5"/>
    <w:rsid w:val="0023025F"/>
    <w:rsid w:val="002302AA"/>
    <w:rsid w:val="002302B0"/>
    <w:rsid w:val="002302C6"/>
    <w:rsid w:val="002302EC"/>
    <w:rsid w:val="0023037A"/>
    <w:rsid w:val="002303F2"/>
    <w:rsid w:val="00230510"/>
    <w:rsid w:val="0023053E"/>
    <w:rsid w:val="0023060C"/>
    <w:rsid w:val="0023060F"/>
    <w:rsid w:val="00230620"/>
    <w:rsid w:val="002306A1"/>
    <w:rsid w:val="0023074A"/>
    <w:rsid w:val="00230756"/>
    <w:rsid w:val="002307CA"/>
    <w:rsid w:val="00230843"/>
    <w:rsid w:val="0023084A"/>
    <w:rsid w:val="00230863"/>
    <w:rsid w:val="00230867"/>
    <w:rsid w:val="0023086B"/>
    <w:rsid w:val="002308E2"/>
    <w:rsid w:val="00230A28"/>
    <w:rsid w:val="00230A4D"/>
    <w:rsid w:val="00230C5A"/>
    <w:rsid w:val="00230CC5"/>
    <w:rsid w:val="00230D3C"/>
    <w:rsid w:val="00230DF6"/>
    <w:rsid w:val="00230ED7"/>
    <w:rsid w:val="00230FA8"/>
    <w:rsid w:val="00230FC3"/>
    <w:rsid w:val="0023101F"/>
    <w:rsid w:val="00231087"/>
    <w:rsid w:val="002310D8"/>
    <w:rsid w:val="002311AD"/>
    <w:rsid w:val="0023124C"/>
    <w:rsid w:val="002312A1"/>
    <w:rsid w:val="002312B0"/>
    <w:rsid w:val="00231356"/>
    <w:rsid w:val="00231394"/>
    <w:rsid w:val="002313E4"/>
    <w:rsid w:val="0023140A"/>
    <w:rsid w:val="0023142E"/>
    <w:rsid w:val="00231484"/>
    <w:rsid w:val="00231504"/>
    <w:rsid w:val="0023156C"/>
    <w:rsid w:val="00231638"/>
    <w:rsid w:val="00231659"/>
    <w:rsid w:val="00231671"/>
    <w:rsid w:val="0023172F"/>
    <w:rsid w:val="00231759"/>
    <w:rsid w:val="00231812"/>
    <w:rsid w:val="0023193F"/>
    <w:rsid w:val="00231973"/>
    <w:rsid w:val="00231979"/>
    <w:rsid w:val="002319A3"/>
    <w:rsid w:val="002319BC"/>
    <w:rsid w:val="002319CE"/>
    <w:rsid w:val="00231A2D"/>
    <w:rsid w:val="00231A62"/>
    <w:rsid w:val="00231AC7"/>
    <w:rsid w:val="00231AF2"/>
    <w:rsid w:val="00231BE1"/>
    <w:rsid w:val="00231D11"/>
    <w:rsid w:val="00231DF2"/>
    <w:rsid w:val="00231E16"/>
    <w:rsid w:val="00231E2F"/>
    <w:rsid w:val="00231F0C"/>
    <w:rsid w:val="00231F39"/>
    <w:rsid w:val="00231F75"/>
    <w:rsid w:val="00231FCF"/>
    <w:rsid w:val="00232052"/>
    <w:rsid w:val="00232103"/>
    <w:rsid w:val="00232163"/>
    <w:rsid w:val="0023216C"/>
    <w:rsid w:val="0023227C"/>
    <w:rsid w:val="0023232B"/>
    <w:rsid w:val="0023236B"/>
    <w:rsid w:val="00232512"/>
    <w:rsid w:val="00232552"/>
    <w:rsid w:val="002325C3"/>
    <w:rsid w:val="002325E6"/>
    <w:rsid w:val="00232604"/>
    <w:rsid w:val="0023267F"/>
    <w:rsid w:val="00232877"/>
    <w:rsid w:val="002328F7"/>
    <w:rsid w:val="00232987"/>
    <w:rsid w:val="00232A0F"/>
    <w:rsid w:val="00232ADC"/>
    <w:rsid w:val="00232B37"/>
    <w:rsid w:val="00232B57"/>
    <w:rsid w:val="00232B90"/>
    <w:rsid w:val="00232BCF"/>
    <w:rsid w:val="00232E33"/>
    <w:rsid w:val="00232E65"/>
    <w:rsid w:val="00232E81"/>
    <w:rsid w:val="00232EA0"/>
    <w:rsid w:val="00232F34"/>
    <w:rsid w:val="00232F47"/>
    <w:rsid w:val="00232F87"/>
    <w:rsid w:val="00232F8E"/>
    <w:rsid w:val="00232FA0"/>
    <w:rsid w:val="00232FB4"/>
    <w:rsid w:val="002331FE"/>
    <w:rsid w:val="00233246"/>
    <w:rsid w:val="00233270"/>
    <w:rsid w:val="002332B0"/>
    <w:rsid w:val="002332B6"/>
    <w:rsid w:val="00233361"/>
    <w:rsid w:val="002333C2"/>
    <w:rsid w:val="0023346C"/>
    <w:rsid w:val="0023350C"/>
    <w:rsid w:val="00233516"/>
    <w:rsid w:val="002336FF"/>
    <w:rsid w:val="00233744"/>
    <w:rsid w:val="00233787"/>
    <w:rsid w:val="002337D8"/>
    <w:rsid w:val="00233814"/>
    <w:rsid w:val="0023384D"/>
    <w:rsid w:val="00233AAB"/>
    <w:rsid w:val="00233AEF"/>
    <w:rsid w:val="00233BBA"/>
    <w:rsid w:val="00233CD7"/>
    <w:rsid w:val="00233CDB"/>
    <w:rsid w:val="00233D24"/>
    <w:rsid w:val="00233D39"/>
    <w:rsid w:val="00233D43"/>
    <w:rsid w:val="00233D74"/>
    <w:rsid w:val="00233E9A"/>
    <w:rsid w:val="00233F3C"/>
    <w:rsid w:val="00233F43"/>
    <w:rsid w:val="00233F61"/>
    <w:rsid w:val="00233FCF"/>
    <w:rsid w:val="00234004"/>
    <w:rsid w:val="0023406D"/>
    <w:rsid w:val="00234087"/>
    <w:rsid w:val="002340A4"/>
    <w:rsid w:val="002340B5"/>
    <w:rsid w:val="002340E0"/>
    <w:rsid w:val="0023419A"/>
    <w:rsid w:val="002342B6"/>
    <w:rsid w:val="002342FB"/>
    <w:rsid w:val="00234349"/>
    <w:rsid w:val="00234358"/>
    <w:rsid w:val="00234379"/>
    <w:rsid w:val="002343EC"/>
    <w:rsid w:val="00234456"/>
    <w:rsid w:val="00234457"/>
    <w:rsid w:val="002344C9"/>
    <w:rsid w:val="0023450F"/>
    <w:rsid w:val="0023451F"/>
    <w:rsid w:val="00234543"/>
    <w:rsid w:val="002345C9"/>
    <w:rsid w:val="00234658"/>
    <w:rsid w:val="0023466C"/>
    <w:rsid w:val="002346A1"/>
    <w:rsid w:val="00234790"/>
    <w:rsid w:val="00234794"/>
    <w:rsid w:val="00234823"/>
    <w:rsid w:val="00234843"/>
    <w:rsid w:val="00234853"/>
    <w:rsid w:val="00234950"/>
    <w:rsid w:val="00234992"/>
    <w:rsid w:val="0023499B"/>
    <w:rsid w:val="002349EB"/>
    <w:rsid w:val="00234A6A"/>
    <w:rsid w:val="00234B10"/>
    <w:rsid w:val="00234B2E"/>
    <w:rsid w:val="00234BFC"/>
    <w:rsid w:val="00234C08"/>
    <w:rsid w:val="00234D5D"/>
    <w:rsid w:val="00234D89"/>
    <w:rsid w:val="00234E1E"/>
    <w:rsid w:val="00234E31"/>
    <w:rsid w:val="00234EBC"/>
    <w:rsid w:val="00235014"/>
    <w:rsid w:val="0023507E"/>
    <w:rsid w:val="0023518D"/>
    <w:rsid w:val="0023519D"/>
    <w:rsid w:val="002351BA"/>
    <w:rsid w:val="002352B5"/>
    <w:rsid w:val="002353C9"/>
    <w:rsid w:val="002353E9"/>
    <w:rsid w:val="0023542D"/>
    <w:rsid w:val="0023548A"/>
    <w:rsid w:val="002354C4"/>
    <w:rsid w:val="002354C9"/>
    <w:rsid w:val="002354F0"/>
    <w:rsid w:val="002354FB"/>
    <w:rsid w:val="0023554D"/>
    <w:rsid w:val="0023556D"/>
    <w:rsid w:val="00235762"/>
    <w:rsid w:val="002357F2"/>
    <w:rsid w:val="002359AC"/>
    <w:rsid w:val="002359F1"/>
    <w:rsid w:val="002359F2"/>
    <w:rsid w:val="00235A8F"/>
    <w:rsid w:val="00235BA9"/>
    <w:rsid w:val="00235BEE"/>
    <w:rsid w:val="00235C94"/>
    <w:rsid w:val="00235D95"/>
    <w:rsid w:val="00235DCD"/>
    <w:rsid w:val="00235DE4"/>
    <w:rsid w:val="00235E0A"/>
    <w:rsid w:val="00235E52"/>
    <w:rsid w:val="00235EDA"/>
    <w:rsid w:val="00235F00"/>
    <w:rsid w:val="00236055"/>
    <w:rsid w:val="00236154"/>
    <w:rsid w:val="0023617B"/>
    <w:rsid w:val="002361D3"/>
    <w:rsid w:val="0023626B"/>
    <w:rsid w:val="0023627E"/>
    <w:rsid w:val="002362BC"/>
    <w:rsid w:val="00236334"/>
    <w:rsid w:val="0023639A"/>
    <w:rsid w:val="00236429"/>
    <w:rsid w:val="00236444"/>
    <w:rsid w:val="0023652C"/>
    <w:rsid w:val="002365AB"/>
    <w:rsid w:val="00236698"/>
    <w:rsid w:val="002366B7"/>
    <w:rsid w:val="002366D8"/>
    <w:rsid w:val="0023671C"/>
    <w:rsid w:val="00236722"/>
    <w:rsid w:val="0023675C"/>
    <w:rsid w:val="00236782"/>
    <w:rsid w:val="002367DA"/>
    <w:rsid w:val="002367E8"/>
    <w:rsid w:val="00236832"/>
    <w:rsid w:val="002368BF"/>
    <w:rsid w:val="00236901"/>
    <w:rsid w:val="00236988"/>
    <w:rsid w:val="00236A3F"/>
    <w:rsid w:val="00236A95"/>
    <w:rsid w:val="00236AB6"/>
    <w:rsid w:val="00236AC9"/>
    <w:rsid w:val="00236AF3"/>
    <w:rsid w:val="00236B0A"/>
    <w:rsid w:val="00236C5D"/>
    <w:rsid w:val="00236D3A"/>
    <w:rsid w:val="00236DA5"/>
    <w:rsid w:val="00236E02"/>
    <w:rsid w:val="00236E11"/>
    <w:rsid w:val="00236E50"/>
    <w:rsid w:val="00236E58"/>
    <w:rsid w:val="00236EB1"/>
    <w:rsid w:val="00236EFC"/>
    <w:rsid w:val="00236F4F"/>
    <w:rsid w:val="00236F5D"/>
    <w:rsid w:val="00236F7B"/>
    <w:rsid w:val="0023700E"/>
    <w:rsid w:val="0023703B"/>
    <w:rsid w:val="002371CD"/>
    <w:rsid w:val="00237268"/>
    <w:rsid w:val="00237274"/>
    <w:rsid w:val="002372BA"/>
    <w:rsid w:val="002373A5"/>
    <w:rsid w:val="0023746E"/>
    <w:rsid w:val="00237497"/>
    <w:rsid w:val="002374EE"/>
    <w:rsid w:val="00237501"/>
    <w:rsid w:val="00237521"/>
    <w:rsid w:val="0023752B"/>
    <w:rsid w:val="00237535"/>
    <w:rsid w:val="00237607"/>
    <w:rsid w:val="002377B2"/>
    <w:rsid w:val="00237899"/>
    <w:rsid w:val="002378CF"/>
    <w:rsid w:val="002379BA"/>
    <w:rsid w:val="00237B13"/>
    <w:rsid w:val="00237B4A"/>
    <w:rsid w:val="00237BE3"/>
    <w:rsid w:val="00237C3D"/>
    <w:rsid w:val="00237C65"/>
    <w:rsid w:val="00237D0A"/>
    <w:rsid w:val="00237DFB"/>
    <w:rsid w:val="00237E82"/>
    <w:rsid w:val="00237EF7"/>
    <w:rsid w:val="00237EFB"/>
    <w:rsid w:val="00240058"/>
    <w:rsid w:val="002400A1"/>
    <w:rsid w:val="00240183"/>
    <w:rsid w:val="002401B4"/>
    <w:rsid w:val="002401DC"/>
    <w:rsid w:val="0024026D"/>
    <w:rsid w:val="00240270"/>
    <w:rsid w:val="0024037B"/>
    <w:rsid w:val="0024038B"/>
    <w:rsid w:val="0024057D"/>
    <w:rsid w:val="002405FE"/>
    <w:rsid w:val="0024061D"/>
    <w:rsid w:val="00240674"/>
    <w:rsid w:val="00240754"/>
    <w:rsid w:val="00240876"/>
    <w:rsid w:val="0024090A"/>
    <w:rsid w:val="002409B8"/>
    <w:rsid w:val="00240A9A"/>
    <w:rsid w:val="00240B99"/>
    <w:rsid w:val="00240C37"/>
    <w:rsid w:val="00240C5D"/>
    <w:rsid w:val="00240C6A"/>
    <w:rsid w:val="00240C70"/>
    <w:rsid w:val="00240CA3"/>
    <w:rsid w:val="00240CDF"/>
    <w:rsid w:val="00240D17"/>
    <w:rsid w:val="00240D58"/>
    <w:rsid w:val="00240DEF"/>
    <w:rsid w:val="00240E25"/>
    <w:rsid w:val="00240E46"/>
    <w:rsid w:val="00240F23"/>
    <w:rsid w:val="00240FA5"/>
    <w:rsid w:val="0024100B"/>
    <w:rsid w:val="002410F7"/>
    <w:rsid w:val="00241122"/>
    <w:rsid w:val="0024113D"/>
    <w:rsid w:val="002411DD"/>
    <w:rsid w:val="00241207"/>
    <w:rsid w:val="00241216"/>
    <w:rsid w:val="00241309"/>
    <w:rsid w:val="00241343"/>
    <w:rsid w:val="002413BB"/>
    <w:rsid w:val="00241436"/>
    <w:rsid w:val="002414DF"/>
    <w:rsid w:val="002414F7"/>
    <w:rsid w:val="00241527"/>
    <w:rsid w:val="00241550"/>
    <w:rsid w:val="0024160F"/>
    <w:rsid w:val="0024166C"/>
    <w:rsid w:val="00241688"/>
    <w:rsid w:val="00241696"/>
    <w:rsid w:val="00241726"/>
    <w:rsid w:val="00241743"/>
    <w:rsid w:val="00241791"/>
    <w:rsid w:val="002417E6"/>
    <w:rsid w:val="0024184E"/>
    <w:rsid w:val="00241856"/>
    <w:rsid w:val="002419B0"/>
    <w:rsid w:val="00241B1A"/>
    <w:rsid w:val="00241BC0"/>
    <w:rsid w:val="00241C96"/>
    <w:rsid w:val="00241D16"/>
    <w:rsid w:val="00241EBD"/>
    <w:rsid w:val="00241F93"/>
    <w:rsid w:val="00241FD8"/>
    <w:rsid w:val="00241FF0"/>
    <w:rsid w:val="00242003"/>
    <w:rsid w:val="002420C2"/>
    <w:rsid w:val="002420D3"/>
    <w:rsid w:val="0024212A"/>
    <w:rsid w:val="00242259"/>
    <w:rsid w:val="0024229B"/>
    <w:rsid w:val="002422C9"/>
    <w:rsid w:val="0024239D"/>
    <w:rsid w:val="002423E3"/>
    <w:rsid w:val="0024246C"/>
    <w:rsid w:val="002424FA"/>
    <w:rsid w:val="002425C2"/>
    <w:rsid w:val="002425E8"/>
    <w:rsid w:val="00242642"/>
    <w:rsid w:val="00242688"/>
    <w:rsid w:val="0024268E"/>
    <w:rsid w:val="002426E2"/>
    <w:rsid w:val="0024270E"/>
    <w:rsid w:val="002427A1"/>
    <w:rsid w:val="002427BD"/>
    <w:rsid w:val="0024289C"/>
    <w:rsid w:val="0024295C"/>
    <w:rsid w:val="00242972"/>
    <w:rsid w:val="00242A10"/>
    <w:rsid w:val="00242A25"/>
    <w:rsid w:val="00242A5B"/>
    <w:rsid w:val="00242A7E"/>
    <w:rsid w:val="00242AD2"/>
    <w:rsid w:val="00242AD7"/>
    <w:rsid w:val="00242B16"/>
    <w:rsid w:val="00242B40"/>
    <w:rsid w:val="00242B4C"/>
    <w:rsid w:val="00242BF5"/>
    <w:rsid w:val="00242C0D"/>
    <w:rsid w:val="00242C61"/>
    <w:rsid w:val="00242CE9"/>
    <w:rsid w:val="00242D1A"/>
    <w:rsid w:val="00242D2E"/>
    <w:rsid w:val="00242D3D"/>
    <w:rsid w:val="00242D5B"/>
    <w:rsid w:val="00242D8B"/>
    <w:rsid w:val="00242DC8"/>
    <w:rsid w:val="00242E01"/>
    <w:rsid w:val="00242E29"/>
    <w:rsid w:val="00242E8D"/>
    <w:rsid w:val="00242F53"/>
    <w:rsid w:val="00243001"/>
    <w:rsid w:val="00243061"/>
    <w:rsid w:val="002430C1"/>
    <w:rsid w:val="002432D6"/>
    <w:rsid w:val="002432E3"/>
    <w:rsid w:val="00243353"/>
    <w:rsid w:val="00243371"/>
    <w:rsid w:val="002433DC"/>
    <w:rsid w:val="00243401"/>
    <w:rsid w:val="00243410"/>
    <w:rsid w:val="0024341A"/>
    <w:rsid w:val="0024362C"/>
    <w:rsid w:val="00243659"/>
    <w:rsid w:val="002437F9"/>
    <w:rsid w:val="002437FA"/>
    <w:rsid w:val="002438A0"/>
    <w:rsid w:val="0024390D"/>
    <w:rsid w:val="00243927"/>
    <w:rsid w:val="00243936"/>
    <w:rsid w:val="002439E4"/>
    <w:rsid w:val="00243A35"/>
    <w:rsid w:val="00243A3C"/>
    <w:rsid w:val="00243A84"/>
    <w:rsid w:val="00243B15"/>
    <w:rsid w:val="00243B66"/>
    <w:rsid w:val="00243BD7"/>
    <w:rsid w:val="00243C67"/>
    <w:rsid w:val="00243D4B"/>
    <w:rsid w:val="00243EA3"/>
    <w:rsid w:val="0024405E"/>
    <w:rsid w:val="002440E9"/>
    <w:rsid w:val="00244177"/>
    <w:rsid w:val="0024418F"/>
    <w:rsid w:val="002441E9"/>
    <w:rsid w:val="00244277"/>
    <w:rsid w:val="00244365"/>
    <w:rsid w:val="00244439"/>
    <w:rsid w:val="0024443C"/>
    <w:rsid w:val="00244513"/>
    <w:rsid w:val="0024451B"/>
    <w:rsid w:val="00244564"/>
    <w:rsid w:val="00244580"/>
    <w:rsid w:val="0024459E"/>
    <w:rsid w:val="002445A1"/>
    <w:rsid w:val="0024462D"/>
    <w:rsid w:val="0024466F"/>
    <w:rsid w:val="00244690"/>
    <w:rsid w:val="002446F0"/>
    <w:rsid w:val="0024475C"/>
    <w:rsid w:val="00244861"/>
    <w:rsid w:val="002448B4"/>
    <w:rsid w:val="002448B8"/>
    <w:rsid w:val="002449C8"/>
    <w:rsid w:val="00244A49"/>
    <w:rsid w:val="00244A57"/>
    <w:rsid w:val="00244A5D"/>
    <w:rsid w:val="00244A9A"/>
    <w:rsid w:val="00244AE1"/>
    <w:rsid w:val="00244AF8"/>
    <w:rsid w:val="00244C8B"/>
    <w:rsid w:val="00244C9B"/>
    <w:rsid w:val="00244CB7"/>
    <w:rsid w:val="00244CDB"/>
    <w:rsid w:val="00244CEC"/>
    <w:rsid w:val="00244D47"/>
    <w:rsid w:val="00244DB6"/>
    <w:rsid w:val="00244DC4"/>
    <w:rsid w:val="00244E5D"/>
    <w:rsid w:val="00244E92"/>
    <w:rsid w:val="00244EC7"/>
    <w:rsid w:val="00244F49"/>
    <w:rsid w:val="00245248"/>
    <w:rsid w:val="00245270"/>
    <w:rsid w:val="002452A0"/>
    <w:rsid w:val="002452E4"/>
    <w:rsid w:val="002452FB"/>
    <w:rsid w:val="00245315"/>
    <w:rsid w:val="002453D7"/>
    <w:rsid w:val="00245427"/>
    <w:rsid w:val="0024551F"/>
    <w:rsid w:val="00245599"/>
    <w:rsid w:val="00245797"/>
    <w:rsid w:val="002457AB"/>
    <w:rsid w:val="002457F8"/>
    <w:rsid w:val="00245918"/>
    <w:rsid w:val="0024592B"/>
    <w:rsid w:val="00245936"/>
    <w:rsid w:val="0024597D"/>
    <w:rsid w:val="00245995"/>
    <w:rsid w:val="002459BF"/>
    <w:rsid w:val="002459FF"/>
    <w:rsid w:val="00245A94"/>
    <w:rsid w:val="00245C47"/>
    <w:rsid w:val="00245CCE"/>
    <w:rsid w:val="00245D34"/>
    <w:rsid w:val="00245D40"/>
    <w:rsid w:val="00245E9B"/>
    <w:rsid w:val="00245E9E"/>
    <w:rsid w:val="00245F16"/>
    <w:rsid w:val="00245F48"/>
    <w:rsid w:val="00245F51"/>
    <w:rsid w:val="00245FCF"/>
    <w:rsid w:val="00245FF7"/>
    <w:rsid w:val="002460A4"/>
    <w:rsid w:val="002460D0"/>
    <w:rsid w:val="00246118"/>
    <w:rsid w:val="00246123"/>
    <w:rsid w:val="00246134"/>
    <w:rsid w:val="00246247"/>
    <w:rsid w:val="002462FC"/>
    <w:rsid w:val="00246321"/>
    <w:rsid w:val="00246341"/>
    <w:rsid w:val="0024638F"/>
    <w:rsid w:val="002463D9"/>
    <w:rsid w:val="0024640D"/>
    <w:rsid w:val="0024646D"/>
    <w:rsid w:val="002464A6"/>
    <w:rsid w:val="002464A9"/>
    <w:rsid w:val="002464F1"/>
    <w:rsid w:val="00246517"/>
    <w:rsid w:val="00246533"/>
    <w:rsid w:val="0024653A"/>
    <w:rsid w:val="0024657C"/>
    <w:rsid w:val="00246697"/>
    <w:rsid w:val="0024669A"/>
    <w:rsid w:val="002466A6"/>
    <w:rsid w:val="002466CC"/>
    <w:rsid w:val="0024675B"/>
    <w:rsid w:val="00246789"/>
    <w:rsid w:val="0024679E"/>
    <w:rsid w:val="002467D5"/>
    <w:rsid w:val="0024683B"/>
    <w:rsid w:val="00246904"/>
    <w:rsid w:val="00246963"/>
    <w:rsid w:val="00246A15"/>
    <w:rsid w:val="00246A95"/>
    <w:rsid w:val="00246AE9"/>
    <w:rsid w:val="00246B39"/>
    <w:rsid w:val="00246B87"/>
    <w:rsid w:val="00246BB1"/>
    <w:rsid w:val="00246C06"/>
    <w:rsid w:val="00246C47"/>
    <w:rsid w:val="00246CF3"/>
    <w:rsid w:val="00246E1B"/>
    <w:rsid w:val="00246E41"/>
    <w:rsid w:val="00246E6A"/>
    <w:rsid w:val="00246E78"/>
    <w:rsid w:val="00246EB6"/>
    <w:rsid w:val="00246EBC"/>
    <w:rsid w:val="00246FD1"/>
    <w:rsid w:val="00247094"/>
    <w:rsid w:val="002470F6"/>
    <w:rsid w:val="0024717B"/>
    <w:rsid w:val="002471A3"/>
    <w:rsid w:val="002471AA"/>
    <w:rsid w:val="002471D7"/>
    <w:rsid w:val="002471E2"/>
    <w:rsid w:val="0024730D"/>
    <w:rsid w:val="0024732C"/>
    <w:rsid w:val="0024732F"/>
    <w:rsid w:val="002474C6"/>
    <w:rsid w:val="0024756C"/>
    <w:rsid w:val="00247635"/>
    <w:rsid w:val="0024769D"/>
    <w:rsid w:val="00247726"/>
    <w:rsid w:val="0024773E"/>
    <w:rsid w:val="002477B4"/>
    <w:rsid w:val="0024788F"/>
    <w:rsid w:val="002478EC"/>
    <w:rsid w:val="002479C6"/>
    <w:rsid w:val="002479D8"/>
    <w:rsid w:val="00247A2B"/>
    <w:rsid w:val="00247A3E"/>
    <w:rsid w:val="00247A47"/>
    <w:rsid w:val="00247B23"/>
    <w:rsid w:val="00247B3F"/>
    <w:rsid w:val="00247B62"/>
    <w:rsid w:val="00247BC7"/>
    <w:rsid w:val="00247C48"/>
    <w:rsid w:val="00247CC7"/>
    <w:rsid w:val="00247D1B"/>
    <w:rsid w:val="00247D23"/>
    <w:rsid w:val="00247DD5"/>
    <w:rsid w:val="00247E55"/>
    <w:rsid w:val="00247F4A"/>
    <w:rsid w:val="00247FCB"/>
    <w:rsid w:val="00250009"/>
    <w:rsid w:val="00250037"/>
    <w:rsid w:val="00250064"/>
    <w:rsid w:val="002500EC"/>
    <w:rsid w:val="002500EF"/>
    <w:rsid w:val="00250146"/>
    <w:rsid w:val="00250160"/>
    <w:rsid w:val="00250185"/>
    <w:rsid w:val="002501D5"/>
    <w:rsid w:val="0025022E"/>
    <w:rsid w:val="002502CC"/>
    <w:rsid w:val="0025034D"/>
    <w:rsid w:val="00250373"/>
    <w:rsid w:val="00250419"/>
    <w:rsid w:val="00250466"/>
    <w:rsid w:val="002504C0"/>
    <w:rsid w:val="002504C3"/>
    <w:rsid w:val="002504F4"/>
    <w:rsid w:val="00250508"/>
    <w:rsid w:val="00250519"/>
    <w:rsid w:val="0025056A"/>
    <w:rsid w:val="002505A9"/>
    <w:rsid w:val="0025062C"/>
    <w:rsid w:val="002506EE"/>
    <w:rsid w:val="002506FE"/>
    <w:rsid w:val="002507F6"/>
    <w:rsid w:val="00250838"/>
    <w:rsid w:val="00250844"/>
    <w:rsid w:val="0025088E"/>
    <w:rsid w:val="0025091F"/>
    <w:rsid w:val="0025095A"/>
    <w:rsid w:val="002509B4"/>
    <w:rsid w:val="00250BAF"/>
    <w:rsid w:val="00250C4F"/>
    <w:rsid w:val="00250C61"/>
    <w:rsid w:val="00250C69"/>
    <w:rsid w:val="00250C89"/>
    <w:rsid w:val="00250C9F"/>
    <w:rsid w:val="00250D0C"/>
    <w:rsid w:val="00250D12"/>
    <w:rsid w:val="00250D1C"/>
    <w:rsid w:val="00250D43"/>
    <w:rsid w:val="00250D64"/>
    <w:rsid w:val="00250DF9"/>
    <w:rsid w:val="00250E5B"/>
    <w:rsid w:val="00250E5F"/>
    <w:rsid w:val="00250E67"/>
    <w:rsid w:val="00250EFB"/>
    <w:rsid w:val="00251088"/>
    <w:rsid w:val="002510F9"/>
    <w:rsid w:val="00251179"/>
    <w:rsid w:val="002511E2"/>
    <w:rsid w:val="0025134E"/>
    <w:rsid w:val="002513A4"/>
    <w:rsid w:val="0025145A"/>
    <w:rsid w:val="0025146F"/>
    <w:rsid w:val="002514F4"/>
    <w:rsid w:val="00251505"/>
    <w:rsid w:val="002515F7"/>
    <w:rsid w:val="0025163D"/>
    <w:rsid w:val="002516F7"/>
    <w:rsid w:val="0025171A"/>
    <w:rsid w:val="00251768"/>
    <w:rsid w:val="002517C9"/>
    <w:rsid w:val="00251865"/>
    <w:rsid w:val="002518B7"/>
    <w:rsid w:val="0025191E"/>
    <w:rsid w:val="0025197C"/>
    <w:rsid w:val="00251A82"/>
    <w:rsid w:val="00251A88"/>
    <w:rsid w:val="00251B4F"/>
    <w:rsid w:val="00251B63"/>
    <w:rsid w:val="00251C0D"/>
    <w:rsid w:val="00251C58"/>
    <w:rsid w:val="00251CC4"/>
    <w:rsid w:val="00251CE2"/>
    <w:rsid w:val="00251D23"/>
    <w:rsid w:val="00251D87"/>
    <w:rsid w:val="00251DA3"/>
    <w:rsid w:val="00251DCE"/>
    <w:rsid w:val="00251E77"/>
    <w:rsid w:val="00251E95"/>
    <w:rsid w:val="00251EB7"/>
    <w:rsid w:val="00251F29"/>
    <w:rsid w:val="00251F7F"/>
    <w:rsid w:val="00251F84"/>
    <w:rsid w:val="00251FA9"/>
    <w:rsid w:val="00251FD5"/>
    <w:rsid w:val="00252082"/>
    <w:rsid w:val="002520E4"/>
    <w:rsid w:val="002520EC"/>
    <w:rsid w:val="00252114"/>
    <w:rsid w:val="00252123"/>
    <w:rsid w:val="0025213A"/>
    <w:rsid w:val="002521A7"/>
    <w:rsid w:val="002522DB"/>
    <w:rsid w:val="00252341"/>
    <w:rsid w:val="002523CD"/>
    <w:rsid w:val="002523DE"/>
    <w:rsid w:val="0025244D"/>
    <w:rsid w:val="00252458"/>
    <w:rsid w:val="00252471"/>
    <w:rsid w:val="0025256C"/>
    <w:rsid w:val="00252635"/>
    <w:rsid w:val="00252717"/>
    <w:rsid w:val="0025273F"/>
    <w:rsid w:val="00252763"/>
    <w:rsid w:val="0025285F"/>
    <w:rsid w:val="002528FD"/>
    <w:rsid w:val="00252A4C"/>
    <w:rsid w:val="00252A4D"/>
    <w:rsid w:val="00252A7A"/>
    <w:rsid w:val="00252AA7"/>
    <w:rsid w:val="00252ABA"/>
    <w:rsid w:val="00252B40"/>
    <w:rsid w:val="00252BAB"/>
    <w:rsid w:val="00252CA4"/>
    <w:rsid w:val="00252CC2"/>
    <w:rsid w:val="00252CDB"/>
    <w:rsid w:val="00252D3C"/>
    <w:rsid w:val="00252D41"/>
    <w:rsid w:val="00252DA6"/>
    <w:rsid w:val="00252DD3"/>
    <w:rsid w:val="00252E10"/>
    <w:rsid w:val="00252E68"/>
    <w:rsid w:val="00252F43"/>
    <w:rsid w:val="00253028"/>
    <w:rsid w:val="00253036"/>
    <w:rsid w:val="00253066"/>
    <w:rsid w:val="0025309A"/>
    <w:rsid w:val="00253100"/>
    <w:rsid w:val="00253147"/>
    <w:rsid w:val="0025318F"/>
    <w:rsid w:val="0025324D"/>
    <w:rsid w:val="0025335A"/>
    <w:rsid w:val="00253382"/>
    <w:rsid w:val="002533DD"/>
    <w:rsid w:val="00253483"/>
    <w:rsid w:val="00253601"/>
    <w:rsid w:val="00253636"/>
    <w:rsid w:val="0025364B"/>
    <w:rsid w:val="002538CD"/>
    <w:rsid w:val="00253A28"/>
    <w:rsid w:val="00253A4C"/>
    <w:rsid w:val="00253A9D"/>
    <w:rsid w:val="00253AF7"/>
    <w:rsid w:val="00253B2F"/>
    <w:rsid w:val="00253B3A"/>
    <w:rsid w:val="00253BAF"/>
    <w:rsid w:val="00253C06"/>
    <w:rsid w:val="00253D9B"/>
    <w:rsid w:val="00253E0A"/>
    <w:rsid w:val="00253E1F"/>
    <w:rsid w:val="00253E3F"/>
    <w:rsid w:val="00253EF9"/>
    <w:rsid w:val="00253F55"/>
    <w:rsid w:val="002540A9"/>
    <w:rsid w:val="002540AC"/>
    <w:rsid w:val="00254127"/>
    <w:rsid w:val="00254136"/>
    <w:rsid w:val="00254184"/>
    <w:rsid w:val="00254188"/>
    <w:rsid w:val="00254291"/>
    <w:rsid w:val="0025437B"/>
    <w:rsid w:val="0025450A"/>
    <w:rsid w:val="00254512"/>
    <w:rsid w:val="0025466A"/>
    <w:rsid w:val="0025471C"/>
    <w:rsid w:val="00254750"/>
    <w:rsid w:val="00254805"/>
    <w:rsid w:val="00254869"/>
    <w:rsid w:val="00254885"/>
    <w:rsid w:val="002548BC"/>
    <w:rsid w:val="002548DE"/>
    <w:rsid w:val="0025491E"/>
    <w:rsid w:val="00254947"/>
    <w:rsid w:val="002549AD"/>
    <w:rsid w:val="00254ABB"/>
    <w:rsid w:val="00254B3E"/>
    <w:rsid w:val="00254B6C"/>
    <w:rsid w:val="00254B79"/>
    <w:rsid w:val="00254B90"/>
    <w:rsid w:val="00254BF4"/>
    <w:rsid w:val="00254C7B"/>
    <w:rsid w:val="00254D4D"/>
    <w:rsid w:val="00254EAD"/>
    <w:rsid w:val="00254FA2"/>
    <w:rsid w:val="0025506C"/>
    <w:rsid w:val="002550BD"/>
    <w:rsid w:val="00255117"/>
    <w:rsid w:val="00255157"/>
    <w:rsid w:val="00255204"/>
    <w:rsid w:val="00255279"/>
    <w:rsid w:val="002552BE"/>
    <w:rsid w:val="0025535D"/>
    <w:rsid w:val="0025536E"/>
    <w:rsid w:val="00255375"/>
    <w:rsid w:val="00255383"/>
    <w:rsid w:val="002553BE"/>
    <w:rsid w:val="002554CD"/>
    <w:rsid w:val="00255606"/>
    <w:rsid w:val="00255658"/>
    <w:rsid w:val="0025571B"/>
    <w:rsid w:val="00255744"/>
    <w:rsid w:val="002557E7"/>
    <w:rsid w:val="002558E0"/>
    <w:rsid w:val="00255950"/>
    <w:rsid w:val="00255963"/>
    <w:rsid w:val="002559B4"/>
    <w:rsid w:val="002559BB"/>
    <w:rsid w:val="00255A3B"/>
    <w:rsid w:val="00255A53"/>
    <w:rsid w:val="00255A5B"/>
    <w:rsid w:val="00255B05"/>
    <w:rsid w:val="00255B6F"/>
    <w:rsid w:val="00255BE3"/>
    <w:rsid w:val="00255C3C"/>
    <w:rsid w:val="00255C95"/>
    <w:rsid w:val="00255CD0"/>
    <w:rsid w:val="00255D5C"/>
    <w:rsid w:val="00255D9C"/>
    <w:rsid w:val="00255ED9"/>
    <w:rsid w:val="00255F06"/>
    <w:rsid w:val="00255F2C"/>
    <w:rsid w:val="00255F70"/>
    <w:rsid w:val="00255FE8"/>
    <w:rsid w:val="0025611A"/>
    <w:rsid w:val="0025615C"/>
    <w:rsid w:val="00256162"/>
    <w:rsid w:val="002561A6"/>
    <w:rsid w:val="0025630E"/>
    <w:rsid w:val="00256314"/>
    <w:rsid w:val="00256342"/>
    <w:rsid w:val="0025639F"/>
    <w:rsid w:val="002563DF"/>
    <w:rsid w:val="00256421"/>
    <w:rsid w:val="0025648F"/>
    <w:rsid w:val="0025652B"/>
    <w:rsid w:val="00256645"/>
    <w:rsid w:val="002566A0"/>
    <w:rsid w:val="002566D1"/>
    <w:rsid w:val="0025678E"/>
    <w:rsid w:val="0025683E"/>
    <w:rsid w:val="0025687A"/>
    <w:rsid w:val="00256901"/>
    <w:rsid w:val="00256971"/>
    <w:rsid w:val="002569B9"/>
    <w:rsid w:val="002569DD"/>
    <w:rsid w:val="002569F3"/>
    <w:rsid w:val="00256A1C"/>
    <w:rsid w:val="00256A40"/>
    <w:rsid w:val="00256A6E"/>
    <w:rsid w:val="00256A9A"/>
    <w:rsid w:val="00256ABD"/>
    <w:rsid w:val="00256BF3"/>
    <w:rsid w:val="00256C39"/>
    <w:rsid w:val="00256C75"/>
    <w:rsid w:val="00256CEA"/>
    <w:rsid w:val="00256D24"/>
    <w:rsid w:val="00256D39"/>
    <w:rsid w:val="00256D61"/>
    <w:rsid w:val="00256E22"/>
    <w:rsid w:val="00256E26"/>
    <w:rsid w:val="00256E76"/>
    <w:rsid w:val="00256E7C"/>
    <w:rsid w:val="00256E7F"/>
    <w:rsid w:val="00256F11"/>
    <w:rsid w:val="00256F8E"/>
    <w:rsid w:val="00256FA0"/>
    <w:rsid w:val="00256FD1"/>
    <w:rsid w:val="00257012"/>
    <w:rsid w:val="00257050"/>
    <w:rsid w:val="00257106"/>
    <w:rsid w:val="00257183"/>
    <w:rsid w:val="00257198"/>
    <w:rsid w:val="0025724C"/>
    <w:rsid w:val="0025728A"/>
    <w:rsid w:val="00257345"/>
    <w:rsid w:val="002573F7"/>
    <w:rsid w:val="0025741A"/>
    <w:rsid w:val="0025746D"/>
    <w:rsid w:val="002574D8"/>
    <w:rsid w:val="00257550"/>
    <w:rsid w:val="0025757A"/>
    <w:rsid w:val="002575AA"/>
    <w:rsid w:val="00257661"/>
    <w:rsid w:val="00257681"/>
    <w:rsid w:val="002576BD"/>
    <w:rsid w:val="00257893"/>
    <w:rsid w:val="0025789F"/>
    <w:rsid w:val="002578A8"/>
    <w:rsid w:val="002579C8"/>
    <w:rsid w:val="002579D2"/>
    <w:rsid w:val="002579DB"/>
    <w:rsid w:val="00257ABC"/>
    <w:rsid w:val="00257AD1"/>
    <w:rsid w:val="00257ADE"/>
    <w:rsid w:val="00257AF0"/>
    <w:rsid w:val="00257B03"/>
    <w:rsid w:val="00257B3B"/>
    <w:rsid w:val="00257BC7"/>
    <w:rsid w:val="00257C7B"/>
    <w:rsid w:val="00257CAE"/>
    <w:rsid w:val="00257CE3"/>
    <w:rsid w:val="00257D17"/>
    <w:rsid w:val="00257D27"/>
    <w:rsid w:val="00257D2F"/>
    <w:rsid w:val="00257E5A"/>
    <w:rsid w:val="00257E63"/>
    <w:rsid w:val="00257EC2"/>
    <w:rsid w:val="00257EDA"/>
    <w:rsid w:val="00257F24"/>
    <w:rsid w:val="00257FB9"/>
    <w:rsid w:val="0026001E"/>
    <w:rsid w:val="002600D4"/>
    <w:rsid w:val="00260150"/>
    <w:rsid w:val="002601B6"/>
    <w:rsid w:val="0026030F"/>
    <w:rsid w:val="00260310"/>
    <w:rsid w:val="00260353"/>
    <w:rsid w:val="002603D4"/>
    <w:rsid w:val="00260403"/>
    <w:rsid w:val="00260515"/>
    <w:rsid w:val="0026058C"/>
    <w:rsid w:val="002605A8"/>
    <w:rsid w:val="00260610"/>
    <w:rsid w:val="0026065B"/>
    <w:rsid w:val="002606AF"/>
    <w:rsid w:val="002606D7"/>
    <w:rsid w:val="002608CE"/>
    <w:rsid w:val="0026092A"/>
    <w:rsid w:val="0026093E"/>
    <w:rsid w:val="00260A9F"/>
    <w:rsid w:val="00260AAF"/>
    <w:rsid w:val="00260B62"/>
    <w:rsid w:val="00260BEA"/>
    <w:rsid w:val="00260C0E"/>
    <w:rsid w:val="00260C3B"/>
    <w:rsid w:val="00260DD0"/>
    <w:rsid w:val="00260E2C"/>
    <w:rsid w:val="00260E61"/>
    <w:rsid w:val="00260E8D"/>
    <w:rsid w:val="00260EF8"/>
    <w:rsid w:val="00260FED"/>
    <w:rsid w:val="00260FFF"/>
    <w:rsid w:val="00261040"/>
    <w:rsid w:val="00261054"/>
    <w:rsid w:val="00261065"/>
    <w:rsid w:val="0026106F"/>
    <w:rsid w:val="002610FF"/>
    <w:rsid w:val="00261119"/>
    <w:rsid w:val="00261130"/>
    <w:rsid w:val="00261175"/>
    <w:rsid w:val="002611AB"/>
    <w:rsid w:val="002611B2"/>
    <w:rsid w:val="002611D1"/>
    <w:rsid w:val="0026121E"/>
    <w:rsid w:val="00261227"/>
    <w:rsid w:val="00261228"/>
    <w:rsid w:val="00261285"/>
    <w:rsid w:val="0026128C"/>
    <w:rsid w:val="002612B5"/>
    <w:rsid w:val="002612B7"/>
    <w:rsid w:val="002612C2"/>
    <w:rsid w:val="002612C6"/>
    <w:rsid w:val="00261304"/>
    <w:rsid w:val="00261357"/>
    <w:rsid w:val="002613CB"/>
    <w:rsid w:val="00261438"/>
    <w:rsid w:val="0026148D"/>
    <w:rsid w:val="002614F6"/>
    <w:rsid w:val="00261531"/>
    <w:rsid w:val="00261637"/>
    <w:rsid w:val="0026163E"/>
    <w:rsid w:val="0026170E"/>
    <w:rsid w:val="00261730"/>
    <w:rsid w:val="002617EB"/>
    <w:rsid w:val="002617F8"/>
    <w:rsid w:val="00261870"/>
    <w:rsid w:val="00261881"/>
    <w:rsid w:val="00261883"/>
    <w:rsid w:val="002618BD"/>
    <w:rsid w:val="00261959"/>
    <w:rsid w:val="0026198A"/>
    <w:rsid w:val="002619EC"/>
    <w:rsid w:val="00261A28"/>
    <w:rsid w:val="00261AC0"/>
    <w:rsid w:val="00261C76"/>
    <w:rsid w:val="00261E42"/>
    <w:rsid w:val="00261EBA"/>
    <w:rsid w:val="00261EC5"/>
    <w:rsid w:val="00262038"/>
    <w:rsid w:val="00262071"/>
    <w:rsid w:val="00262098"/>
    <w:rsid w:val="002620BE"/>
    <w:rsid w:val="00262120"/>
    <w:rsid w:val="0026215B"/>
    <w:rsid w:val="002621A1"/>
    <w:rsid w:val="002621A7"/>
    <w:rsid w:val="002622A3"/>
    <w:rsid w:val="002622C5"/>
    <w:rsid w:val="002622D4"/>
    <w:rsid w:val="00262305"/>
    <w:rsid w:val="0026234E"/>
    <w:rsid w:val="0026235C"/>
    <w:rsid w:val="002623AE"/>
    <w:rsid w:val="002623DE"/>
    <w:rsid w:val="002624CA"/>
    <w:rsid w:val="00262565"/>
    <w:rsid w:val="0026285C"/>
    <w:rsid w:val="00262885"/>
    <w:rsid w:val="00262894"/>
    <w:rsid w:val="00262905"/>
    <w:rsid w:val="00262937"/>
    <w:rsid w:val="00262951"/>
    <w:rsid w:val="00262A11"/>
    <w:rsid w:val="00262A84"/>
    <w:rsid w:val="00262AC7"/>
    <w:rsid w:val="00262AD9"/>
    <w:rsid w:val="00262BF0"/>
    <w:rsid w:val="00262C2F"/>
    <w:rsid w:val="00262C54"/>
    <w:rsid w:val="00262CBA"/>
    <w:rsid w:val="00262D22"/>
    <w:rsid w:val="00262D71"/>
    <w:rsid w:val="00262DBF"/>
    <w:rsid w:val="00262E08"/>
    <w:rsid w:val="00262F81"/>
    <w:rsid w:val="00262FB2"/>
    <w:rsid w:val="00262FC8"/>
    <w:rsid w:val="002630A7"/>
    <w:rsid w:val="00263184"/>
    <w:rsid w:val="00263295"/>
    <w:rsid w:val="00263307"/>
    <w:rsid w:val="00263326"/>
    <w:rsid w:val="00263373"/>
    <w:rsid w:val="0026342D"/>
    <w:rsid w:val="00263446"/>
    <w:rsid w:val="00263545"/>
    <w:rsid w:val="002635CB"/>
    <w:rsid w:val="00263644"/>
    <w:rsid w:val="002636E2"/>
    <w:rsid w:val="00263710"/>
    <w:rsid w:val="002637E1"/>
    <w:rsid w:val="0026389E"/>
    <w:rsid w:val="002638F8"/>
    <w:rsid w:val="00263A00"/>
    <w:rsid w:val="00263A73"/>
    <w:rsid w:val="00263A95"/>
    <w:rsid w:val="00263BC2"/>
    <w:rsid w:val="00263BC8"/>
    <w:rsid w:val="00263BCE"/>
    <w:rsid w:val="00263BE7"/>
    <w:rsid w:val="00263C1B"/>
    <w:rsid w:val="00263C53"/>
    <w:rsid w:val="00263CA1"/>
    <w:rsid w:val="00263CED"/>
    <w:rsid w:val="00263D86"/>
    <w:rsid w:val="00263F4C"/>
    <w:rsid w:val="00263FC5"/>
    <w:rsid w:val="00264068"/>
    <w:rsid w:val="00264090"/>
    <w:rsid w:val="002640B5"/>
    <w:rsid w:val="002640D7"/>
    <w:rsid w:val="0026419D"/>
    <w:rsid w:val="00264202"/>
    <w:rsid w:val="00264295"/>
    <w:rsid w:val="0026435B"/>
    <w:rsid w:val="002643CD"/>
    <w:rsid w:val="002643D3"/>
    <w:rsid w:val="00264476"/>
    <w:rsid w:val="0026456E"/>
    <w:rsid w:val="00264574"/>
    <w:rsid w:val="00264613"/>
    <w:rsid w:val="00264620"/>
    <w:rsid w:val="0026462E"/>
    <w:rsid w:val="002646FF"/>
    <w:rsid w:val="0026475A"/>
    <w:rsid w:val="00264781"/>
    <w:rsid w:val="002647A9"/>
    <w:rsid w:val="002647C1"/>
    <w:rsid w:val="002647D9"/>
    <w:rsid w:val="002649D1"/>
    <w:rsid w:val="00264A1C"/>
    <w:rsid w:val="00264A28"/>
    <w:rsid w:val="00264B39"/>
    <w:rsid w:val="00264BA7"/>
    <w:rsid w:val="00264F14"/>
    <w:rsid w:val="00264F1B"/>
    <w:rsid w:val="00264F6B"/>
    <w:rsid w:val="00265026"/>
    <w:rsid w:val="00265066"/>
    <w:rsid w:val="0026518E"/>
    <w:rsid w:val="002651BA"/>
    <w:rsid w:val="0026528F"/>
    <w:rsid w:val="002652C4"/>
    <w:rsid w:val="00265312"/>
    <w:rsid w:val="002653AF"/>
    <w:rsid w:val="002653E8"/>
    <w:rsid w:val="0026545A"/>
    <w:rsid w:val="0026549A"/>
    <w:rsid w:val="0026555D"/>
    <w:rsid w:val="002655EA"/>
    <w:rsid w:val="002656D8"/>
    <w:rsid w:val="00265771"/>
    <w:rsid w:val="002657D5"/>
    <w:rsid w:val="002657E4"/>
    <w:rsid w:val="002657E8"/>
    <w:rsid w:val="00265874"/>
    <w:rsid w:val="002658CF"/>
    <w:rsid w:val="002658E2"/>
    <w:rsid w:val="002659AA"/>
    <w:rsid w:val="00265AEB"/>
    <w:rsid w:val="00265BE2"/>
    <w:rsid w:val="00265BEA"/>
    <w:rsid w:val="00265C41"/>
    <w:rsid w:val="00265C93"/>
    <w:rsid w:val="00265CC5"/>
    <w:rsid w:val="00265D02"/>
    <w:rsid w:val="00265D66"/>
    <w:rsid w:val="00265E6D"/>
    <w:rsid w:val="00265E7B"/>
    <w:rsid w:val="00265EA4"/>
    <w:rsid w:val="00265F88"/>
    <w:rsid w:val="00266048"/>
    <w:rsid w:val="00266148"/>
    <w:rsid w:val="00266232"/>
    <w:rsid w:val="0026623A"/>
    <w:rsid w:val="00266251"/>
    <w:rsid w:val="002662F2"/>
    <w:rsid w:val="00266354"/>
    <w:rsid w:val="00266363"/>
    <w:rsid w:val="00266440"/>
    <w:rsid w:val="002664C5"/>
    <w:rsid w:val="002664DB"/>
    <w:rsid w:val="002664F8"/>
    <w:rsid w:val="00266509"/>
    <w:rsid w:val="0026650B"/>
    <w:rsid w:val="00266546"/>
    <w:rsid w:val="00266574"/>
    <w:rsid w:val="00266580"/>
    <w:rsid w:val="0026665D"/>
    <w:rsid w:val="00266710"/>
    <w:rsid w:val="0026672E"/>
    <w:rsid w:val="0026681C"/>
    <w:rsid w:val="00266851"/>
    <w:rsid w:val="0026689C"/>
    <w:rsid w:val="00266901"/>
    <w:rsid w:val="0026693B"/>
    <w:rsid w:val="00266AF0"/>
    <w:rsid w:val="00266B07"/>
    <w:rsid w:val="00266B3D"/>
    <w:rsid w:val="00266C14"/>
    <w:rsid w:val="00266C1B"/>
    <w:rsid w:val="00266CDD"/>
    <w:rsid w:val="00266D92"/>
    <w:rsid w:val="00266E08"/>
    <w:rsid w:val="00266E1B"/>
    <w:rsid w:val="00266E36"/>
    <w:rsid w:val="00266E37"/>
    <w:rsid w:val="00266ED6"/>
    <w:rsid w:val="00266EDC"/>
    <w:rsid w:val="00266EE2"/>
    <w:rsid w:val="00266F93"/>
    <w:rsid w:val="00267002"/>
    <w:rsid w:val="00267282"/>
    <w:rsid w:val="0026736D"/>
    <w:rsid w:val="00267385"/>
    <w:rsid w:val="0026751E"/>
    <w:rsid w:val="0026754B"/>
    <w:rsid w:val="00267582"/>
    <w:rsid w:val="002675A9"/>
    <w:rsid w:val="002677CA"/>
    <w:rsid w:val="002678E0"/>
    <w:rsid w:val="00267988"/>
    <w:rsid w:val="00267A32"/>
    <w:rsid w:val="00267ABB"/>
    <w:rsid w:val="00267AE7"/>
    <w:rsid w:val="00267AE9"/>
    <w:rsid w:val="00267B5C"/>
    <w:rsid w:val="00267B84"/>
    <w:rsid w:val="00267BC2"/>
    <w:rsid w:val="00267BCF"/>
    <w:rsid w:val="00267C6E"/>
    <w:rsid w:val="00267C8F"/>
    <w:rsid w:val="00267CED"/>
    <w:rsid w:val="00267E09"/>
    <w:rsid w:val="00267E39"/>
    <w:rsid w:val="00267E7B"/>
    <w:rsid w:val="00267E9C"/>
    <w:rsid w:val="00267EA9"/>
    <w:rsid w:val="00267EC7"/>
    <w:rsid w:val="00267F65"/>
    <w:rsid w:val="0027004F"/>
    <w:rsid w:val="0027005B"/>
    <w:rsid w:val="002700D9"/>
    <w:rsid w:val="00270100"/>
    <w:rsid w:val="00270136"/>
    <w:rsid w:val="00270157"/>
    <w:rsid w:val="002703C4"/>
    <w:rsid w:val="002704D2"/>
    <w:rsid w:val="002704F3"/>
    <w:rsid w:val="00270598"/>
    <w:rsid w:val="002705A7"/>
    <w:rsid w:val="00270658"/>
    <w:rsid w:val="0027066D"/>
    <w:rsid w:val="00270911"/>
    <w:rsid w:val="00270942"/>
    <w:rsid w:val="002709F2"/>
    <w:rsid w:val="00270A5B"/>
    <w:rsid w:val="00270AA1"/>
    <w:rsid w:val="00270B6D"/>
    <w:rsid w:val="00270CBF"/>
    <w:rsid w:val="00270D20"/>
    <w:rsid w:val="00270D55"/>
    <w:rsid w:val="00270D9B"/>
    <w:rsid w:val="00270DB2"/>
    <w:rsid w:val="00270DF0"/>
    <w:rsid w:val="00270E10"/>
    <w:rsid w:val="00270E66"/>
    <w:rsid w:val="00270E95"/>
    <w:rsid w:val="00270F69"/>
    <w:rsid w:val="00270FA6"/>
    <w:rsid w:val="00270FF0"/>
    <w:rsid w:val="00270FF9"/>
    <w:rsid w:val="0027104A"/>
    <w:rsid w:val="00271059"/>
    <w:rsid w:val="002711B6"/>
    <w:rsid w:val="002711CF"/>
    <w:rsid w:val="00271201"/>
    <w:rsid w:val="00271238"/>
    <w:rsid w:val="0027125A"/>
    <w:rsid w:val="00271280"/>
    <w:rsid w:val="00271298"/>
    <w:rsid w:val="002712A6"/>
    <w:rsid w:val="0027139F"/>
    <w:rsid w:val="00271418"/>
    <w:rsid w:val="00271437"/>
    <w:rsid w:val="002714B8"/>
    <w:rsid w:val="002714BB"/>
    <w:rsid w:val="0027154D"/>
    <w:rsid w:val="00271615"/>
    <w:rsid w:val="00271650"/>
    <w:rsid w:val="00271693"/>
    <w:rsid w:val="00271823"/>
    <w:rsid w:val="002718BA"/>
    <w:rsid w:val="0027197F"/>
    <w:rsid w:val="002719FB"/>
    <w:rsid w:val="00271A18"/>
    <w:rsid w:val="00271A19"/>
    <w:rsid w:val="00271A8B"/>
    <w:rsid w:val="00271A9D"/>
    <w:rsid w:val="00271AD3"/>
    <w:rsid w:val="00271B19"/>
    <w:rsid w:val="00271B31"/>
    <w:rsid w:val="00271B4F"/>
    <w:rsid w:val="00271B74"/>
    <w:rsid w:val="00271BFF"/>
    <w:rsid w:val="00271CCA"/>
    <w:rsid w:val="00271D48"/>
    <w:rsid w:val="00271D9D"/>
    <w:rsid w:val="00271DC0"/>
    <w:rsid w:val="00271DC2"/>
    <w:rsid w:val="00271DD3"/>
    <w:rsid w:val="00271E5C"/>
    <w:rsid w:val="00271EEA"/>
    <w:rsid w:val="00271F08"/>
    <w:rsid w:val="00271F93"/>
    <w:rsid w:val="00271FB0"/>
    <w:rsid w:val="002720BA"/>
    <w:rsid w:val="0027211C"/>
    <w:rsid w:val="0027211D"/>
    <w:rsid w:val="002721E1"/>
    <w:rsid w:val="00272294"/>
    <w:rsid w:val="002722A3"/>
    <w:rsid w:val="002722C6"/>
    <w:rsid w:val="00272305"/>
    <w:rsid w:val="00272344"/>
    <w:rsid w:val="00272428"/>
    <w:rsid w:val="002724DA"/>
    <w:rsid w:val="002724EA"/>
    <w:rsid w:val="00272532"/>
    <w:rsid w:val="00272545"/>
    <w:rsid w:val="00272556"/>
    <w:rsid w:val="00272578"/>
    <w:rsid w:val="002725EE"/>
    <w:rsid w:val="00272668"/>
    <w:rsid w:val="002726C4"/>
    <w:rsid w:val="00272722"/>
    <w:rsid w:val="0027275E"/>
    <w:rsid w:val="0027279E"/>
    <w:rsid w:val="002727B1"/>
    <w:rsid w:val="0027289E"/>
    <w:rsid w:val="002728A2"/>
    <w:rsid w:val="00272922"/>
    <w:rsid w:val="0027292B"/>
    <w:rsid w:val="002729F6"/>
    <w:rsid w:val="00272A45"/>
    <w:rsid w:val="00272AE0"/>
    <w:rsid w:val="00272B15"/>
    <w:rsid w:val="00272CD4"/>
    <w:rsid w:val="00272ED8"/>
    <w:rsid w:val="00272EE1"/>
    <w:rsid w:val="00272F04"/>
    <w:rsid w:val="00272F90"/>
    <w:rsid w:val="00272F99"/>
    <w:rsid w:val="00273022"/>
    <w:rsid w:val="0027305A"/>
    <w:rsid w:val="0027309B"/>
    <w:rsid w:val="002730FA"/>
    <w:rsid w:val="00273171"/>
    <w:rsid w:val="00273192"/>
    <w:rsid w:val="002731AB"/>
    <w:rsid w:val="00273291"/>
    <w:rsid w:val="00273420"/>
    <w:rsid w:val="00273427"/>
    <w:rsid w:val="002735B2"/>
    <w:rsid w:val="0027360A"/>
    <w:rsid w:val="0027363E"/>
    <w:rsid w:val="00273662"/>
    <w:rsid w:val="00273668"/>
    <w:rsid w:val="0027366F"/>
    <w:rsid w:val="0027380E"/>
    <w:rsid w:val="00273816"/>
    <w:rsid w:val="002738EE"/>
    <w:rsid w:val="00273950"/>
    <w:rsid w:val="0027396A"/>
    <w:rsid w:val="002739AF"/>
    <w:rsid w:val="00273A2E"/>
    <w:rsid w:val="00273ADA"/>
    <w:rsid w:val="00273BD5"/>
    <w:rsid w:val="00273BF5"/>
    <w:rsid w:val="00273C75"/>
    <w:rsid w:val="00273C7F"/>
    <w:rsid w:val="00273D05"/>
    <w:rsid w:val="00273D7B"/>
    <w:rsid w:val="00273D88"/>
    <w:rsid w:val="00273DE5"/>
    <w:rsid w:val="00273DE9"/>
    <w:rsid w:val="00273E02"/>
    <w:rsid w:val="00273E25"/>
    <w:rsid w:val="00273E5C"/>
    <w:rsid w:val="00273F92"/>
    <w:rsid w:val="00274009"/>
    <w:rsid w:val="00274070"/>
    <w:rsid w:val="002740C2"/>
    <w:rsid w:val="002740D0"/>
    <w:rsid w:val="00274101"/>
    <w:rsid w:val="00274113"/>
    <w:rsid w:val="002742F1"/>
    <w:rsid w:val="002742F3"/>
    <w:rsid w:val="002742F6"/>
    <w:rsid w:val="00274382"/>
    <w:rsid w:val="00274478"/>
    <w:rsid w:val="002744CD"/>
    <w:rsid w:val="002744E3"/>
    <w:rsid w:val="00274571"/>
    <w:rsid w:val="002745EB"/>
    <w:rsid w:val="002746A1"/>
    <w:rsid w:val="002746BE"/>
    <w:rsid w:val="002746F9"/>
    <w:rsid w:val="002747E0"/>
    <w:rsid w:val="0027484E"/>
    <w:rsid w:val="00274888"/>
    <w:rsid w:val="0027493E"/>
    <w:rsid w:val="002749A0"/>
    <w:rsid w:val="00274A75"/>
    <w:rsid w:val="00274B02"/>
    <w:rsid w:val="00274C58"/>
    <w:rsid w:val="00274DD8"/>
    <w:rsid w:val="00274DFA"/>
    <w:rsid w:val="00274EE1"/>
    <w:rsid w:val="00274F05"/>
    <w:rsid w:val="00274F13"/>
    <w:rsid w:val="00274F3E"/>
    <w:rsid w:val="00274F51"/>
    <w:rsid w:val="00274FE4"/>
    <w:rsid w:val="0027506B"/>
    <w:rsid w:val="00275093"/>
    <w:rsid w:val="0027509C"/>
    <w:rsid w:val="00275141"/>
    <w:rsid w:val="0027514A"/>
    <w:rsid w:val="0027523F"/>
    <w:rsid w:val="00275253"/>
    <w:rsid w:val="002752C0"/>
    <w:rsid w:val="00275442"/>
    <w:rsid w:val="00275462"/>
    <w:rsid w:val="00275467"/>
    <w:rsid w:val="0027549D"/>
    <w:rsid w:val="002754D9"/>
    <w:rsid w:val="002754E0"/>
    <w:rsid w:val="00275545"/>
    <w:rsid w:val="002756DF"/>
    <w:rsid w:val="00275795"/>
    <w:rsid w:val="002757B5"/>
    <w:rsid w:val="00275831"/>
    <w:rsid w:val="00275871"/>
    <w:rsid w:val="00275893"/>
    <w:rsid w:val="002758AD"/>
    <w:rsid w:val="002758B7"/>
    <w:rsid w:val="00275940"/>
    <w:rsid w:val="00275943"/>
    <w:rsid w:val="00275944"/>
    <w:rsid w:val="0027598B"/>
    <w:rsid w:val="0027599E"/>
    <w:rsid w:val="002759D2"/>
    <w:rsid w:val="002759F3"/>
    <w:rsid w:val="00275B6A"/>
    <w:rsid w:val="00275BA1"/>
    <w:rsid w:val="00275E1C"/>
    <w:rsid w:val="00275E20"/>
    <w:rsid w:val="00275E75"/>
    <w:rsid w:val="00275FA1"/>
    <w:rsid w:val="00275FEE"/>
    <w:rsid w:val="00276025"/>
    <w:rsid w:val="0027609D"/>
    <w:rsid w:val="00276111"/>
    <w:rsid w:val="0027622B"/>
    <w:rsid w:val="00276240"/>
    <w:rsid w:val="00276251"/>
    <w:rsid w:val="00276282"/>
    <w:rsid w:val="002762B3"/>
    <w:rsid w:val="002762F2"/>
    <w:rsid w:val="00276563"/>
    <w:rsid w:val="002765CA"/>
    <w:rsid w:val="002765CB"/>
    <w:rsid w:val="002765ED"/>
    <w:rsid w:val="002766AA"/>
    <w:rsid w:val="0027672D"/>
    <w:rsid w:val="00276741"/>
    <w:rsid w:val="002767D8"/>
    <w:rsid w:val="002768FF"/>
    <w:rsid w:val="00276900"/>
    <w:rsid w:val="0027691E"/>
    <w:rsid w:val="002769E5"/>
    <w:rsid w:val="002769E9"/>
    <w:rsid w:val="00276B30"/>
    <w:rsid w:val="00276B97"/>
    <w:rsid w:val="00276CDA"/>
    <w:rsid w:val="00276D96"/>
    <w:rsid w:val="00276DC7"/>
    <w:rsid w:val="00276E04"/>
    <w:rsid w:val="00276E1C"/>
    <w:rsid w:val="00276E71"/>
    <w:rsid w:val="00276EC4"/>
    <w:rsid w:val="00276EFF"/>
    <w:rsid w:val="00276F11"/>
    <w:rsid w:val="00276F12"/>
    <w:rsid w:val="00277140"/>
    <w:rsid w:val="002771B4"/>
    <w:rsid w:val="0027723A"/>
    <w:rsid w:val="00277339"/>
    <w:rsid w:val="00277384"/>
    <w:rsid w:val="00277422"/>
    <w:rsid w:val="00277544"/>
    <w:rsid w:val="00277556"/>
    <w:rsid w:val="0027762A"/>
    <w:rsid w:val="00277643"/>
    <w:rsid w:val="002776BC"/>
    <w:rsid w:val="002776C1"/>
    <w:rsid w:val="002776F0"/>
    <w:rsid w:val="00277743"/>
    <w:rsid w:val="00277808"/>
    <w:rsid w:val="0027797C"/>
    <w:rsid w:val="00277A5D"/>
    <w:rsid w:val="00277A7F"/>
    <w:rsid w:val="00277ADE"/>
    <w:rsid w:val="00277B9E"/>
    <w:rsid w:val="00277D32"/>
    <w:rsid w:val="00277D65"/>
    <w:rsid w:val="00277DF1"/>
    <w:rsid w:val="00277DF4"/>
    <w:rsid w:val="00277E5D"/>
    <w:rsid w:val="00277EAC"/>
    <w:rsid w:val="00277F25"/>
    <w:rsid w:val="00277FB1"/>
    <w:rsid w:val="00280040"/>
    <w:rsid w:val="0028007F"/>
    <w:rsid w:val="00280106"/>
    <w:rsid w:val="0028014C"/>
    <w:rsid w:val="00280170"/>
    <w:rsid w:val="00280185"/>
    <w:rsid w:val="002801B8"/>
    <w:rsid w:val="002801D0"/>
    <w:rsid w:val="0028021C"/>
    <w:rsid w:val="002802B1"/>
    <w:rsid w:val="002802F2"/>
    <w:rsid w:val="0028031A"/>
    <w:rsid w:val="0028031F"/>
    <w:rsid w:val="00280373"/>
    <w:rsid w:val="002803A4"/>
    <w:rsid w:val="002803B8"/>
    <w:rsid w:val="00280414"/>
    <w:rsid w:val="00280429"/>
    <w:rsid w:val="002804A6"/>
    <w:rsid w:val="002804DE"/>
    <w:rsid w:val="002804E3"/>
    <w:rsid w:val="002804F1"/>
    <w:rsid w:val="0028050F"/>
    <w:rsid w:val="0028056D"/>
    <w:rsid w:val="002805AE"/>
    <w:rsid w:val="00280672"/>
    <w:rsid w:val="0028067E"/>
    <w:rsid w:val="00280699"/>
    <w:rsid w:val="002807E2"/>
    <w:rsid w:val="002807FE"/>
    <w:rsid w:val="002808ED"/>
    <w:rsid w:val="00280992"/>
    <w:rsid w:val="002809AA"/>
    <w:rsid w:val="00280A01"/>
    <w:rsid w:val="00280A09"/>
    <w:rsid w:val="00280B10"/>
    <w:rsid w:val="00280B37"/>
    <w:rsid w:val="00280B61"/>
    <w:rsid w:val="00280D0C"/>
    <w:rsid w:val="00280E7A"/>
    <w:rsid w:val="00280E91"/>
    <w:rsid w:val="00280EDE"/>
    <w:rsid w:val="002810B8"/>
    <w:rsid w:val="002810E8"/>
    <w:rsid w:val="0028111E"/>
    <w:rsid w:val="0028116E"/>
    <w:rsid w:val="002811A5"/>
    <w:rsid w:val="0028121F"/>
    <w:rsid w:val="00281346"/>
    <w:rsid w:val="0028149B"/>
    <w:rsid w:val="002814D7"/>
    <w:rsid w:val="00281539"/>
    <w:rsid w:val="0028157F"/>
    <w:rsid w:val="0028165E"/>
    <w:rsid w:val="002819A1"/>
    <w:rsid w:val="00281A72"/>
    <w:rsid w:val="00281AA2"/>
    <w:rsid w:val="00281ABE"/>
    <w:rsid w:val="00281B06"/>
    <w:rsid w:val="00281B1F"/>
    <w:rsid w:val="00281C5D"/>
    <w:rsid w:val="00281C67"/>
    <w:rsid w:val="00281CA9"/>
    <w:rsid w:val="00281D36"/>
    <w:rsid w:val="00281D72"/>
    <w:rsid w:val="00281E2E"/>
    <w:rsid w:val="00281E34"/>
    <w:rsid w:val="00281ECA"/>
    <w:rsid w:val="00281F62"/>
    <w:rsid w:val="00281F76"/>
    <w:rsid w:val="00281F89"/>
    <w:rsid w:val="00281FF4"/>
    <w:rsid w:val="00282052"/>
    <w:rsid w:val="002820F4"/>
    <w:rsid w:val="0028214B"/>
    <w:rsid w:val="00282187"/>
    <w:rsid w:val="002821E0"/>
    <w:rsid w:val="0028222A"/>
    <w:rsid w:val="0028229C"/>
    <w:rsid w:val="00282337"/>
    <w:rsid w:val="0028237B"/>
    <w:rsid w:val="002823AF"/>
    <w:rsid w:val="002823CA"/>
    <w:rsid w:val="00282405"/>
    <w:rsid w:val="00282630"/>
    <w:rsid w:val="002826B0"/>
    <w:rsid w:val="002826B1"/>
    <w:rsid w:val="002826ED"/>
    <w:rsid w:val="002827AE"/>
    <w:rsid w:val="00282846"/>
    <w:rsid w:val="002829D6"/>
    <w:rsid w:val="002829F1"/>
    <w:rsid w:val="00282AE5"/>
    <w:rsid w:val="00282AEF"/>
    <w:rsid w:val="00282B3F"/>
    <w:rsid w:val="00282C5F"/>
    <w:rsid w:val="00282CFC"/>
    <w:rsid w:val="00282D3F"/>
    <w:rsid w:val="00282E5F"/>
    <w:rsid w:val="00282F55"/>
    <w:rsid w:val="00283058"/>
    <w:rsid w:val="0028305C"/>
    <w:rsid w:val="002830C3"/>
    <w:rsid w:val="0028318C"/>
    <w:rsid w:val="002831A2"/>
    <w:rsid w:val="002831C2"/>
    <w:rsid w:val="0028328D"/>
    <w:rsid w:val="00283317"/>
    <w:rsid w:val="00283395"/>
    <w:rsid w:val="002833C8"/>
    <w:rsid w:val="0028347C"/>
    <w:rsid w:val="0028354F"/>
    <w:rsid w:val="00283638"/>
    <w:rsid w:val="00283671"/>
    <w:rsid w:val="002836A9"/>
    <w:rsid w:val="0028371B"/>
    <w:rsid w:val="00283753"/>
    <w:rsid w:val="002837B7"/>
    <w:rsid w:val="002838AD"/>
    <w:rsid w:val="002838F1"/>
    <w:rsid w:val="0028392C"/>
    <w:rsid w:val="00283962"/>
    <w:rsid w:val="002839B1"/>
    <w:rsid w:val="002839C3"/>
    <w:rsid w:val="00283A55"/>
    <w:rsid w:val="00283ADB"/>
    <w:rsid w:val="00283B13"/>
    <w:rsid w:val="00283B21"/>
    <w:rsid w:val="00283B50"/>
    <w:rsid w:val="00283C36"/>
    <w:rsid w:val="00283CFD"/>
    <w:rsid w:val="00283D49"/>
    <w:rsid w:val="00283D50"/>
    <w:rsid w:val="00283DFD"/>
    <w:rsid w:val="00283E49"/>
    <w:rsid w:val="00283F78"/>
    <w:rsid w:val="00283FD5"/>
    <w:rsid w:val="00283FE1"/>
    <w:rsid w:val="0028410B"/>
    <w:rsid w:val="00284112"/>
    <w:rsid w:val="00284203"/>
    <w:rsid w:val="00284222"/>
    <w:rsid w:val="00284270"/>
    <w:rsid w:val="0028430B"/>
    <w:rsid w:val="0028432D"/>
    <w:rsid w:val="002843E6"/>
    <w:rsid w:val="00284431"/>
    <w:rsid w:val="0028448D"/>
    <w:rsid w:val="0028449F"/>
    <w:rsid w:val="0028456E"/>
    <w:rsid w:val="002846A1"/>
    <w:rsid w:val="00284765"/>
    <w:rsid w:val="0028478E"/>
    <w:rsid w:val="0028480C"/>
    <w:rsid w:val="002848C1"/>
    <w:rsid w:val="002848C5"/>
    <w:rsid w:val="00284982"/>
    <w:rsid w:val="0028498B"/>
    <w:rsid w:val="00284A39"/>
    <w:rsid w:val="00284B88"/>
    <w:rsid w:val="00284C90"/>
    <w:rsid w:val="00284C9D"/>
    <w:rsid w:val="00284CDE"/>
    <w:rsid w:val="00284D0B"/>
    <w:rsid w:val="00284E27"/>
    <w:rsid w:val="00284E62"/>
    <w:rsid w:val="00284F3B"/>
    <w:rsid w:val="00284F59"/>
    <w:rsid w:val="00284FC9"/>
    <w:rsid w:val="0028502C"/>
    <w:rsid w:val="002850C3"/>
    <w:rsid w:val="002850E0"/>
    <w:rsid w:val="00285192"/>
    <w:rsid w:val="002851A7"/>
    <w:rsid w:val="002851AC"/>
    <w:rsid w:val="00285227"/>
    <w:rsid w:val="00285231"/>
    <w:rsid w:val="002852DF"/>
    <w:rsid w:val="00285378"/>
    <w:rsid w:val="00285411"/>
    <w:rsid w:val="00285660"/>
    <w:rsid w:val="002856F3"/>
    <w:rsid w:val="0028570F"/>
    <w:rsid w:val="00285717"/>
    <w:rsid w:val="00285759"/>
    <w:rsid w:val="0028576E"/>
    <w:rsid w:val="002857FD"/>
    <w:rsid w:val="0028584C"/>
    <w:rsid w:val="00285866"/>
    <w:rsid w:val="002858EE"/>
    <w:rsid w:val="00285962"/>
    <w:rsid w:val="002859DF"/>
    <w:rsid w:val="00285A08"/>
    <w:rsid w:val="00285AC4"/>
    <w:rsid w:val="00285B1B"/>
    <w:rsid w:val="00285B27"/>
    <w:rsid w:val="00285B3E"/>
    <w:rsid w:val="00285B86"/>
    <w:rsid w:val="00285BE4"/>
    <w:rsid w:val="00285C3E"/>
    <w:rsid w:val="00285C64"/>
    <w:rsid w:val="00285D4A"/>
    <w:rsid w:val="00285D76"/>
    <w:rsid w:val="00285E8B"/>
    <w:rsid w:val="00286068"/>
    <w:rsid w:val="00286081"/>
    <w:rsid w:val="002860E7"/>
    <w:rsid w:val="00286167"/>
    <w:rsid w:val="00286176"/>
    <w:rsid w:val="002861C1"/>
    <w:rsid w:val="0028624C"/>
    <w:rsid w:val="002862CB"/>
    <w:rsid w:val="00286367"/>
    <w:rsid w:val="00286415"/>
    <w:rsid w:val="00286425"/>
    <w:rsid w:val="0028645F"/>
    <w:rsid w:val="00286576"/>
    <w:rsid w:val="002866D9"/>
    <w:rsid w:val="00286749"/>
    <w:rsid w:val="002867A9"/>
    <w:rsid w:val="002867E0"/>
    <w:rsid w:val="00286839"/>
    <w:rsid w:val="00286920"/>
    <w:rsid w:val="00286924"/>
    <w:rsid w:val="00286973"/>
    <w:rsid w:val="002869D8"/>
    <w:rsid w:val="00286A6F"/>
    <w:rsid w:val="00286A94"/>
    <w:rsid w:val="00286BC7"/>
    <w:rsid w:val="00286C1A"/>
    <w:rsid w:val="00286D33"/>
    <w:rsid w:val="00286D37"/>
    <w:rsid w:val="00286DE1"/>
    <w:rsid w:val="00286DEC"/>
    <w:rsid w:val="00286E11"/>
    <w:rsid w:val="00286E47"/>
    <w:rsid w:val="00286E4F"/>
    <w:rsid w:val="00286EFD"/>
    <w:rsid w:val="00287117"/>
    <w:rsid w:val="0028711E"/>
    <w:rsid w:val="002871E4"/>
    <w:rsid w:val="002871FC"/>
    <w:rsid w:val="00287221"/>
    <w:rsid w:val="0028722B"/>
    <w:rsid w:val="0028722D"/>
    <w:rsid w:val="00287307"/>
    <w:rsid w:val="0028730A"/>
    <w:rsid w:val="0028733B"/>
    <w:rsid w:val="0028733D"/>
    <w:rsid w:val="0028735A"/>
    <w:rsid w:val="0028745F"/>
    <w:rsid w:val="0028768E"/>
    <w:rsid w:val="002876A0"/>
    <w:rsid w:val="00287701"/>
    <w:rsid w:val="0028781F"/>
    <w:rsid w:val="00287871"/>
    <w:rsid w:val="002878B3"/>
    <w:rsid w:val="00287A09"/>
    <w:rsid w:val="00287B9D"/>
    <w:rsid w:val="00287BAE"/>
    <w:rsid w:val="00287BF1"/>
    <w:rsid w:val="00287C2F"/>
    <w:rsid w:val="00287CBB"/>
    <w:rsid w:val="00287CC1"/>
    <w:rsid w:val="00287CCA"/>
    <w:rsid w:val="00287CE2"/>
    <w:rsid w:val="00287D16"/>
    <w:rsid w:val="00287D4B"/>
    <w:rsid w:val="00287D66"/>
    <w:rsid w:val="00287DD8"/>
    <w:rsid w:val="00287E09"/>
    <w:rsid w:val="00287E47"/>
    <w:rsid w:val="00287E62"/>
    <w:rsid w:val="00290014"/>
    <w:rsid w:val="0029016B"/>
    <w:rsid w:val="002901C3"/>
    <w:rsid w:val="002901DC"/>
    <w:rsid w:val="00290225"/>
    <w:rsid w:val="0029043C"/>
    <w:rsid w:val="002904C7"/>
    <w:rsid w:val="00290596"/>
    <w:rsid w:val="0029073E"/>
    <w:rsid w:val="0029076A"/>
    <w:rsid w:val="002907C7"/>
    <w:rsid w:val="002907C9"/>
    <w:rsid w:val="002908A0"/>
    <w:rsid w:val="002908AF"/>
    <w:rsid w:val="002908D2"/>
    <w:rsid w:val="00290908"/>
    <w:rsid w:val="00290943"/>
    <w:rsid w:val="00290BF3"/>
    <w:rsid w:val="00290D07"/>
    <w:rsid w:val="0029103B"/>
    <w:rsid w:val="00291059"/>
    <w:rsid w:val="0029114C"/>
    <w:rsid w:val="002912CF"/>
    <w:rsid w:val="0029136B"/>
    <w:rsid w:val="002913EA"/>
    <w:rsid w:val="002914E2"/>
    <w:rsid w:val="0029150E"/>
    <w:rsid w:val="00291644"/>
    <w:rsid w:val="00291685"/>
    <w:rsid w:val="00291784"/>
    <w:rsid w:val="002918AA"/>
    <w:rsid w:val="002918D3"/>
    <w:rsid w:val="00291934"/>
    <w:rsid w:val="0029197B"/>
    <w:rsid w:val="00291AAD"/>
    <w:rsid w:val="00291AAE"/>
    <w:rsid w:val="00291B50"/>
    <w:rsid w:val="00291B7E"/>
    <w:rsid w:val="00291C40"/>
    <w:rsid w:val="00291C69"/>
    <w:rsid w:val="00291C7F"/>
    <w:rsid w:val="00291D10"/>
    <w:rsid w:val="00291DD8"/>
    <w:rsid w:val="00291DE9"/>
    <w:rsid w:val="00291DFB"/>
    <w:rsid w:val="00291E50"/>
    <w:rsid w:val="00291E8F"/>
    <w:rsid w:val="00291EA1"/>
    <w:rsid w:val="00291EFB"/>
    <w:rsid w:val="00291F51"/>
    <w:rsid w:val="00291F88"/>
    <w:rsid w:val="00291FB0"/>
    <w:rsid w:val="0029203C"/>
    <w:rsid w:val="002920B9"/>
    <w:rsid w:val="00292117"/>
    <w:rsid w:val="0029218D"/>
    <w:rsid w:val="00292192"/>
    <w:rsid w:val="002921B1"/>
    <w:rsid w:val="0029221B"/>
    <w:rsid w:val="002922D3"/>
    <w:rsid w:val="00292429"/>
    <w:rsid w:val="0029248E"/>
    <w:rsid w:val="0029257E"/>
    <w:rsid w:val="002925A7"/>
    <w:rsid w:val="0029266D"/>
    <w:rsid w:val="0029267A"/>
    <w:rsid w:val="002926BE"/>
    <w:rsid w:val="002926D4"/>
    <w:rsid w:val="00292793"/>
    <w:rsid w:val="002927F9"/>
    <w:rsid w:val="00292854"/>
    <w:rsid w:val="00292930"/>
    <w:rsid w:val="0029299C"/>
    <w:rsid w:val="00292A79"/>
    <w:rsid w:val="00292A7C"/>
    <w:rsid w:val="00292B0B"/>
    <w:rsid w:val="00292BAE"/>
    <w:rsid w:val="00292BD9"/>
    <w:rsid w:val="00292C05"/>
    <w:rsid w:val="00292DAF"/>
    <w:rsid w:val="00292F1A"/>
    <w:rsid w:val="00293015"/>
    <w:rsid w:val="002930E5"/>
    <w:rsid w:val="00293117"/>
    <w:rsid w:val="00293162"/>
    <w:rsid w:val="002931EE"/>
    <w:rsid w:val="00293200"/>
    <w:rsid w:val="00293255"/>
    <w:rsid w:val="00293267"/>
    <w:rsid w:val="002932B7"/>
    <w:rsid w:val="0029332F"/>
    <w:rsid w:val="00293412"/>
    <w:rsid w:val="0029341F"/>
    <w:rsid w:val="00293438"/>
    <w:rsid w:val="00293442"/>
    <w:rsid w:val="00293494"/>
    <w:rsid w:val="002934B8"/>
    <w:rsid w:val="002934F3"/>
    <w:rsid w:val="002935A0"/>
    <w:rsid w:val="002935C1"/>
    <w:rsid w:val="002936A1"/>
    <w:rsid w:val="002936EC"/>
    <w:rsid w:val="0029371E"/>
    <w:rsid w:val="00293724"/>
    <w:rsid w:val="0029373C"/>
    <w:rsid w:val="00293756"/>
    <w:rsid w:val="00293777"/>
    <w:rsid w:val="00293795"/>
    <w:rsid w:val="00293797"/>
    <w:rsid w:val="002937EF"/>
    <w:rsid w:val="00293887"/>
    <w:rsid w:val="00293888"/>
    <w:rsid w:val="002938DA"/>
    <w:rsid w:val="002938ED"/>
    <w:rsid w:val="0029393D"/>
    <w:rsid w:val="00293988"/>
    <w:rsid w:val="0029398C"/>
    <w:rsid w:val="00293AD4"/>
    <w:rsid w:val="00293B2D"/>
    <w:rsid w:val="00293B89"/>
    <w:rsid w:val="00293C5F"/>
    <w:rsid w:val="00293CA1"/>
    <w:rsid w:val="00293D64"/>
    <w:rsid w:val="00293DF7"/>
    <w:rsid w:val="00293E29"/>
    <w:rsid w:val="00293E38"/>
    <w:rsid w:val="00293E5C"/>
    <w:rsid w:val="00293ECB"/>
    <w:rsid w:val="00293F45"/>
    <w:rsid w:val="00293F5E"/>
    <w:rsid w:val="00293F87"/>
    <w:rsid w:val="00294086"/>
    <w:rsid w:val="0029411F"/>
    <w:rsid w:val="00294133"/>
    <w:rsid w:val="00294185"/>
    <w:rsid w:val="00294228"/>
    <w:rsid w:val="00294278"/>
    <w:rsid w:val="002942AA"/>
    <w:rsid w:val="00294320"/>
    <w:rsid w:val="002943CE"/>
    <w:rsid w:val="002943D5"/>
    <w:rsid w:val="002943FB"/>
    <w:rsid w:val="00294441"/>
    <w:rsid w:val="002944EF"/>
    <w:rsid w:val="00294597"/>
    <w:rsid w:val="002945A3"/>
    <w:rsid w:val="002945F9"/>
    <w:rsid w:val="00294633"/>
    <w:rsid w:val="0029478C"/>
    <w:rsid w:val="00294947"/>
    <w:rsid w:val="0029498C"/>
    <w:rsid w:val="00294B22"/>
    <w:rsid w:val="00294B90"/>
    <w:rsid w:val="00294BC9"/>
    <w:rsid w:val="00294C25"/>
    <w:rsid w:val="00294D22"/>
    <w:rsid w:val="00294D45"/>
    <w:rsid w:val="00294D48"/>
    <w:rsid w:val="00294D89"/>
    <w:rsid w:val="00294DAB"/>
    <w:rsid w:val="00294DC7"/>
    <w:rsid w:val="00294E4D"/>
    <w:rsid w:val="00294E4F"/>
    <w:rsid w:val="00294E7D"/>
    <w:rsid w:val="00294F86"/>
    <w:rsid w:val="00294FA5"/>
    <w:rsid w:val="00295065"/>
    <w:rsid w:val="002951D0"/>
    <w:rsid w:val="00295267"/>
    <w:rsid w:val="00295268"/>
    <w:rsid w:val="00295294"/>
    <w:rsid w:val="002952D5"/>
    <w:rsid w:val="00295306"/>
    <w:rsid w:val="00295358"/>
    <w:rsid w:val="002953E9"/>
    <w:rsid w:val="00295485"/>
    <w:rsid w:val="002955C3"/>
    <w:rsid w:val="00295670"/>
    <w:rsid w:val="00295690"/>
    <w:rsid w:val="002956BB"/>
    <w:rsid w:val="00295740"/>
    <w:rsid w:val="002957B3"/>
    <w:rsid w:val="002957BF"/>
    <w:rsid w:val="002957F7"/>
    <w:rsid w:val="002958FE"/>
    <w:rsid w:val="00295939"/>
    <w:rsid w:val="00295943"/>
    <w:rsid w:val="00295BA7"/>
    <w:rsid w:val="00295CD7"/>
    <w:rsid w:val="00295DAA"/>
    <w:rsid w:val="00295E29"/>
    <w:rsid w:val="00295FD1"/>
    <w:rsid w:val="00296056"/>
    <w:rsid w:val="00296086"/>
    <w:rsid w:val="002960AE"/>
    <w:rsid w:val="002960C8"/>
    <w:rsid w:val="00296191"/>
    <w:rsid w:val="002961B3"/>
    <w:rsid w:val="002961C4"/>
    <w:rsid w:val="0029625B"/>
    <w:rsid w:val="00296267"/>
    <w:rsid w:val="002962F7"/>
    <w:rsid w:val="00296303"/>
    <w:rsid w:val="0029633C"/>
    <w:rsid w:val="002963B5"/>
    <w:rsid w:val="002964E0"/>
    <w:rsid w:val="00296503"/>
    <w:rsid w:val="00296596"/>
    <w:rsid w:val="002965B5"/>
    <w:rsid w:val="002965DC"/>
    <w:rsid w:val="00296606"/>
    <w:rsid w:val="002966AD"/>
    <w:rsid w:val="0029673C"/>
    <w:rsid w:val="00296765"/>
    <w:rsid w:val="002967F4"/>
    <w:rsid w:val="00296832"/>
    <w:rsid w:val="0029689A"/>
    <w:rsid w:val="0029691C"/>
    <w:rsid w:val="002969F5"/>
    <w:rsid w:val="00296A0C"/>
    <w:rsid w:val="00296A81"/>
    <w:rsid w:val="00296A93"/>
    <w:rsid w:val="00296BBB"/>
    <w:rsid w:val="00296C10"/>
    <w:rsid w:val="00296C4F"/>
    <w:rsid w:val="00296C66"/>
    <w:rsid w:val="00296C96"/>
    <w:rsid w:val="00296CEE"/>
    <w:rsid w:val="00296D02"/>
    <w:rsid w:val="00296D03"/>
    <w:rsid w:val="00296E00"/>
    <w:rsid w:val="00296E5E"/>
    <w:rsid w:val="00296E99"/>
    <w:rsid w:val="00296EBA"/>
    <w:rsid w:val="00296F99"/>
    <w:rsid w:val="00297039"/>
    <w:rsid w:val="0029704F"/>
    <w:rsid w:val="002970D4"/>
    <w:rsid w:val="002970DE"/>
    <w:rsid w:val="00297132"/>
    <w:rsid w:val="00297188"/>
    <w:rsid w:val="002971A9"/>
    <w:rsid w:val="00297252"/>
    <w:rsid w:val="002972D6"/>
    <w:rsid w:val="002972DF"/>
    <w:rsid w:val="0029737B"/>
    <w:rsid w:val="00297445"/>
    <w:rsid w:val="00297490"/>
    <w:rsid w:val="00297512"/>
    <w:rsid w:val="00297569"/>
    <w:rsid w:val="00297584"/>
    <w:rsid w:val="00297630"/>
    <w:rsid w:val="00297669"/>
    <w:rsid w:val="002976A8"/>
    <w:rsid w:val="002976E9"/>
    <w:rsid w:val="002976F6"/>
    <w:rsid w:val="0029778E"/>
    <w:rsid w:val="00297797"/>
    <w:rsid w:val="002977A7"/>
    <w:rsid w:val="0029782D"/>
    <w:rsid w:val="00297864"/>
    <w:rsid w:val="002978FB"/>
    <w:rsid w:val="0029790E"/>
    <w:rsid w:val="0029795F"/>
    <w:rsid w:val="002979FD"/>
    <w:rsid w:val="00297A1A"/>
    <w:rsid w:val="00297A42"/>
    <w:rsid w:val="00297AA0"/>
    <w:rsid w:val="00297C43"/>
    <w:rsid w:val="00297D01"/>
    <w:rsid w:val="00297D78"/>
    <w:rsid w:val="00297DF2"/>
    <w:rsid w:val="00297EBA"/>
    <w:rsid w:val="00297EEA"/>
    <w:rsid w:val="00297EF9"/>
    <w:rsid w:val="00297F92"/>
    <w:rsid w:val="002A0074"/>
    <w:rsid w:val="002A0131"/>
    <w:rsid w:val="002A01BD"/>
    <w:rsid w:val="002A02C2"/>
    <w:rsid w:val="002A041A"/>
    <w:rsid w:val="002A0466"/>
    <w:rsid w:val="002A04DB"/>
    <w:rsid w:val="002A0626"/>
    <w:rsid w:val="002A0666"/>
    <w:rsid w:val="002A067E"/>
    <w:rsid w:val="002A0686"/>
    <w:rsid w:val="002A084E"/>
    <w:rsid w:val="002A0897"/>
    <w:rsid w:val="002A096C"/>
    <w:rsid w:val="002A0974"/>
    <w:rsid w:val="002A0A53"/>
    <w:rsid w:val="002A0B0A"/>
    <w:rsid w:val="002A0B2A"/>
    <w:rsid w:val="002A0BEF"/>
    <w:rsid w:val="002A0C1D"/>
    <w:rsid w:val="002A0C80"/>
    <w:rsid w:val="002A0CC3"/>
    <w:rsid w:val="002A0D5B"/>
    <w:rsid w:val="002A0D64"/>
    <w:rsid w:val="002A0D77"/>
    <w:rsid w:val="002A0DE7"/>
    <w:rsid w:val="002A0E37"/>
    <w:rsid w:val="002A0E43"/>
    <w:rsid w:val="002A0E53"/>
    <w:rsid w:val="002A0E7F"/>
    <w:rsid w:val="002A0ED1"/>
    <w:rsid w:val="002A0F13"/>
    <w:rsid w:val="002A0FCB"/>
    <w:rsid w:val="002A0FF1"/>
    <w:rsid w:val="002A1032"/>
    <w:rsid w:val="002A104D"/>
    <w:rsid w:val="002A10F1"/>
    <w:rsid w:val="002A1150"/>
    <w:rsid w:val="002A119D"/>
    <w:rsid w:val="002A11B6"/>
    <w:rsid w:val="002A1280"/>
    <w:rsid w:val="002A12B5"/>
    <w:rsid w:val="002A1305"/>
    <w:rsid w:val="002A133A"/>
    <w:rsid w:val="002A1394"/>
    <w:rsid w:val="002A140C"/>
    <w:rsid w:val="002A143A"/>
    <w:rsid w:val="002A16EC"/>
    <w:rsid w:val="002A1742"/>
    <w:rsid w:val="002A178A"/>
    <w:rsid w:val="002A1858"/>
    <w:rsid w:val="002A189F"/>
    <w:rsid w:val="002A18D1"/>
    <w:rsid w:val="002A18FB"/>
    <w:rsid w:val="002A192A"/>
    <w:rsid w:val="002A198A"/>
    <w:rsid w:val="002A19AE"/>
    <w:rsid w:val="002A19E4"/>
    <w:rsid w:val="002A1A12"/>
    <w:rsid w:val="002A1B30"/>
    <w:rsid w:val="002A1BA1"/>
    <w:rsid w:val="002A1C4B"/>
    <w:rsid w:val="002A1CF1"/>
    <w:rsid w:val="002A1E04"/>
    <w:rsid w:val="002A1F88"/>
    <w:rsid w:val="002A1FDB"/>
    <w:rsid w:val="002A1FE9"/>
    <w:rsid w:val="002A2163"/>
    <w:rsid w:val="002A21D1"/>
    <w:rsid w:val="002A221D"/>
    <w:rsid w:val="002A2297"/>
    <w:rsid w:val="002A22A2"/>
    <w:rsid w:val="002A2318"/>
    <w:rsid w:val="002A2333"/>
    <w:rsid w:val="002A23B0"/>
    <w:rsid w:val="002A23C9"/>
    <w:rsid w:val="002A2407"/>
    <w:rsid w:val="002A241D"/>
    <w:rsid w:val="002A24B6"/>
    <w:rsid w:val="002A2548"/>
    <w:rsid w:val="002A27E8"/>
    <w:rsid w:val="002A282A"/>
    <w:rsid w:val="002A28F1"/>
    <w:rsid w:val="002A299E"/>
    <w:rsid w:val="002A2A95"/>
    <w:rsid w:val="002A2AEC"/>
    <w:rsid w:val="002A2BA7"/>
    <w:rsid w:val="002A2BE4"/>
    <w:rsid w:val="002A2BE7"/>
    <w:rsid w:val="002A2C2B"/>
    <w:rsid w:val="002A2C2D"/>
    <w:rsid w:val="002A2CFA"/>
    <w:rsid w:val="002A2D0D"/>
    <w:rsid w:val="002A2D85"/>
    <w:rsid w:val="002A2E13"/>
    <w:rsid w:val="002A2E32"/>
    <w:rsid w:val="002A2E4D"/>
    <w:rsid w:val="002A2E64"/>
    <w:rsid w:val="002A2E87"/>
    <w:rsid w:val="002A2ED2"/>
    <w:rsid w:val="002A2FB8"/>
    <w:rsid w:val="002A3007"/>
    <w:rsid w:val="002A3085"/>
    <w:rsid w:val="002A319B"/>
    <w:rsid w:val="002A31F7"/>
    <w:rsid w:val="002A322C"/>
    <w:rsid w:val="002A323C"/>
    <w:rsid w:val="002A3240"/>
    <w:rsid w:val="002A3319"/>
    <w:rsid w:val="002A3431"/>
    <w:rsid w:val="002A34EA"/>
    <w:rsid w:val="002A34FF"/>
    <w:rsid w:val="002A3578"/>
    <w:rsid w:val="002A363F"/>
    <w:rsid w:val="002A3661"/>
    <w:rsid w:val="002A3668"/>
    <w:rsid w:val="002A36E3"/>
    <w:rsid w:val="002A3722"/>
    <w:rsid w:val="002A37B7"/>
    <w:rsid w:val="002A3817"/>
    <w:rsid w:val="002A38AE"/>
    <w:rsid w:val="002A38B3"/>
    <w:rsid w:val="002A3930"/>
    <w:rsid w:val="002A39EB"/>
    <w:rsid w:val="002A3A93"/>
    <w:rsid w:val="002A3A96"/>
    <w:rsid w:val="002A3B10"/>
    <w:rsid w:val="002A3B21"/>
    <w:rsid w:val="002A3B2A"/>
    <w:rsid w:val="002A3ECA"/>
    <w:rsid w:val="002A3F9B"/>
    <w:rsid w:val="002A400E"/>
    <w:rsid w:val="002A4104"/>
    <w:rsid w:val="002A412D"/>
    <w:rsid w:val="002A4166"/>
    <w:rsid w:val="002A4276"/>
    <w:rsid w:val="002A4362"/>
    <w:rsid w:val="002A4377"/>
    <w:rsid w:val="002A43F0"/>
    <w:rsid w:val="002A4448"/>
    <w:rsid w:val="002A448C"/>
    <w:rsid w:val="002A449E"/>
    <w:rsid w:val="002A44A9"/>
    <w:rsid w:val="002A4565"/>
    <w:rsid w:val="002A456F"/>
    <w:rsid w:val="002A4582"/>
    <w:rsid w:val="002A45EF"/>
    <w:rsid w:val="002A45FE"/>
    <w:rsid w:val="002A4605"/>
    <w:rsid w:val="002A468F"/>
    <w:rsid w:val="002A46AD"/>
    <w:rsid w:val="002A46D9"/>
    <w:rsid w:val="002A4701"/>
    <w:rsid w:val="002A472A"/>
    <w:rsid w:val="002A47DD"/>
    <w:rsid w:val="002A483C"/>
    <w:rsid w:val="002A48B5"/>
    <w:rsid w:val="002A4955"/>
    <w:rsid w:val="002A4979"/>
    <w:rsid w:val="002A4AE4"/>
    <w:rsid w:val="002A4B1A"/>
    <w:rsid w:val="002A4B6B"/>
    <w:rsid w:val="002A4BBF"/>
    <w:rsid w:val="002A4C06"/>
    <w:rsid w:val="002A4C0E"/>
    <w:rsid w:val="002A4CBD"/>
    <w:rsid w:val="002A4CEA"/>
    <w:rsid w:val="002A4D05"/>
    <w:rsid w:val="002A4D0F"/>
    <w:rsid w:val="002A4D8A"/>
    <w:rsid w:val="002A4E3E"/>
    <w:rsid w:val="002A4F3E"/>
    <w:rsid w:val="002A502A"/>
    <w:rsid w:val="002A508E"/>
    <w:rsid w:val="002A5233"/>
    <w:rsid w:val="002A5234"/>
    <w:rsid w:val="002A5275"/>
    <w:rsid w:val="002A5292"/>
    <w:rsid w:val="002A52AC"/>
    <w:rsid w:val="002A5309"/>
    <w:rsid w:val="002A5356"/>
    <w:rsid w:val="002A538C"/>
    <w:rsid w:val="002A539D"/>
    <w:rsid w:val="002A5426"/>
    <w:rsid w:val="002A5438"/>
    <w:rsid w:val="002A54BD"/>
    <w:rsid w:val="002A54CC"/>
    <w:rsid w:val="002A54D9"/>
    <w:rsid w:val="002A5507"/>
    <w:rsid w:val="002A5584"/>
    <w:rsid w:val="002A55DD"/>
    <w:rsid w:val="002A5610"/>
    <w:rsid w:val="002A562E"/>
    <w:rsid w:val="002A5760"/>
    <w:rsid w:val="002A577D"/>
    <w:rsid w:val="002A579D"/>
    <w:rsid w:val="002A58BC"/>
    <w:rsid w:val="002A58E6"/>
    <w:rsid w:val="002A59AE"/>
    <w:rsid w:val="002A59BF"/>
    <w:rsid w:val="002A5A56"/>
    <w:rsid w:val="002A5A63"/>
    <w:rsid w:val="002A5B33"/>
    <w:rsid w:val="002A5C25"/>
    <w:rsid w:val="002A5C46"/>
    <w:rsid w:val="002A5C79"/>
    <w:rsid w:val="002A5CA9"/>
    <w:rsid w:val="002A5D88"/>
    <w:rsid w:val="002A5E42"/>
    <w:rsid w:val="002A5FBE"/>
    <w:rsid w:val="002A6035"/>
    <w:rsid w:val="002A6077"/>
    <w:rsid w:val="002A60E2"/>
    <w:rsid w:val="002A618A"/>
    <w:rsid w:val="002A61D3"/>
    <w:rsid w:val="002A6281"/>
    <w:rsid w:val="002A62A2"/>
    <w:rsid w:val="002A62F9"/>
    <w:rsid w:val="002A6328"/>
    <w:rsid w:val="002A6350"/>
    <w:rsid w:val="002A639C"/>
    <w:rsid w:val="002A639D"/>
    <w:rsid w:val="002A63E4"/>
    <w:rsid w:val="002A6437"/>
    <w:rsid w:val="002A643E"/>
    <w:rsid w:val="002A6483"/>
    <w:rsid w:val="002A657F"/>
    <w:rsid w:val="002A6699"/>
    <w:rsid w:val="002A67AC"/>
    <w:rsid w:val="002A67EC"/>
    <w:rsid w:val="002A682C"/>
    <w:rsid w:val="002A68C6"/>
    <w:rsid w:val="002A692C"/>
    <w:rsid w:val="002A69A4"/>
    <w:rsid w:val="002A6A04"/>
    <w:rsid w:val="002A6A3A"/>
    <w:rsid w:val="002A6A4E"/>
    <w:rsid w:val="002A6A67"/>
    <w:rsid w:val="002A6A9F"/>
    <w:rsid w:val="002A6ABE"/>
    <w:rsid w:val="002A6ADF"/>
    <w:rsid w:val="002A6AF9"/>
    <w:rsid w:val="002A6B99"/>
    <w:rsid w:val="002A6BA4"/>
    <w:rsid w:val="002A6C5E"/>
    <w:rsid w:val="002A6C72"/>
    <w:rsid w:val="002A6C90"/>
    <w:rsid w:val="002A6CCC"/>
    <w:rsid w:val="002A6CDC"/>
    <w:rsid w:val="002A6D21"/>
    <w:rsid w:val="002A6D61"/>
    <w:rsid w:val="002A6D66"/>
    <w:rsid w:val="002A6DD2"/>
    <w:rsid w:val="002A6E0E"/>
    <w:rsid w:val="002A6F88"/>
    <w:rsid w:val="002A6FA1"/>
    <w:rsid w:val="002A6FDC"/>
    <w:rsid w:val="002A7095"/>
    <w:rsid w:val="002A70F3"/>
    <w:rsid w:val="002A7108"/>
    <w:rsid w:val="002A713B"/>
    <w:rsid w:val="002A719A"/>
    <w:rsid w:val="002A725F"/>
    <w:rsid w:val="002A7265"/>
    <w:rsid w:val="002A7272"/>
    <w:rsid w:val="002A729A"/>
    <w:rsid w:val="002A73C2"/>
    <w:rsid w:val="002A73EC"/>
    <w:rsid w:val="002A743A"/>
    <w:rsid w:val="002A7583"/>
    <w:rsid w:val="002A7598"/>
    <w:rsid w:val="002A7675"/>
    <w:rsid w:val="002A7756"/>
    <w:rsid w:val="002A784D"/>
    <w:rsid w:val="002A7926"/>
    <w:rsid w:val="002A793D"/>
    <w:rsid w:val="002A7941"/>
    <w:rsid w:val="002A79AE"/>
    <w:rsid w:val="002A79CC"/>
    <w:rsid w:val="002A79CD"/>
    <w:rsid w:val="002A7A28"/>
    <w:rsid w:val="002A7A5F"/>
    <w:rsid w:val="002A7A88"/>
    <w:rsid w:val="002A7AE8"/>
    <w:rsid w:val="002A7BA8"/>
    <w:rsid w:val="002A7BB3"/>
    <w:rsid w:val="002A7BCD"/>
    <w:rsid w:val="002A7BE0"/>
    <w:rsid w:val="002A7CCC"/>
    <w:rsid w:val="002A7D06"/>
    <w:rsid w:val="002A7E23"/>
    <w:rsid w:val="002A7EC2"/>
    <w:rsid w:val="002A7EC3"/>
    <w:rsid w:val="002A7EE2"/>
    <w:rsid w:val="002A7F57"/>
    <w:rsid w:val="002A7F62"/>
    <w:rsid w:val="002B003E"/>
    <w:rsid w:val="002B007A"/>
    <w:rsid w:val="002B012D"/>
    <w:rsid w:val="002B016F"/>
    <w:rsid w:val="002B0237"/>
    <w:rsid w:val="002B02D4"/>
    <w:rsid w:val="002B031E"/>
    <w:rsid w:val="002B034D"/>
    <w:rsid w:val="002B0408"/>
    <w:rsid w:val="002B0557"/>
    <w:rsid w:val="002B073B"/>
    <w:rsid w:val="002B0794"/>
    <w:rsid w:val="002B07D6"/>
    <w:rsid w:val="002B0838"/>
    <w:rsid w:val="002B0875"/>
    <w:rsid w:val="002B0943"/>
    <w:rsid w:val="002B0A9B"/>
    <w:rsid w:val="002B0AEC"/>
    <w:rsid w:val="002B0B8A"/>
    <w:rsid w:val="002B0C39"/>
    <w:rsid w:val="002B0C52"/>
    <w:rsid w:val="002B0D55"/>
    <w:rsid w:val="002B0E04"/>
    <w:rsid w:val="002B0E4E"/>
    <w:rsid w:val="002B0EBF"/>
    <w:rsid w:val="002B0F21"/>
    <w:rsid w:val="002B0F70"/>
    <w:rsid w:val="002B0F94"/>
    <w:rsid w:val="002B0FD3"/>
    <w:rsid w:val="002B1109"/>
    <w:rsid w:val="002B1123"/>
    <w:rsid w:val="002B1143"/>
    <w:rsid w:val="002B1171"/>
    <w:rsid w:val="002B12AB"/>
    <w:rsid w:val="002B1360"/>
    <w:rsid w:val="002B1486"/>
    <w:rsid w:val="002B1490"/>
    <w:rsid w:val="002B1601"/>
    <w:rsid w:val="002B16BC"/>
    <w:rsid w:val="002B170B"/>
    <w:rsid w:val="002B1735"/>
    <w:rsid w:val="002B1741"/>
    <w:rsid w:val="002B177C"/>
    <w:rsid w:val="002B179B"/>
    <w:rsid w:val="002B17B6"/>
    <w:rsid w:val="002B17EE"/>
    <w:rsid w:val="002B1954"/>
    <w:rsid w:val="002B1A18"/>
    <w:rsid w:val="002B1A5D"/>
    <w:rsid w:val="002B1B04"/>
    <w:rsid w:val="002B1B86"/>
    <w:rsid w:val="002B1CDF"/>
    <w:rsid w:val="002B1DBA"/>
    <w:rsid w:val="002B1E7D"/>
    <w:rsid w:val="002B1EDB"/>
    <w:rsid w:val="002B1F06"/>
    <w:rsid w:val="002B1F90"/>
    <w:rsid w:val="002B1FFA"/>
    <w:rsid w:val="002B20C9"/>
    <w:rsid w:val="002B213C"/>
    <w:rsid w:val="002B2184"/>
    <w:rsid w:val="002B21B5"/>
    <w:rsid w:val="002B2284"/>
    <w:rsid w:val="002B251D"/>
    <w:rsid w:val="002B258B"/>
    <w:rsid w:val="002B25C9"/>
    <w:rsid w:val="002B25DB"/>
    <w:rsid w:val="002B268C"/>
    <w:rsid w:val="002B26C2"/>
    <w:rsid w:val="002B2715"/>
    <w:rsid w:val="002B2726"/>
    <w:rsid w:val="002B272D"/>
    <w:rsid w:val="002B27FD"/>
    <w:rsid w:val="002B2853"/>
    <w:rsid w:val="002B2857"/>
    <w:rsid w:val="002B28D4"/>
    <w:rsid w:val="002B2970"/>
    <w:rsid w:val="002B29A9"/>
    <w:rsid w:val="002B29DE"/>
    <w:rsid w:val="002B2A4E"/>
    <w:rsid w:val="002B2AAE"/>
    <w:rsid w:val="002B2B00"/>
    <w:rsid w:val="002B2B44"/>
    <w:rsid w:val="002B2BFF"/>
    <w:rsid w:val="002B2CEE"/>
    <w:rsid w:val="002B2D0D"/>
    <w:rsid w:val="002B2D52"/>
    <w:rsid w:val="002B2E79"/>
    <w:rsid w:val="002B2EFB"/>
    <w:rsid w:val="002B2F2A"/>
    <w:rsid w:val="002B2FA0"/>
    <w:rsid w:val="002B3060"/>
    <w:rsid w:val="002B308C"/>
    <w:rsid w:val="002B30C6"/>
    <w:rsid w:val="002B3139"/>
    <w:rsid w:val="002B31CD"/>
    <w:rsid w:val="002B326C"/>
    <w:rsid w:val="002B3284"/>
    <w:rsid w:val="002B33A4"/>
    <w:rsid w:val="002B3495"/>
    <w:rsid w:val="002B36A3"/>
    <w:rsid w:val="002B36BA"/>
    <w:rsid w:val="002B37B8"/>
    <w:rsid w:val="002B3805"/>
    <w:rsid w:val="002B381B"/>
    <w:rsid w:val="002B38A1"/>
    <w:rsid w:val="002B3949"/>
    <w:rsid w:val="002B3969"/>
    <w:rsid w:val="002B3997"/>
    <w:rsid w:val="002B39D3"/>
    <w:rsid w:val="002B3A32"/>
    <w:rsid w:val="002B3B0F"/>
    <w:rsid w:val="002B3BE1"/>
    <w:rsid w:val="002B3C32"/>
    <w:rsid w:val="002B3C44"/>
    <w:rsid w:val="002B3C66"/>
    <w:rsid w:val="002B3CDC"/>
    <w:rsid w:val="002B3CED"/>
    <w:rsid w:val="002B3D07"/>
    <w:rsid w:val="002B3D0C"/>
    <w:rsid w:val="002B3D1C"/>
    <w:rsid w:val="002B3D61"/>
    <w:rsid w:val="002B3D72"/>
    <w:rsid w:val="002B3DA4"/>
    <w:rsid w:val="002B3DC6"/>
    <w:rsid w:val="002B3FBD"/>
    <w:rsid w:val="002B4065"/>
    <w:rsid w:val="002B4097"/>
    <w:rsid w:val="002B4113"/>
    <w:rsid w:val="002B41B1"/>
    <w:rsid w:val="002B420D"/>
    <w:rsid w:val="002B4298"/>
    <w:rsid w:val="002B42A8"/>
    <w:rsid w:val="002B42C0"/>
    <w:rsid w:val="002B42E8"/>
    <w:rsid w:val="002B43C0"/>
    <w:rsid w:val="002B4402"/>
    <w:rsid w:val="002B440F"/>
    <w:rsid w:val="002B4484"/>
    <w:rsid w:val="002B450F"/>
    <w:rsid w:val="002B4529"/>
    <w:rsid w:val="002B4584"/>
    <w:rsid w:val="002B459A"/>
    <w:rsid w:val="002B45A3"/>
    <w:rsid w:val="002B45DD"/>
    <w:rsid w:val="002B465E"/>
    <w:rsid w:val="002B46D4"/>
    <w:rsid w:val="002B46E1"/>
    <w:rsid w:val="002B46FF"/>
    <w:rsid w:val="002B4754"/>
    <w:rsid w:val="002B47A0"/>
    <w:rsid w:val="002B483D"/>
    <w:rsid w:val="002B4872"/>
    <w:rsid w:val="002B48AF"/>
    <w:rsid w:val="002B4910"/>
    <w:rsid w:val="002B4A74"/>
    <w:rsid w:val="002B4AEC"/>
    <w:rsid w:val="002B4B0C"/>
    <w:rsid w:val="002B4B10"/>
    <w:rsid w:val="002B4BDC"/>
    <w:rsid w:val="002B4C7D"/>
    <w:rsid w:val="002B4CC3"/>
    <w:rsid w:val="002B4D32"/>
    <w:rsid w:val="002B4E1A"/>
    <w:rsid w:val="002B4E8A"/>
    <w:rsid w:val="002B4EDA"/>
    <w:rsid w:val="002B4F98"/>
    <w:rsid w:val="002B4FC8"/>
    <w:rsid w:val="002B502A"/>
    <w:rsid w:val="002B50AD"/>
    <w:rsid w:val="002B510A"/>
    <w:rsid w:val="002B523B"/>
    <w:rsid w:val="002B5286"/>
    <w:rsid w:val="002B532D"/>
    <w:rsid w:val="002B5374"/>
    <w:rsid w:val="002B5564"/>
    <w:rsid w:val="002B5574"/>
    <w:rsid w:val="002B5603"/>
    <w:rsid w:val="002B562D"/>
    <w:rsid w:val="002B5681"/>
    <w:rsid w:val="002B56D5"/>
    <w:rsid w:val="002B570F"/>
    <w:rsid w:val="002B574B"/>
    <w:rsid w:val="002B5760"/>
    <w:rsid w:val="002B5765"/>
    <w:rsid w:val="002B586C"/>
    <w:rsid w:val="002B58E0"/>
    <w:rsid w:val="002B58E9"/>
    <w:rsid w:val="002B5937"/>
    <w:rsid w:val="002B596A"/>
    <w:rsid w:val="002B59D9"/>
    <w:rsid w:val="002B59F5"/>
    <w:rsid w:val="002B5B33"/>
    <w:rsid w:val="002B5B72"/>
    <w:rsid w:val="002B5BA5"/>
    <w:rsid w:val="002B5C14"/>
    <w:rsid w:val="002B5C81"/>
    <w:rsid w:val="002B5CB8"/>
    <w:rsid w:val="002B5CBF"/>
    <w:rsid w:val="002B5CC4"/>
    <w:rsid w:val="002B5CC8"/>
    <w:rsid w:val="002B5D78"/>
    <w:rsid w:val="002B5DA9"/>
    <w:rsid w:val="002B5DB7"/>
    <w:rsid w:val="002B5E72"/>
    <w:rsid w:val="002B5E80"/>
    <w:rsid w:val="002B5EFB"/>
    <w:rsid w:val="002B5F37"/>
    <w:rsid w:val="002B5FBD"/>
    <w:rsid w:val="002B5FC1"/>
    <w:rsid w:val="002B5FD2"/>
    <w:rsid w:val="002B6194"/>
    <w:rsid w:val="002B6211"/>
    <w:rsid w:val="002B62D1"/>
    <w:rsid w:val="002B632B"/>
    <w:rsid w:val="002B6378"/>
    <w:rsid w:val="002B63FA"/>
    <w:rsid w:val="002B63FD"/>
    <w:rsid w:val="002B6446"/>
    <w:rsid w:val="002B645E"/>
    <w:rsid w:val="002B6472"/>
    <w:rsid w:val="002B6484"/>
    <w:rsid w:val="002B6520"/>
    <w:rsid w:val="002B6566"/>
    <w:rsid w:val="002B65B8"/>
    <w:rsid w:val="002B65C3"/>
    <w:rsid w:val="002B6621"/>
    <w:rsid w:val="002B66A7"/>
    <w:rsid w:val="002B66AB"/>
    <w:rsid w:val="002B66C8"/>
    <w:rsid w:val="002B673C"/>
    <w:rsid w:val="002B6753"/>
    <w:rsid w:val="002B6785"/>
    <w:rsid w:val="002B6790"/>
    <w:rsid w:val="002B67AA"/>
    <w:rsid w:val="002B67B4"/>
    <w:rsid w:val="002B67E4"/>
    <w:rsid w:val="002B6855"/>
    <w:rsid w:val="002B688C"/>
    <w:rsid w:val="002B69FD"/>
    <w:rsid w:val="002B6B58"/>
    <w:rsid w:val="002B6BAC"/>
    <w:rsid w:val="002B6C1A"/>
    <w:rsid w:val="002B6C41"/>
    <w:rsid w:val="002B6C5E"/>
    <w:rsid w:val="002B6CF7"/>
    <w:rsid w:val="002B6D11"/>
    <w:rsid w:val="002B6D8E"/>
    <w:rsid w:val="002B6DA0"/>
    <w:rsid w:val="002B6E71"/>
    <w:rsid w:val="002B6F54"/>
    <w:rsid w:val="002B6F67"/>
    <w:rsid w:val="002B6FD7"/>
    <w:rsid w:val="002B700D"/>
    <w:rsid w:val="002B707C"/>
    <w:rsid w:val="002B7086"/>
    <w:rsid w:val="002B70C7"/>
    <w:rsid w:val="002B7111"/>
    <w:rsid w:val="002B7271"/>
    <w:rsid w:val="002B72BD"/>
    <w:rsid w:val="002B72E9"/>
    <w:rsid w:val="002B7344"/>
    <w:rsid w:val="002B73B6"/>
    <w:rsid w:val="002B742A"/>
    <w:rsid w:val="002B7475"/>
    <w:rsid w:val="002B74BD"/>
    <w:rsid w:val="002B758F"/>
    <w:rsid w:val="002B7599"/>
    <w:rsid w:val="002B7629"/>
    <w:rsid w:val="002B7633"/>
    <w:rsid w:val="002B76AE"/>
    <w:rsid w:val="002B76FD"/>
    <w:rsid w:val="002B778C"/>
    <w:rsid w:val="002B786E"/>
    <w:rsid w:val="002B7888"/>
    <w:rsid w:val="002B790B"/>
    <w:rsid w:val="002B7B87"/>
    <w:rsid w:val="002B7BA0"/>
    <w:rsid w:val="002B7BBD"/>
    <w:rsid w:val="002B7BF1"/>
    <w:rsid w:val="002B7C9B"/>
    <w:rsid w:val="002B7CFC"/>
    <w:rsid w:val="002B7CFD"/>
    <w:rsid w:val="002B7D4E"/>
    <w:rsid w:val="002B7DFD"/>
    <w:rsid w:val="002B7E11"/>
    <w:rsid w:val="002B7E55"/>
    <w:rsid w:val="002B7EEA"/>
    <w:rsid w:val="002B7F5A"/>
    <w:rsid w:val="002B7F8F"/>
    <w:rsid w:val="002B7FA1"/>
    <w:rsid w:val="002C0031"/>
    <w:rsid w:val="002C0148"/>
    <w:rsid w:val="002C015B"/>
    <w:rsid w:val="002C034A"/>
    <w:rsid w:val="002C034C"/>
    <w:rsid w:val="002C0378"/>
    <w:rsid w:val="002C037C"/>
    <w:rsid w:val="002C03FB"/>
    <w:rsid w:val="002C041F"/>
    <w:rsid w:val="002C0462"/>
    <w:rsid w:val="002C0483"/>
    <w:rsid w:val="002C04D2"/>
    <w:rsid w:val="002C0506"/>
    <w:rsid w:val="002C057A"/>
    <w:rsid w:val="002C05E4"/>
    <w:rsid w:val="002C05E6"/>
    <w:rsid w:val="002C05EC"/>
    <w:rsid w:val="002C0650"/>
    <w:rsid w:val="002C0686"/>
    <w:rsid w:val="002C06B9"/>
    <w:rsid w:val="002C076C"/>
    <w:rsid w:val="002C07C9"/>
    <w:rsid w:val="002C07D0"/>
    <w:rsid w:val="002C0815"/>
    <w:rsid w:val="002C08BE"/>
    <w:rsid w:val="002C08E5"/>
    <w:rsid w:val="002C08FC"/>
    <w:rsid w:val="002C098F"/>
    <w:rsid w:val="002C0A21"/>
    <w:rsid w:val="002C0A8E"/>
    <w:rsid w:val="002C0A91"/>
    <w:rsid w:val="002C0AE5"/>
    <w:rsid w:val="002C0C7E"/>
    <w:rsid w:val="002C0D62"/>
    <w:rsid w:val="002C0DF3"/>
    <w:rsid w:val="002C0E50"/>
    <w:rsid w:val="002C0F3E"/>
    <w:rsid w:val="002C0F9B"/>
    <w:rsid w:val="002C0FE5"/>
    <w:rsid w:val="002C0FE7"/>
    <w:rsid w:val="002C0FED"/>
    <w:rsid w:val="002C1062"/>
    <w:rsid w:val="002C13F2"/>
    <w:rsid w:val="002C148F"/>
    <w:rsid w:val="002C14DE"/>
    <w:rsid w:val="002C154E"/>
    <w:rsid w:val="002C15D6"/>
    <w:rsid w:val="002C1618"/>
    <w:rsid w:val="002C162E"/>
    <w:rsid w:val="002C16C8"/>
    <w:rsid w:val="002C17F8"/>
    <w:rsid w:val="002C19B4"/>
    <w:rsid w:val="002C1A35"/>
    <w:rsid w:val="002C1A93"/>
    <w:rsid w:val="002C1B40"/>
    <w:rsid w:val="002C1B4E"/>
    <w:rsid w:val="002C1C33"/>
    <w:rsid w:val="002C1C8B"/>
    <w:rsid w:val="002C1DAD"/>
    <w:rsid w:val="002C1E81"/>
    <w:rsid w:val="002C1EA0"/>
    <w:rsid w:val="002C1F57"/>
    <w:rsid w:val="002C1FD5"/>
    <w:rsid w:val="002C1FE4"/>
    <w:rsid w:val="002C1FEE"/>
    <w:rsid w:val="002C20C6"/>
    <w:rsid w:val="002C20D7"/>
    <w:rsid w:val="002C2166"/>
    <w:rsid w:val="002C21F6"/>
    <w:rsid w:val="002C220D"/>
    <w:rsid w:val="002C22B0"/>
    <w:rsid w:val="002C2307"/>
    <w:rsid w:val="002C2361"/>
    <w:rsid w:val="002C2362"/>
    <w:rsid w:val="002C24E0"/>
    <w:rsid w:val="002C2594"/>
    <w:rsid w:val="002C25A3"/>
    <w:rsid w:val="002C26E4"/>
    <w:rsid w:val="002C26F4"/>
    <w:rsid w:val="002C2723"/>
    <w:rsid w:val="002C2784"/>
    <w:rsid w:val="002C2797"/>
    <w:rsid w:val="002C27AA"/>
    <w:rsid w:val="002C28BD"/>
    <w:rsid w:val="002C28D3"/>
    <w:rsid w:val="002C2932"/>
    <w:rsid w:val="002C29BA"/>
    <w:rsid w:val="002C2A02"/>
    <w:rsid w:val="002C2A34"/>
    <w:rsid w:val="002C2AAC"/>
    <w:rsid w:val="002C2AFE"/>
    <w:rsid w:val="002C2B03"/>
    <w:rsid w:val="002C2B1B"/>
    <w:rsid w:val="002C2BD3"/>
    <w:rsid w:val="002C2BE3"/>
    <w:rsid w:val="002C2C18"/>
    <w:rsid w:val="002C2C58"/>
    <w:rsid w:val="002C2CBD"/>
    <w:rsid w:val="002C2CD4"/>
    <w:rsid w:val="002C2D1A"/>
    <w:rsid w:val="002C2D71"/>
    <w:rsid w:val="002C2DAD"/>
    <w:rsid w:val="002C2E57"/>
    <w:rsid w:val="002C2EA3"/>
    <w:rsid w:val="002C2ECC"/>
    <w:rsid w:val="002C2EFF"/>
    <w:rsid w:val="002C2F4A"/>
    <w:rsid w:val="002C2F8F"/>
    <w:rsid w:val="002C2FF8"/>
    <w:rsid w:val="002C3074"/>
    <w:rsid w:val="002C30C9"/>
    <w:rsid w:val="002C30D0"/>
    <w:rsid w:val="002C3162"/>
    <w:rsid w:val="002C3189"/>
    <w:rsid w:val="002C31B4"/>
    <w:rsid w:val="002C327F"/>
    <w:rsid w:val="002C32BF"/>
    <w:rsid w:val="002C332C"/>
    <w:rsid w:val="002C3334"/>
    <w:rsid w:val="002C3341"/>
    <w:rsid w:val="002C334E"/>
    <w:rsid w:val="002C33B0"/>
    <w:rsid w:val="002C3435"/>
    <w:rsid w:val="002C3468"/>
    <w:rsid w:val="002C347F"/>
    <w:rsid w:val="002C34E3"/>
    <w:rsid w:val="002C3579"/>
    <w:rsid w:val="002C35A7"/>
    <w:rsid w:val="002C35B6"/>
    <w:rsid w:val="002C35CF"/>
    <w:rsid w:val="002C35D5"/>
    <w:rsid w:val="002C3820"/>
    <w:rsid w:val="002C386B"/>
    <w:rsid w:val="002C3883"/>
    <w:rsid w:val="002C3898"/>
    <w:rsid w:val="002C3A47"/>
    <w:rsid w:val="002C3A73"/>
    <w:rsid w:val="002C3B3D"/>
    <w:rsid w:val="002C3B73"/>
    <w:rsid w:val="002C3BAB"/>
    <w:rsid w:val="002C3C0E"/>
    <w:rsid w:val="002C3C7E"/>
    <w:rsid w:val="002C3D11"/>
    <w:rsid w:val="002C3D23"/>
    <w:rsid w:val="002C3E7B"/>
    <w:rsid w:val="002C3FD9"/>
    <w:rsid w:val="002C4068"/>
    <w:rsid w:val="002C4091"/>
    <w:rsid w:val="002C418C"/>
    <w:rsid w:val="002C4295"/>
    <w:rsid w:val="002C42C0"/>
    <w:rsid w:val="002C434E"/>
    <w:rsid w:val="002C4446"/>
    <w:rsid w:val="002C447D"/>
    <w:rsid w:val="002C44A6"/>
    <w:rsid w:val="002C44EF"/>
    <w:rsid w:val="002C4553"/>
    <w:rsid w:val="002C4596"/>
    <w:rsid w:val="002C45A3"/>
    <w:rsid w:val="002C468A"/>
    <w:rsid w:val="002C4768"/>
    <w:rsid w:val="002C486F"/>
    <w:rsid w:val="002C487B"/>
    <w:rsid w:val="002C4880"/>
    <w:rsid w:val="002C48B7"/>
    <w:rsid w:val="002C48DF"/>
    <w:rsid w:val="002C48E1"/>
    <w:rsid w:val="002C491C"/>
    <w:rsid w:val="002C4959"/>
    <w:rsid w:val="002C49F2"/>
    <w:rsid w:val="002C4AF6"/>
    <w:rsid w:val="002C4C09"/>
    <w:rsid w:val="002C4C60"/>
    <w:rsid w:val="002C4D1F"/>
    <w:rsid w:val="002C4E23"/>
    <w:rsid w:val="002C4E48"/>
    <w:rsid w:val="002C4EAE"/>
    <w:rsid w:val="002C4ED8"/>
    <w:rsid w:val="002C4F03"/>
    <w:rsid w:val="002C4F9F"/>
    <w:rsid w:val="002C503E"/>
    <w:rsid w:val="002C514B"/>
    <w:rsid w:val="002C5184"/>
    <w:rsid w:val="002C51FB"/>
    <w:rsid w:val="002C5261"/>
    <w:rsid w:val="002C5328"/>
    <w:rsid w:val="002C53B0"/>
    <w:rsid w:val="002C53F6"/>
    <w:rsid w:val="002C54C5"/>
    <w:rsid w:val="002C54D3"/>
    <w:rsid w:val="002C5536"/>
    <w:rsid w:val="002C563C"/>
    <w:rsid w:val="002C568B"/>
    <w:rsid w:val="002C5722"/>
    <w:rsid w:val="002C572D"/>
    <w:rsid w:val="002C580C"/>
    <w:rsid w:val="002C5851"/>
    <w:rsid w:val="002C58B3"/>
    <w:rsid w:val="002C58C9"/>
    <w:rsid w:val="002C591F"/>
    <w:rsid w:val="002C59EC"/>
    <w:rsid w:val="002C5AB6"/>
    <w:rsid w:val="002C5AF1"/>
    <w:rsid w:val="002C5B38"/>
    <w:rsid w:val="002C5B4D"/>
    <w:rsid w:val="002C5B98"/>
    <w:rsid w:val="002C5CEC"/>
    <w:rsid w:val="002C5D05"/>
    <w:rsid w:val="002C5D86"/>
    <w:rsid w:val="002C5E04"/>
    <w:rsid w:val="002C5E4A"/>
    <w:rsid w:val="002C5E56"/>
    <w:rsid w:val="002C5E66"/>
    <w:rsid w:val="002C5E71"/>
    <w:rsid w:val="002C5EA6"/>
    <w:rsid w:val="002C5ED1"/>
    <w:rsid w:val="002C6043"/>
    <w:rsid w:val="002C6113"/>
    <w:rsid w:val="002C6187"/>
    <w:rsid w:val="002C61AF"/>
    <w:rsid w:val="002C6220"/>
    <w:rsid w:val="002C6222"/>
    <w:rsid w:val="002C6272"/>
    <w:rsid w:val="002C6289"/>
    <w:rsid w:val="002C62EC"/>
    <w:rsid w:val="002C637D"/>
    <w:rsid w:val="002C6398"/>
    <w:rsid w:val="002C6451"/>
    <w:rsid w:val="002C64C7"/>
    <w:rsid w:val="002C6501"/>
    <w:rsid w:val="002C656C"/>
    <w:rsid w:val="002C65EF"/>
    <w:rsid w:val="002C662B"/>
    <w:rsid w:val="002C66E0"/>
    <w:rsid w:val="002C67CF"/>
    <w:rsid w:val="002C67DD"/>
    <w:rsid w:val="002C689F"/>
    <w:rsid w:val="002C68C1"/>
    <w:rsid w:val="002C68FA"/>
    <w:rsid w:val="002C6918"/>
    <w:rsid w:val="002C6921"/>
    <w:rsid w:val="002C6A32"/>
    <w:rsid w:val="002C6B03"/>
    <w:rsid w:val="002C6B43"/>
    <w:rsid w:val="002C6C59"/>
    <w:rsid w:val="002C6CAF"/>
    <w:rsid w:val="002C6D28"/>
    <w:rsid w:val="002C6E29"/>
    <w:rsid w:val="002C6F0D"/>
    <w:rsid w:val="002C6F5D"/>
    <w:rsid w:val="002C6FBE"/>
    <w:rsid w:val="002C6FDB"/>
    <w:rsid w:val="002C6FFD"/>
    <w:rsid w:val="002C70B5"/>
    <w:rsid w:val="002C715A"/>
    <w:rsid w:val="002C7202"/>
    <w:rsid w:val="002C72AB"/>
    <w:rsid w:val="002C7330"/>
    <w:rsid w:val="002C736D"/>
    <w:rsid w:val="002C737E"/>
    <w:rsid w:val="002C73B4"/>
    <w:rsid w:val="002C7472"/>
    <w:rsid w:val="002C7473"/>
    <w:rsid w:val="002C7477"/>
    <w:rsid w:val="002C758B"/>
    <w:rsid w:val="002C75E5"/>
    <w:rsid w:val="002C772B"/>
    <w:rsid w:val="002C7769"/>
    <w:rsid w:val="002C7784"/>
    <w:rsid w:val="002C7803"/>
    <w:rsid w:val="002C785A"/>
    <w:rsid w:val="002C7872"/>
    <w:rsid w:val="002C78E6"/>
    <w:rsid w:val="002C79B6"/>
    <w:rsid w:val="002C79F0"/>
    <w:rsid w:val="002C7A97"/>
    <w:rsid w:val="002C7AC8"/>
    <w:rsid w:val="002C7AEB"/>
    <w:rsid w:val="002C7AEE"/>
    <w:rsid w:val="002C7AF2"/>
    <w:rsid w:val="002C7B29"/>
    <w:rsid w:val="002C7B8F"/>
    <w:rsid w:val="002C7BA2"/>
    <w:rsid w:val="002C7BDA"/>
    <w:rsid w:val="002C7C7B"/>
    <w:rsid w:val="002C7C81"/>
    <w:rsid w:val="002C7CD6"/>
    <w:rsid w:val="002C7CF7"/>
    <w:rsid w:val="002C7CFC"/>
    <w:rsid w:val="002C7D47"/>
    <w:rsid w:val="002C7DC1"/>
    <w:rsid w:val="002C7EC1"/>
    <w:rsid w:val="002C7F7D"/>
    <w:rsid w:val="002C7FE1"/>
    <w:rsid w:val="002D00EB"/>
    <w:rsid w:val="002D0250"/>
    <w:rsid w:val="002D027C"/>
    <w:rsid w:val="002D02CE"/>
    <w:rsid w:val="002D02EF"/>
    <w:rsid w:val="002D0404"/>
    <w:rsid w:val="002D040B"/>
    <w:rsid w:val="002D04BF"/>
    <w:rsid w:val="002D04C6"/>
    <w:rsid w:val="002D052B"/>
    <w:rsid w:val="002D0540"/>
    <w:rsid w:val="002D057B"/>
    <w:rsid w:val="002D05D9"/>
    <w:rsid w:val="002D076F"/>
    <w:rsid w:val="002D0878"/>
    <w:rsid w:val="002D0943"/>
    <w:rsid w:val="002D096C"/>
    <w:rsid w:val="002D09A6"/>
    <w:rsid w:val="002D0A07"/>
    <w:rsid w:val="002D0A25"/>
    <w:rsid w:val="002D0AD1"/>
    <w:rsid w:val="002D0ADD"/>
    <w:rsid w:val="002D0AE9"/>
    <w:rsid w:val="002D0B33"/>
    <w:rsid w:val="002D0B48"/>
    <w:rsid w:val="002D0BCB"/>
    <w:rsid w:val="002D0C58"/>
    <w:rsid w:val="002D0C8F"/>
    <w:rsid w:val="002D0CE5"/>
    <w:rsid w:val="002D0D47"/>
    <w:rsid w:val="002D0D9B"/>
    <w:rsid w:val="002D0DDD"/>
    <w:rsid w:val="002D0E07"/>
    <w:rsid w:val="002D0F2C"/>
    <w:rsid w:val="002D0F74"/>
    <w:rsid w:val="002D1110"/>
    <w:rsid w:val="002D1160"/>
    <w:rsid w:val="002D11AA"/>
    <w:rsid w:val="002D1266"/>
    <w:rsid w:val="002D128C"/>
    <w:rsid w:val="002D134C"/>
    <w:rsid w:val="002D13AA"/>
    <w:rsid w:val="002D1436"/>
    <w:rsid w:val="002D14EC"/>
    <w:rsid w:val="002D1541"/>
    <w:rsid w:val="002D15A2"/>
    <w:rsid w:val="002D15D4"/>
    <w:rsid w:val="002D15FB"/>
    <w:rsid w:val="002D1617"/>
    <w:rsid w:val="002D165D"/>
    <w:rsid w:val="002D1690"/>
    <w:rsid w:val="002D174D"/>
    <w:rsid w:val="002D1763"/>
    <w:rsid w:val="002D17E9"/>
    <w:rsid w:val="002D17F7"/>
    <w:rsid w:val="002D1828"/>
    <w:rsid w:val="002D18CF"/>
    <w:rsid w:val="002D18F2"/>
    <w:rsid w:val="002D1A17"/>
    <w:rsid w:val="002D1AE0"/>
    <w:rsid w:val="002D1B04"/>
    <w:rsid w:val="002D1B23"/>
    <w:rsid w:val="002D1B50"/>
    <w:rsid w:val="002D1BB1"/>
    <w:rsid w:val="002D1BD9"/>
    <w:rsid w:val="002D1BE9"/>
    <w:rsid w:val="002D1C04"/>
    <w:rsid w:val="002D1C22"/>
    <w:rsid w:val="002D1C65"/>
    <w:rsid w:val="002D1D12"/>
    <w:rsid w:val="002D1D7D"/>
    <w:rsid w:val="002D1D8B"/>
    <w:rsid w:val="002D1DAE"/>
    <w:rsid w:val="002D1DE1"/>
    <w:rsid w:val="002D1F19"/>
    <w:rsid w:val="002D1FD1"/>
    <w:rsid w:val="002D1FE5"/>
    <w:rsid w:val="002D1FF0"/>
    <w:rsid w:val="002D2037"/>
    <w:rsid w:val="002D2045"/>
    <w:rsid w:val="002D224C"/>
    <w:rsid w:val="002D22BC"/>
    <w:rsid w:val="002D22BE"/>
    <w:rsid w:val="002D2382"/>
    <w:rsid w:val="002D2471"/>
    <w:rsid w:val="002D24C1"/>
    <w:rsid w:val="002D24D1"/>
    <w:rsid w:val="002D2598"/>
    <w:rsid w:val="002D25DD"/>
    <w:rsid w:val="002D25E9"/>
    <w:rsid w:val="002D25F4"/>
    <w:rsid w:val="002D2653"/>
    <w:rsid w:val="002D26A6"/>
    <w:rsid w:val="002D26A9"/>
    <w:rsid w:val="002D26DC"/>
    <w:rsid w:val="002D276C"/>
    <w:rsid w:val="002D2804"/>
    <w:rsid w:val="002D2861"/>
    <w:rsid w:val="002D2877"/>
    <w:rsid w:val="002D2A46"/>
    <w:rsid w:val="002D2B76"/>
    <w:rsid w:val="002D2BAE"/>
    <w:rsid w:val="002D2C47"/>
    <w:rsid w:val="002D2C80"/>
    <w:rsid w:val="002D2D14"/>
    <w:rsid w:val="002D2D22"/>
    <w:rsid w:val="002D2D31"/>
    <w:rsid w:val="002D2D78"/>
    <w:rsid w:val="002D2DD5"/>
    <w:rsid w:val="002D2F1A"/>
    <w:rsid w:val="002D2F78"/>
    <w:rsid w:val="002D2F7E"/>
    <w:rsid w:val="002D2FBE"/>
    <w:rsid w:val="002D302F"/>
    <w:rsid w:val="002D3057"/>
    <w:rsid w:val="002D305C"/>
    <w:rsid w:val="002D3076"/>
    <w:rsid w:val="002D309F"/>
    <w:rsid w:val="002D3208"/>
    <w:rsid w:val="002D3234"/>
    <w:rsid w:val="002D3246"/>
    <w:rsid w:val="002D3255"/>
    <w:rsid w:val="002D3276"/>
    <w:rsid w:val="002D32BB"/>
    <w:rsid w:val="002D330C"/>
    <w:rsid w:val="002D330D"/>
    <w:rsid w:val="002D33E0"/>
    <w:rsid w:val="002D3469"/>
    <w:rsid w:val="002D351C"/>
    <w:rsid w:val="002D356C"/>
    <w:rsid w:val="002D35BA"/>
    <w:rsid w:val="002D35CD"/>
    <w:rsid w:val="002D36D6"/>
    <w:rsid w:val="002D3700"/>
    <w:rsid w:val="002D3714"/>
    <w:rsid w:val="002D373C"/>
    <w:rsid w:val="002D378A"/>
    <w:rsid w:val="002D3828"/>
    <w:rsid w:val="002D38F2"/>
    <w:rsid w:val="002D38F9"/>
    <w:rsid w:val="002D3929"/>
    <w:rsid w:val="002D3946"/>
    <w:rsid w:val="002D39D9"/>
    <w:rsid w:val="002D3A86"/>
    <w:rsid w:val="002D3AD8"/>
    <w:rsid w:val="002D3AF3"/>
    <w:rsid w:val="002D3B15"/>
    <w:rsid w:val="002D3B3C"/>
    <w:rsid w:val="002D3BB6"/>
    <w:rsid w:val="002D3BF9"/>
    <w:rsid w:val="002D3C5B"/>
    <w:rsid w:val="002D3C94"/>
    <w:rsid w:val="002D3CF8"/>
    <w:rsid w:val="002D3D46"/>
    <w:rsid w:val="002D3DD5"/>
    <w:rsid w:val="002D3E09"/>
    <w:rsid w:val="002D3E1C"/>
    <w:rsid w:val="002D3F5B"/>
    <w:rsid w:val="002D3FF0"/>
    <w:rsid w:val="002D4011"/>
    <w:rsid w:val="002D4133"/>
    <w:rsid w:val="002D4199"/>
    <w:rsid w:val="002D4245"/>
    <w:rsid w:val="002D42F0"/>
    <w:rsid w:val="002D4306"/>
    <w:rsid w:val="002D4398"/>
    <w:rsid w:val="002D442A"/>
    <w:rsid w:val="002D4453"/>
    <w:rsid w:val="002D44F0"/>
    <w:rsid w:val="002D4520"/>
    <w:rsid w:val="002D458C"/>
    <w:rsid w:val="002D45C3"/>
    <w:rsid w:val="002D4718"/>
    <w:rsid w:val="002D473F"/>
    <w:rsid w:val="002D4744"/>
    <w:rsid w:val="002D4788"/>
    <w:rsid w:val="002D47B7"/>
    <w:rsid w:val="002D47FC"/>
    <w:rsid w:val="002D4803"/>
    <w:rsid w:val="002D4948"/>
    <w:rsid w:val="002D494D"/>
    <w:rsid w:val="002D49CF"/>
    <w:rsid w:val="002D4A39"/>
    <w:rsid w:val="002D4AFE"/>
    <w:rsid w:val="002D4B16"/>
    <w:rsid w:val="002D4B1F"/>
    <w:rsid w:val="002D4C08"/>
    <w:rsid w:val="002D4C12"/>
    <w:rsid w:val="002D4C71"/>
    <w:rsid w:val="002D4CAD"/>
    <w:rsid w:val="002D4CDA"/>
    <w:rsid w:val="002D4CE6"/>
    <w:rsid w:val="002D4D7B"/>
    <w:rsid w:val="002D4E87"/>
    <w:rsid w:val="002D4F02"/>
    <w:rsid w:val="002D4FA7"/>
    <w:rsid w:val="002D4FD1"/>
    <w:rsid w:val="002D50AB"/>
    <w:rsid w:val="002D5107"/>
    <w:rsid w:val="002D5151"/>
    <w:rsid w:val="002D51A0"/>
    <w:rsid w:val="002D522D"/>
    <w:rsid w:val="002D522E"/>
    <w:rsid w:val="002D532A"/>
    <w:rsid w:val="002D5379"/>
    <w:rsid w:val="002D549D"/>
    <w:rsid w:val="002D5544"/>
    <w:rsid w:val="002D5575"/>
    <w:rsid w:val="002D5622"/>
    <w:rsid w:val="002D5671"/>
    <w:rsid w:val="002D5747"/>
    <w:rsid w:val="002D5750"/>
    <w:rsid w:val="002D585F"/>
    <w:rsid w:val="002D5885"/>
    <w:rsid w:val="002D58AD"/>
    <w:rsid w:val="002D5922"/>
    <w:rsid w:val="002D5960"/>
    <w:rsid w:val="002D5971"/>
    <w:rsid w:val="002D598A"/>
    <w:rsid w:val="002D599E"/>
    <w:rsid w:val="002D59A2"/>
    <w:rsid w:val="002D5AA9"/>
    <w:rsid w:val="002D5B0A"/>
    <w:rsid w:val="002D5BB2"/>
    <w:rsid w:val="002D5C7C"/>
    <w:rsid w:val="002D5CAC"/>
    <w:rsid w:val="002D5D33"/>
    <w:rsid w:val="002D5DF3"/>
    <w:rsid w:val="002D5E4A"/>
    <w:rsid w:val="002D6020"/>
    <w:rsid w:val="002D6044"/>
    <w:rsid w:val="002D6113"/>
    <w:rsid w:val="002D616D"/>
    <w:rsid w:val="002D6175"/>
    <w:rsid w:val="002D61B8"/>
    <w:rsid w:val="002D61E2"/>
    <w:rsid w:val="002D61EB"/>
    <w:rsid w:val="002D62AB"/>
    <w:rsid w:val="002D6401"/>
    <w:rsid w:val="002D6405"/>
    <w:rsid w:val="002D640F"/>
    <w:rsid w:val="002D650B"/>
    <w:rsid w:val="002D650E"/>
    <w:rsid w:val="002D651B"/>
    <w:rsid w:val="002D659F"/>
    <w:rsid w:val="002D65DD"/>
    <w:rsid w:val="002D6812"/>
    <w:rsid w:val="002D6819"/>
    <w:rsid w:val="002D6829"/>
    <w:rsid w:val="002D6848"/>
    <w:rsid w:val="002D6851"/>
    <w:rsid w:val="002D686E"/>
    <w:rsid w:val="002D68E7"/>
    <w:rsid w:val="002D696D"/>
    <w:rsid w:val="002D69F6"/>
    <w:rsid w:val="002D69F8"/>
    <w:rsid w:val="002D6A06"/>
    <w:rsid w:val="002D6A4E"/>
    <w:rsid w:val="002D6B18"/>
    <w:rsid w:val="002D6B85"/>
    <w:rsid w:val="002D6BD5"/>
    <w:rsid w:val="002D6C1E"/>
    <w:rsid w:val="002D6C31"/>
    <w:rsid w:val="002D6D6A"/>
    <w:rsid w:val="002D6E2B"/>
    <w:rsid w:val="002D6EA0"/>
    <w:rsid w:val="002D6FC3"/>
    <w:rsid w:val="002D7041"/>
    <w:rsid w:val="002D7056"/>
    <w:rsid w:val="002D70BE"/>
    <w:rsid w:val="002D7131"/>
    <w:rsid w:val="002D71D1"/>
    <w:rsid w:val="002D71D9"/>
    <w:rsid w:val="002D71E4"/>
    <w:rsid w:val="002D71E6"/>
    <w:rsid w:val="002D7221"/>
    <w:rsid w:val="002D7370"/>
    <w:rsid w:val="002D7440"/>
    <w:rsid w:val="002D7477"/>
    <w:rsid w:val="002D7575"/>
    <w:rsid w:val="002D7580"/>
    <w:rsid w:val="002D7599"/>
    <w:rsid w:val="002D75EB"/>
    <w:rsid w:val="002D75F7"/>
    <w:rsid w:val="002D7623"/>
    <w:rsid w:val="002D7697"/>
    <w:rsid w:val="002D772A"/>
    <w:rsid w:val="002D77D1"/>
    <w:rsid w:val="002D77EE"/>
    <w:rsid w:val="002D788B"/>
    <w:rsid w:val="002D78AC"/>
    <w:rsid w:val="002D7904"/>
    <w:rsid w:val="002D790B"/>
    <w:rsid w:val="002D7917"/>
    <w:rsid w:val="002D7956"/>
    <w:rsid w:val="002D796C"/>
    <w:rsid w:val="002D797B"/>
    <w:rsid w:val="002D79B3"/>
    <w:rsid w:val="002D7A19"/>
    <w:rsid w:val="002D7A3F"/>
    <w:rsid w:val="002D7A95"/>
    <w:rsid w:val="002D7AC3"/>
    <w:rsid w:val="002D7B98"/>
    <w:rsid w:val="002D7C51"/>
    <w:rsid w:val="002D7C62"/>
    <w:rsid w:val="002D7CA3"/>
    <w:rsid w:val="002D7D01"/>
    <w:rsid w:val="002D7D80"/>
    <w:rsid w:val="002D7DA3"/>
    <w:rsid w:val="002D7DAD"/>
    <w:rsid w:val="002D7EA5"/>
    <w:rsid w:val="002D7EB0"/>
    <w:rsid w:val="002D7F17"/>
    <w:rsid w:val="002D7F40"/>
    <w:rsid w:val="002D7F42"/>
    <w:rsid w:val="002D7FA9"/>
    <w:rsid w:val="002D7FB1"/>
    <w:rsid w:val="002D7FD7"/>
    <w:rsid w:val="002E0000"/>
    <w:rsid w:val="002E000D"/>
    <w:rsid w:val="002E0027"/>
    <w:rsid w:val="002E00C6"/>
    <w:rsid w:val="002E013D"/>
    <w:rsid w:val="002E0166"/>
    <w:rsid w:val="002E0181"/>
    <w:rsid w:val="002E01AE"/>
    <w:rsid w:val="002E023F"/>
    <w:rsid w:val="002E0263"/>
    <w:rsid w:val="002E03CF"/>
    <w:rsid w:val="002E03D6"/>
    <w:rsid w:val="002E041F"/>
    <w:rsid w:val="002E04AB"/>
    <w:rsid w:val="002E05AC"/>
    <w:rsid w:val="002E05C0"/>
    <w:rsid w:val="002E05E2"/>
    <w:rsid w:val="002E066A"/>
    <w:rsid w:val="002E06E9"/>
    <w:rsid w:val="002E06F1"/>
    <w:rsid w:val="002E071E"/>
    <w:rsid w:val="002E093C"/>
    <w:rsid w:val="002E0969"/>
    <w:rsid w:val="002E0A2E"/>
    <w:rsid w:val="002E0A48"/>
    <w:rsid w:val="002E0A8B"/>
    <w:rsid w:val="002E0A97"/>
    <w:rsid w:val="002E0AD8"/>
    <w:rsid w:val="002E0B1A"/>
    <w:rsid w:val="002E0CA0"/>
    <w:rsid w:val="002E0D18"/>
    <w:rsid w:val="002E0D59"/>
    <w:rsid w:val="002E0D9D"/>
    <w:rsid w:val="002E0DA0"/>
    <w:rsid w:val="002E0DEA"/>
    <w:rsid w:val="002E0E25"/>
    <w:rsid w:val="002E0E3D"/>
    <w:rsid w:val="002E0E7B"/>
    <w:rsid w:val="002E0EFF"/>
    <w:rsid w:val="002E0F70"/>
    <w:rsid w:val="002E0FC1"/>
    <w:rsid w:val="002E0FFD"/>
    <w:rsid w:val="002E102B"/>
    <w:rsid w:val="002E1168"/>
    <w:rsid w:val="002E11B4"/>
    <w:rsid w:val="002E11EA"/>
    <w:rsid w:val="002E1244"/>
    <w:rsid w:val="002E127C"/>
    <w:rsid w:val="002E12C5"/>
    <w:rsid w:val="002E138C"/>
    <w:rsid w:val="002E13A4"/>
    <w:rsid w:val="002E13B8"/>
    <w:rsid w:val="002E1472"/>
    <w:rsid w:val="002E161C"/>
    <w:rsid w:val="002E164C"/>
    <w:rsid w:val="002E16A7"/>
    <w:rsid w:val="002E16AB"/>
    <w:rsid w:val="002E16D2"/>
    <w:rsid w:val="002E1741"/>
    <w:rsid w:val="002E17C2"/>
    <w:rsid w:val="002E181E"/>
    <w:rsid w:val="002E1825"/>
    <w:rsid w:val="002E188F"/>
    <w:rsid w:val="002E18DC"/>
    <w:rsid w:val="002E199B"/>
    <w:rsid w:val="002E1A01"/>
    <w:rsid w:val="002E1A81"/>
    <w:rsid w:val="002E1A90"/>
    <w:rsid w:val="002E1AF4"/>
    <w:rsid w:val="002E1B9A"/>
    <w:rsid w:val="002E1BF2"/>
    <w:rsid w:val="002E1C63"/>
    <w:rsid w:val="002E1D17"/>
    <w:rsid w:val="002E1D38"/>
    <w:rsid w:val="002E1D6B"/>
    <w:rsid w:val="002E1DC7"/>
    <w:rsid w:val="002E1E0A"/>
    <w:rsid w:val="002E1E3A"/>
    <w:rsid w:val="002E1E76"/>
    <w:rsid w:val="002E2026"/>
    <w:rsid w:val="002E20A8"/>
    <w:rsid w:val="002E210A"/>
    <w:rsid w:val="002E2155"/>
    <w:rsid w:val="002E21B7"/>
    <w:rsid w:val="002E2214"/>
    <w:rsid w:val="002E228F"/>
    <w:rsid w:val="002E229E"/>
    <w:rsid w:val="002E22B0"/>
    <w:rsid w:val="002E2325"/>
    <w:rsid w:val="002E2377"/>
    <w:rsid w:val="002E2461"/>
    <w:rsid w:val="002E2479"/>
    <w:rsid w:val="002E24B2"/>
    <w:rsid w:val="002E24CC"/>
    <w:rsid w:val="002E24DB"/>
    <w:rsid w:val="002E25D4"/>
    <w:rsid w:val="002E26C4"/>
    <w:rsid w:val="002E26E9"/>
    <w:rsid w:val="002E277A"/>
    <w:rsid w:val="002E27B7"/>
    <w:rsid w:val="002E27D9"/>
    <w:rsid w:val="002E27E4"/>
    <w:rsid w:val="002E2824"/>
    <w:rsid w:val="002E28BD"/>
    <w:rsid w:val="002E28D2"/>
    <w:rsid w:val="002E29CE"/>
    <w:rsid w:val="002E2AF9"/>
    <w:rsid w:val="002E2B0C"/>
    <w:rsid w:val="002E2B58"/>
    <w:rsid w:val="002E2B99"/>
    <w:rsid w:val="002E2C42"/>
    <w:rsid w:val="002E2C48"/>
    <w:rsid w:val="002E2C9D"/>
    <w:rsid w:val="002E2D4C"/>
    <w:rsid w:val="002E2DD3"/>
    <w:rsid w:val="002E2E45"/>
    <w:rsid w:val="002E2E99"/>
    <w:rsid w:val="002E2ED9"/>
    <w:rsid w:val="002E2EE4"/>
    <w:rsid w:val="002E2F24"/>
    <w:rsid w:val="002E2F63"/>
    <w:rsid w:val="002E2F96"/>
    <w:rsid w:val="002E3014"/>
    <w:rsid w:val="002E3019"/>
    <w:rsid w:val="002E3043"/>
    <w:rsid w:val="002E305D"/>
    <w:rsid w:val="002E3116"/>
    <w:rsid w:val="002E31E8"/>
    <w:rsid w:val="002E31F2"/>
    <w:rsid w:val="002E3255"/>
    <w:rsid w:val="002E3277"/>
    <w:rsid w:val="002E327A"/>
    <w:rsid w:val="002E328E"/>
    <w:rsid w:val="002E330C"/>
    <w:rsid w:val="002E33FB"/>
    <w:rsid w:val="002E3461"/>
    <w:rsid w:val="002E3480"/>
    <w:rsid w:val="002E35AF"/>
    <w:rsid w:val="002E361F"/>
    <w:rsid w:val="002E3632"/>
    <w:rsid w:val="002E3717"/>
    <w:rsid w:val="002E3845"/>
    <w:rsid w:val="002E39A7"/>
    <w:rsid w:val="002E39AA"/>
    <w:rsid w:val="002E39B3"/>
    <w:rsid w:val="002E3A81"/>
    <w:rsid w:val="002E3A96"/>
    <w:rsid w:val="002E3ACE"/>
    <w:rsid w:val="002E3C43"/>
    <w:rsid w:val="002E3C95"/>
    <w:rsid w:val="002E3CF2"/>
    <w:rsid w:val="002E3D16"/>
    <w:rsid w:val="002E3E5D"/>
    <w:rsid w:val="002E3EC9"/>
    <w:rsid w:val="002E3FBE"/>
    <w:rsid w:val="002E3FF8"/>
    <w:rsid w:val="002E403D"/>
    <w:rsid w:val="002E4042"/>
    <w:rsid w:val="002E4088"/>
    <w:rsid w:val="002E41B0"/>
    <w:rsid w:val="002E41C5"/>
    <w:rsid w:val="002E41F9"/>
    <w:rsid w:val="002E4271"/>
    <w:rsid w:val="002E4348"/>
    <w:rsid w:val="002E4373"/>
    <w:rsid w:val="002E439B"/>
    <w:rsid w:val="002E4423"/>
    <w:rsid w:val="002E4452"/>
    <w:rsid w:val="002E44A6"/>
    <w:rsid w:val="002E453B"/>
    <w:rsid w:val="002E4561"/>
    <w:rsid w:val="002E45BC"/>
    <w:rsid w:val="002E4641"/>
    <w:rsid w:val="002E4682"/>
    <w:rsid w:val="002E46EC"/>
    <w:rsid w:val="002E473C"/>
    <w:rsid w:val="002E4760"/>
    <w:rsid w:val="002E47EA"/>
    <w:rsid w:val="002E47F0"/>
    <w:rsid w:val="002E4861"/>
    <w:rsid w:val="002E48D4"/>
    <w:rsid w:val="002E4932"/>
    <w:rsid w:val="002E49A5"/>
    <w:rsid w:val="002E4A3D"/>
    <w:rsid w:val="002E4AC5"/>
    <w:rsid w:val="002E4BB7"/>
    <w:rsid w:val="002E4BBA"/>
    <w:rsid w:val="002E4C22"/>
    <w:rsid w:val="002E4C2D"/>
    <w:rsid w:val="002E4C8B"/>
    <w:rsid w:val="002E4DB8"/>
    <w:rsid w:val="002E4DD8"/>
    <w:rsid w:val="002E4EB0"/>
    <w:rsid w:val="002E4EDA"/>
    <w:rsid w:val="002E4F23"/>
    <w:rsid w:val="002E51E0"/>
    <w:rsid w:val="002E524E"/>
    <w:rsid w:val="002E5261"/>
    <w:rsid w:val="002E527F"/>
    <w:rsid w:val="002E52C3"/>
    <w:rsid w:val="002E52C6"/>
    <w:rsid w:val="002E5323"/>
    <w:rsid w:val="002E53B0"/>
    <w:rsid w:val="002E5401"/>
    <w:rsid w:val="002E5440"/>
    <w:rsid w:val="002E54C7"/>
    <w:rsid w:val="002E54FF"/>
    <w:rsid w:val="002E5625"/>
    <w:rsid w:val="002E5736"/>
    <w:rsid w:val="002E5737"/>
    <w:rsid w:val="002E5804"/>
    <w:rsid w:val="002E5AAF"/>
    <w:rsid w:val="002E5AE5"/>
    <w:rsid w:val="002E5B4C"/>
    <w:rsid w:val="002E5BFE"/>
    <w:rsid w:val="002E5C38"/>
    <w:rsid w:val="002E5CDC"/>
    <w:rsid w:val="002E5CF0"/>
    <w:rsid w:val="002E5D59"/>
    <w:rsid w:val="002E5D87"/>
    <w:rsid w:val="002E5DA4"/>
    <w:rsid w:val="002E5DFB"/>
    <w:rsid w:val="002E5E36"/>
    <w:rsid w:val="002E5E9A"/>
    <w:rsid w:val="002E5F08"/>
    <w:rsid w:val="002E60BE"/>
    <w:rsid w:val="002E61B7"/>
    <w:rsid w:val="002E6268"/>
    <w:rsid w:val="002E646F"/>
    <w:rsid w:val="002E66AE"/>
    <w:rsid w:val="002E6712"/>
    <w:rsid w:val="002E67A4"/>
    <w:rsid w:val="002E68BE"/>
    <w:rsid w:val="002E68E0"/>
    <w:rsid w:val="002E69D7"/>
    <w:rsid w:val="002E6AFF"/>
    <w:rsid w:val="002E6B22"/>
    <w:rsid w:val="002E6BC1"/>
    <w:rsid w:val="002E6C49"/>
    <w:rsid w:val="002E6CF6"/>
    <w:rsid w:val="002E6DCE"/>
    <w:rsid w:val="002E6DDD"/>
    <w:rsid w:val="002E6DED"/>
    <w:rsid w:val="002E6DF6"/>
    <w:rsid w:val="002E6E05"/>
    <w:rsid w:val="002E6EA6"/>
    <w:rsid w:val="002E6F4E"/>
    <w:rsid w:val="002E6F53"/>
    <w:rsid w:val="002E6FA1"/>
    <w:rsid w:val="002E6FB8"/>
    <w:rsid w:val="002E70D4"/>
    <w:rsid w:val="002E710F"/>
    <w:rsid w:val="002E71FC"/>
    <w:rsid w:val="002E7239"/>
    <w:rsid w:val="002E736A"/>
    <w:rsid w:val="002E73E2"/>
    <w:rsid w:val="002E740B"/>
    <w:rsid w:val="002E741F"/>
    <w:rsid w:val="002E74D9"/>
    <w:rsid w:val="002E759E"/>
    <w:rsid w:val="002E776A"/>
    <w:rsid w:val="002E77E4"/>
    <w:rsid w:val="002E78DF"/>
    <w:rsid w:val="002E7947"/>
    <w:rsid w:val="002E7A56"/>
    <w:rsid w:val="002E7A6D"/>
    <w:rsid w:val="002E7A8E"/>
    <w:rsid w:val="002E7B49"/>
    <w:rsid w:val="002E7B6F"/>
    <w:rsid w:val="002E7B7E"/>
    <w:rsid w:val="002E7BDC"/>
    <w:rsid w:val="002E7BF7"/>
    <w:rsid w:val="002E7C52"/>
    <w:rsid w:val="002E7CBD"/>
    <w:rsid w:val="002E7CE5"/>
    <w:rsid w:val="002E7DDD"/>
    <w:rsid w:val="002E7DF8"/>
    <w:rsid w:val="002E7E69"/>
    <w:rsid w:val="002E7FAB"/>
    <w:rsid w:val="002F01A7"/>
    <w:rsid w:val="002F01AD"/>
    <w:rsid w:val="002F0292"/>
    <w:rsid w:val="002F0545"/>
    <w:rsid w:val="002F060D"/>
    <w:rsid w:val="002F0645"/>
    <w:rsid w:val="002F084E"/>
    <w:rsid w:val="002F0862"/>
    <w:rsid w:val="002F09F8"/>
    <w:rsid w:val="002F0A1C"/>
    <w:rsid w:val="002F0A2A"/>
    <w:rsid w:val="002F0A59"/>
    <w:rsid w:val="002F0A86"/>
    <w:rsid w:val="002F0AA3"/>
    <w:rsid w:val="002F0B14"/>
    <w:rsid w:val="002F0D21"/>
    <w:rsid w:val="002F0E47"/>
    <w:rsid w:val="002F0EC4"/>
    <w:rsid w:val="002F0F5B"/>
    <w:rsid w:val="002F0F5C"/>
    <w:rsid w:val="002F1004"/>
    <w:rsid w:val="002F101D"/>
    <w:rsid w:val="002F1025"/>
    <w:rsid w:val="002F103D"/>
    <w:rsid w:val="002F1065"/>
    <w:rsid w:val="002F1093"/>
    <w:rsid w:val="002F10BD"/>
    <w:rsid w:val="002F10EC"/>
    <w:rsid w:val="002F1107"/>
    <w:rsid w:val="002F124C"/>
    <w:rsid w:val="002F1366"/>
    <w:rsid w:val="002F143A"/>
    <w:rsid w:val="002F1523"/>
    <w:rsid w:val="002F154B"/>
    <w:rsid w:val="002F16F3"/>
    <w:rsid w:val="002F1808"/>
    <w:rsid w:val="002F18F8"/>
    <w:rsid w:val="002F1950"/>
    <w:rsid w:val="002F1A06"/>
    <w:rsid w:val="002F1AAE"/>
    <w:rsid w:val="002F1AD6"/>
    <w:rsid w:val="002F1B59"/>
    <w:rsid w:val="002F1B6E"/>
    <w:rsid w:val="002F1B9F"/>
    <w:rsid w:val="002F1BA5"/>
    <w:rsid w:val="002F1BB9"/>
    <w:rsid w:val="002F1C04"/>
    <w:rsid w:val="002F1C29"/>
    <w:rsid w:val="002F1CFB"/>
    <w:rsid w:val="002F1DD8"/>
    <w:rsid w:val="002F1E20"/>
    <w:rsid w:val="002F1E46"/>
    <w:rsid w:val="002F1EF5"/>
    <w:rsid w:val="002F2054"/>
    <w:rsid w:val="002F206D"/>
    <w:rsid w:val="002F20C5"/>
    <w:rsid w:val="002F2119"/>
    <w:rsid w:val="002F2186"/>
    <w:rsid w:val="002F21CA"/>
    <w:rsid w:val="002F2242"/>
    <w:rsid w:val="002F227E"/>
    <w:rsid w:val="002F2348"/>
    <w:rsid w:val="002F2372"/>
    <w:rsid w:val="002F2417"/>
    <w:rsid w:val="002F2456"/>
    <w:rsid w:val="002F2483"/>
    <w:rsid w:val="002F2525"/>
    <w:rsid w:val="002F25EB"/>
    <w:rsid w:val="002F2611"/>
    <w:rsid w:val="002F2614"/>
    <w:rsid w:val="002F2706"/>
    <w:rsid w:val="002F2730"/>
    <w:rsid w:val="002F280F"/>
    <w:rsid w:val="002F2829"/>
    <w:rsid w:val="002F291D"/>
    <w:rsid w:val="002F2951"/>
    <w:rsid w:val="002F298D"/>
    <w:rsid w:val="002F298F"/>
    <w:rsid w:val="002F29EB"/>
    <w:rsid w:val="002F2B4E"/>
    <w:rsid w:val="002F2BA0"/>
    <w:rsid w:val="002F2BE2"/>
    <w:rsid w:val="002F2D8D"/>
    <w:rsid w:val="002F2EBC"/>
    <w:rsid w:val="002F2F8D"/>
    <w:rsid w:val="002F3020"/>
    <w:rsid w:val="002F302F"/>
    <w:rsid w:val="002F30BB"/>
    <w:rsid w:val="002F313C"/>
    <w:rsid w:val="002F313D"/>
    <w:rsid w:val="002F3157"/>
    <w:rsid w:val="002F3191"/>
    <w:rsid w:val="002F3199"/>
    <w:rsid w:val="002F319C"/>
    <w:rsid w:val="002F31FD"/>
    <w:rsid w:val="002F32BC"/>
    <w:rsid w:val="002F32EB"/>
    <w:rsid w:val="002F335B"/>
    <w:rsid w:val="002F345C"/>
    <w:rsid w:val="002F347E"/>
    <w:rsid w:val="002F34CF"/>
    <w:rsid w:val="002F352B"/>
    <w:rsid w:val="002F3537"/>
    <w:rsid w:val="002F35C8"/>
    <w:rsid w:val="002F360C"/>
    <w:rsid w:val="002F3620"/>
    <w:rsid w:val="002F3752"/>
    <w:rsid w:val="002F3768"/>
    <w:rsid w:val="002F377C"/>
    <w:rsid w:val="002F3780"/>
    <w:rsid w:val="002F37B8"/>
    <w:rsid w:val="002F37F7"/>
    <w:rsid w:val="002F381B"/>
    <w:rsid w:val="002F3837"/>
    <w:rsid w:val="002F385D"/>
    <w:rsid w:val="002F38DD"/>
    <w:rsid w:val="002F398D"/>
    <w:rsid w:val="002F39F2"/>
    <w:rsid w:val="002F3BBE"/>
    <w:rsid w:val="002F3C38"/>
    <w:rsid w:val="002F3C57"/>
    <w:rsid w:val="002F3C76"/>
    <w:rsid w:val="002F3C77"/>
    <w:rsid w:val="002F3CB3"/>
    <w:rsid w:val="002F3CEE"/>
    <w:rsid w:val="002F3D11"/>
    <w:rsid w:val="002F3D8A"/>
    <w:rsid w:val="002F3DA1"/>
    <w:rsid w:val="002F3DA5"/>
    <w:rsid w:val="002F3E32"/>
    <w:rsid w:val="002F3E49"/>
    <w:rsid w:val="002F4005"/>
    <w:rsid w:val="002F403E"/>
    <w:rsid w:val="002F40A7"/>
    <w:rsid w:val="002F40C4"/>
    <w:rsid w:val="002F412E"/>
    <w:rsid w:val="002F41D8"/>
    <w:rsid w:val="002F4269"/>
    <w:rsid w:val="002F42B8"/>
    <w:rsid w:val="002F42D1"/>
    <w:rsid w:val="002F4350"/>
    <w:rsid w:val="002F4365"/>
    <w:rsid w:val="002F4399"/>
    <w:rsid w:val="002F44A5"/>
    <w:rsid w:val="002F44D7"/>
    <w:rsid w:val="002F44E1"/>
    <w:rsid w:val="002F451E"/>
    <w:rsid w:val="002F4575"/>
    <w:rsid w:val="002F45A4"/>
    <w:rsid w:val="002F464C"/>
    <w:rsid w:val="002F469C"/>
    <w:rsid w:val="002F46BC"/>
    <w:rsid w:val="002F46E8"/>
    <w:rsid w:val="002F46E9"/>
    <w:rsid w:val="002F4716"/>
    <w:rsid w:val="002F4743"/>
    <w:rsid w:val="002F4752"/>
    <w:rsid w:val="002F47A2"/>
    <w:rsid w:val="002F47A7"/>
    <w:rsid w:val="002F483B"/>
    <w:rsid w:val="002F48D8"/>
    <w:rsid w:val="002F493D"/>
    <w:rsid w:val="002F4A6A"/>
    <w:rsid w:val="002F4AF3"/>
    <w:rsid w:val="002F4B4B"/>
    <w:rsid w:val="002F4B9F"/>
    <w:rsid w:val="002F4BE4"/>
    <w:rsid w:val="002F4C12"/>
    <w:rsid w:val="002F4C1E"/>
    <w:rsid w:val="002F4C78"/>
    <w:rsid w:val="002F4CA7"/>
    <w:rsid w:val="002F4DB7"/>
    <w:rsid w:val="002F4E44"/>
    <w:rsid w:val="002F4F3A"/>
    <w:rsid w:val="002F4FDC"/>
    <w:rsid w:val="002F4FDF"/>
    <w:rsid w:val="002F504F"/>
    <w:rsid w:val="002F50C6"/>
    <w:rsid w:val="002F5126"/>
    <w:rsid w:val="002F5154"/>
    <w:rsid w:val="002F51C3"/>
    <w:rsid w:val="002F51CC"/>
    <w:rsid w:val="002F5239"/>
    <w:rsid w:val="002F528E"/>
    <w:rsid w:val="002F52B6"/>
    <w:rsid w:val="002F5376"/>
    <w:rsid w:val="002F537A"/>
    <w:rsid w:val="002F53F0"/>
    <w:rsid w:val="002F54A1"/>
    <w:rsid w:val="002F54E6"/>
    <w:rsid w:val="002F5521"/>
    <w:rsid w:val="002F555B"/>
    <w:rsid w:val="002F566B"/>
    <w:rsid w:val="002F56B4"/>
    <w:rsid w:val="002F56EF"/>
    <w:rsid w:val="002F572E"/>
    <w:rsid w:val="002F573B"/>
    <w:rsid w:val="002F5834"/>
    <w:rsid w:val="002F58B4"/>
    <w:rsid w:val="002F59C1"/>
    <w:rsid w:val="002F59DD"/>
    <w:rsid w:val="002F5A9D"/>
    <w:rsid w:val="002F5B81"/>
    <w:rsid w:val="002F5C22"/>
    <w:rsid w:val="002F5C4B"/>
    <w:rsid w:val="002F5C9F"/>
    <w:rsid w:val="002F5D39"/>
    <w:rsid w:val="002F5D4F"/>
    <w:rsid w:val="002F5DDE"/>
    <w:rsid w:val="002F5E42"/>
    <w:rsid w:val="002F5E7E"/>
    <w:rsid w:val="002F5EB8"/>
    <w:rsid w:val="002F5ECB"/>
    <w:rsid w:val="002F5F39"/>
    <w:rsid w:val="002F5F3F"/>
    <w:rsid w:val="002F5FBC"/>
    <w:rsid w:val="002F6097"/>
    <w:rsid w:val="002F60F8"/>
    <w:rsid w:val="002F6137"/>
    <w:rsid w:val="002F616A"/>
    <w:rsid w:val="002F61FF"/>
    <w:rsid w:val="002F6296"/>
    <w:rsid w:val="002F62A7"/>
    <w:rsid w:val="002F62BD"/>
    <w:rsid w:val="002F62EE"/>
    <w:rsid w:val="002F6303"/>
    <w:rsid w:val="002F6386"/>
    <w:rsid w:val="002F6425"/>
    <w:rsid w:val="002F64E5"/>
    <w:rsid w:val="002F64F0"/>
    <w:rsid w:val="002F65B6"/>
    <w:rsid w:val="002F6626"/>
    <w:rsid w:val="002F6675"/>
    <w:rsid w:val="002F6802"/>
    <w:rsid w:val="002F6886"/>
    <w:rsid w:val="002F68BD"/>
    <w:rsid w:val="002F69AB"/>
    <w:rsid w:val="002F6AD4"/>
    <w:rsid w:val="002F6B0C"/>
    <w:rsid w:val="002F6B78"/>
    <w:rsid w:val="002F6BA0"/>
    <w:rsid w:val="002F6C0C"/>
    <w:rsid w:val="002F6CDF"/>
    <w:rsid w:val="002F6E47"/>
    <w:rsid w:val="002F6E72"/>
    <w:rsid w:val="002F6F3E"/>
    <w:rsid w:val="002F6F46"/>
    <w:rsid w:val="002F6F6D"/>
    <w:rsid w:val="002F6FAA"/>
    <w:rsid w:val="002F6FBB"/>
    <w:rsid w:val="002F7049"/>
    <w:rsid w:val="002F70AD"/>
    <w:rsid w:val="002F711B"/>
    <w:rsid w:val="002F7155"/>
    <w:rsid w:val="002F7169"/>
    <w:rsid w:val="002F71BF"/>
    <w:rsid w:val="002F71C4"/>
    <w:rsid w:val="002F71F6"/>
    <w:rsid w:val="002F7228"/>
    <w:rsid w:val="002F7358"/>
    <w:rsid w:val="002F73D9"/>
    <w:rsid w:val="002F7463"/>
    <w:rsid w:val="002F74C0"/>
    <w:rsid w:val="002F74D5"/>
    <w:rsid w:val="002F753E"/>
    <w:rsid w:val="002F7540"/>
    <w:rsid w:val="002F759C"/>
    <w:rsid w:val="002F75C5"/>
    <w:rsid w:val="002F7620"/>
    <w:rsid w:val="002F76B1"/>
    <w:rsid w:val="002F76D2"/>
    <w:rsid w:val="002F773B"/>
    <w:rsid w:val="002F774A"/>
    <w:rsid w:val="002F77D6"/>
    <w:rsid w:val="002F789B"/>
    <w:rsid w:val="002F7950"/>
    <w:rsid w:val="002F79E3"/>
    <w:rsid w:val="002F7B65"/>
    <w:rsid w:val="002F7C2C"/>
    <w:rsid w:val="002F7CCB"/>
    <w:rsid w:val="002F7CE7"/>
    <w:rsid w:val="002F7CFE"/>
    <w:rsid w:val="002F7D64"/>
    <w:rsid w:val="002F7DF6"/>
    <w:rsid w:val="002F7E5A"/>
    <w:rsid w:val="002F7EDC"/>
    <w:rsid w:val="002F7F07"/>
    <w:rsid w:val="002F7F12"/>
    <w:rsid w:val="002F7F46"/>
    <w:rsid w:val="002F7F5A"/>
    <w:rsid w:val="002F7F75"/>
    <w:rsid w:val="00300055"/>
    <w:rsid w:val="003000C4"/>
    <w:rsid w:val="0030030E"/>
    <w:rsid w:val="0030033C"/>
    <w:rsid w:val="003003AB"/>
    <w:rsid w:val="00300415"/>
    <w:rsid w:val="0030045D"/>
    <w:rsid w:val="0030051E"/>
    <w:rsid w:val="00300529"/>
    <w:rsid w:val="0030053D"/>
    <w:rsid w:val="0030058D"/>
    <w:rsid w:val="003005BD"/>
    <w:rsid w:val="00300665"/>
    <w:rsid w:val="0030068B"/>
    <w:rsid w:val="00300753"/>
    <w:rsid w:val="00300771"/>
    <w:rsid w:val="00300782"/>
    <w:rsid w:val="0030086B"/>
    <w:rsid w:val="0030088F"/>
    <w:rsid w:val="00300898"/>
    <w:rsid w:val="003008EA"/>
    <w:rsid w:val="00300930"/>
    <w:rsid w:val="003009D6"/>
    <w:rsid w:val="00300A35"/>
    <w:rsid w:val="00300A9A"/>
    <w:rsid w:val="00300AA8"/>
    <w:rsid w:val="00300AE8"/>
    <w:rsid w:val="00300B1D"/>
    <w:rsid w:val="00300BE2"/>
    <w:rsid w:val="00300C6B"/>
    <w:rsid w:val="00300C8D"/>
    <w:rsid w:val="00300CF7"/>
    <w:rsid w:val="00300D29"/>
    <w:rsid w:val="00300D71"/>
    <w:rsid w:val="00300D86"/>
    <w:rsid w:val="00300DA8"/>
    <w:rsid w:val="00300DB6"/>
    <w:rsid w:val="00300DE4"/>
    <w:rsid w:val="00300E07"/>
    <w:rsid w:val="00300E94"/>
    <w:rsid w:val="00300F4B"/>
    <w:rsid w:val="00300FA6"/>
    <w:rsid w:val="0030114E"/>
    <w:rsid w:val="00301172"/>
    <w:rsid w:val="003011D6"/>
    <w:rsid w:val="00301211"/>
    <w:rsid w:val="00301238"/>
    <w:rsid w:val="00301239"/>
    <w:rsid w:val="00301311"/>
    <w:rsid w:val="0030141D"/>
    <w:rsid w:val="0030142B"/>
    <w:rsid w:val="0030142F"/>
    <w:rsid w:val="00301511"/>
    <w:rsid w:val="0030157B"/>
    <w:rsid w:val="003015AA"/>
    <w:rsid w:val="003016CB"/>
    <w:rsid w:val="0030170D"/>
    <w:rsid w:val="0030171F"/>
    <w:rsid w:val="0030176E"/>
    <w:rsid w:val="003018E1"/>
    <w:rsid w:val="0030198E"/>
    <w:rsid w:val="00301999"/>
    <w:rsid w:val="0030199B"/>
    <w:rsid w:val="003019E8"/>
    <w:rsid w:val="00301ADB"/>
    <w:rsid w:val="00301B4D"/>
    <w:rsid w:val="00301B5B"/>
    <w:rsid w:val="00301B6E"/>
    <w:rsid w:val="00301B89"/>
    <w:rsid w:val="00301B97"/>
    <w:rsid w:val="00301BED"/>
    <w:rsid w:val="00301C11"/>
    <w:rsid w:val="00301C21"/>
    <w:rsid w:val="00301D57"/>
    <w:rsid w:val="00301D70"/>
    <w:rsid w:val="00301DAB"/>
    <w:rsid w:val="00301DE6"/>
    <w:rsid w:val="00301E98"/>
    <w:rsid w:val="00301F09"/>
    <w:rsid w:val="00301F0C"/>
    <w:rsid w:val="00301F43"/>
    <w:rsid w:val="00301F82"/>
    <w:rsid w:val="0030206C"/>
    <w:rsid w:val="00302086"/>
    <w:rsid w:val="003021A4"/>
    <w:rsid w:val="003022A2"/>
    <w:rsid w:val="003022ED"/>
    <w:rsid w:val="0030230F"/>
    <w:rsid w:val="00302310"/>
    <w:rsid w:val="00302312"/>
    <w:rsid w:val="003023D1"/>
    <w:rsid w:val="003023F7"/>
    <w:rsid w:val="00302417"/>
    <w:rsid w:val="00302448"/>
    <w:rsid w:val="003024C1"/>
    <w:rsid w:val="003024EE"/>
    <w:rsid w:val="003024FB"/>
    <w:rsid w:val="003025E5"/>
    <w:rsid w:val="003025FB"/>
    <w:rsid w:val="0030265F"/>
    <w:rsid w:val="00302669"/>
    <w:rsid w:val="003026E7"/>
    <w:rsid w:val="0030272B"/>
    <w:rsid w:val="00302793"/>
    <w:rsid w:val="003028E8"/>
    <w:rsid w:val="00302979"/>
    <w:rsid w:val="003029A4"/>
    <w:rsid w:val="003029DE"/>
    <w:rsid w:val="00302A1B"/>
    <w:rsid w:val="00302A45"/>
    <w:rsid w:val="00302A74"/>
    <w:rsid w:val="00302AC6"/>
    <w:rsid w:val="00302ADA"/>
    <w:rsid w:val="00302B37"/>
    <w:rsid w:val="00302B57"/>
    <w:rsid w:val="00302C90"/>
    <w:rsid w:val="00302D5E"/>
    <w:rsid w:val="00302EBE"/>
    <w:rsid w:val="00302EF5"/>
    <w:rsid w:val="00302F1F"/>
    <w:rsid w:val="00302FD9"/>
    <w:rsid w:val="00303057"/>
    <w:rsid w:val="003030E8"/>
    <w:rsid w:val="00303109"/>
    <w:rsid w:val="003031A7"/>
    <w:rsid w:val="003032A2"/>
    <w:rsid w:val="00303302"/>
    <w:rsid w:val="003033BB"/>
    <w:rsid w:val="00303421"/>
    <w:rsid w:val="00303512"/>
    <w:rsid w:val="00303567"/>
    <w:rsid w:val="00303569"/>
    <w:rsid w:val="0030358C"/>
    <w:rsid w:val="0030363D"/>
    <w:rsid w:val="00303680"/>
    <w:rsid w:val="00303703"/>
    <w:rsid w:val="00303739"/>
    <w:rsid w:val="00303852"/>
    <w:rsid w:val="003038B5"/>
    <w:rsid w:val="00303971"/>
    <w:rsid w:val="00303A2B"/>
    <w:rsid w:val="00303A3A"/>
    <w:rsid w:val="00303A81"/>
    <w:rsid w:val="00303BA0"/>
    <w:rsid w:val="00303BA3"/>
    <w:rsid w:val="00303C2F"/>
    <w:rsid w:val="00303C60"/>
    <w:rsid w:val="00303CFB"/>
    <w:rsid w:val="00303DA1"/>
    <w:rsid w:val="00303DA7"/>
    <w:rsid w:val="00303E37"/>
    <w:rsid w:val="00303E41"/>
    <w:rsid w:val="00303E84"/>
    <w:rsid w:val="00303EA5"/>
    <w:rsid w:val="00303EC9"/>
    <w:rsid w:val="00303ED8"/>
    <w:rsid w:val="00303F42"/>
    <w:rsid w:val="00304021"/>
    <w:rsid w:val="00304061"/>
    <w:rsid w:val="00304089"/>
    <w:rsid w:val="003040D6"/>
    <w:rsid w:val="003040DE"/>
    <w:rsid w:val="00304123"/>
    <w:rsid w:val="00304147"/>
    <w:rsid w:val="00304148"/>
    <w:rsid w:val="00304165"/>
    <w:rsid w:val="00304183"/>
    <w:rsid w:val="0030418A"/>
    <w:rsid w:val="003041AC"/>
    <w:rsid w:val="0030422E"/>
    <w:rsid w:val="00304270"/>
    <w:rsid w:val="0030437F"/>
    <w:rsid w:val="003043A6"/>
    <w:rsid w:val="00304406"/>
    <w:rsid w:val="00304409"/>
    <w:rsid w:val="00304412"/>
    <w:rsid w:val="00304444"/>
    <w:rsid w:val="00304491"/>
    <w:rsid w:val="00304498"/>
    <w:rsid w:val="003044D8"/>
    <w:rsid w:val="003044FB"/>
    <w:rsid w:val="00304570"/>
    <w:rsid w:val="00304595"/>
    <w:rsid w:val="0030462E"/>
    <w:rsid w:val="003047A3"/>
    <w:rsid w:val="003047C7"/>
    <w:rsid w:val="003047EA"/>
    <w:rsid w:val="003047EE"/>
    <w:rsid w:val="0030480C"/>
    <w:rsid w:val="0030488B"/>
    <w:rsid w:val="00304A28"/>
    <w:rsid w:val="00304A7E"/>
    <w:rsid w:val="00304CAC"/>
    <w:rsid w:val="00304D00"/>
    <w:rsid w:val="00304D65"/>
    <w:rsid w:val="00304DD0"/>
    <w:rsid w:val="00304DED"/>
    <w:rsid w:val="00304E65"/>
    <w:rsid w:val="00304E6F"/>
    <w:rsid w:val="00304E76"/>
    <w:rsid w:val="00304EFF"/>
    <w:rsid w:val="00304F06"/>
    <w:rsid w:val="00305008"/>
    <w:rsid w:val="00305025"/>
    <w:rsid w:val="0030506C"/>
    <w:rsid w:val="00305155"/>
    <w:rsid w:val="00305184"/>
    <w:rsid w:val="00305195"/>
    <w:rsid w:val="003051B5"/>
    <w:rsid w:val="00305219"/>
    <w:rsid w:val="0030531C"/>
    <w:rsid w:val="0030540E"/>
    <w:rsid w:val="00305493"/>
    <w:rsid w:val="003054CA"/>
    <w:rsid w:val="0030551E"/>
    <w:rsid w:val="00305529"/>
    <w:rsid w:val="0030553A"/>
    <w:rsid w:val="00305540"/>
    <w:rsid w:val="00305580"/>
    <w:rsid w:val="003055FB"/>
    <w:rsid w:val="00305648"/>
    <w:rsid w:val="00305674"/>
    <w:rsid w:val="003056CC"/>
    <w:rsid w:val="00305778"/>
    <w:rsid w:val="00305781"/>
    <w:rsid w:val="0030580A"/>
    <w:rsid w:val="00305877"/>
    <w:rsid w:val="003058AB"/>
    <w:rsid w:val="003058DE"/>
    <w:rsid w:val="003058E3"/>
    <w:rsid w:val="003059ED"/>
    <w:rsid w:val="00305B56"/>
    <w:rsid w:val="00305BDD"/>
    <w:rsid w:val="00305DFF"/>
    <w:rsid w:val="00305F57"/>
    <w:rsid w:val="00305FB6"/>
    <w:rsid w:val="00306104"/>
    <w:rsid w:val="00306116"/>
    <w:rsid w:val="00306123"/>
    <w:rsid w:val="00306217"/>
    <w:rsid w:val="00306234"/>
    <w:rsid w:val="00306243"/>
    <w:rsid w:val="003062E2"/>
    <w:rsid w:val="0030634D"/>
    <w:rsid w:val="00306358"/>
    <w:rsid w:val="003063B5"/>
    <w:rsid w:val="00306414"/>
    <w:rsid w:val="00306491"/>
    <w:rsid w:val="003064A4"/>
    <w:rsid w:val="003064C8"/>
    <w:rsid w:val="003064CB"/>
    <w:rsid w:val="00306521"/>
    <w:rsid w:val="0030661C"/>
    <w:rsid w:val="003068B3"/>
    <w:rsid w:val="003068CC"/>
    <w:rsid w:val="003068F0"/>
    <w:rsid w:val="00306925"/>
    <w:rsid w:val="00306996"/>
    <w:rsid w:val="003069AB"/>
    <w:rsid w:val="003069AD"/>
    <w:rsid w:val="003069E7"/>
    <w:rsid w:val="00306A04"/>
    <w:rsid w:val="00306A09"/>
    <w:rsid w:val="00306A30"/>
    <w:rsid w:val="00306A67"/>
    <w:rsid w:val="00306AB3"/>
    <w:rsid w:val="00306AC5"/>
    <w:rsid w:val="00306AEB"/>
    <w:rsid w:val="00306B85"/>
    <w:rsid w:val="00306BB8"/>
    <w:rsid w:val="00306C60"/>
    <w:rsid w:val="00306C62"/>
    <w:rsid w:val="00306D3F"/>
    <w:rsid w:val="00306D70"/>
    <w:rsid w:val="00306DD4"/>
    <w:rsid w:val="00306E52"/>
    <w:rsid w:val="00306F88"/>
    <w:rsid w:val="00306F99"/>
    <w:rsid w:val="00306FBC"/>
    <w:rsid w:val="0030707A"/>
    <w:rsid w:val="003070FC"/>
    <w:rsid w:val="00307134"/>
    <w:rsid w:val="0030724D"/>
    <w:rsid w:val="00307278"/>
    <w:rsid w:val="003072EC"/>
    <w:rsid w:val="0030730C"/>
    <w:rsid w:val="0030731E"/>
    <w:rsid w:val="00307355"/>
    <w:rsid w:val="003074EE"/>
    <w:rsid w:val="00307648"/>
    <w:rsid w:val="003076A8"/>
    <w:rsid w:val="0030775A"/>
    <w:rsid w:val="00307768"/>
    <w:rsid w:val="00307776"/>
    <w:rsid w:val="00307990"/>
    <w:rsid w:val="00307AA1"/>
    <w:rsid w:val="00307AB6"/>
    <w:rsid w:val="00307AE3"/>
    <w:rsid w:val="00307B65"/>
    <w:rsid w:val="00307BCD"/>
    <w:rsid w:val="00307BE2"/>
    <w:rsid w:val="00307BEE"/>
    <w:rsid w:val="00307BFC"/>
    <w:rsid w:val="00307C23"/>
    <w:rsid w:val="00307D3C"/>
    <w:rsid w:val="00307DAA"/>
    <w:rsid w:val="00307E9F"/>
    <w:rsid w:val="00307F30"/>
    <w:rsid w:val="00307F5B"/>
    <w:rsid w:val="00307F7F"/>
    <w:rsid w:val="00310057"/>
    <w:rsid w:val="0031006F"/>
    <w:rsid w:val="003100C6"/>
    <w:rsid w:val="003100D1"/>
    <w:rsid w:val="003100FA"/>
    <w:rsid w:val="00310117"/>
    <w:rsid w:val="0031012C"/>
    <w:rsid w:val="00310189"/>
    <w:rsid w:val="0031024C"/>
    <w:rsid w:val="00310284"/>
    <w:rsid w:val="003102A8"/>
    <w:rsid w:val="00310327"/>
    <w:rsid w:val="00310490"/>
    <w:rsid w:val="003104D0"/>
    <w:rsid w:val="003104DB"/>
    <w:rsid w:val="00310562"/>
    <w:rsid w:val="0031065F"/>
    <w:rsid w:val="003106BC"/>
    <w:rsid w:val="00310734"/>
    <w:rsid w:val="003107B9"/>
    <w:rsid w:val="003107FE"/>
    <w:rsid w:val="0031088C"/>
    <w:rsid w:val="003108D3"/>
    <w:rsid w:val="003108D9"/>
    <w:rsid w:val="0031093E"/>
    <w:rsid w:val="00310998"/>
    <w:rsid w:val="00310A66"/>
    <w:rsid w:val="00310AA3"/>
    <w:rsid w:val="00310AC8"/>
    <w:rsid w:val="00310B07"/>
    <w:rsid w:val="00310B28"/>
    <w:rsid w:val="00310B4A"/>
    <w:rsid w:val="00310C74"/>
    <w:rsid w:val="00310CEE"/>
    <w:rsid w:val="00310D0E"/>
    <w:rsid w:val="00310D66"/>
    <w:rsid w:val="00310DBF"/>
    <w:rsid w:val="00310E48"/>
    <w:rsid w:val="00310EB0"/>
    <w:rsid w:val="00310ED5"/>
    <w:rsid w:val="00310F1C"/>
    <w:rsid w:val="00310F24"/>
    <w:rsid w:val="00310F90"/>
    <w:rsid w:val="00310FE0"/>
    <w:rsid w:val="0031102E"/>
    <w:rsid w:val="003110B0"/>
    <w:rsid w:val="003111F8"/>
    <w:rsid w:val="00311201"/>
    <w:rsid w:val="0031124D"/>
    <w:rsid w:val="00311257"/>
    <w:rsid w:val="00311372"/>
    <w:rsid w:val="0031138D"/>
    <w:rsid w:val="00311555"/>
    <w:rsid w:val="00311557"/>
    <w:rsid w:val="00311564"/>
    <w:rsid w:val="003115DD"/>
    <w:rsid w:val="0031162B"/>
    <w:rsid w:val="0031163F"/>
    <w:rsid w:val="003116D4"/>
    <w:rsid w:val="003117E5"/>
    <w:rsid w:val="0031181C"/>
    <w:rsid w:val="003118E8"/>
    <w:rsid w:val="0031194E"/>
    <w:rsid w:val="00311A4D"/>
    <w:rsid w:val="00311A7B"/>
    <w:rsid w:val="00311AFA"/>
    <w:rsid w:val="00311B4C"/>
    <w:rsid w:val="00311B94"/>
    <w:rsid w:val="00311BE0"/>
    <w:rsid w:val="00311C4D"/>
    <w:rsid w:val="00311C57"/>
    <w:rsid w:val="00311D70"/>
    <w:rsid w:val="00311E07"/>
    <w:rsid w:val="00311E85"/>
    <w:rsid w:val="00311EA0"/>
    <w:rsid w:val="00311EAA"/>
    <w:rsid w:val="00311EDA"/>
    <w:rsid w:val="00312058"/>
    <w:rsid w:val="0031212D"/>
    <w:rsid w:val="0031220D"/>
    <w:rsid w:val="0031221B"/>
    <w:rsid w:val="0031224D"/>
    <w:rsid w:val="00312255"/>
    <w:rsid w:val="00312284"/>
    <w:rsid w:val="00312312"/>
    <w:rsid w:val="00312329"/>
    <w:rsid w:val="003123E8"/>
    <w:rsid w:val="00312478"/>
    <w:rsid w:val="0031251D"/>
    <w:rsid w:val="00312530"/>
    <w:rsid w:val="003125B9"/>
    <w:rsid w:val="003125DB"/>
    <w:rsid w:val="0031265C"/>
    <w:rsid w:val="00312664"/>
    <w:rsid w:val="003126B8"/>
    <w:rsid w:val="003126CE"/>
    <w:rsid w:val="003126D7"/>
    <w:rsid w:val="003127C3"/>
    <w:rsid w:val="00312800"/>
    <w:rsid w:val="0031286B"/>
    <w:rsid w:val="003129E7"/>
    <w:rsid w:val="00312ABC"/>
    <w:rsid w:val="00312B2A"/>
    <w:rsid w:val="00312BDE"/>
    <w:rsid w:val="00312D1C"/>
    <w:rsid w:val="00312D83"/>
    <w:rsid w:val="00312DD6"/>
    <w:rsid w:val="00312DDE"/>
    <w:rsid w:val="00312E05"/>
    <w:rsid w:val="00312E2A"/>
    <w:rsid w:val="00312F8A"/>
    <w:rsid w:val="00312F9A"/>
    <w:rsid w:val="00313002"/>
    <w:rsid w:val="00313004"/>
    <w:rsid w:val="003130CD"/>
    <w:rsid w:val="0031312C"/>
    <w:rsid w:val="0031312E"/>
    <w:rsid w:val="0031313F"/>
    <w:rsid w:val="0031323B"/>
    <w:rsid w:val="003132B7"/>
    <w:rsid w:val="003132C9"/>
    <w:rsid w:val="0031338F"/>
    <w:rsid w:val="003133AF"/>
    <w:rsid w:val="003135A2"/>
    <w:rsid w:val="003135F3"/>
    <w:rsid w:val="003136AC"/>
    <w:rsid w:val="00313784"/>
    <w:rsid w:val="003137BA"/>
    <w:rsid w:val="0031388F"/>
    <w:rsid w:val="003138C2"/>
    <w:rsid w:val="00313963"/>
    <w:rsid w:val="003139B1"/>
    <w:rsid w:val="003139BC"/>
    <w:rsid w:val="00313A04"/>
    <w:rsid w:val="00313A2C"/>
    <w:rsid w:val="00313A9A"/>
    <w:rsid w:val="00313ACE"/>
    <w:rsid w:val="00313AE0"/>
    <w:rsid w:val="00313AF4"/>
    <w:rsid w:val="00313CC6"/>
    <w:rsid w:val="00313DC9"/>
    <w:rsid w:val="00313DDA"/>
    <w:rsid w:val="00313E31"/>
    <w:rsid w:val="00313EA1"/>
    <w:rsid w:val="00313F05"/>
    <w:rsid w:val="00313F8E"/>
    <w:rsid w:val="00313F8F"/>
    <w:rsid w:val="00313F97"/>
    <w:rsid w:val="00313FB8"/>
    <w:rsid w:val="00313FDC"/>
    <w:rsid w:val="0031400B"/>
    <w:rsid w:val="00314189"/>
    <w:rsid w:val="00314198"/>
    <w:rsid w:val="003141BC"/>
    <w:rsid w:val="003142AD"/>
    <w:rsid w:val="003142AE"/>
    <w:rsid w:val="003142AF"/>
    <w:rsid w:val="003142B5"/>
    <w:rsid w:val="003142F8"/>
    <w:rsid w:val="003143BD"/>
    <w:rsid w:val="0031458F"/>
    <w:rsid w:val="003145E0"/>
    <w:rsid w:val="0031462F"/>
    <w:rsid w:val="00314648"/>
    <w:rsid w:val="00314656"/>
    <w:rsid w:val="0031468A"/>
    <w:rsid w:val="00314730"/>
    <w:rsid w:val="00314783"/>
    <w:rsid w:val="00314865"/>
    <w:rsid w:val="003148DA"/>
    <w:rsid w:val="003148E1"/>
    <w:rsid w:val="00314936"/>
    <w:rsid w:val="00314942"/>
    <w:rsid w:val="00314AA8"/>
    <w:rsid w:val="00314B11"/>
    <w:rsid w:val="00314B23"/>
    <w:rsid w:val="00314B53"/>
    <w:rsid w:val="00314B60"/>
    <w:rsid w:val="00314B89"/>
    <w:rsid w:val="00314B8F"/>
    <w:rsid w:val="00314B91"/>
    <w:rsid w:val="00314BCA"/>
    <w:rsid w:val="00314BD1"/>
    <w:rsid w:val="00314BF8"/>
    <w:rsid w:val="00314C11"/>
    <w:rsid w:val="00314C31"/>
    <w:rsid w:val="00314C79"/>
    <w:rsid w:val="00314CE7"/>
    <w:rsid w:val="00314D17"/>
    <w:rsid w:val="00314D58"/>
    <w:rsid w:val="00314D9D"/>
    <w:rsid w:val="00314E2A"/>
    <w:rsid w:val="00314ED5"/>
    <w:rsid w:val="00314F82"/>
    <w:rsid w:val="0031500F"/>
    <w:rsid w:val="00315131"/>
    <w:rsid w:val="003151A2"/>
    <w:rsid w:val="0031523E"/>
    <w:rsid w:val="0031525D"/>
    <w:rsid w:val="00315294"/>
    <w:rsid w:val="003152B3"/>
    <w:rsid w:val="003152C2"/>
    <w:rsid w:val="003152D2"/>
    <w:rsid w:val="0031537F"/>
    <w:rsid w:val="003153AE"/>
    <w:rsid w:val="00315438"/>
    <w:rsid w:val="0031543E"/>
    <w:rsid w:val="0031545B"/>
    <w:rsid w:val="00315476"/>
    <w:rsid w:val="0031549C"/>
    <w:rsid w:val="00315584"/>
    <w:rsid w:val="00315595"/>
    <w:rsid w:val="003155B5"/>
    <w:rsid w:val="003156BC"/>
    <w:rsid w:val="00315726"/>
    <w:rsid w:val="0031582B"/>
    <w:rsid w:val="003158C7"/>
    <w:rsid w:val="003158CF"/>
    <w:rsid w:val="00315998"/>
    <w:rsid w:val="00315A41"/>
    <w:rsid w:val="00315A88"/>
    <w:rsid w:val="00315AB0"/>
    <w:rsid w:val="00315B5E"/>
    <w:rsid w:val="00315CCA"/>
    <w:rsid w:val="00315CDC"/>
    <w:rsid w:val="00315D16"/>
    <w:rsid w:val="00315DF6"/>
    <w:rsid w:val="00315EA1"/>
    <w:rsid w:val="00315EDC"/>
    <w:rsid w:val="00315F15"/>
    <w:rsid w:val="00315F73"/>
    <w:rsid w:val="00315F93"/>
    <w:rsid w:val="00315FA9"/>
    <w:rsid w:val="0031601F"/>
    <w:rsid w:val="0031604F"/>
    <w:rsid w:val="00316147"/>
    <w:rsid w:val="00316148"/>
    <w:rsid w:val="0031620C"/>
    <w:rsid w:val="0031621E"/>
    <w:rsid w:val="00316224"/>
    <w:rsid w:val="003162CF"/>
    <w:rsid w:val="003162D5"/>
    <w:rsid w:val="003162EF"/>
    <w:rsid w:val="00316315"/>
    <w:rsid w:val="0031638A"/>
    <w:rsid w:val="0031641C"/>
    <w:rsid w:val="0031649E"/>
    <w:rsid w:val="003164A4"/>
    <w:rsid w:val="003164C2"/>
    <w:rsid w:val="00316500"/>
    <w:rsid w:val="00316547"/>
    <w:rsid w:val="00316572"/>
    <w:rsid w:val="00316579"/>
    <w:rsid w:val="003166C0"/>
    <w:rsid w:val="003166DB"/>
    <w:rsid w:val="003166DD"/>
    <w:rsid w:val="003166EE"/>
    <w:rsid w:val="0031673C"/>
    <w:rsid w:val="00316764"/>
    <w:rsid w:val="00316782"/>
    <w:rsid w:val="003167B7"/>
    <w:rsid w:val="0031684F"/>
    <w:rsid w:val="00316858"/>
    <w:rsid w:val="003168B6"/>
    <w:rsid w:val="003168D0"/>
    <w:rsid w:val="00316987"/>
    <w:rsid w:val="003169AA"/>
    <w:rsid w:val="00316A74"/>
    <w:rsid w:val="00316A83"/>
    <w:rsid w:val="00316ABB"/>
    <w:rsid w:val="00316B0F"/>
    <w:rsid w:val="00316C05"/>
    <w:rsid w:val="00316C54"/>
    <w:rsid w:val="00316C75"/>
    <w:rsid w:val="00316CA7"/>
    <w:rsid w:val="00316DE7"/>
    <w:rsid w:val="00316DEA"/>
    <w:rsid w:val="00316E61"/>
    <w:rsid w:val="00316E9E"/>
    <w:rsid w:val="00316EC3"/>
    <w:rsid w:val="00317003"/>
    <w:rsid w:val="003170F4"/>
    <w:rsid w:val="0031712B"/>
    <w:rsid w:val="00317140"/>
    <w:rsid w:val="003171C3"/>
    <w:rsid w:val="003171FE"/>
    <w:rsid w:val="0031731F"/>
    <w:rsid w:val="0031734C"/>
    <w:rsid w:val="00317394"/>
    <w:rsid w:val="0031749B"/>
    <w:rsid w:val="003174A6"/>
    <w:rsid w:val="003174D5"/>
    <w:rsid w:val="0031753B"/>
    <w:rsid w:val="003175F9"/>
    <w:rsid w:val="00317615"/>
    <w:rsid w:val="0031761F"/>
    <w:rsid w:val="0031770B"/>
    <w:rsid w:val="00317736"/>
    <w:rsid w:val="0031775E"/>
    <w:rsid w:val="00317790"/>
    <w:rsid w:val="003177C1"/>
    <w:rsid w:val="00317838"/>
    <w:rsid w:val="0031786E"/>
    <w:rsid w:val="003178DB"/>
    <w:rsid w:val="00317959"/>
    <w:rsid w:val="00317969"/>
    <w:rsid w:val="0031797B"/>
    <w:rsid w:val="003179A3"/>
    <w:rsid w:val="00317A20"/>
    <w:rsid w:val="00317B35"/>
    <w:rsid w:val="00317B9B"/>
    <w:rsid w:val="00317BB0"/>
    <w:rsid w:val="00317BC1"/>
    <w:rsid w:val="00317C91"/>
    <w:rsid w:val="00317CE6"/>
    <w:rsid w:val="00317CFE"/>
    <w:rsid w:val="00317D56"/>
    <w:rsid w:val="00317DB8"/>
    <w:rsid w:val="00317E27"/>
    <w:rsid w:val="00317E3F"/>
    <w:rsid w:val="00317E85"/>
    <w:rsid w:val="00317F13"/>
    <w:rsid w:val="00317F60"/>
    <w:rsid w:val="00317FDE"/>
    <w:rsid w:val="00320056"/>
    <w:rsid w:val="00320069"/>
    <w:rsid w:val="003200F4"/>
    <w:rsid w:val="003201ED"/>
    <w:rsid w:val="0032022F"/>
    <w:rsid w:val="00320279"/>
    <w:rsid w:val="003202EF"/>
    <w:rsid w:val="003202FD"/>
    <w:rsid w:val="00320305"/>
    <w:rsid w:val="00320421"/>
    <w:rsid w:val="0032043B"/>
    <w:rsid w:val="00320484"/>
    <w:rsid w:val="003204D1"/>
    <w:rsid w:val="00320601"/>
    <w:rsid w:val="0032061D"/>
    <w:rsid w:val="0032065C"/>
    <w:rsid w:val="0032068F"/>
    <w:rsid w:val="00320695"/>
    <w:rsid w:val="003206D0"/>
    <w:rsid w:val="0032070E"/>
    <w:rsid w:val="00320757"/>
    <w:rsid w:val="003207B7"/>
    <w:rsid w:val="003208E9"/>
    <w:rsid w:val="0032094D"/>
    <w:rsid w:val="00320972"/>
    <w:rsid w:val="003209DD"/>
    <w:rsid w:val="00320A2F"/>
    <w:rsid w:val="00320ACC"/>
    <w:rsid w:val="00320AEC"/>
    <w:rsid w:val="00320B3B"/>
    <w:rsid w:val="00320C86"/>
    <w:rsid w:val="00320CD7"/>
    <w:rsid w:val="00320CE6"/>
    <w:rsid w:val="00320DE2"/>
    <w:rsid w:val="00320E25"/>
    <w:rsid w:val="00320E2C"/>
    <w:rsid w:val="00320E31"/>
    <w:rsid w:val="00320E56"/>
    <w:rsid w:val="00320ED4"/>
    <w:rsid w:val="00320F27"/>
    <w:rsid w:val="00321091"/>
    <w:rsid w:val="003212D5"/>
    <w:rsid w:val="0032131D"/>
    <w:rsid w:val="003213B2"/>
    <w:rsid w:val="003213DB"/>
    <w:rsid w:val="00321413"/>
    <w:rsid w:val="0032157A"/>
    <w:rsid w:val="00321705"/>
    <w:rsid w:val="0032174F"/>
    <w:rsid w:val="003217FB"/>
    <w:rsid w:val="003218EE"/>
    <w:rsid w:val="00321932"/>
    <w:rsid w:val="00321998"/>
    <w:rsid w:val="0032199F"/>
    <w:rsid w:val="00321A18"/>
    <w:rsid w:val="00321A9E"/>
    <w:rsid w:val="00321ADD"/>
    <w:rsid w:val="00321AF2"/>
    <w:rsid w:val="00321B19"/>
    <w:rsid w:val="00321B6B"/>
    <w:rsid w:val="00321BE5"/>
    <w:rsid w:val="00321C0E"/>
    <w:rsid w:val="00321C83"/>
    <w:rsid w:val="00321C93"/>
    <w:rsid w:val="00321CF0"/>
    <w:rsid w:val="00321DD1"/>
    <w:rsid w:val="00321DD2"/>
    <w:rsid w:val="00321E79"/>
    <w:rsid w:val="00321E87"/>
    <w:rsid w:val="00321F3C"/>
    <w:rsid w:val="00321F8A"/>
    <w:rsid w:val="00321F9B"/>
    <w:rsid w:val="00321FBC"/>
    <w:rsid w:val="0032202B"/>
    <w:rsid w:val="00322045"/>
    <w:rsid w:val="003220EB"/>
    <w:rsid w:val="00322114"/>
    <w:rsid w:val="0032217A"/>
    <w:rsid w:val="003221BB"/>
    <w:rsid w:val="0032221C"/>
    <w:rsid w:val="003222F3"/>
    <w:rsid w:val="00322418"/>
    <w:rsid w:val="003224BC"/>
    <w:rsid w:val="0032252A"/>
    <w:rsid w:val="0032272B"/>
    <w:rsid w:val="00322774"/>
    <w:rsid w:val="0032281C"/>
    <w:rsid w:val="00322825"/>
    <w:rsid w:val="00322858"/>
    <w:rsid w:val="00322968"/>
    <w:rsid w:val="00322990"/>
    <w:rsid w:val="003229DE"/>
    <w:rsid w:val="00322AED"/>
    <w:rsid w:val="00322B21"/>
    <w:rsid w:val="00322B47"/>
    <w:rsid w:val="00322B4D"/>
    <w:rsid w:val="00322B66"/>
    <w:rsid w:val="00322B6D"/>
    <w:rsid w:val="00322C02"/>
    <w:rsid w:val="00322C75"/>
    <w:rsid w:val="00322CC1"/>
    <w:rsid w:val="00322CE9"/>
    <w:rsid w:val="00322D86"/>
    <w:rsid w:val="00322D88"/>
    <w:rsid w:val="00322DDE"/>
    <w:rsid w:val="00322E28"/>
    <w:rsid w:val="00322E6C"/>
    <w:rsid w:val="00322ED7"/>
    <w:rsid w:val="00322F6F"/>
    <w:rsid w:val="00322F79"/>
    <w:rsid w:val="00322FEC"/>
    <w:rsid w:val="00323012"/>
    <w:rsid w:val="0032302B"/>
    <w:rsid w:val="00323061"/>
    <w:rsid w:val="0032316F"/>
    <w:rsid w:val="00323171"/>
    <w:rsid w:val="003231AA"/>
    <w:rsid w:val="003231B4"/>
    <w:rsid w:val="003231F8"/>
    <w:rsid w:val="00323201"/>
    <w:rsid w:val="0032320B"/>
    <w:rsid w:val="003232AC"/>
    <w:rsid w:val="003232CB"/>
    <w:rsid w:val="003232E8"/>
    <w:rsid w:val="00323301"/>
    <w:rsid w:val="00323359"/>
    <w:rsid w:val="0032338B"/>
    <w:rsid w:val="00323430"/>
    <w:rsid w:val="00323442"/>
    <w:rsid w:val="003234AC"/>
    <w:rsid w:val="003234D0"/>
    <w:rsid w:val="00323592"/>
    <w:rsid w:val="003235D5"/>
    <w:rsid w:val="0032363A"/>
    <w:rsid w:val="00323672"/>
    <w:rsid w:val="00323693"/>
    <w:rsid w:val="00323696"/>
    <w:rsid w:val="003236D6"/>
    <w:rsid w:val="0032370E"/>
    <w:rsid w:val="003237E8"/>
    <w:rsid w:val="00323802"/>
    <w:rsid w:val="00323854"/>
    <w:rsid w:val="003238A5"/>
    <w:rsid w:val="003238C4"/>
    <w:rsid w:val="00323939"/>
    <w:rsid w:val="00323A46"/>
    <w:rsid w:val="00323AD9"/>
    <w:rsid w:val="00323C3D"/>
    <w:rsid w:val="00323EC1"/>
    <w:rsid w:val="00323ECC"/>
    <w:rsid w:val="00323F12"/>
    <w:rsid w:val="00323F69"/>
    <w:rsid w:val="00324092"/>
    <w:rsid w:val="003240F0"/>
    <w:rsid w:val="0032418D"/>
    <w:rsid w:val="003241EB"/>
    <w:rsid w:val="003241ED"/>
    <w:rsid w:val="003242E2"/>
    <w:rsid w:val="00324381"/>
    <w:rsid w:val="0032445C"/>
    <w:rsid w:val="003244B7"/>
    <w:rsid w:val="003244F8"/>
    <w:rsid w:val="003245C0"/>
    <w:rsid w:val="003245F4"/>
    <w:rsid w:val="0032466B"/>
    <w:rsid w:val="00324679"/>
    <w:rsid w:val="00324687"/>
    <w:rsid w:val="003246C0"/>
    <w:rsid w:val="0032474D"/>
    <w:rsid w:val="003247EF"/>
    <w:rsid w:val="003248C3"/>
    <w:rsid w:val="00324945"/>
    <w:rsid w:val="00324989"/>
    <w:rsid w:val="003249F8"/>
    <w:rsid w:val="00324A90"/>
    <w:rsid w:val="00324A9D"/>
    <w:rsid w:val="00324BB0"/>
    <w:rsid w:val="00324C6A"/>
    <w:rsid w:val="00324D20"/>
    <w:rsid w:val="00324D7A"/>
    <w:rsid w:val="00324DCE"/>
    <w:rsid w:val="00324E85"/>
    <w:rsid w:val="00324EB5"/>
    <w:rsid w:val="00324F05"/>
    <w:rsid w:val="00325035"/>
    <w:rsid w:val="003251AB"/>
    <w:rsid w:val="003251B4"/>
    <w:rsid w:val="003251C6"/>
    <w:rsid w:val="003251FF"/>
    <w:rsid w:val="003252CA"/>
    <w:rsid w:val="00325340"/>
    <w:rsid w:val="00325399"/>
    <w:rsid w:val="00325463"/>
    <w:rsid w:val="00325466"/>
    <w:rsid w:val="00325524"/>
    <w:rsid w:val="003255F5"/>
    <w:rsid w:val="00325663"/>
    <w:rsid w:val="003256B8"/>
    <w:rsid w:val="00325840"/>
    <w:rsid w:val="00325844"/>
    <w:rsid w:val="00325865"/>
    <w:rsid w:val="00325894"/>
    <w:rsid w:val="003258E6"/>
    <w:rsid w:val="00325A24"/>
    <w:rsid w:val="00325A39"/>
    <w:rsid w:val="00325ADC"/>
    <w:rsid w:val="00325BAE"/>
    <w:rsid w:val="00325BCB"/>
    <w:rsid w:val="00325BD0"/>
    <w:rsid w:val="00325CE6"/>
    <w:rsid w:val="00325D05"/>
    <w:rsid w:val="00325D31"/>
    <w:rsid w:val="00325DF0"/>
    <w:rsid w:val="00325E9E"/>
    <w:rsid w:val="00325F03"/>
    <w:rsid w:val="00325F2B"/>
    <w:rsid w:val="00325FA3"/>
    <w:rsid w:val="00325FCC"/>
    <w:rsid w:val="00325FCD"/>
    <w:rsid w:val="0032600B"/>
    <w:rsid w:val="003260D1"/>
    <w:rsid w:val="00326172"/>
    <w:rsid w:val="0032624A"/>
    <w:rsid w:val="0032636F"/>
    <w:rsid w:val="00326475"/>
    <w:rsid w:val="00326494"/>
    <w:rsid w:val="00326497"/>
    <w:rsid w:val="0032650E"/>
    <w:rsid w:val="00326518"/>
    <w:rsid w:val="0032652E"/>
    <w:rsid w:val="00326538"/>
    <w:rsid w:val="00326583"/>
    <w:rsid w:val="003265D4"/>
    <w:rsid w:val="00326604"/>
    <w:rsid w:val="0032660A"/>
    <w:rsid w:val="0032664F"/>
    <w:rsid w:val="00326678"/>
    <w:rsid w:val="00326686"/>
    <w:rsid w:val="00326774"/>
    <w:rsid w:val="0032677C"/>
    <w:rsid w:val="003267D4"/>
    <w:rsid w:val="003267EF"/>
    <w:rsid w:val="0032681E"/>
    <w:rsid w:val="003268F2"/>
    <w:rsid w:val="00326956"/>
    <w:rsid w:val="0032696D"/>
    <w:rsid w:val="003269EB"/>
    <w:rsid w:val="003269FA"/>
    <w:rsid w:val="00326A25"/>
    <w:rsid w:val="00326A70"/>
    <w:rsid w:val="00326ACD"/>
    <w:rsid w:val="00326C0C"/>
    <w:rsid w:val="00326C28"/>
    <w:rsid w:val="00326C79"/>
    <w:rsid w:val="00326CE5"/>
    <w:rsid w:val="00326D08"/>
    <w:rsid w:val="00326D62"/>
    <w:rsid w:val="00326D84"/>
    <w:rsid w:val="00326DFF"/>
    <w:rsid w:val="00326E46"/>
    <w:rsid w:val="00326EEE"/>
    <w:rsid w:val="00326F29"/>
    <w:rsid w:val="00326F65"/>
    <w:rsid w:val="00326FEC"/>
    <w:rsid w:val="00327082"/>
    <w:rsid w:val="003270DF"/>
    <w:rsid w:val="0032718D"/>
    <w:rsid w:val="003271C8"/>
    <w:rsid w:val="003271FA"/>
    <w:rsid w:val="00327202"/>
    <w:rsid w:val="00327205"/>
    <w:rsid w:val="00327208"/>
    <w:rsid w:val="00327272"/>
    <w:rsid w:val="00327289"/>
    <w:rsid w:val="003272CE"/>
    <w:rsid w:val="00327312"/>
    <w:rsid w:val="0032741B"/>
    <w:rsid w:val="00327577"/>
    <w:rsid w:val="00327657"/>
    <w:rsid w:val="0032765C"/>
    <w:rsid w:val="0032765E"/>
    <w:rsid w:val="0032776A"/>
    <w:rsid w:val="003277FE"/>
    <w:rsid w:val="0032782F"/>
    <w:rsid w:val="00327960"/>
    <w:rsid w:val="00327A17"/>
    <w:rsid w:val="00327A2F"/>
    <w:rsid w:val="00327A49"/>
    <w:rsid w:val="00327AF6"/>
    <w:rsid w:val="00327B53"/>
    <w:rsid w:val="00327C7D"/>
    <w:rsid w:val="00327D5F"/>
    <w:rsid w:val="00327DA3"/>
    <w:rsid w:val="00327DCF"/>
    <w:rsid w:val="00327E3B"/>
    <w:rsid w:val="00327E9E"/>
    <w:rsid w:val="00327FA7"/>
    <w:rsid w:val="00327FA8"/>
    <w:rsid w:val="00329D02"/>
    <w:rsid w:val="0033013F"/>
    <w:rsid w:val="0033014E"/>
    <w:rsid w:val="00330182"/>
    <w:rsid w:val="003301A6"/>
    <w:rsid w:val="00330344"/>
    <w:rsid w:val="00330359"/>
    <w:rsid w:val="00330375"/>
    <w:rsid w:val="00330556"/>
    <w:rsid w:val="00330593"/>
    <w:rsid w:val="003305C9"/>
    <w:rsid w:val="00330643"/>
    <w:rsid w:val="00330690"/>
    <w:rsid w:val="0033077C"/>
    <w:rsid w:val="003307A0"/>
    <w:rsid w:val="003307A7"/>
    <w:rsid w:val="003308B2"/>
    <w:rsid w:val="0033091A"/>
    <w:rsid w:val="0033097E"/>
    <w:rsid w:val="00330994"/>
    <w:rsid w:val="003309B8"/>
    <w:rsid w:val="00330A04"/>
    <w:rsid w:val="00330AB8"/>
    <w:rsid w:val="00330C64"/>
    <w:rsid w:val="00330C87"/>
    <w:rsid w:val="00330C94"/>
    <w:rsid w:val="00330C99"/>
    <w:rsid w:val="00330CA1"/>
    <w:rsid w:val="00330CDD"/>
    <w:rsid w:val="00330DD9"/>
    <w:rsid w:val="00330E9A"/>
    <w:rsid w:val="00330EE8"/>
    <w:rsid w:val="00330F26"/>
    <w:rsid w:val="00330F8E"/>
    <w:rsid w:val="00330FA0"/>
    <w:rsid w:val="00330FE5"/>
    <w:rsid w:val="0033109A"/>
    <w:rsid w:val="003310C8"/>
    <w:rsid w:val="00331100"/>
    <w:rsid w:val="00331269"/>
    <w:rsid w:val="0033128D"/>
    <w:rsid w:val="00331301"/>
    <w:rsid w:val="00331473"/>
    <w:rsid w:val="0033149D"/>
    <w:rsid w:val="003314D8"/>
    <w:rsid w:val="003315CF"/>
    <w:rsid w:val="003316EB"/>
    <w:rsid w:val="00331703"/>
    <w:rsid w:val="00331715"/>
    <w:rsid w:val="00331804"/>
    <w:rsid w:val="003318CC"/>
    <w:rsid w:val="00331968"/>
    <w:rsid w:val="0033199C"/>
    <w:rsid w:val="00331A28"/>
    <w:rsid w:val="00331A6A"/>
    <w:rsid w:val="00331AA1"/>
    <w:rsid w:val="00331BD9"/>
    <w:rsid w:val="00331BE2"/>
    <w:rsid w:val="00331C82"/>
    <w:rsid w:val="00331CF8"/>
    <w:rsid w:val="00331D61"/>
    <w:rsid w:val="00331DE5"/>
    <w:rsid w:val="00331E6E"/>
    <w:rsid w:val="00331EF6"/>
    <w:rsid w:val="00331F2C"/>
    <w:rsid w:val="00332169"/>
    <w:rsid w:val="003321ED"/>
    <w:rsid w:val="0033220C"/>
    <w:rsid w:val="003322BA"/>
    <w:rsid w:val="003322E6"/>
    <w:rsid w:val="00332307"/>
    <w:rsid w:val="00332311"/>
    <w:rsid w:val="00332401"/>
    <w:rsid w:val="0033247A"/>
    <w:rsid w:val="003324B4"/>
    <w:rsid w:val="003324BC"/>
    <w:rsid w:val="0033252D"/>
    <w:rsid w:val="003325C5"/>
    <w:rsid w:val="00332600"/>
    <w:rsid w:val="003326E2"/>
    <w:rsid w:val="0033271B"/>
    <w:rsid w:val="003327B4"/>
    <w:rsid w:val="0033286F"/>
    <w:rsid w:val="003328AF"/>
    <w:rsid w:val="00332963"/>
    <w:rsid w:val="003329CB"/>
    <w:rsid w:val="003329DA"/>
    <w:rsid w:val="003329F2"/>
    <w:rsid w:val="003329F7"/>
    <w:rsid w:val="00332A51"/>
    <w:rsid w:val="00332ABB"/>
    <w:rsid w:val="00332ABE"/>
    <w:rsid w:val="00332AEB"/>
    <w:rsid w:val="00332B9E"/>
    <w:rsid w:val="00332C57"/>
    <w:rsid w:val="00332D0A"/>
    <w:rsid w:val="00332E92"/>
    <w:rsid w:val="00332EFD"/>
    <w:rsid w:val="00332F69"/>
    <w:rsid w:val="00332F8E"/>
    <w:rsid w:val="00332F9D"/>
    <w:rsid w:val="00332FF6"/>
    <w:rsid w:val="00333082"/>
    <w:rsid w:val="003330AE"/>
    <w:rsid w:val="003330BA"/>
    <w:rsid w:val="003330DF"/>
    <w:rsid w:val="003330EF"/>
    <w:rsid w:val="00333113"/>
    <w:rsid w:val="00333225"/>
    <w:rsid w:val="00333241"/>
    <w:rsid w:val="00333252"/>
    <w:rsid w:val="003332CA"/>
    <w:rsid w:val="0033330D"/>
    <w:rsid w:val="00333327"/>
    <w:rsid w:val="00333360"/>
    <w:rsid w:val="00333413"/>
    <w:rsid w:val="0033344F"/>
    <w:rsid w:val="00333492"/>
    <w:rsid w:val="0033355C"/>
    <w:rsid w:val="0033359C"/>
    <w:rsid w:val="0033360F"/>
    <w:rsid w:val="0033369B"/>
    <w:rsid w:val="0033370E"/>
    <w:rsid w:val="0033375A"/>
    <w:rsid w:val="00333767"/>
    <w:rsid w:val="003337D4"/>
    <w:rsid w:val="0033388F"/>
    <w:rsid w:val="00333891"/>
    <w:rsid w:val="00333A20"/>
    <w:rsid w:val="00333AEC"/>
    <w:rsid w:val="00333B5A"/>
    <w:rsid w:val="00333B7D"/>
    <w:rsid w:val="00333BC1"/>
    <w:rsid w:val="00333C4B"/>
    <w:rsid w:val="00333D2F"/>
    <w:rsid w:val="00333E07"/>
    <w:rsid w:val="00333E19"/>
    <w:rsid w:val="00333E2E"/>
    <w:rsid w:val="00333F79"/>
    <w:rsid w:val="00333F90"/>
    <w:rsid w:val="00333FCE"/>
    <w:rsid w:val="0033403B"/>
    <w:rsid w:val="0033409E"/>
    <w:rsid w:val="003340C8"/>
    <w:rsid w:val="00334101"/>
    <w:rsid w:val="0033414E"/>
    <w:rsid w:val="003342C4"/>
    <w:rsid w:val="00334343"/>
    <w:rsid w:val="00334360"/>
    <w:rsid w:val="00334391"/>
    <w:rsid w:val="003343E4"/>
    <w:rsid w:val="0033440E"/>
    <w:rsid w:val="00334412"/>
    <w:rsid w:val="00334432"/>
    <w:rsid w:val="003344B5"/>
    <w:rsid w:val="003344CD"/>
    <w:rsid w:val="003344ED"/>
    <w:rsid w:val="003345BD"/>
    <w:rsid w:val="003345D8"/>
    <w:rsid w:val="0033464F"/>
    <w:rsid w:val="0033466D"/>
    <w:rsid w:val="003346BB"/>
    <w:rsid w:val="003346FF"/>
    <w:rsid w:val="0033472C"/>
    <w:rsid w:val="00334759"/>
    <w:rsid w:val="0033484F"/>
    <w:rsid w:val="0033488B"/>
    <w:rsid w:val="0033489E"/>
    <w:rsid w:val="003348A1"/>
    <w:rsid w:val="00334934"/>
    <w:rsid w:val="003349B1"/>
    <w:rsid w:val="00334A19"/>
    <w:rsid w:val="00334AE4"/>
    <w:rsid w:val="00334B08"/>
    <w:rsid w:val="00334B12"/>
    <w:rsid w:val="00334B6D"/>
    <w:rsid w:val="00334CAC"/>
    <w:rsid w:val="00334CE5"/>
    <w:rsid w:val="00334D2D"/>
    <w:rsid w:val="00334DC3"/>
    <w:rsid w:val="00334DCE"/>
    <w:rsid w:val="00334DD1"/>
    <w:rsid w:val="00334E34"/>
    <w:rsid w:val="00334E70"/>
    <w:rsid w:val="00334F7A"/>
    <w:rsid w:val="00334F92"/>
    <w:rsid w:val="00335030"/>
    <w:rsid w:val="003350BB"/>
    <w:rsid w:val="003350C9"/>
    <w:rsid w:val="0033514F"/>
    <w:rsid w:val="00335233"/>
    <w:rsid w:val="0033532D"/>
    <w:rsid w:val="00335372"/>
    <w:rsid w:val="003353CC"/>
    <w:rsid w:val="003353FE"/>
    <w:rsid w:val="00335422"/>
    <w:rsid w:val="00335455"/>
    <w:rsid w:val="00335457"/>
    <w:rsid w:val="00335496"/>
    <w:rsid w:val="003354D2"/>
    <w:rsid w:val="003355C1"/>
    <w:rsid w:val="0033560C"/>
    <w:rsid w:val="00335658"/>
    <w:rsid w:val="0033567B"/>
    <w:rsid w:val="00335762"/>
    <w:rsid w:val="00335797"/>
    <w:rsid w:val="00335805"/>
    <w:rsid w:val="0033584D"/>
    <w:rsid w:val="0033585D"/>
    <w:rsid w:val="00335864"/>
    <w:rsid w:val="00335891"/>
    <w:rsid w:val="003359AD"/>
    <w:rsid w:val="00335A19"/>
    <w:rsid w:val="00335A1F"/>
    <w:rsid w:val="00335AAD"/>
    <w:rsid w:val="00335ADA"/>
    <w:rsid w:val="00335B41"/>
    <w:rsid w:val="00335BFC"/>
    <w:rsid w:val="00335C3C"/>
    <w:rsid w:val="00335CFB"/>
    <w:rsid w:val="00335DBA"/>
    <w:rsid w:val="00335DDF"/>
    <w:rsid w:val="00335E95"/>
    <w:rsid w:val="00335F1B"/>
    <w:rsid w:val="00335F4C"/>
    <w:rsid w:val="0033603D"/>
    <w:rsid w:val="0033609E"/>
    <w:rsid w:val="0033618A"/>
    <w:rsid w:val="003361A4"/>
    <w:rsid w:val="003361D4"/>
    <w:rsid w:val="003361EC"/>
    <w:rsid w:val="00336222"/>
    <w:rsid w:val="00336223"/>
    <w:rsid w:val="0033622B"/>
    <w:rsid w:val="003362DB"/>
    <w:rsid w:val="003362FB"/>
    <w:rsid w:val="00336309"/>
    <w:rsid w:val="00336336"/>
    <w:rsid w:val="00336485"/>
    <w:rsid w:val="00336553"/>
    <w:rsid w:val="003365FB"/>
    <w:rsid w:val="0033660F"/>
    <w:rsid w:val="003366D7"/>
    <w:rsid w:val="003366D8"/>
    <w:rsid w:val="0033671D"/>
    <w:rsid w:val="00336795"/>
    <w:rsid w:val="00336941"/>
    <w:rsid w:val="0033695B"/>
    <w:rsid w:val="00336A42"/>
    <w:rsid w:val="00336A7F"/>
    <w:rsid w:val="00336A8B"/>
    <w:rsid w:val="00336AAE"/>
    <w:rsid w:val="00336B82"/>
    <w:rsid w:val="00336BB3"/>
    <w:rsid w:val="00336D8D"/>
    <w:rsid w:val="00336DDA"/>
    <w:rsid w:val="00336E07"/>
    <w:rsid w:val="00336E15"/>
    <w:rsid w:val="00336E63"/>
    <w:rsid w:val="00336E90"/>
    <w:rsid w:val="00336F80"/>
    <w:rsid w:val="003370B9"/>
    <w:rsid w:val="003370E1"/>
    <w:rsid w:val="0033715A"/>
    <w:rsid w:val="003371DB"/>
    <w:rsid w:val="003372F9"/>
    <w:rsid w:val="00337333"/>
    <w:rsid w:val="0033736D"/>
    <w:rsid w:val="00337534"/>
    <w:rsid w:val="0033754A"/>
    <w:rsid w:val="0033765F"/>
    <w:rsid w:val="0033768D"/>
    <w:rsid w:val="003376BD"/>
    <w:rsid w:val="003376C2"/>
    <w:rsid w:val="00337719"/>
    <w:rsid w:val="00337783"/>
    <w:rsid w:val="00337835"/>
    <w:rsid w:val="00337843"/>
    <w:rsid w:val="00337890"/>
    <w:rsid w:val="00337897"/>
    <w:rsid w:val="0033789B"/>
    <w:rsid w:val="00337906"/>
    <w:rsid w:val="00337A51"/>
    <w:rsid w:val="00337B72"/>
    <w:rsid w:val="00337BF7"/>
    <w:rsid w:val="00337C6C"/>
    <w:rsid w:val="00337C7B"/>
    <w:rsid w:val="00337CDC"/>
    <w:rsid w:val="00337D09"/>
    <w:rsid w:val="00337E2F"/>
    <w:rsid w:val="00337ED2"/>
    <w:rsid w:val="00337EF2"/>
    <w:rsid w:val="00337F69"/>
    <w:rsid w:val="0033879E"/>
    <w:rsid w:val="0033BF1A"/>
    <w:rsid w:val="00340034"/>
    <w:rsid w:val="003400D0"/>
    <w:rsid w:val="003400FB"/>
    <w:rsid w:val="00340143"/>
    <w:rsid w:val="00340176"/>
    <w:rsid w:val="003401AE"/>
    <w:rsid w:val="0034020B"/>
    <w:rsid w:val="0034026D"/>
    <w:rsid w:val="00340302"/>
    <w:rsid w:val="00340355"/>
    <w:rsid w:val="00340388"/>
    <w:rsid w:val="003403A0"/>
    <w:rsid w:val="003403F0"/>
    <w:rsid w:val="003404F1"/>
    <w:rsid w:val="00340528"/>
    <w:rsid w:val="0034066D"/>
    <w:rsid w:val="0034067F"/>
    <w:rsid w:val="0034068A"/>
    <w:rsid w:val="0034069C"/>
    <w:rsid w:val="00340705"/>
    <w:rsid w:val="00340760"/>
    <w:rsid w:val="00340816"/>
    <w:rsid w:val="0034086E"/>
    <w:rsid w:val="00340886"/>
    <w:rsid w:val="003408CE"/>
    <w:rsid w:val="00340912"/>
    <w:rsid w:val="0034094B"/>
    <w:rsid w:val="0034099B"/>
    <w:rsid w:val="00340A55"/>
    <w:rsid w:val="00340B18"/>
    <w:rsid w:val="00340B46"/>
    <w:rsid w:val="00340B79"/>
    <w:rsid w:val="00340BB5"/>
    <w:rsid w:val="00340BEE"/>
    <w:rsid w:val="00340C16"/>
    <w:rsid w:val="00340C20"/>
    <w:rsid w:val="00340C7E"/>
    <w:rsid w:val="00340D7C"/>
    <w:rsid w:val="00340DFD"/>
    <w:rsid w:val="00340EAC"/>
    <w:rsid w:val="00340ED6"/>
    <w:rsid w:val="00340F19"/>
    <w:rsid w:val="00340F6C"/>
    <w:rsid w:val="0034100E"/>
    <w:rsid w:val="00341150"/>
    <w:rsid w:val="00341162"/>
    <w:rsid w:val="003411BD"/>
    <w:rsid w:val="003411C7"/>
    <w:rsid w:val="00341263"/>
    <w:rsid w:val="003412E1"/>
    <w:rsid w:val="00341367"/>
    <w:rsid w:val="003413BF"/>
    <w:rsid w:val="003413DE"/>
    <w:rsid w:val="0034140F"/>
    <w:rsid w:val="0034141E"/>
    <w:rsid w:val="00341425"/>
    <w:rsid w:val="00341637"/>
    <w:rsid w:val="00341652"/>
    <w:rsid w:val="00341790"/>
    <w:rsid w:val="003417CD"/>
    <w:rsid w:val="003417E1"/>
    <w:rsid w:val="0034182F"/>
    <w:rsid w:val="00341906"/>
    <w:rsid w:val="00341995"/>
    <w:rsid w:val="00341AC4"/>
    <w:rsid w:val="00341B27"/>
    <w:rsid w:val="00341B4E"/>
    <w:rsid w:val="00341BBE"/>
    <w:rsid w:val="00341C97"/>
    <w:rsid w:val="00341D7B"/>
    <w:rsid w:val="00341E6B"/>
    <w:rsid w:val="00341EC1"/>
    <w:rsid w:val="00341EC9"/>
    <w:rsid w:val="00341F49"/>
    <w:rsid w:val="00341F66"/>
    <w:rsid w:val="00341F67"/>
    <w:rsid w:val="00341FED"/>
    <w:rsid w:val="00342060"/>
    <w:rsid w:val="00342079"/>
    <w:rsid w:val="0034208D"/>
    <w:rsid w:val="00342142"/>
    <w:rsid w:val="0034223A"/>
    <w:rsid w:val="003422B2"/>
    <w:rsid w:val="003422FD"/>
    <w:rsid w:val="00342321"/>
    <w:rsid w:val="003423D7"/>
    <w:rsid w:val="00342402"/>
    <w:rsid w:val="00342482"/>
    <w:rsid w:val="003424F8"/>
    <w:rsid w:val="00342552"/>
    <w:rsid w:val="0034255A"/>
    <w:rsid w:val="003425AD"/>
    <w:rsid w:val="0034265A"/>
    <w:rsid w:val="00342701"/>
    <w:rsid w:val="00342871"/>
    <w:rsid w:val="003428E3"/>
    <w:rsid w:val="003428E5"/>
    <w:rsid w:val="00342926"/>
    <w:rsid w:val="0034297B"/>
    <w:rsid w:val="003429D3"/>
    <w:rsid w:val="00342A14"/>
    <w:rsid w:val="00342A55"/>
    <w:rsid w:val="00342B00"/>
    <w:rsid w:val="00342C2E"/>
    <w:rsid w:val="00342C98"/>
    <w:rsid w:val="00342CCD"/>
    <w:rsid w:val="00342D18"/>
    <w:rsid w:val="00342D77"/>
    <w:rsid w:val="00342DE0"/>
    <w:rsid w:val="00342E0F"/>
    <w:rsid w:val="00342E36"/>
    <w:rsid w:val="00342E37"/>
    <w:rsid w:val="00342EA5"/>
    <w:rsid w:val="00342EEB"/>
    <w:rsid w:val="00342F3D"/>
    <w:rsid w:val="00342F7A"/>
    <w:rsid w:val="00342FA7"/>
    <w:rsid w:val="0034301E"/>
    <w:rsid w:val="0034305E"/>
    <w:rsid w:val="00343180"/>
    <w:rsid w:val="003431FC"/>
    <w:rsid w:val="00343233"/>
    <w:rsid w:val="00343253"/>
    <w:rsid w:val="003432A2"/>
    <w:rsid w:val="003432C4"/>
    <w:rsid w:val="003433B7"/>
    <w:rsid w:val="003433B9"/>
    <w:rsid w:val="0034350B"/>
    <w:rsid w:val="00343553"/>
    <w:rsid w:val="00343584"/>
    <w:rsid w:val="003437B7"/>
    <w:rsid w:val="00343868"/>
    <w:rsid w:val="0034397C"/>
    <w:rsid w:val="00343990"/>
    <w:rsid w:val="003439D6"/>
    <w:rsid w:val="00343A05"/>
    <w:rsid w:val="00343A92"/>
    <w:rsid w:val="00343B23"/>
    <w:rsid w:val="00343BBA"/>
    <w:rsid w:val="00343BC0"/>
    <w:rsid w:val="00343CF2"/>
    <w:rsid w:val="00343D17"/>
    <w:rsid w:val="00343D78"/>
    <w:rsid w:val="00343DC4"/>
    <w:rsid w:val="00343EBF"/>
    <w:rsid w:val="00343F83"/>
    <w:rsid w:val="00343FA1"/>
    <w:rsid w:val="00343FCD"/>
    <w:rsid w:val="00343FD2"/>
    <w:rsid w:val="00343FEF"/>
    <w:rsid w:val="00344047"/>
    <w:rsid w:val="003440A3"/>
    <w:rsid w:val="00344162"/>
    <w:rsid w:val="00344198"/>
    <w:rsid w:val="003441A1"/>
    <w:rsid w:val="00344217"/>
    <w:rsid w:val="00344280"/>
    <w:rsid w:val="00344301"/>
    <w:rsid w:val="00344318"/>
    <w:rsid w:val="00344370"/>
    <w:rsid w:val="003443F1"/>
    <w:rsid w:val="00344408"/>
    <w:rsid w:val="00344412"/>
    <w:rsid w:val="00344413"/>
    <w:rsid w:val="00344440"/>
    <w:rsid w:val="00344449"/>
    <w:rsid w:val="0034444C"/>
    <w:rsid w:val="0034445F"/>
    <w:rsid w:val="003444E0"/>
    <w:rsid w:val="003444FD"/>
    <w:rsid w:val="003446A7"/>
    <w:rsid w:val="003446A8"/>
    <w:rsid w:val="0034473B"/>
    <w:rsid w:val="003447A0"/>
    <w:rsid w:val="0034481A"/>
    <w:rsid w:val="00344890"/>
    <w:rsid w:val="003449DF"/>
    <w:rsid w:val="00344A65"/>
    <w:rsid w:val="00344A76"/>
    <w:rsid w:val="00344B9B"/>
    <w:rsid w:val="00344BCB"/>
    <w:rsid w:val="00344BE1"/>
    <w:rsid w:val="00344BEC"/>
    <w:rsid w:val="00344C66"/>
    <w:rsid w:val="00344CC4"/>
    <w:rsid w:val="00344CDD"/>
    <w:rsid w:val="00344CFF"/>
    <w:rsid w:val="00344D4C"/>
    <w:rsid w:val="00344D55"/>
    <w:rsid w:val="00344D9D"/>
    <w:rsid w:val="00344DDD"/>
    <w:rsid w:val="00344DF5"/>
    <w:rsid w:val="00344E16"/>
    <w:rsid w:val="00344E86"/>
    <w:rsid w:val="00344F03"/>
    <w:rsid w:val="00344F54"/>
    <w:rsid w:val="00345014"/>
    <w:rsid w:val="00345017"/>
    <w:rsid w:val="0034509B"/>
    <w:rsid w:val="003450A1"/>
    <w:rsid w:val="003450D9"/>
    <w:rsid w:val="0034518B"/>
    <w:rsid w:val="003451F2"/>
    <w:rsid w:val="0034528A"/>
    <w:rsid w:val="003452C8"/>
    <w:rsid w:val="003453E8"/>
    <w:rsid w:val="0034543F"/>
    <w:rsid w:val="003454B9"/>
    <w:rsid w:val="003454DF"/>
    <w:rsid w:val="0034551D"/>
    <w:rsid w:val="0034558C"/>
    <w:rsid w:val="003455A1"/>
    <w:rsid w:val="003455A2"/>
    <w:rsid w:val="003455F8"/>
    <w:rsid w:val="00345652"/>
    <w:rsid w:val="003456DF"/>
    <w:rsid w:val="00345715"/>
    <w:rsid w:val="00345719"/>
    <w:rsid w:val="00345780"/>
    <w:rsid w:val="0034578F"/>
    <w:rsid w:val="0034580C"/>
    <w:rsid w:val="00345A56"/>
    <w:rsid w:val="00345ACE"/>
    <w:rsid w:val="00345AED"/>
    <w:rsid w:val="00345B1E"/>
    <w:rsid w:val="00345B3D"/>
    <w:rsid w:val="00345B79"/>
    <w:rsid w:val="00345BA2"/>
    <w:rsid w:val="00345BC8"/>
    <w:rsid w:val="00345C9E"/>
    <w:rsid w:val="00345D51"/>
    <w:rsid w:val="00345DC0"/>
    <w:rsid w:val="00345DEC"/>
    <w:rsid w:val="00345EBC"/>
    <w:rsid w:val="00345F72"/>
    <w:rsid w:val="00345FFB"/>
    <w:rsid w:val="00346004"/>
    <w:rsid w:val="003460AD"/>
    <w:rsid w:val="003460F1"/>
    <w:rsid w:val="00346185"/>
    <w:rsid w:val="003464BD"/>
    <w:rsid w:val="0034659D"/>
    <w:rsid w:val="00346637"/>
    <w:rsid w:val="0034664C"/>
    <w:rsid w:val="00346696"/>
    <w:rsid w:val="00346730"/>
    <w:rsid w:val="00346772"/>
    <w:rsid w:val="003467B4"/>
    <w:rsid w:val="0034681D"/>
    <w:rsid w:val="00346879"/>
    <w:rsid w:val="003468DD"/>
    <w:rsid w:val="0034692D"/>
    <w:rsid w:val="00346959"/>
    <w:rsid w:val="00346971"/>
    <w:rsid w:val="00346992"/>
    <w:rsid w:val="003469D1"/>
    <w:rsid w:val="00346A24"/>
    <w:rsid w:val="00346A41"/>
    <w:rsid w:val="00346A85"/>
    <w:rsid w:val="00346ABA"/>
    <w:rsid w:val="00346AC4"/>
    <w:rsid w:val="00346AF8"/>
    <w:rsid w:val="00346B0A"/>
    <w:rsid w:val="00346B92"/>
    <w:rsid w:val="00346B95"/>
    <w:rsid w:val="00346BC5"/>
    <w:rsid w:val="00346BEF"/>
    <w:rsid w:val="00346BF6"/>
    <w:rsid w:val="00346BF8"/>
    <w:rsid w:val="00346C44"/>
    <w:rsid w:val="00346C7C"/>
    <w:rsid w:val="00346D17"/>
    <w:rsid w:val="00346D32"/>
    <w:rsid w:val="00346DF8"/>
    <w:rsid w:val="00346E02"/>
    <w:rsid w:val="00346EBF"/>
    <w:rsid w:val="00346EEB"/>
    <w:rsid w:val="00346F42"/>
    <w:rsid w:val="00346F64"/>
    <w:rsid w:val="00346FA3"/>
    <w:rsid w:val="00346FAC"/>
    <w:rsid w:val="00346FDC"/>
    <w:rsid w:val="0034704D"/>
    <w:rsid w:val="0034706E"/>
    <w:rsid w:val="00347103"/>
    <w:rsid w:val="00347123"/>
    <w:rsid w:val="00347133"/>
    <w:rsid w:val="00347158"/>
    <w:rsid w:val="00347159"/>
    <w:rsid w:val="00347164"/>
    <w:rsid w:val="0034716A"/>
    <w:rsid w:val="00347175"/>
    <w:rsid w:val="00347178"/>
    <w:rsid w:val="003471B8"/>
    <w:rsid w:val="00347206"/>
    <w:rsid w:val="00347266"/>
    <w:rsid w:val="003472AB"/>
    <w:rsid w:val="00347366"/>
    <w:rsid w:val="003473A0"/>
    <w:rsid w:val="003473B8"/>
    <w:rsid w:val="003473D4"/>
    <w:rsid w:val="0034747A"/>
    <w:rsid w:val="003474BA"/>
    <w:rsid w:val="00347518"/>
    <w:rsid w:val="0034751B"/>
    <w:rsid w:val="00347551"/>
    <w:rsid w:val="00347577"/>
    <w:rsid w:val="003475D3"/>
    <w:rsid w:val="00347836"/>
    <w:rsid w:val="00347887"/>
    <w:rsid w:val="003478DD"/>
    <w:rsid w:val="003479A3"/>
    <w:rsid w:val="003479C5"/>
    <w:rsid w:val="00347A85"/>
    <w:rsid w:val="00347A9C"/>
    <w:rsid w:val="00347AA3"/>
    <w:rsid w:val="00347AC0"/>
    <w:rsid w:val="00347BD5"/>
    <w:rsid w:val="00347C43"/>
    <w:rsid w:val="00347D1C"/>
    <w:rsid w:val="00347D1E"/>
    <w:rsid w:val="00347DA2"/>
    <w:rsid w:val="00347E0D"/>
    <w:rsid w:val="00347E3C"/>
    <w:rsid w:val="00347E6E"/>
    <w:rsid w:val="00347E9F"/>
    <w:rsid w:val="00347EE0"/>
    <w:rsid w:val="00347F18"/>
    <w:rsid w:val="0034CE65"/>
    <w:rsid w:val="00350003"/>
    <w:rsid w:val="00350060"/>
    <w:rsid w:val="003500A2"/>
    <w:rsid w:val="003500CC"/>
    <w:rsid w:val="00350176"/>
    <w:rsid w:val="00350179"/>
    <w:rsid w:val="0035023F"/>
    <w:rsid w:val="00350256"/>
    <w:rsid w:val="00350259"/>
    <w:rsid w:val="00350392"/>
    <w:rsid w:val="003503BA"/>
    <w:rsid w:val="0035044E"/>
    <w:rsid w:val="003504C0"/>
    <w:rsid w:val="003504C1"/>
    <w:rsid w:val="00350500"/>
    <w:rsid w:val="0035053F"/>
    <w:rsid w:val="0035064B"/>
    <w:rsid w:val="0035074B"/>
    <w:rsid w:val="003507B7"/>
    <w:rsid w:val="00350806"/>
    <w:rsid w:val="00350849"/>
    <w:rsid w:val="00350852"/>
    <w:rsid w:val="003508C6"/>
    <w:rsid w:val="003508F9"/>
    <w:rsid w:val="003509D6"/>
    <w:rsid w:val="003509E4"/>
    <w:rsid w:val="00350A39"/>
    <w:rsid w:val="00350A66"/>
    <w:rsid w:val="00350BAF"/>
    <w:rsid w:val="00350BB0"/>
    <w:rsid w:val="00350BC7"/>
    <w:rsid w:val="00350BF7"/>
    <w:rsid w:val="00350C74"/>
    <w:rsid w:val="00350D56"/>
    <w:rsid w:val="00350D67"/>
    <w:rsid w:val="00350D6A"/>
    <w:rsid w:val="00350D96"/>
    <w:rsid w:val="00350DBF"/>
    <w:rsid w:val="00350E0B"/>
    <w:rsid w:val="00350E5D"/>
    <w:rsid w:val="00350E72"/>
    <w:rsid w:val="00350E7D"/>
    <w:rsid w:val="00350F19"/>
    <w:rsid w:val="00350FE7"/>
    <w:rsid w:val="00350FF4"/>
    <w:rsid w:val="0035105A"/>
    <w:rsid w:val="0035105E"/>
    <w:rsid w:val="00351164"/>
    <w:rsid w:val="003511F9"/>
    <w:rsid w:val="003512DC"/>
    <w:rsid w:val="0035132E"/>
    <w:rsid w:val="003513C6"/>
    <w:rsid w:val="00351525"/>
    <w:rsid w:val="003515C3"/>
    <w:rsid w:val="00351660"/>
    <w:rsid w:val="0035167D"/>
    <w:rsid w:val="0035174B"/>
    <w:rsid w:val="0035179A"/>
    <w:rsid w:val="0035190B"/>
    <w:rsid w:val="0035192F"/>
    <w:rsid w:val="0035197F"/>
    <w:rsid w:val="003519E4"/>
    <w:rsid w:val="00351ADC"/>
    <w:rsid w:val="00351B17"/>
    <w:rsid w:val="00351D26"/>
    <w:rsid w:val="00351ECF"/>
    <w:rsid w:val="00351F07"/>
    <w:rsid w:val="00351FCD"/>
    <w:rsid w:val="00351FD4"/>
    <w:rsid w:val="0035201F"/>
    <w:rsid w:val="00352075"/>
    <w:rsid w:val="0035207A"/>
    <w:rsid w:val="003520B2"/>
    <w:rsid w:val="00352122"/>
    <w:rsid w:val="0035212C"/>
    <w:rsid w:val="0035215A"/>
    <w:rsid w:val="00352189"/>
    <w:rsid w:val="003521B6"/>
    <w:rsid w:val="0035221E"/>
    <w:rsid w:val="00352237"/>
    <w:rsid w:val="00352266"/>
    <w:rsid w:val="00352288"/>
    <w:rsid w:val="003522D0"/>
    <w:rsid w:val="00352315"/>
    <w:rsid w:val="003523FA"/>
    <w:rsid w:val="0035241D"/>
    <w:rsid w:val="0035241E"/>
    <w:rsid w:val="003524AF"/>
    <w:rsid w:val="003524B5"/>
    <w:rsid w:val="003524CF"/>
    <w:rsid w:val="00352589"/>
    <w:rsid w:val="0035258B"/>
    <w:rsid w:val="003525A0"/>
    <w:rsid w:val="0035261C"/>
    <w:rsid w:val="003526FA"/>
    <w:rsid w:val="003527F7"/>
    <w:rsid w:val="00352874"/>
    <w:rsid w:val="0035293F"/>
    <w:rsid w:val="0035295E"/>
    <w:rsid w:val="0035299E"/>
    <w:rsid w:val="00352A9C"/>
    <w:rsid w:val="00352AAA"/>
    <w:rsid w:val="00352AE9"/>
    <w:rsid w:val="00352B65"/>
    <w:rsid w:val="00352B66"/>
    <w:rsid w:val="00352B72"/>
    <w:rsid w:val="00352DE3"/>
    <w:rsid w:val="00352E78"/>
    <w:rsid w:val="00352F16"/>
    <w:rsid w:val="00353099"/>
    <w:rsid w:val="0035310F"/>
    <w:rsid w:val="003531E8"/>
    <w:rsid w:val="003531EE"/>
    <w:rsid w:val="00353235"/>
    <w:rsid w:val="0035325F"/>
    <w:rsid w:val="0035328F"/>
    <w:rsid w:val="00353305"/>
    <w:rsid w:val="00353378"/>
    <w:rsid w:val="0035356E"/>
    <w:rsid w:val="003535AA"/>
    <w:rsid w:val="0035363C"/>
    <w:rsid w:val="0035371D"/>
    <w:rsid w:val="00353771"/>
    <w:rsid w:val="0035377E"/>
    <w:rsid w:val="0035383A"/>
    <w:rsid w:val="0035389D"/>
    <w:rsid w:val="003538FB"/>
    <w:rsid w:val="0035391B"/>
    <w:rsid w:val="00353964"/>
    <w:rsid w:val="00353977"/>
    <w:rsid w:val="00353987"/>
    <w:rsid w:val="00353AA9"/>
    <w:rsid w:val="00353B6E"/>
    <w:rsid w:val="00353B90"/>
    <w:rsid w:val="00353C11"/>
    <w:rsid w:val="00353C22"/>
    <w:rsid w:val="00353C37"/>
    <w:rsid w:val="00353C89"/>
    <w:rsid w:val="00353D52"/>
    <w:rsid w:val="00353E83"/>
    <w:rsid w:val="00353EAC"/>
    <w:rsid w:val="00353F2E"/>
    <w:rsid w:val="00353F6E"/>
    <w:rsid w:val="00353FBC"/>
    <w:rsid w:val="00354016"/>
    <w:rsid w:val="00354023"/>
    <w:rsid w:val="00354069"/>
    <w:rsid w:val="003540A6"/>
    <w:rsid w:val="003540CE"/>
    <w:rsid w:val="003541D3"/>
    <w:rsid w:val="003541E4"/>
    <w:rsid w:val="00354211"/>
    <w:rsid w:val="00354240"/>
    <w:rsid w:val="0035427B"/>
    <w:rsid w:val="003542A3"/>
    <w:rsid w:val="003542A4"/>
    <w:rsid w:val="003542C7"/>
    <w:rsid w:val="003542D8"/>
    <w:rsid w:val="00354304"/>
    <w:rsid w:val="003543C4"/>
    <w:rsid w:val="003543DE"/>
    <w:rsid w:val="003543F1"/>
    <w:rsid w:val="00354414"/>
    <w:rsid w:val="00354424"/>
    <w:rsid w:val="0035447A"/>
    <w:rsid w:val="003544AA"/>
    <w:rsid w:val="003544D9"/>
    <w:rsid w:val="0035450D"/>
    <w:rsid w:val="00354606"/>
    <w:rsid w:val="00354638"/>
    <w:rsid w:val="00354705"/>
    <w:rsid w:val="0035470C"/>
    <w:rsid w:val="00354761"/>
    <w:rsid w:val="00354844"/>
    <w:rsid w:val="00354875"/>
    <w:rsid w:val="003548F7"/>
    <w:rsid w:val="003548F8"/>
    <w:rsid w:val="00354917"/>
    <w:rsid w:val="0035495A"/>
    <w:rsid w:val="003549A3"/>
    <w:rsid w:val="003549D5"/>
    <w:rsid w:val="00354A50"/>
    <w:rsid w:val="00354B11"/>
    <w:rsid w:val="00354B17"/>
    <w:rsid w:val="00354C63"/>
    <w:rsid w:val="00354CA2"/>
    <w:rsid w:val="00354CB3"/>
    <w:rsid w:val="00354CBC"/>
    <w:rsid w:val="00354D31"/>
    <w:rsid w:val="00354DA0"/>
    <w:rsid w:val="00354E4E"/>
    <w:rsid w:val="00354E7D"/>
    <w:rsid w:val="00354E8F"/>
    <w:rsid w:val="00354EF3"/>
    <w:rsid w:val="00354F04"/>
    <w:rsid w:val="00354F7B"/>
    <w:rsid w:val="00354FCD"/>
    <w:rsid w:val="00354FE1"/>
    <w:rsid w:val="00355105"/>
    <w:rsid w:val="0035518E"/>
    <w:rsid w:val="00355199"/>
    <w:rsid w:val="003552AB"/>
    <w:rsid w:val="003552B1"/>
    <w:rsid w:val="00355329"/>
    <w:rsid w:val="003553DF"/>
    <w:rsid w:val="0035541B"/>
    <w:rsid w:val="0035542E"/>
    <w:rsid w:val="0035546E"/>
    <w:rsid w:val="003554E6"/>
    <w:rsid w:val="003554E7"/>
    <w:rsid w:val="0035569E"/>
    <w:rsid w:val="003556A9"/>
    <w:rsid w:val="003556E3"/>
    <w:rsid w:val="003556FD"/>
    <w:rsid w:val="00355723"/>
    <w:rsid w:val="00355734"/>
    <w:rsid w:val="00355752"/>
    <w:rsid w:val="00355814"/>
    <w:rsid w:val="0035582B"/>
    <w:rsid w:val="0035590A"/>
    <w:rsid w:val="0035599C"/>
    <w:rsid w:val="003559BE"/>
    <w:rsid w:val="003559CA"/>
    <w:rsid w:val="00355A15"/>
    <w:rsid w:val="00355A3B"/>
    <w:rsid w:val="00355ACE"/>
    <w:rsid w:val="00355AD4"/>
    <w:rsid w:val="00355B3B"/>
    <w:rsid w:val="00355B47"/>
    <w:rsid w:val="00355B7A"/>
    <w:rsid w:val="00355BB8"/>
    <w:rsid w:val="00355BDE"/>
    <w:rsid w:val="00355CBA"/>
    <w:rsid w:val="00355D0E"/>
    <w:rsid w:val="00355D36"/>
    <w:rsid w:val="00355DB0"/>
    <w:rsid w:val="00355E32"/>
    <w:rsid w:val="00355EB3"/>
    <w:rsid w:val="00355FDF"/>
    <w:rsid w:val="00356019"/>
    <w:rsid w:val="0035614D"/>
    <w:rsid w:val="003561CF"/>
    <w:rsid w:val="003561EF"/>
    <w:rsid w:val="003561FC"/>
    <w:rsid w:val="00356245"/>
    <w:rsid w:val="0035629F"/>
    <w:rsid w:val="003562D4"/>
    <w:rsid w:val="003562F6"/>
    <w:rsid w:val="003563B0"/>
    <w:rsid w:val="003563DE"/>
    <w:rsid w:val="003563FE"/>
    <w:rsid w:val="00356422"/>
    <w:rsid w:val="0035657C"/>
    <w:rsid w:val="003565D6"/>
    <w:rsid w:val="00356612"/>
    <w:rsid w:val="003566CC"/>
    <w:rsid w:val="00356812"/>
    <w:rsid w:val="00356881"/>
    <w:rsid w:val="003568A5"/>
    <w:rsid w:val="00356956"/>
    <w:rsid w:val="00356A27"/>
    <w:rsid w:val="00356A2E"/>
    <w:rsid w:val="00356A50"/>
    <w:rsid w:val="00356A7C"/>
    <w:rsid w:val="00356ACE"/>
    <w:rsid w:val="00356BAF"/>
    <w:rsid w:val="00356C75"/>
    <w:rsid w:val="00356C8B"/>
    <w:rsid w:val="00356D0C"/>
    <w:rsid w:val="00356D4B"/>
    <w:rsid w:val="00356D5E"/>
    <w:rsid w:val="00356D73"/>
    <w:rsid w:val="00356E0B"/>
    <w:rsid w:val="00356E0C"/>
    <w:rsid w:val="00356E4A"/>
    <w:rsid w:val="00356FB2"/>
    <w:rsid w:val="00357047"/>
    <w:rsid w:val="003570CB"/>
    <w:rsid w:val="00357110"/>
    <w:rsid w:val="00357124"/>
    <w:rsid w:val="00357172"/>
    <w:rsid w:val="00357192"/>
    <w:rsid w:val="003572C2"/>
    <w:rsid w:val="003572C9"/>
    <w:rsid w:val="003573FA"/>
    <w:rsid w:val="00357451"/>
    <w:rsid w:val="00357453"/>
    <w:rsid w:val="0035747E"/>
    <w:rsid w:val="00357545"/>
    <w:rsid w:val="00357557"/>
    <w:rsid w:val="0035758A"/>
    <w:rsid w:val="00357669"/>
    <w:rsid w:val="003576CD"/>
    <w:rsid w:val="003576E5"/>
    <w:rsid w:val="003576EC"/>
    <w:rsid w:val="0035778A"/>
    <w:rsid w:val="003577A4"/>
    <w:rsid w:val="003577B3"/>
    <w:rsid w:val="0035781A"/>
    <w:rsid w:val="003578C4"/>
    <w:rsid w:val="00357918"/>
    <w:rsid w:val="00357958"/>
    <w:rsid w:val="0035795B"/>
    <w:rsid w:val="00357972"/>
    <w:rsid w:val="00357AE3"/>
    <w:rsid w:val="00357B28"/>
    <w:rsid w:val="00357B8A"/>
    <w:rsid w:val="00357C3B"/>
    <w:rsid w:val="00357C65"/>
    <w:rsid w:val="00357D7E"/>
    <w:rsid w:val="00357DCC"/>
    <w:rsid w:val="00357DE2"/>
    <w:rsid w:val="00357E1F"/>
    <w:rsid w:val="00357E9F"/>
    <w:rsid w:val="00357EAA"/>
    <w:rsid w:val="00357EB9"/>
    <w:rsid w:val="00357F12"/>
    <w:rsid w:val="00357F97"/>
    <w:rsid w:val="00357FFD"/>
    <w:rsid w:val="0035B614"/>
    <w:rsid w:val="0035C48B"/>
    <w:rsid w:val="00360058"/>
    <w:rsid w:val="003601EF"/>
    <w:rsid w:val="00360208"/>
    <w:rsid w:val="0036027E"/>
    <w:rsid w:val="003602E5"/>
    <w:rsid w:val="0036034E"/>
    <w:rsid w:val="003603A7"/>
    <w:rsid w:val="00360478"/>
    <w:rsid w:val="003604B1"/>
    <w:rsid w:val="00360565"/>
    <w:rsid w:val="003605A1"/>
    <w:rsid w:val="00360617"/>
    <w:rsid w:val="00360738"/>
    <w:rsid w:val="0036075B"/>
    <w:rsid w:val="00360903"/>
    <w:rsid w:val="003609BF"/>
    <w:rsid w:val="003609DF"/>
    <w:rsid w:val="00360A9C"/>
    <w:rsid w:val="00360ACA"/>
    <w:rsid w:val="00360AEB"/>
    <w:rsid w:val="00360AEC"/>
    <w:rsid w:val="00360B5D"/>
    <w:rsid w:val="00360B6B"/>
    <w:rsid w:val="00360BC7"/>
    <w:rsid w:val="00360BEF"/>
    <w:rsid w:val="00360BF7"/>
    <w:rsid w:val="00360C01"/>
    <w:rsid w:val="00360D69"/>
    <w:rsid w:val="00360D6D"/>
    <w:rsid w:val="00360DA2"/>
    <w:rsid w:val="00360DF1"/>
    <w:rsid w:val="00360DFF"/>
    <w:rsid w:val="00360E33"/>
    <w:rsid w:val="00360E86"/>
    <w:rsid w:val="00360EF8"/>
    <w:rsid w:val="00360F95"/>
    <w:rsid w:val="00360FD4"/>
    <w:rsid w:val="00360FD7"/>
    <w:rsid w:val="0036123F"/>
    <w:rsid w:val="00361311"/>
    <w:rsid w:val="00361329"/>
    <w:rsid w:val="00361375"/>
    <w:rsid w:val="00361555"/>
    <w:rsid w:val="0036157D"/>
    <w:rsid w:val="0036163F"/>
    <w:rsid w:val="00361645"/>
    <w:rsid w:val="00361699"/>
    <w:rsid w:val="003616F1"/>
    <w:rsid w:val="00361744"/>
    <w:rsid w:val="0036178A"/>
    <w:rsid w:val="003617A8"/>
    <w:rsid w:val="0036180D"/>
    <w:rsid w:val="0036182B"/>
    <w:rsid w:val="00361875"/>
    <w:rsid w:val="0036189E"/>
    <w:rsid w:val="0036191C"/>
    <w:rsid w:val="003619FF"/>
    <w:rsid w:val="00361A02"/>
    <w:rsid w:val="00361A44"/>
    <w:rsid w:val="00361A98"/>
    <w:rsid w:val="00361AAD"/>
    <w:rsid w:val="00361B38"/>
    <w:rsid w:val="00361B58"/>
    <w:rsid w:val="00361C0E"/>
    <w:rsid w:val="00361C98"/>
    <w:rsid w:val="00361D18"/>
    <w:rsid w:val="00361D55"/>
    <w:rsid w:val="00361D86"/>
    <w:rsid w:val="00361DC3"/>
    <w:rsid w:val="00361E86"/>
    <w:rsid w:val="00361FB0"/>
    <w:rsid w:val="00361FC8"/>
    <w:rsid w:val="00361FF5"/>
    <w:rsid w:val="00361FFC"/>
    <w:rsid w:val="003620D1"/>
    <w:rsid w:val="00362224"/>
    <w:rsid w:val="003622AE"/>
    <w:rsid w:val="003623CC"/>
    <w:rsid w:val="003623F3"/>
    <w:rsid w:val="00362406"/>
    <w:rsid w:val="003624E6"/>
    <w:rsid w:val="003624ED"/>
    <w:rsid w:val="0036253E"/>
    <w:rsid w:val="0036254A"/>
    <w:rsid w:val="00362550"/>
    <w:rsid w:val="00362592"/>
    <w:rsid w:val="00362600"/>
    <w:rsid w:val="003626B4"/>
    <w:rsid w:val="00362710"/>
    <w:rsid w:val="00362773"/>
    <w:rsid w:val="00362774"/>
    <w:rsid w:val="00362778"/>
    <w:rsid w:val="003627E0"/>
    <w:rsid w:val="00362891"/>
    <w:rsid w:val="00362899"/>
    <w:rsid w:val="0036291E"/>
    <w:rsid w:val="003629C3"/>
    <w:rsid w:val="003629D6"/>
    <w:rsid w:val="003629D7"/>
    <w:rsid w:val="003629E1"/>
    <w:rsid w:val="00362A8D"/>
    <w:rsid w:val="00362AD5"/>
    <w:rsid w:val="00362BCE"/>
    <w:rsid w:val="00362C2C"/>
    <w:rsid w:val="00362C5D"/>
    <w:rsid w:val="00362CB2"/>
    <w:rsid w:val="00362D02"/>
    <w:rsid w:val="00362D03"/>
    <w:rsid w:val="00362E1C"/>
    <w:rsid w:val="00362ECE"/>
    <w:rsid w:val="00362F2E"/>
    <w:rsid w:val="00362F4F"/>
    <w:rsid w:val="00362FC3"/>
    <w:rsid w:val="00362FFF"/>
    <w:rsid w:val="00363003"/>
    <w:rsid w:val="00363082"/>
    <w:rsid w:val="00363085"/>
    <w:rsid w:val="00363093"/>
    <w:rsid w:val="003630BB"/>
    <w:rsid w:val="00363171"/>
    <w:rsid w:val="0036323C"/>
    <w:rsid w:val="00363276"/>
    <w:rsid w:val="00363326"/>
    <w:rsid w:val="0036346B"/>
    <w:rsid w:val="00363498"/>
    <w:rsid w:val="003634FF"/>
    <w:rsid w:val="00363511"/>
    <w:rsid w:val="00363531"/>
    <w:rsid w:val="003635D5"/>
    <w:rsid w:val="00363640"/>
    <w:rsid w:val="0036364D"/>
    <w:rsid w:val="0036366D"/>
    <w:rsid w:val="0036369E"/>
    <w:rsid w:val="0036369F"/>
    <w:rsid w:val="003636A2"/>
    <w:rsid w:val="003636EB"/>
    <w:rsid w:val="00363711"/>
    <w:rsid w:val="0036371A"/>
    <w:rsid w:val="00363759"/>
    <w:rsid w:val="00363765"/>
    <w:rsid w:val="00363813"/>
    <w:rsid w:val="0036381A"/>
    <w:rsid w:val="00363834"/>
    <w:rsid w:val="00363860"/>
    <w:rsid w:val="003638A2"/>
    <w:rsid w:val="003638AD"/>
    <w:rsid w:val="00363917"/>
    <w:rsid w:val="00363944"/>
    <w:rsid w:val="00363973"/>
    <w:rsid w:val="0036399A"/>
    <w:rsid w:val="00363A1E"/>
    <w:rsid w:val="00363AD9"/>
    <w:rsid w:val="00363AE1"/>
    <w:rsid w:val="00363AE2"/>
    <w:rsid w:val="00363AFF"/>
    <w:rsid w:val="00363BB8"/>
    <w:rsid w:val="00363C0C"/>
    <w:rsid w:val="00363C4B"/>
    <w:rsid w:val="00363DA3"/>
    <w:rsid w:val="00363DF2"/>
    <w:rsid w:val="00363E23"/>
    <w:rsid w:val="00363E5C"/>
    <w:rsid w:val="00363E72"/>
    <w:rsid w:val="00363E77"/>
    <w:rsid w:val="00363EFC"/>
    <w:rsid w:val="00363FF5"/>
    <w:rsid w:val="00364004"/>
    <w:rsid w:val="0036404A"/>
    <w:rsid w:val="003641D1"/>
    <w:rsid w:val="003642C1"/>
    <w:rsid w:val="003642FB"/>
    <w:rsid w:val="0036430B"/>
    <w:rsid w:val="0036435B"/>
    <w:rsid w:val="00364386"/>
    <w:rsid w:val="00364396"/>
    <w:rsid w:val="003643CD"/>
    <w:rsid w:val="00364456"/>
    <w:rsid w:val="0036450E"/>
    <w:rsid w:val="00364529"/>
    <w:rsid w:val="00364655"/>
    <w:rsid w:val="00364678"/>
    <w:rsid w:val="0036469C"/>
    <w:rsid w:val="003647DB"/>
    <w:rsid w:val="0036489B"/>
    <w:rsid w:val="003648A5"/>
    <w:rsid w:val="003648AB"/>
    <w:rsid w:val="003648DD"/>
    <w:rsid w:val="003648FD"/>
    <w:rsid w:val="00364A97"/>
    <w:rsid w:val="00364AA4"/>
    <w:rsid w:val="00364B13"/>
    <w:rsid w:val="00364B31"/>
    <w:rsid w:val="00364B68"/>
    <w:rsid w:val="00364B73"/>
    <w:rsid w:val="00364B96"/>
    <w:rsid w:val="00364BF4"/>
    <w:rsid w:val="00364C8A"/>
    <w:rsid w:val="00364C91"/>
    <w:rsid w:val="00364CB4"/>
    <w:rsid w:val="00364D1A"/>
    <w:rsid w:val="00364D45"/>
    <w:rsid w:val="00364DC0"/>
    <w:rsid w:val="00364E4B"/>
    <w:rsid w:val="00364E57"/>
    <w:rsid w:val="00364E84"/>
    <w:rsid w:val="00364EF9"/>
    <w:rsid w:val="003650F2"/>
    <w:rsid w:val="00365157"/>
    <w:rsid w:val="00365264"/>
    <w:rsid w:val="00365266"/>
    <w:rsid w:val="00365268"/>
    <w:rsid w:val="00365295"/>
    <w:rsid w:val="00365306"/>
    <w:rsid w:val="0036547D"/>
    <w:rsid w:val="003654D4"/>
    <w:rsid w:val="00365511"/>
    <w:rsid w:val="003655F6"/>
    <w:rsid w:val="0036563B"/>
    <w:rsid w:val="0036565E"/>
    <w:rsid w:val="00365670"/>
    <w:rsid w:val="003656A1"/>
    <w:rsid w:val="003656AF"/>
    <w:rsid w:val="003656BB"/>
    <w:rsid w:val="0036571C"/>
    <w:rsid w:val="003657F0"/>
    <w:rsid w:val="0036581D"/>
    <w:rsid w:val="0036584A"/>
    <w:rsid w:val="00365942"/>
    <w:rsid w:val="003659A4"/>
    <w:rsid w:val="00365A0C"/>
    <w:rsid w:val="00365AD5"/>
    <w:rsid w:val="00365B0B"/>
    <w:rsid w:val="00365B71"/>
    <w:rsid w:val="00365C07"/>
    <w:rsid w:val="00365D11"/>
    <w:rsid w:val="00365D9D"/>
    <w:rsid w:val="00365ED4"/>
    <w:rsid w:val="00365FC4"/>
    <w:rsid w:val="00366037"/>
    <w:rsid w:val="00366069"/>
    <w:rsid w:val="00366077"/>
    <w:rsid w:val="00366082"/>
    <w:rsid w:val="003660D0"/>
    <w:rsid w:val="0036626F"/>
    <w:rsid w:val="003662E8"/>
    <w:rsid w:val="0036634C"/>
    <w:rsid w:val="00366384"/>
    <w:rsid w:val="003663FA"/>
    <w:rsid w:val="003664FF"/>
    <w:rsid w:val="003665A6"/>
    <w:rsid w:val="003666D0"/>
    <w:rsid w:val="0036670B"/>
    <w:rsid w:val="0036673E"/>
    <w:rsid w:val="0036675F"/>
    <w:rsid w:val="00366785"/>
    <w:rsid w:val="00366792"/>
    <w:rsid w:val="0036679E"/>
    <w:rsid w:val="0036685D"/>
    <w:rsid w:val="003668A6"/>
    <w:rsid w:val="003668C9"/>
    <w:rsid w:val="003668F6"/>
    <w:rsid w:val="00366930"/>
    <w:rsid w:val="00366946"/>
    <w:rsid w:val="00366959"/>
    <w:rsid w:val="00366982"/>
    <w:rsid w:val="00366995"/>
    <w:rsid w:val="00366A42"/>
    <w:rsid w:val="00366BC2"/>
    <w:rsid w:val="00366BD5"/>
    <w:rsid w:val="00366D08"/>
    <w:rsid w:val="00366DAB"/>
    <w:rsid w:val="00366DD3"/>
    <w:rsid w:val="00366DD5"/>
    <w:rsid w:val="00366E3D"/>
    <w:rsid w:val="00366F63"/>
    <w:rsid w:val="00366FD2"/>
    <w:rsid w:val="00367029"/>
    <w:rsid w:val="00367045"/>
    <w:rsid w:val="003670EC"/>
    <w:rsid w:val="00367151"/>
    <w:rsid w:val="0036718C"/>
    <w:rsid w:val="00367217"/>
    <w:rsid w:val="00367366"/>
    <w:rsid w:val="003673B8"/>
    <w:rsid w:val="00367448"/>
    <w:rsid w:val="003675B8"/>
    <w:rsid w:val="00367612"/>
    <w:rsid w:val="00367705"/>
    <w:rsid w:val="00367884"/>
    <w:rsid w:val="0036794E"/>
    <w:rsid w:val="00367955"/>
    <w:rsid w:val="00367990"/>
    <w:rsid w:val="00367B00"/>
    <w:rsid w:val="00367D1D"/>
    <w:rsid w:val="00367D60"/>
    <w:rsid w:val="00367D85"/>
    <w:rsid w:val="00367E1F"/>
    <w:rsid w:val="00367E3D"/>
    <w:rsid w:val="00367E46"/>
    <w:rsid w:val="00367E50"/>
    <w:rsid w:val="00367E96"/>
    <w:rsid w:val="00367EEB"/>
    <w:rsid w:val="00367F47"/>
    <w:rsid w:val="00367F53"/>
    <w:rsid w:val="0036F8AB"/>
    <w:rsid w:val="00370031"/>
    <w:rsid w:val="00370098"/>
    <w:rsid w:val="0037014B"/>
    <w:rsid w:val="0037017B"/>
    <w:rsid w:val="003701B3"/>
    <w:rsid w:val="00370204"/>
    <w:rsid w:val="00370243"/>
    <w:rsid w:val="003702C6"/>
    <w:rsid w:val="003702D4"/>
    <w:rsid w:val="00370360"/>
    <w:rsid w:val="00370380"/>
    <w:rsid w:val="003703ED"/>
    <w:rsid w:val="00370404"/>
    <w:rsid w:val="0037045C"/>
    <w:rsid w:val="0037050F"/>
    <w:rsid w:val="00370518"/>
    <w:rsid w:val="00370591"/>
    <w:rsid w:val="003705B0"/>
    <w:rsid w:val="00370630"/>
    <w:rsid w:val="00370639"/>
    <w:rsid w:val="00370809"/>
    <w:rsid w:val="0037084F"/>
    <w:rsid w:val="003708B4"/>
    <w:rsid w:val="003708BC"/>
    <w:rsid w:val="00370932"/>
    <w:rsid w:val="0037097D"/>
    <w:rsid w:val="003709C4"/>
    <w:rsid w:val="00370A1E"/>
    <w:rsid w:val="00370A27"/>
    <w:rsid w:val="00370A93"/>
    <w:rsid w:val="00370AA5"/>
    <w:rsid w:val="00370BED"/>
    <w:rsid w:val="00370C31"/>
    <w:rsid w:val="00370D72"/>
    <w:rsid w:val="00370DC0"/>
    <w:rsid w:val="00370E03"/>
    <w:rsid w:val="00370E4E"/>
    <w:rsid w:val="00370F74"/>
    <w:rsid w:val="003710C3"/>
    <w:rsid w:val="00371110"/>
    <w:rsid w:val="003711D9"/>
    <w:rsid w:val="00371216"/>
    <w:rsid w:val="003713AB"/>
    <w:rsid w:val="003715AE"/>
    <w:rsid w:val="003715BF"/>
    <w:rsid w:val="003715DB"/>
    <w:rsid w:val="0037160B"/>
    <w:rsid w:val="00371680"/>
    <w:rsid w:val="0037187A"/>
    <w:rsid w:val="00371910"/>
    <w:rsid w:val="00371941"/>
    <w:rsid w:val="003719DA"/>
    <w:rsid w:val="00371A58"/>
    <w:rsid w:val="00371A99"/>
    <w:rsid w:val="00371AA5"/>
    <w:rsid w:val="00371B3B"/>
    <w:rsid w:val="00371BE0"/>
    <w:rsid w:val="00371D1E"/>
    <w:rsid w:val="00371D94"/>
    <w:rsid w:val="00371DF9"/>
    <w:rsid w:val="00371E6D"/>
    <w:rsid w:val="00371EAF"/>
    <w:rsid w:val="00371EF0"/>
    <w:rsid w:val="00371F5E"/>
    <w:rsid w:val="003721F4"/>
    <w:rsid w:val="0037222C"/>
    <w:rsid w:val="00372451"/>
    <w:rsid w:val="0037252B"/>
    <w:rsid w:val="00372566"/>
    <w:rsid w:val="003725EB"/>
    <w:rsid w:val="00372651"/>
    <w:rsid w:val="00372652"/>
    <w:rsid w:val="0037267D"/>
    <w:rsid w:val="003726A3"/>
    <w:rsid w:val="00372774"/>
    <w:rsid w:val="003727AE"/>
    <w:rsid w:val="00372809"/>
    <w:rsid w:val="00372820"/>
    <w:rsid w:val="0037284F"/>
    <w:rsid w:val="0037286F"/>
    <w:rsid w:val="00372965"/>
    <w:rsid w:val="003729E3"/>
    <w:rsid w:val="003729F8"/>
    <w:rsid w:val="00372A0E"/>
    <w:rsid w:val="00372B03"/>
    <w:rsid w:val="00372BB9"/>
    <w:rsid w:val="00372BDA"/>
    <w:rsid w:val="00372C3B"/>
    <w:rsid w:val="00372CE0"/>
    <w:rsid w:val="00372F8D"/>
    <w:rsid w:val="00373092"/>
    <w:rsid w:val="003730BC"/>
    <w:rsid w:val="003730C3"/>
    <w:rsid w:val="003730EC"/>
    <w:rsid w:val="00373102"/>
    <w:rsid w:val="00373145"/>
    <w:rsid w:val="003731AA"/>
    <w:rsid w:val="003731D7"/>
    <w:rsid w:val="00373211"/>
    <w:rsid w:val="0037329D"/>
    <w:rsid w:val="0037337C"/>
    <w:rsid w:val="003733E5"/>
    <w:rsid w:val="003733FB"/>
    <w:rsid w:val="00373421"/>
    <w:rsid w:val="00373429"/>
    <w:rsid w:val="003734AD"/>
    <w:rsid w:val="00373526"/>
    <w:rsid w:val="0037352D"/>
    <w:rsid w:val="00373590"/>
    <w:rsid w:val="003735B2"/>
    <w:rsid w:val="003735F2"/>
    <w:rsid w:val="0037362E"/>
    <w:rsid w:val="003736E2"/>
    <w:rsid w:val="003736F1"/>
    <w:rsid w:val="00373774"/>
    <w:rsid w:val="00373778"/>
    <w:rsid w:val="0037383C"/>
    <w:rsid w:val="00373933"/>
    <w:rsid w:val="00373982"/>
    <w:rsid w:val="003739BD"/>
    <w:rsid w:val="003739CC"/>
    <w:rsid w:val="00373A21"/>
    <w:rsid w:val="00373A90"/>
    <w:rsid w:val="00373AE2"/>
    <w:rsid w:val="00373B00"/>
    <w:rsid w:val="00373C19"/>
    <w:rsid w:val="00373D00"/>
    <w:rsid w:val="00373D1D"/>
    <w:rsid w:val="00373EBB"/>
    <w:rsid w:val="00373ED2"/>
    <w:rsid w:val="00374034"/>
    <w:rsid w:val="0037403D"/>
    <w:rsid w:val="00374059"/>
    <w:rsid w:val="00374176"/>
    <w:rsid w:val="003741A1"/>
    <w:rsid w:val="003741A6"/>
    <w:rsid w:val="00374276"/>
    <w:rsid w:val="003743D7"/>
    <w:rsid w:val="003743EB"/>
    <w:rsid w:val="0037454A"/>
    <w:rsid w:val="003745B6"/>
    <w:rsid w:val="00374623"/>
    <w:rsid w:val="00374639"/>
    <w:rsid w:val="003746EF"/>
    <w:rsid w:val="003747B3"/>
    <w:rsid w:val="003747D0"/>
    <w:rsid w:val="00374838"/>
    <w:rsid w:val="003749B4"/>
    <w:rsid w:val="00374A1B"/>
    <w:rsid w:val="00374A85"/>
    <w:rsid w:val="00374C21"/>
    <w:rsid w:val="00374C43"/>
    <w:rsid w:val="00374CE4"/>
    <w:rsid w:val="00374D26"/>
    <w:rsid w:val="00374D45"/>
    <w:rsid w:val="00374DC7"/>
    <w:rsid w:val="00374E31"/>
    <w:rsid w:val="00374E6B"/>
    <w:rsid w:val="00374E91"/>
    <w:rsid w:val="00374EC5"/>
    <w:rsid w:val="00374F45"/>
    <w:rsid w:val="00374F86"/>
    <w:rsid w:val="00374FBD"/>
    <w:rsid w:val="00375060"/>
    <w:rsid w:val="00375083"/>
    <w:rsid w:val="00375085"/>
    <w:rsid w:val="00375122"/>
    <w:rsid w:val="0037514C"/>
    <w:rsid w:val="003751BF"/>
    <w:rsid w:val="00375260"/>
    <w:rsid w:val="003752F7"/>
    <w:rsid w:val="003753CF"/>
    <w:rsid w:val="003753F1"/>
    <w:rsid w:val="00375480"/>
    <w:rsid w:val="00375572"/>
    <w:rsid w:val="00375652"/>
    <w:rsid w:val="0037567A"/>
    <w:rsid w:val="00375768"/>
    <w:rsid w:val="003757BF"/>
    <w:rsid w:val="003757D9"/>
    <w:rsid w:val="00375807"/>
    <w:rsid w:val="00375866"/>
    <w:rsid w:val="003758E7"/>
    <w:rsid w:val="003758F9"/>
    <w:rsid w:val="0037597D"/>
    <w:rsid w:val="003759F9"/>
    <w:rsid w:val="00375A6C"/>
    <w:rsid w:val="00375A7D"/>
    <w:rsid w:val="00375B2C"/>
    <w:rsid w:val="00375C55"/>
    <w:rsid w:val="00375C5B"/>
    <w:rsid w:val="00375D15"/>
    <w:rsid w:val="00375E7D"/>
    <w:rsid w:val="00375F14"/>
    <w:rsid w:val="00375F3B"/>
    <w:rsid w:val="00375FA4"/>
    <w:rsid w:val="00375FDA"/>
    <w:rsid w:val="00376048"/>
    <w:rsid w:val="00376102"/>
    <w:rsid w:val="0037612F"/>
    <w:rsid w:val="003761DC"/>
    <w:rsid w:val="00376302"/>
    <w:rsid w:val="003763A4"/>
    <w:rsid w:val="003763B7"/>
    <w:rsid w:val="003763FC"/>
    <w:rsid w:val="00376450"/>
    <w:rsid w:val="00376459"/>
    <w:rsid w:val="00376481"/>
    <w:rsid w:val="003765E0"/>
    <w:rsid w:val="00376707"/>
    <w:rsid w:val="00376718"/>
    <w:rsid w:val="0037671F"/>
    <w:rsid w:val="0037678D"/>
    <w:rsid w:val="003768A9"/>
    <w:rsid w:val="003768E6"/>
    <w:rsid w:val="0037695B"/>
    <w:rsid w:val="003769B6"/>
    <w:rsid w:val="003769C6"/>
    <w:rsid w:val="00376B14"/>
    <w:rsid w:val="00376B42"/>
    <w:rsid w:val="00376B56"/>
    <w:rsid w:val="00376B72"/>
    <w:rsid w:val="00376C72"/>
    <w:rsid w:val="00376C7A"/>
    <w:rsid w:val="00376D04"/>
    <w:rsid w:val="00376DE7"/>
    <w:rsid w:val="00376E26"/>
    <w:rsid w:val="00376EFE"/>
    <w:rsid w:val="00376F20"/>
    <w:rsid w:val="00376F27"/>
    <w:rsid w:val="00376F3F"/>
    <w:rsid w:val="00376F64"/>
    <w:rsid w:val="00376FA1"/>
    <w:rsid w:val="00376FF5"/>
    <w:rsid w:val="00377006"/>
    <w:rsid w:val="00377087"/>
    <w:rsid w:val="00377093"/>
    <w:rsid w:val="003770C0"/>
    <w:rsid w:val="003770C4"/>
    <w:rsid w:val="003770F0"/>
    <w:rsid w:val="00377162"/>
    <w:rsid w:val="0037717A"/>
    <w:rsid w:val="00377189"/>
    <w:rsid w:val="003771D3"/>
    <w:rsid w:val="003771EA"/>
    <w:rsid w:val="0037728B"/>
    <w:rsid w:val="003773B3"/>
    <w:rsid w:val="00377488"/>
    <w:rsid w:val="003774F5"/>
    <w:rsid w:val="00377511"/>
    <w:rsid w:val="00377538"/>
    <w:rsid w:val="00377554"/>
    <w:rsid w:val="003775E6"/>
    <w:rsid w:val="00377742"/>
    <w:rsid w:val="0037777E"/>
    <w:rsid w:val="0037782F"/>
    <w:rsid w:val="0037786F"/>
    <w:rsid w:val="003778E9"/>
    <w:rsid w:val="0037794D"/>
    <w:rsid w:val="00377959"/>
    <w:rsid w:val="0037795A"/>
    <w:rsid w:val="00377A4A"/>
    <w:rsid w:val="00377A4B"/>
    <w:rsid w:val="00377A7F"/>
    <w:rsid w:val="00377B02"/>
    <w:rsid w:val="00377B16"/>
    <w:rsid w:val="00377B20"/>
    <w:rsid w:val="00377B42"/>
    <w:rsid w:val="00377C17"/>
    <w:rsid w:val="00377C7B"/>
    <w:rsid w:val="00377CAD"/>
    <w:rsid w:val="00377CB9"/>
    <w:rsid w:val="00377D5B"/>
    <w:rsid w:val="00377D6A"/>
    <w:rsid w:val="00377D8E"/>
    <w:rsid w:val="00377DAD"/>
    <w:rsid w:val="00377DEE"/>
    <w:rsid w:val="00377E7F"/>
    <w:rsid w:val="00377EE3"/>
    <w:rsid w:val="00377F37"/>
    <w:rsid w:val="00377F61"/>
    <w:rsid w:val="00377F65"/>
    <w:rsid w:val="00377FE3"/>
    <w:rsid w:val="00380075"/>
    <w:rsid w:val="003800D8"/>
    <w:rsid w:val="00380118"/>
    <w:rsid w:val="0038011C"/>
    <w:rsid w:val="00380134"/>
    <w:rsid w:val="003801EB"/>
    <w:rsid w:val="0038028E"/>
    <w:rsid w:val="003802C0"/>
    <w:rsid w:val="0038036D"/>
    <w:rsid w:val="003803DD"/>
    <w:rsid w:val="003803FB"/>
    <w:rsid w:val="00380462"/>
    <w:rsid w:val="003804C6"/>
    <w:rsid w:val="003804E7"/>
    <w:rsid w:val="00380510"/>
    <w:rsid w:val="00380621"/>
    <w:rsid w:val="003806BF"/>
    <w:rsid w:val="003806E7"/>
    <w:rsid w:val="0038070D"/>
    <w:rsid w:val="003807A3"/>
    <w:rsid w:val="0038085C"/>
    <w:rsid w:val="003809DF"/>
    <w:rsid w:val="00380A76"/>
    <w:rsid w:val="00380B1B"/>
    <w:rsid w:val="00380B9A"/>
    <w:rsid w:val="00380C8A"/>
    <w:rsid w:val="00380C95"/>
    <w:rsid w:val="00380C9F"/>
    <w:rsid w:val="00380CCD"/>
    <w:rsid w:val="00380D19"/>
    <w:rsid w:val="00380D3F"/>
    <w:rsid w:val="00380DA3"/>
    <w:rsid w:val="00380DC3"/>
    <w:rsid w:val="00380DE2"/>
    <w:rsid w:val="00380EF8"/>
    <w:rsid w:val="00380F00"/>
    <w:rsid w:val="00380F19"/>
    <w:rsid w:val="00380F7F"/>
    <w:rsid w:val="00380FE9"/>
    <w:rsid w:val="0038102D"/>
    <w:rsid w:val="0038103E"/>
    <w:rsid w:val="0038111E"/>
    <w:rsid w:val="00381176"/>
    <w:rsid w:val="0038129C"/>
    <w:rsid w:val="003812AC"/>
    <w:rsid w:val="003812F1"/>
    <w:rsid w:val="00381379"/>
    <w:rsid w:val="00381398"/>
    <w:rsid w:val="00381498"/>
    <w:rsid w:val="00381503"/>
    <w:rsid w:val="003815F5"/>
    <w:rsid w:val="003815FD"/>
    <w:rsid w:val="0038164B"/>
    <w:rsid w:val="003816B0"/>
    <w:rsid w:val="00381700"/>
    <w:rsid w:val="00381768"/>
    <w:rsid w:val="00381793"/>
    <w:rsid w:val="00381800"/>
    <w:rsid w:val="00381821"/>
    <w:rsid w:val="00381840"/>
    <w:rsid w:val="00381854"/>
    <w:rsid w:val="00381897"/>
    <w:rsid w:val="003818EC"/>
    <w:rsid w:val="003818F9"/>
    <w:rsid w:val="00381975"/>
    <w:rsid w:val="003819CE"/>
    <w:rsid w:val="00381A31"/>
    <w:rsid w:val="00381A44"/>
    <w:rsid w:val="00381A97"/>
    <w:rsid w:val="00381C03"/>
    <w:rsid w:val="00381C5D"/>
    <w:rsid w:val="00381D3F"/>
    <w:rsid w:val="00381DA0"/>
    <w:rsid w:val="00381E42"/>
    <w:rsid w:val="00381E58"/>
    <w:rsid w:val="00381E9C"/>
    <w:rsid w:val="00381F86"/>
    <w:rsid w:val="00381F96"/>
    <w:rsid w:val="00382000"/>
    <w:rsid w:val="00382013"/>
    <w:rsid w:val="00382064"/>
    <w:rsid w:val="0038215B"/>
    <w:rsid w:val="0038218E"/>
    <w:rsid w:val="003821AC"/>
    <w:rsid w:val="00382229"/>
    <w:rsid w:val="00382244"/>
    <w:rsid w:val="0038228C"/>
    <w:rsid w:val="00382337"/>
    <w:rsid w:val="00382436"/>
    <w:rsid w:val="00382438"/>
    <w:rsid w:val="00382486"/>
    <w:rsid w:val="0038249D"/>
    <w:rsid w:val="003824B1"/>
    <w:rsid w:val="00382522"/>
    <w:rsid w:val="003825D8"/>
    <w:rsid w:val="00382615"/>
    <w:rsid w:val="00382628"/>
    <w:rsid w:val="003826E3"/>
    <w:rsid w:val="0038271C"/>
    <w:rsid w:val="0038272A"/>
    <w:rsid w:val="00382787"/>
    <w:rsid w:val="003827F2"/>
    <w:rsid w:val="00382926"/>
    <w:rsid w:val="00382971"/>
    <w:rsid w:val="00382982"/>
    <w:rsid w:val="0038298C"/>
    <w:rsid w:val="00382A2B"/>
    <w:rsid w:val="00382AD4"/>
    <w:rsid w:val="00382AE4"/>
    <w:rsid w:val="00382C06"/>
    <w:rsid w:val="00382C79"/>
    <w:rsid w:val="00382CC1"/>
    <w:rsid w:val="00382CEA"/>
    <w:rsid w:val="00382D42"/>
    <w:rsid w:val="00382D96"/>
    <w:rsid w:val="00382DC2"/>
    <w:rsid w:val="00382DCC"/>
    <w:rsid w:val="00382F8A"/>
    <w:rsid w:val="00382F97"/>
    <w:rsid w:val="00383071"/>
    <w:rsid w:val="0038313B"/>
    <w:rsid w:val="00383199"/>
    <w:rsid w:val="003831D5"/>
    <w:rsid w:val="00383239"/>
    <w:rsid w:val="00383246"/>
    <w:rsid w:val="003832C2"/>
    <w:rsid w:val="003832DF"/>
    <w:rsid w:val="003832FF"/>
    <w:rsid w:val="0038330B"/>
    <w:rsid w:val="00383354"/>
    <w:rsid w:val="00383355"/>
    <w:rsid w:val="0038337D"/>
    <w:rsid w:val="003833A1"/>
    <w:rsid w:val="003833AF"/>
    <w:rsid w:val="003834E6"/>
    <w:rsid w:val="00383523"/>
    <w:rsid w:val="0038352E"/>
    <w:rsid w:val="00383548"/>
    <w:rsid w:val="0038356D"/>
    <w:rsid w:val="00383607"/>
    <w:rsid w:val="00383626"/>
    <w:rsid w:val="00383691"/>
    <w:rsid w:val="0038369B"/>
    <w:rsid w:val="003836F5"/>
    <w:rsid w:val="00383740"/>
    <w:rsid w:val="0038379A"/>
    <w:rsid w:val="00383854"/>
    <w:rsid w:val="003838B6"/>
    <w:rsid w:val="003839F9"/>
    <w:rsid w:val="00383AA6"/>
    <w:rsid w:val="00383AB1"/>
    <w:rsid w:val="00383B1D"/>
    <w:rsid w:val="00383B3B"/>
    <w:rsid w:val="00383C43"/>
    <w:rsid w:val="00383C4F"/>
    <w:rsid w:val="00383CED"/>
    <w:rsid w:val="00383D01"/>
    <w:rsid w:val="00383DE4"/>
    <w:rsid w:val="00383DEE"/>
    <w:rsid w:val="00383E10"/>
    <w:rsid w:val="00383F33"/>
    <w:rsid w:val="00383F60"/>
    <w:rsid w:val="00383FE8"/>
    <w:rsid w:val="00384020"/>
    <w:rsid w:val="00384038"/>
    <w:rsid w:val="00384269"/>
    <w:rsid w:val="003842B5"/>
    <w:rsid w:val="003842C5"/>
    <w:rsid w:val="003842EF"/>
    <w:rsid w:val="00384341"/>
    <w:rsid w:val="0038434F"/>
    <w:rsid w:val="00384373"/>
    <w:rsid w:val="003843A1"/>
    <w:rsid w:val="0038445B"/>
    <w:rsid w:val="00384471"/>
    <w:rsid w:val="0038448D"/>
    <w:rsid w:val="0038448F"/>
    <w:rsid w:val="003845BF"/>
    <w:rsid w:val="003845FB"/>
    <w:rsid w:val="00384605"/>
    <w:rsid w:val="00384638"/>
    <w:rsid w:val="003846AF"/>
    <w:rsid w:val="00384790"/>
    <w:rsid w:val="00384810"/>
    <w:rsid w:val="00384811"/>
    <w:rsid w:val="00384813"/>
    <w:rsid w:val="00384828"/>
    <w:rsid w:val="00384852"/>
    <w:rsid w:val="00384873"/>
    <w:rsid w:val="003848C3"/>
    <w:rsid w:val="0038490E"/>
    <w:rsid w:val="00384918"/>
    <w:rsid w:val="00384948"/>
    <w:rsid w:val="00384A11"/>
    <w:rsid w:val="00384A59"/>
    <w:rsid w:val="00384A6F"/>
    <w:rsid w:val="00384AC5"/>
    <w:rsid w:val="00384B87"/>
    <w:rsid w:val="00384C57"/>
    <w:rsid w:val="00384C64"/>
    <w:rsid w:val="00384D02"/>
    <w:rsid w:val="00384D26"/>
    <w:rsid w:val="00384E78"/>
    <w:rsid w:val="00384EBA"/>
    <w:rsid w:val="00384ED9"/>
    <w:rsid w:val="00384F13"/>
    <w:rsid w:val="00384F85"/>
    <w:rsid w:val="00384F8A"/>
    <w:rsid w:val="00384FB1"/>
    <w:rsid w:val="00385065"/>
    <w:rsid w:val="0038515F"/>
    <w:rsid w:val="00385185"/>
    <w:rsid w:val="003851A5"/>
    <w:rsid w:val="003852EC"/>
    <w:rsid w:val="00385311"/>
    <w:rsid w:val="003853CB"/>
    <w:rsid w:val="0038541B"/>
    <w:rsid w:val="0038543E"/>
    <w:rsid w:val="00385446"/>
    <w:rsid w:val="003854CD"/>
    <w:rsid w:val="0038553A"/>
    <w:rsid w:val="00385630"/>
    <w:rsid w:val="0038563D"/>
    <w:rsid w:val="00385645"/>
    <w:rsid w:val="003856AA"/>
    <w:rsid w:val="00385720"/>
    <w:rsid w:val="00385885"/>
    <w:rsid w:val="003858A9"/>
    <w:rsid w:val="003858D9"/>
    <w:rsid w:val="0038591B"/>
    <w:rsid w:val="00385954"/>
    <w:rsid w:val="003859A6"/>
    <w:rsid w:val="003859F2"/>
    <w:rsid w:val="003859FA"/>
    <w:rsid w:val="00385B43"/>
    <w:rsid w:val="00385B4F"/>
    <w:rsid w:val="00385BEE"/>
    <w:rsid w:val="00385CCA"/>
    <w:rsid w:val="00385DBA"/>
    <w:rsid w:val="00385E97"/>
    <w:rsid w:val="00385EFB"/>
    <w:rsid w:val="00385F4C"/>
    <w:rsid w:val="003860BA"/>
    <w:rsid w:val="003860DC"/>
    <w:rsid w:val="00386107"/>
    <w:rsid w:val="0038612C"/>
    <w:rsid w:val="003861E9"/>
    <w:rsid w:val="0038626D"/>
    <w:rsid w:val="003862EC"/>
    <w:rsid w:val="0038631F"/>
    <w:rsid w:val="00386353"/>
    <w:rsid w:val="00386449"/>
    <w:rsid w:val="0038645B"/>
    <w:rsid w:val="003864AA"/>
    <w:rsid w:val="003864C2"/>
    <w:rsid w:val="003864D0"/>
    <w:rsid w:val="00386581"/>
    <w:rsid w:val="0038658A"/>
    <w:rsid w:val="003865B0"/>
    <w:rsid w:val="0038661C"/>
    <w:rsid w:val="00386686"/>
    <w:rsid w:val="003866BB"/>
    <w:rsid w:val="003866D5"/>
    <w:rsid w:val="00386712"/>
    <w:rsid w:val="00386758"/>
    <w:rsid w:val="0038677F"/>
    <w:rsid w:val="0038679C"/>
    <w:rsid w:val="003867B3"/>
    <w:rsid w:val="003867B6"/>
    <w:rsid w:val="003868B0"/>
    <w:rsid w:val="00386906"/>
    <w:rsid w:val="00386911"/>
    <w:rsid w:val="0038691C"/>
    <w:rsid w:val="00386995"/>
    <w:rsid w:val="00386A98"/>
    <w:rsid w:val="00386A99"/>
    <w:rsid w:val="00386AAE"/>
    <w:rsid w:val="00386AE0"/>
    <w:rsid w:val="00386AE9"/>
    <w:rsid w:val="00386B01"/>
    <w:rsid w:val="00386C1D"/>
    <w:rsid w:val="00386CA9"/>
    <w:rsid w:val="00386DC8"/>
    <w:rsid w:val="00386E00"/>
    <w:rsid w:val="00386E52"/>
    <w:rsid w:val="00386EC0"/>
    <w:rsid w:val="00386EF7"/>
    <w:rsid w:val="00386F14"/>
    <w:rsid w:val="00386FB9"/>
    <w:rsid w:val="0038700C"/>
    <w:rsid w:val="003870B8"/>
    <w:rsid w:val="00387173"/>
    <w:rsid w:val="003871F8"/>
    <w:rsid w:val="003872B8"/>
    <w:rsid w:val="003872F7"/>
    <w:rsid w:val="0038735C"/>
    <w:rsid w:val="00387374"/>
    <w:rsid w:val="0038737C"/>
    <w:rsid w:val="00387380"/>
    <w:rsid w:val="003873BA"/>
    <w:rsid w:val="00387419"/>
    <w:rsid w:val="00387422"/>
    <w:rsid w:val="003874CB"/>
    <w:rsid w:val="00387537"/>
    <w:rsid w:val="00387562"/>
    <w:rsid w:val="00387564"/>
    <w:rsid w:val="0038756B"/>
    <w:rsid w:val="00387575"/>
    <w:rsid w:val="00387576"/>
    <w:rsid w:val="003876C5"/>
    <w:rsid w:val="00387720"/>
    <w:rsid w:val="0038772B"/>
    <w:rsid w:val="00387750"/>
    <w:rsid w:val="003877CA"/>
    <w:rsid w:val="0038787C"/>
    <w:rsid w:val="00387921"/>
    <w:rsid w:val="00387930"/>
    <w:rsid w:val="00387985"/>
    <w:rsid w:val="0038799C"/>
    <w:rsid w:val="003879D5"/>
    <w:rsid w:val="003879F2"/>
    <w:rsid w:val="003879F7"/>
    <w:rsid w:val="00387A79"/>
    <w:rsid w:val="00387B06"/>
    <w:rsid w:val="00387B5B"/>
    <w:rsid w:val="00387D28"/>
    <w:rsid w:val="00387D61"/>
    <w:rsid w:val="00387DA7"/>
    <w:rsid w:val="00387DF7"/>
    <w:rsid w:val="00387ED1"/>
    <w:rsid w:val="00387ED8"/>
    <w:rsid w:val="00387EFD"/>
    <w:rsid w:val="00387F14"/>
    <w:rsid w:val="00387F1A"/>
    <w:rsid w:val="00387F4A"/>
    <w:rsid w:val="003900A5"/>
    <w:rsid w:val="0039013E"/>
    <w:rsid w:val="00390148"/>
    <w:rsid w:val="0039016E"/>
    <w:rsid w:val="00390238"/>
    <w:rsid w:val="00390256"/>
    <w:rsid w:val="0039026E"/>
    <w:rsid w:val="003902DF"/>
    <w:rsid w:val="003902F1"/>
    <w:rsid w:val="0039036F"/>
    <w:rsid w:val="003903AE"/>
    <w:rsid w:val="003905A7"/>
    <w:rsid w:val="003905B4"/>
    <w:rsid w:val="003905B6"/>
    <w:rsid w:val="003905BD"/>
    <w:rsid w:val="003906AF"/>
    <w:rsid w:val="003906BF"/>
    <w:rsid w:val="003908BB"/>
    <w:rsid w:val="0039090E"/>
    <w:rsid w:val="00390987"/>
    <w:rsid w:val="00390989"/>
    <w:rsid w:val="003909C2"/>
    <w:rsid w:val="003909EE"/>
    <w:rsid w:val="00390BDF"/>
    <w:rsid w:val="00390BFE"/>
    <w:rsid w:val="00390C18"/>
    <w:rsid w:val="00390C1B"/>
    <w:rsid w:val="00390C37"/>
    <w:rsid w:val="00390C58"/>
    <w:rsid w:val="00390C7A"/>
    <w:rsid w:val="00390DB4"/>
    <w:rsid w:val="00390DE0"/>
    <w:rsid w:val="00390DEC"/>
    <w:rsid w:val="00390E52"/>
    <w:rsid w:val="00390E7D"/>
    <w:rsid w:val="00390E85"/>
    <w:rsid w:val="00390ED8"/>
    <w:rsid w:val="00390F39"/>
    <w:rsid w:val="00390F7E"/>
    <w:rsid w:val="00390F8E"/>
    <w:rsid w:val="00390FD9"/>
    <w:rsid w:val="0039100A"/>
    <w:rsid w:val="0039108E"/>
    <w:rsid w:val="0039109E"/>
    <w:rsid w:val="003910B0"/>
    <w:rsid w:val="003910B8"/>
    <w:rsid w:val="00391187"/>
    <w:rsid w:val="003911D8"/>
    <w:rsid w:val="003911F0"/>
    <w:rsid w:val="0039120B"/>
    <w:rsid w:val="00391319"/>
    <w:rsid w:val="003913F7"/>
    <w:rsid w:val="00391566"/>
    <w:rsid w:val="003915AA"/>
    <w:rsid w:val="00391617"/>
    <w:rsid w:val="003916DE"/>
    <w:rsid w:val="003916ED"/>
    <w:rsid w:val="0039175F"/>
    <w:rsid w:val="00391793"/>
    <w:rsid w:val="003917CE"/>
    <w:rsid w:val="003917DB"/>
    <w:rsid w:val="0039183A"/>
    <w:rsid w:val="003918FB"/>
    <w:rsid w:val="00391998"/>
    <w:rsid w:val="00391AE4"/>
    <w:rsid w:val="00391B05"/>
    <w:rsid w:val="00391B1C"/>
    <w:rsid w:val="00391BF5"/>
    <w:rsid w:val="00391BFF"/>
    <w:rsid w:val="00391C10"/>
    <w:rsid w:val="00391CDB"/>
    <w:rsid w:val="00391D09"/>
    <w:rsid w:val="00391D94"/>
    <w:rsid w:val="00391E20"/>
    <w:rsid w:val="00391E42"/>
    <w:rsid w:val="00391F33"/>
    <w:rsid w:val="00391FCE"/>
    <w:rsid w:val="00391FF7"/>
    <w:rsid w:val="00392030"/>
    <w:rsid w:val="003920D9"/>
    <w:rsid w:val="00392193"/>
    <w:rsid w:val="003921DD"/>
    <w:rsid w:val="003921F3"/>
    <w:rsid w:val="00392347"/>
    <w:rsid w:val="00392348"/>
    <w:rsid w:val="003923F7"/>
    <w:rsid w:val="00392493"/>
    <w:rsid w:val="00392524"/>
    <w:rsid w:val="00392526"/>
    <w:rsid w:val="00392612"/>
    <w:rsid w:val="0039263C"/>
    <w:rsid w:val="00392751"/>
    <w:rsid w:val="00392753"/>
    <w:rsid w:val="00392781"/>
    <w:rsid w:val="003927FC"/>
    <w:rsid w:val="00392814"/>
    <w:rsid w:val="00392875"/>
    <w:rsid w:val="003928C4"/>
    <w:rsid w:val="0039292E"/>
    <w:rsid w:val="003929B7"/>
    <w:rsid w:val="003929CD"/>
    <w:rsid w:val="00392A20"/>
    <w:rsid w:val="00392A73"/>
    <w:rsid w:val="00392A75"/>
    <w:rsid w:val="00392B06"/>
    <w:rsid w:val="00392B07"/>
    <w:rsid w:val="00392B2E"/>
    <w:rsid w:val="00392BCD"/>
    <w:rsid w:val="00392C7B"/>
    <w:rsid w:val="00392CEA"/>
    <w:rsid w:val="00392D0E"/>
    <w:rsid w:val="00392D49"/>
    <w:rsid w:val="00392D7A"/>
    <w:rsid w:val="00392D91"/>
    <w:rsid w:val="00392E19"/>
    <w:rsid w:val="00392E36"/>
    <w:rsid w:val="00392E4E"/>
    <w:rsid w:val="00392E6F"/>
    <w:rsid w:val="00392EDA"/>
    <w:rsid w:val="00392F13"/>
    <w:rsid w:val="00392F87"/>
    <w:rsid w:val="00392F91"/>
    <w:rsid w:val="00392FD7"/>
    <w:rsid w:val="00393152"/>
    <w:rsid w:val="0039318F"/>
    <w:rsid w:val="003931EB"/>
    <w:rsid w:val="00393303"/>
    <w:rsid w:val="00393304"/>
    <w:rsid w:val="003933C2"/>
    <w:rsid w:val="0039347E"/>
    <w:rsid w:val="00393512"/>
    <w:rsid w:val="00393571"/>
    <w:rsid w:val="0039358D"/>
    <w:rsid w:val="00393637"/>
    <w:rsid w:val="00393644"/>
    <w:rsid w:val="00393803"/>
    <w:rsid w:val="00393915"/>
    <w:rsid w:val="00393AC2"/>
    <w:rsid w:val="00393ACC"/>
    <w:rsid w:val="00393B10"/>
    <w:rsid w:val="00393B2F"/>
    <w:rsid w:val="00393BD5"/>
    <w:rsid w:val="00393BF2"/>
    <w:rsid w:val="00393CBD"/>
    <w:rsid w:val="00393D0C"/>
    <w:rsid w:val="00393D38"/>
    <w:rsid w:val="00393DB2"/>
    <w:rsid w:val="00393DD6"/>
    <w:rsid w:val="00393E8F"/>
    <w:rsid w:val="00393E9D"/>
    <w:rsid w:val="00393F50"/>
    <w:rsid w:val="00393FDA"/>
    <w:rsid w:val="003940BF"/>
    <w:rsid w:val="003940CF"/>
    <w:rsid w:val="003940D0"/>
    <w:rsid w:val="003940F3"/>
    <w:rsid w:val="003940F6"/>
    <w:rsid w:val="003940FA"/>
    <w:rsid w:val="0039413F"/>
    <w:rsid w:val="00394153"/>
    <w:rsid w:val="00394157"/>
    <w:rsid w:val="00394224"/>
    <w:rsid w:val="0039422B"/>
    <w:rsid w:val="0039422F"/>
    <w:rsid w:val="00394235"/>
    <w:rsid w:val="00394236"/>
    <w:rsid w:val="003943C4"/>
    <w:rsid w:val="003943EF"/>
    <w:rsid w:val="0039441F"/>
    <w:rsid w:val="00394464"/>
    <w:rsid w:val="00394512"/>
    <w:rsid w:val="00394524"/>
    <w:rsid w:val="00394553"/>
    <w:rsid w:val="00394573"/>
    <w:rsid w:val="003945E0"/>
    <w:rsid w:val="00394610"/>
    <w:rsid w:val="00394621"/>
    <w:rsid w:val="003946E0"/>
    <w:rsid w:val="00394708"/>
    <w:rsid w:val="0039470C"/>
    <w:rsid w:val="0039477B"/>
    <w:rsid w:val="00394820"/>
    <w:rsid w:val="00394975"/>
    <w:rsid w:val="003949E1"/>
    <w:rsid w:val="00394A0E"/>
    <w:rsid w:val="00394A1A"/>
    <w:rsid w:val="00394A40"/>
    <w:rsid w:val="00394A54"/>
    <w:rsid w:val="00394B44"/>
    <w:rsid w:val="00394BB4"/>
    <w:rsid w:val="00394BCE"/>
    <w:rsid w:val="00394BFF"/>
    <w:rsid w:val="00394C0B"/>
    <w:rsid w:val="00394C32"/>
    <w:rsid w:val="00394C96"/>
    <w:rsid w:val="00394D87"/>
    <w:rsid w:val="00394D91"/>
    <w:rsid w:val="00394D95"/>
    <w:rsid w:val="00394DDE"/>
    <w:rsid w:val="00394E4E"/>
    <w:rsid w:val="00394F44"/>
    <w:rsid w:val="00394F8A"/>
    <w:rsid w:val="00394FFB"/>
    <w:rsid w:val="00395004"/>
    <w:rsid w:val="00395067"/>
    <w:rsid w:val="003950AD"/>
    <w:rsid w:val="003951C4"/>
    <w:rsid w:val="003951E3"/>
    <w:rsid w:val="0039529E"/>
    <w:rsid w:val="003952E0"/>
    <w:rsid w:val="0039534B"/>
    <w:rsid w:val="0039534E"/>
    <w:rsid w:val="003953A9"/>
    <w:rsid w:val="003953D0"/>
    <w:rsid w:val="003954FB"/>
    <w:rsid w:val="003954FF"/>
    <w:rsid w:val="00395514"/>
    <w:rsid w:val="003955A1"/>
    <w:rsid w:val="003955AF"/>
    <w:rsid w:val="00395623"/>
    <w:rsid w:val="00395722"/>
    <w:rsid w:val="00395755"/>
    <w:rsid w:val="00395824"/>
    <w:rsid w:val="003958F8"/>
    <w:rsid w:val="0039592F"/>
    <w:rsid w:val="003959CB"/>
    <w:rsid w:val="003959EA"/>
    <w:rsid w:val="00395A0C"/>
    <w:rsid w:val="00395A50"/>
    <w:rsid w:val="00395A89"/>
    <w:rsid w:val="00395AA4"/>
    <w:rsid w:val="00395AAA"/>
    <w:rsid w:val="00395B22"/>
    <w:rsid w:val="00395B5A"/>
    <w:rsid w:val="00395B85"/>
    <w:rsid w:val="00395BC5"/>
    <w:rsid w:val="00395C61"/>
    <w:rsid w:val="00395CA5"/>
    <w:rsid w:val="00395D89"/>
    <w:rsid w:val="00395E15"/>
    <w:rsid w:val="00395E1B"/>
    <w:rsid w:val="00395E97"/>
    <w:rsid w:val="00395F26"/>
    <w:rsid w:val="00395F7C"/>
    <w:rsid w:val="00395F84"/>
    <w:rsid w:val="00395FD9"/>
    <w:rsid w:val="0039606F"/>
    <w:rsid w:val="0039609A"/>
    <w:rsid w:val="003960B3"/>
    <w:rsid w:val="003960D9"/>
    <w:rsid w:val="003960E2"/>
    <w:rsid w:val="003960F8"/>
    <w:rsid w:val="0039615B"/>
    <w:rsid w:val="00396219"/>
    <w:rsid w:val="00396228"/>
    <w:rsid w:val="00396230"/>
    <w:rsid w:val="003962AC"/>
    <w:rsid w:val="003962C2"/>
    <w:rsid w:val="003962F3"/>
    <w:rsid w:val="0039631C"/>
    <w:rsid w:val="003963BA"/>
    <w:rsid w:val="00396424"/>
    <w:rsid w:val="003964BC"/>
    <w:rsid w:val="003964BF"/>
    <w:rsid w:val="003964C8"/>
    <w:rsid w:val="003964D2"/>
    <w:rsid w:val="003964FC"/>
    <w:rsid w:val="0039654E"/>
    <w:rsid w:val="0039672A"/>
    <w:rsid w:val="0039675A"/>
    <w:rsid w:val="003967AD"/>
    <w:rsid w:val="003967BE"/>
    <w:rsid w:val="003967C1"/>
    <w:rsid w:val="00396802"/>
    <w:rsid w:val="0039680C"/>
    <w:rsid w:val="00396881"/>
    <w:rsid w:val="0039688B"/>
    <w:rsid w:val="003968BF"/>
    <w:rsid w:val="003968C5"/>
    <w:rsid w:val="003968ED"/>
    <w:rsid w:val="00396A6A"/>
    <w:rsid w:val="00396A74"/>
    <w:rsid w:val="00396B05"/>
    <w:rsid w:val="00396B06"/>
    <w:rsid w:val="00396BCF"/>
    <w:rsid w:val="00396C5E"/>
    <w:rsid w:val="00396D34"/>
    <w:rsid w:val="00396D69"/>
    <w:rsid w:val="00396D7E"/>
    <w:rsid w:val="00396DE2"/>
    <w:rsid w:val="00396E59"/>
    <w:rsid w:val="00396F06"/>
    <w:rsid w:val="00396F1B"/>
    <w:rsid w:val="00396FF1"/>
    <w:rsid w:val="0039708A"/>
    <w:rsid w:val="00397091"/>
    <w:rsid w:val="0039710D"/>
    <w:rsid w:val="00397208"/>
    <w:rsid w:val="0039727B"/>
    <w:rsid w:val="0039728A"/>
    <w:rsid w:val="003972DC"/>
    <w:rsid w:val="003972F6"/>
    <w:rsid w:val="003973BB"/>
    <w:rsid w:val="00397419"/>
    <w:rsid w:val="00397442"/>
    <w:rsid w:val="003974E8"/>
    <w:rsid w:val="0039757F"/>
    <w:rsid w:val="00397640"/>
    <w:rsid w:val="0039764E"/>
    <w:rsid w:val="00397686"/>
    <w:rsid w:val="003976A5"/>
    <w:rsid w:val="003976FA"/>
    <w:rsid w:val="00397739"/>
    <w:rsid w:val="00397743"/>
    <w:rsid w:val="00397787"/>
    <w:rsid w:val="003977A8"/>
    <w:rsid w:val="003977DB"/>
    <w:rsid w:val="0039785B"/>
    <w:rsid w:val="00397887"/>
    <w:rsid w:val="0039791E"/>
    <w:rsid w:val="00397923"/>
    <w:rsid w:val="0039798D"/>
    <w:rsid w:val="003979BC"/>
    <w:rsid w:val="00397AB7"/>
    <w:rsid w:val="00397AD4"/>
    <w:rsid w:val="00397AED"/>
    <w:rsid w:val="00397B5D"/>
    <w:rsid w:val="00397B76"/>
    <w:rsid w:val="00397BB4"/>
    <w:rsid w:val="00397C2E"/>
    <w:rsid w:val="00397CB5"/>
    <w:rsid w:val="00397CEC"/>
    <w:rsid w:val="00397E1A"/>
    <w:rsid w:val="00397E52"/>
    <w:rsid w:val="00397EC3"/>
    <w:rsid w:val="00397EF1"/>
    <w:rsid w:val="00397F7C"/>
    <w:rsid w:val="00397FCC"/>
    <w:rsid w:val="003A0120"/>
    <w:rsid w:val="003A012D"/>
    <w:rsid w:val="003A019B"/>
    <w:rsid w:val="003A01F7"/>
    <w:rsid w:val="003A0202"/>
    <w:rsid w:val="003A0263"/>
    <w:rsid w:val="003A0284"/>
    <w:rsid w:val="003A039F"/>
    <w:rsid w:val="003A0482"/>
    <w:rsid w:val="003A05F7"/>
    <w:rsid w:val="003A060A"/>
    <w:rsid w:val="003A068F"/>
    <w:rsid w:val="003A0730"/>
    <w:rsid w:val="003A0740"/>
    <w:rsid w:val="003A08E6"/>
    <w:rsid w:val="003A0A94"/>
    <w:rsid w:val="003A0AD5"/>
    <w:rsid w:val="003A0AD9"/>
    <w:rsid w:val="003A0D1E"/>
    <w:rsid w:val="003A0DA8"/>
    <w:rsid w:val="003A0DE1"/>
    <w:rsid w:val="003A0E0F"/>
    <w:rsid w:val="003A0E64"/>
    <w:rsid w:val="003A0E91"/>
    <w:rsid w:val="003A0EAE"/>
    <w:rsid w:val="003A100F"/>
    <w:rsid w:val="003A1020"/>
    <w:rsid w:val="003A1055"/>
    <w:rsid w:val="003A1117"/>
    <w:rsid w:val="003A113F"/>
    <w:rsid w:val="003A119D"/>
    <w:rsid w:val="003A11E9"/>
    <w:rsid w:val="003A12CE"/>
    <w:rsid w:val="003A12DC"/>
    <w:rsid w:val="003A135D"/>
    <w:rsid w:val="003A14D1"/>
    <w:rsid w:val="003A1599"/>
    <w:rsid w:val="003A15A7"/>
    <w:rsid w:val="003A15E1"/>
    <w:rsid w:val="003A15FC"/>
    <w:rsid w:val="003A1662"/>
    <w:rsid w:val="003A1685"/>
    <w:rsid w:val="003A169D"/>
    <w:rsid w:val="003A176B"/>
    <w:rsid w:val="003A183F"/>
    <w:rsid w:val="003A1857"/>
    <w:rsid w:val="003A188E"/>
    <w:rsid w:val="003A194E"/>
    <w:rsid w:val="003A1961"/>
    <w:rsid w:val="003A1987"/>
    <w:rsid w:val="003A1A48"/>
    <w:rsid w:val="003A1A87"/>
    <w:rsid w:val="003A1AEC"/>
    <w:rsid w:val="003A1B11"/>
    <w:rsid w:val="003A1BAD"/>
    <w:rsid w:val="003A1BD0"/>
    <w:rsid w:val="003A1C64"/>
    <w:rsid w:val="003A1CF6"/>
    <w:rsid w:val="003A1D18"/>
    <w:rsid w:val="003A1D71"/>
    <w:rsid w:val="003A1D93"/>
    <w:rsid w:val="003A1E13"/>
    <w:rsid w:val="003A1E30"/>
    <w:rsid w:val="003A1EE3"/>
    <w:rsid w:val="003A1F0A"/>
    <w:rsid w:val="003A1F24"/>
    <w:rsid w:val="003A1F5E"/>
    <w:rsid w:val="003A1F96"/>
    <w:rsid w:val="003A1FB1"/>
    <w:rsid w:val="003A206C"/>
    <w:rsid w:val="003A2079"/>
    <w:rsid w:val="003A20B5"/>
    <w:rsid w:val="003A20BD"/>
    <w:rsid w:val="003A20C7"/>
    <w:rsid w:val="003A20D2"/>
    <w:rsid w:val="003A20F2"/>
    <w:rsid w:val="003A2155"/>
    <w:rsid w:val="003A2156"/>
    <w:rsid w:val="003A2205"/>
    <w:rsid w:val="003A227B"/>
    <w:rsid w:val="003A2365"/>
    <w:rsid w:val="003A239C"/>
    <w:rsid w:val="003A23AC"/>
    <w:rsid w:val="003A23BA"/>
    <w:rsid w:val="003A23C4"/>
    <w:rsid w:val="003A249D"/>
    <w:rsid w:val="003A24C4"/>
    <w:rsid w:val="003A24DC"/>
    <w:rsid w:val="003A2562"/>
    <w:rsid w:val="003A2578"/>
    <w:rsid w:val="003A257F"/>
    <w:rsid w:val="003A2604"/>
    <w:rsid w:val="003A260D"/>
    <w:rsid w:val="003A266B"/>
    <w:rsid w:val="003A2695"/>
    <w:rsid w:val="003A26D9"/>
    <w:rsid w:val="003A286A"/>
    <w:rsid w:val="003A294E"/>
    <w:rsid w:val="003A294F"/>
    <w:rsid w:val="003A2964"/>
    <w:rsid w:val="003A2A85"/>
    <w:rsid w:val="003A2A99"/>
    <w:rsid w:val="003A2AAD"/>
    <w:rsid w:val="003A2BE7"/>
    <w:rsid w:val="003A2C92"/>
    <w:rsid w:val="003A2D5E"/>
    <w:rsid w:val="003A2D9C"/>
    <w:rsid w:val="003A2F1F"/>
    <w:rsid w:val="003A2F2E"/>
    <w:rsid w:val="003A2F93"/>
    <w:rsid w:val="003A30CF"/>
    <w:rsid w:val="003A3124"/>
    <w:rsid w:val="003A313D"/>
    <w:rsid w:val="003A316E"/>
    <w:rsid w:val="003A31AD"/>
    <w:rsid w:val="003A31B6"/>
    <w:rsid w:val="003A32E1"/>
    <w:rsid w:val="003A3334"/>
    <w:rsid w:val="003A33C4"/>
    <w:rsid w:val="003A33DC"/>
    <w:rsid w:val="003A344C"/>
    <w:rsid w:val="003A346F"/>
    <w:rsid w:val="003A34FF"/>
    <w:rsid w:val="003A350E"/>
    <w:rsid w:val="003A3524"/>
    <w:rsid w:val="003A35A7"/>
    <w:rsid w:val="003A35C0"/>
    <w:rsid w:val="003A35EA"/>
    <w:rsid w:val="003A3691"/>
    <w:rsid w:val="003A3714"/>
    <w:rsid w:val="003A382B"/>
    <w:rsid w:val="003A390C"/>
    <w:rsid w:val="003A392D"/>
    <w:rsid w:val="003A395D"/>
    <w:rsid w:val="003A39E6"/>
    <w:rsid w:val="003A3A62"/>
    <w:rsid w:val="003A3A6E"/>
    <w:rsid w:val="003A3A70"/>
    <w:rsid w:val="003A3AA1"/>
    <w:rsid w:val="003A3C44"/>
    <w:rsid w:val="003A3C6A"/>
    <w:rsid w:val="003A3C70"/>
    <w:rsid w:val="003A3C90"/>
    <w:rsid w:val="003A3C9E"/>
    <w:rsid w:val="003A3E0B"/>
    <w:rsid w:val="003A3EAC"/>
    <w:rsid w:val="003A3F0B"/>
    <w:rsid w:val="003A3F62"/>
    <w:rsid w:val="003A3F81"/>
    <w:rsid w:val="003A401E"/>
    <w:rsid w:val="003A4032"/>
    <w:rsid w:val="003A404B"/>
    <w:rsid w:val="003A40C4"/>
    <w:rsid w:val="003A4123"/>
    <w:rsid w:val="003A4189"/>
    <w:rsid w:val="003A4231"/>
    <w:rsid w:val="003A4255"/>
    <w:rsid w:val="003A4258"/>
    <w:rsid w:val="003A4329"/>
    <w:rsid w:val="003A4332"/>
    <w:rsid w:val="003A436F"/>
    <w:rsid w:val="003A43F9"/>
    <w:rsid w:val="003A445B"/>
    <w:rsid w:val="003A4473"/>
    <w:rsid w:val="003A4477"/>
    <w:rsid w:val="003A44C0"/>
    <w:rsid w:val="003A44F3"/>
    <w:rsid w:val="003A4512"/>
    <w:rsid w:val="003A4551"/>
    <w:rsid w:val="003A462F"/>
    <w:rsid w:val="003A4686"/>
    <w:rsid w:val="003A475E"/>
    <w:rsid w:val="003A484A"/>
    <w:rsid w:val="003A4893"/>
    <w:rsid w:val="003A48D9"/>
    <w:rsid w:val="003A4903"/>
    <w:rsid w:val="003A4975"/>
    <w:rsid w:val="003A4B7C"/>
    <w:rsid w:val="003A4B85"/>
    <w:rsid w:val="003A4C04"/>
    <w:rsid w:val="003A4C73"/>
    <w:rsid w:val="003A4C82"/>
    <w:rsid w:val="003A4CE2"/>
    <w:rsid w:val="003A4CF9"/>
    <w:rsid w:val="003A4D7D"/>
    <w:rsid w:val="003A4DA5"/>
    <w:rsid w:val="003A4DE9"/>
    <w:rsid w:val="003A4E4D"/>
    <w:rsid w:val="003A4E86"/>
    <w:rsid w:val="003A4E9B"/>
    <w:rsid w:val="003A5003"/>
    <w:rsid w:val="003A508A"/>
    <w:rsid w:val="003A5090"/>
    <w:rsid w:val="003A5122"/>
    <w:rsid w:val="003A51F8"/>
    <w:rsid w:val="003A524C"/>
    <w:rsid w:val="003A532F"/>
    <w:rsid w:val="003A5352"/>
    <w:rsid w:val="003A53FE"/>
    <w:rsid w:val="003A550A"/>
    <w:rsid w:val="003A5515"/>
    <w:rsid w:val="003A5536"/>
    <w:rsid w:val="003A555D"/>
    <w:rsid w:val="003A5635"/>
    <w:rsid w:val="003A5669"/>
    <w:rsid w:val="003A5691"/>
    <w:rsid w:val="003A56FD"/>
    <w:rsid w:val="003A5711"/>
    <w:rsid w:val="003A5784"/>
    <w:rsid w:val="003A5796"/>
    <w:rsid w:val="003A580E"/>
    <w:rsid w:val="003A5835"/>
    <w:rsid w:val="003A5843"/>
    <w:rsid w:val="003A5845"/>
    <w:rsid w:val="003A5847"/>
    <w:rsid w:val="003A5942"/>
    <w:rsid w:val="003A59A1"/>
    <w:rsid w:val="003A59AE"/>
    <w:rsid w:val="003A5A27"/>
    <w:rsid w:val="003A5BF9"/>
    <w:rsid w:val="003A5BFB"/>
    <w:rsid w:val="003A5C0D"/>
    <w:rsid w:val="003A5CA0"/>
    <w:rsid w:val="003A5CF3"/>
    <w:rsid w:val="003A5D32"/>
    <w:rsid w:val="003A5D57"/>
    <w:rsid w:val="003A5DBB"/>
    <w:rsid w:val="003A5DE4"/>
    <w:rsid w:val="003A5E04"/>
    <w:rsid w:val="003A5E1B"/>
    <w:rsid w:val="003A5F41"/>
    <w:rsid w:val="003A5F85"/>
    <w:rsid w:val="003A5FEC"/>
    <w:rsid w:val="003A6065"/>
    <w:rsid w:val="003A609E"/>
    <w:rsid w:val="003A6131"/>
    <w:rsid w:val="003A616F"/>
    <w:rsid w:val="003A6177"/>
    <w:rsid w:val="003A6284"/>
    <w:rsid w:val="003A62CE"/>
    <w:rsid w:val="003A62D8"/>
    <w:rsid w:val="003A62E7"/>
    <w:rsid w:val="003A6496"/>
    <w:rsid w:val="003A64C6"/>
    <w:rsid w:val="003A6534"/>
    <w:rsid w:val="003A65C9"/>
    <w:rsid w:val="003A664A"/>
    <w:rsid w:val="003A6721"/>
    <w:rsid w:val="003A677D"/>
    <w:rsid w:val="003A6830"/>
    <w:rsid w:val="003A6886"/>
    <w:rsid w:val="003A690D"/>
    <w:rsid w:val="003A697B"/>
    <w:rsid w:val="003A69AF"/>
    <w:rsid w:val="003A69D4"/>
    <w:rsid w:val="003A69D6"/>
    <w:rsid w:val="003A69EE"/>
    <w:rsid w:val="003A6A66"/>
    <w:rsid w:val="003A6B1A"/>
    <w:rsid w:val="003A6B6B"/>
    <w:rsid w:val="003A6BA0"/>
    <w:rsid w:val="003A6BD7"/>
    <w:rsid w:val="003A6C07"/>
    <w:rsid w:val="003A6C69"/>
    <w:rsid w:val="003A6CD1"/>
    <w:rsid w:val="003A6CE3"/>
    <w:rsid w:val="003A6D56"/>
    <w:rsid w:val="003A6D6B"/>
    <w:rsid w:val="003A6D74"/>
    <w:rsid w:val="003A6DD8"/>
    <w:rsid w:val="003A6E6B"/>
    <w:rsid w:val="003A6E7A"/>
    <w:rsid w:val="003A6EB4"/>
    <w:rsid w:val="003A6F75"/>
    <w:rsid w:val="003A70BE"/>
    <w:rsid w:val="003A7152"/>
    <w:rsid w:val="003A727F"/>
    <w:rsid w:val="003A740F"/>
    <w:rsid w:val="003A741B"/>
    <w:rsid w:val="003A758B"/>
    <w:rsid w:val="003A75B4"/>
    <w:rsid w:val="003A75DB"/>
    <w:rsid w:val="003A767A"/>
    <w:rsid w:val="003A779B"/>
    <w:rsid w:val="003A7898"/>
    <w:rsid w:val="003A78C9"/>
    <w:rsid w:val="003A7AAF"/>
    <w:rsid w:val="003A7AB3"/>
    <w:rsid w:val="003A7B41"/>
    <w:rsid w:val="003A7B88"/>
    <w:rsid w:val="003A7BC0"/>
    <w:rsid w:val="003A7BC5"/>
    <w:rsid w:val="003A7BCE"/>
    <w:rsid w:val="003A7BD4"/>
    <w:rsid w:val="003A7C00"/>
    <w:rsid w:val="003A7C41"/>
    <w:rsid w:val="003A7C96"/>
    <w:rsid w:val="003A7CE6"/>
    <w:rsid w:val="003A7D87"/>
    <w:rsid w:val="003A7D9F"/>
    <w:rsid w:val="003A7DB5"/>
    <w:rsid w:val="003A7DBA"/>
    <w:rsid w:val="003A7E2C"/>
    <w:rsid w:val="003A7E84"/>
    <w:rsid w:val="003A7F23"/>
    <w:rsid w:val="003A7F47"/>
    <w:rsid w:val="003A7F74"/>
    <w:rsid w:val="003A7FA9"/>
    <w:rsid w:val="003B0018"/>
    <w:rsid w:val="003B007E"/>
    <w:rsid w:val="003B00C8"/>
    <w:rsid w:val="003B011A"/>
    <w:rsid w:val="003B01A0"/>
    <w:rsid w:val="003B01DE"/>
    <w:rsid w:val="003B036B"/>
    <w:rsid w:val="003B036D"/>
    <w:rsid w:val="003B046A"/>
    <w:rsid w:val="003B0490"/>
    <w:rsid w:val="003B0565"/>
    <w:rsid w:val="003B064D"/>
    <w:rsid w:val="003B0685"/>
    <w:rsid w:val="003B06BF"/>
    <w:rsid w:val="003B0787"/>
    <w:rsid w:val="003B08BD"/>
    <w:rsid w:val="003B0BD6"/>
    <w:rsid w:val="003B0C4B"/>
    <w:rsid w:val="003B0C92"/>
    <w:rsid w:val="003B0CE2"/>
    <w:rsid w:val="003B0D23"/>
    <w:rsid w:val="003B0E24"/>
    <w:rsid w:val="003B0E7B"/>
    <w:rsid w:val="003B0E9F"/>
    <w:rsid w:val="003B0ECA"/>
    <w:rsid w:val="003B0F8D"/>
    <w:rsid w:val="003B1041"/>
    <w:rsid w:val="003B10A6"/>
    <w:rsid w:val="003B11E5"/>
    <w:rsid w:val="003B121E"/>
    <w:rsid w:val="003B12D2"/>
    <w:rsid w:val="003B1336"/>
    <w:rsid w:val="003B13D0"/>
    <w:rsid w:val="003B1408"/>
    <w:rsid w:val="003B146B"/>
    <w:rsid w:val="003B15BC"/>
    <w:rsid w:val="003B1672"/>
    <w:rsid w:val="003B179F"/>
    <w:rsid w:val="003B17E4"/>
    <w:rsid w:val="003B188A"/>
    <w:rsid w:val="003B1909"/>
    <w:rsid w:val="003B1977"/>
    <w:rsid w:val="003B19A4"/>
    <w:rsid w:val="003B19C0"/>
    <w:rsid w:val="003B1B32"/>
    <w:rsid w:val="003B1C63"/>
    <w:rsid w:val="003B1C9F"/>
    <w:rsid w:val="003B1CE2"/>
    <w:rsid w:val="003B1D0B"/>
    <w:rsid w:val="003B1D13"/>
    <w:rsid w:val="003B1D18"/>
    <w:rsid w:val="003B1E01"/>
    <w:rsid w:val="003B1E17"/>
    <w:rsid w:val="003B1E76"/>
    <w:rsid w:val="003B1E97"/>
    <w:rsid w:val="003B1F21"/>
    <w:rsid w:val="003B1FC9"/>
    <w:rsid w:val="003B1FE3"/>
    <w:rsid w:val="003B2134"/>
    <w:rsid w:val="003B217E"/>
    <w:rsid w:val="003B2182"/>
    <w:rsid w:val="003B21EA"/>
    <w:rsid w:val="003B2236"/>
    <w:rsid w:val="003B224F"/>
    <w:rsid w:val="003B2258"/>
    <w:rsid w:val="003B240F"/>
    <w:rsid w:val="003B24BE"/>
    <w:rsid w:val="003B24C7"/>
    <w:rsid w:val="003B24D2"/>
    <w:rsid w:val="003B2513"/>
    <w:rsid w:val="003B2546"/>
    <w:rsid w:val="003B2548"/>
    <w:rsid w:val="003B2562"/>
    <w:rsid w:val="003B25F8"/>
    <w:rsid w:val="003B26BA"/>
    <w:rsid w:val="003B2709"/>
    <w:rsid w:val="003B2715"/>
    <w:rsid w:val="003B2770"/>
    <w:rsid w:val="003B27CB"/>
    <w:rsid w:val="003B287B"/>
    <w:rsid w:val="003B2923"/>
    <w:rsid w:val="003B298A"/>
    <w:rsid w:val="003B2A5D"/>
    <w:rsid w:val="003B2B6A"/>
    <w:rsid w:val="003B2BC4"/>
    <w:rsid w:val="003B2BF1"/>
    <w:rsid w:val="003B2C74"/>
    <w:rsid w:val="003B2C76"/>
    <w:rsid w:val="003B2CBD"/>
    <w:rsid w:val="003B2D72"/>
    <w:rsid w:val="003B2D73"/>
    <w:rsid w:val="003B2E03"/>
    <w:rsid w:val="003B2F15"/>
    <w:rsid w:val="003B2F96"/>
    <w:rsid w:val="003B2FB5"/>
    <w:rsid w:val="003B2FBD"/>
    <w:rsid w:val="003B3046"/>
    <w:rsid w:val="003B30B1"/>
    <w:rsid w:val="003B31E5"/>
    <w:rsid w:val="003B32AC"/>
    <w:rsid w:val="003B33B3"/>
    <w:rsid w:val="003B33BE"/>
    <w:rsid w:val="003B33CB"/>
    <w:rsid w:val="003B3431"/>
    <w:rsid w:val="003B347D"/>
    <w:rsid w:val="003B34B5"/>
    <w:rsid w:val="003B3509"/>
    <w:rsid w:val="003B3536"/>
    <w:rsid w:val="003B355A"/>
    <w:rsid w:val="003B3580"/>
    <w:rsid w:val="003B3606"/>
    <w:rsid w:val="003B365B"/>
    <w:rsid w:val="003B3681"/>
    <w:rsid w:val="003B369F"/>
    <w:rsid w:val="003B36C9"/>
    <w:rsid w:val="003B3701"/>
    <w:rsid w:val="003B3738"/>
    <w:rsid w:val="003B37F5"/>
    <w:rsid w:val="003B38DE"/>
    <w:rsid w:val="003B3A3F"/>
    <w:rsid w:val="003B3A53"/>
    <w:rsid w:val="003B3B20"/>
    <w:rsid w:val="003B3B7D"/>
    <w:rsid w:val="003B3BE8"/>
    <w:rsid w:val="003B3C68"/>
    <w:rsid w:val="003B3CD3"/>
    <w:rsid w:val="003B3D20"/>
    <w:rsid w:val="003B3E1A"/>
    <w:rsid w:val="003B3E51"/>
    <w:rsid w:val="003B3E6E"/>
    <w:rsid w:val="003B3F5D"/>
    <w:rsid w:val="003B3F7B"/>
    <w:rsid w:val="003B3F88"/>
    <w:rsid w:val="003B3F92"/>
    <w:rsid w:val="003B3FC3"/>
    <w:rsid w:val="003B4054"/>
    <w:rsid w:val="003B4073"/>
    <w:rsid w:val="003B409D"/>
    <w:rsid w:val="003B40B6"/>
    <w:rsid w:val="003B416C"/>
    <w:rsid w:val="003B41F4"/>
    <w:rsid w:val="003B43B9"/>
    <w:rsid w:val="003B43C4"/>
    <w:rsid w:val="003B44B6"/>
    <w:rsid w:val="003B44DF"/>
    <w:rsid w:val="003B4540"/>
    <w:rsid w:val="003B4594"/>
    <w:rsid w:val="003B45B4"/>
    <w:rsid w:val="003B4603"/>
    <w:rsid w:val="003B4619"/>
    <w:rsid w:val="003B4637"/>
    <w:rsid w:val="003B4735"/>
    <w:rsid w:val="003B47BD"/>
    <w:rsid w:val="003B47F5"/>
    <w:rsid w:val="003B4812"/>
    <w:rsid w:val="003B4852"/>
    <w:rsid w:val="003B4921"/>
    <w:rsid w:val="003B495F"/>
    <w:rsid w:val="003B49EF"/>
    <w:rsid w:val="003B4A85"/>
    <w:rsid w:val="003B4A9C"/>
    <w:rsid w:val="003B4AEC"/>
    <w:rsid w:val="003B4AF6"/>
    <w:rsid w:val="003B4B09"/>
    <w:rsid w:val="003B4B88"/>
    <w:rsid w:val="003B4BAE"/>
    <w:rsid w:val="003B4BD1"/>
    <w:rsid w:val="003B4C5E"/>
    <w:rsid w:val="003B4CA4"/>
    <w:rsid w:val="003B4E01"/>
    <w:rsid w:val="003B4E76"/>
    <w:rsid w:val="003B4E83"/>
    <w:rsid w:val="003B4F1D"/>
    <w:rsid w:val="003B4F40"/>
    <w:rsid w:val="003B4F47"/>
    <w:rsid w:val="003B4F70"/>
    <w:rsid w:val="003B4FF3"/>
    <w:rsid w:val="003B501C"/>
    <w:rsid w:val="003B506B"/>
    <w:rsid w:val="003B506C"/>
    <w:rsid w:val="003B5084"/>
    <w:rsid w:val="003B509E"/>
    <w:rsid w:val="003B50C2"/>
    <w:rsid w:val="003B515D"/>
    <w:rsid w:val="003B51A8"/>
    <w:rsid w:val="003B51AC"/>
    <w:rsid w:val="003B51B4"/>
    <w:rsid w:val="003B51FF"/>
    <w:rsid w:val="003B521C"/>
    <w:rsid w:val="003B5257"/>
    <w:rsid w:val="003B525B"/>
    <w:rsid w:val="003B5278"/>
    <w:rsid w:val="003B52E7"/>
    <w:rsid w:val="003B5466"/>
    <w:rsid w:val="003B552F"/>
    <w:rsid w:val="003B5557"/>
    <w:rsid w:val="003B556D"/>
    <w:rsid w:val="003B5954"/>
    <w:rsid w:val="003B59A8"/>
    <w:rsid w:val="003B59D9"/>
    <w:rsid w:val="003B59F1"/>
    <w:rsid w:val="003B5A97"/>
    <w:rsid w:val="003B5AE5"/>
    <w:rsid w:val="003B5B6D"/>
    <w:rsid w:val="003B5C79"/>
    <w:rsid w:val="003B5CD3"/>
    <w:rsid w:val="003B5CDE"/>
    <w:rsid w:val="003B5D53"/>
    <w:rsid w:val="003B5D62"/>
    <w:rsid w:val="003B5D9B"/>
    <w:rsid w:val="003B5DA0"/>
    <w:rsid w:val="003B5F4D"/>
    <w:rsid w:val="003B5F63"/>
    <w:rsid w:val="003B5FD1"/>
    <w:rsid w:val="003B5FE5"/>
    <w:rsid w:val="003B600A"/>
    <w:rsid w:val="003B6038"/>
    <w:rsid w:val="003B60B4"/>
    <w:rsid w:val="003B61CD"/>
    <w:rsid w:val="003B6314"/>
    <w:rsid w:val="003B637F"/>
    <w:rsid w:val="003B63D9"/>
    <w:rsid w:val="003B6419"/>
    <w:rsid w:val="003B64DB"/>
    <w:rsid w:val="003B64F3"/>
    <w:rsid w:val="003B667C"/>
    <w:rsid w:val="003B6829"/>
    <w:rsid w:val="003B68A1"/>
    <w:rsid w:val="003B68E9"/>
    <w:rsid w:val="003B69BA"/>
    <w:rsid w:val="003B69BC"/>
    <w:rsid w:val="003B69F1"/>
    <w:rsid w:val="003B6A1B"/>
    <w:rsid w:val="003B6BB3"/>
    <w:rsid w:val="003B6BEF"/>
    <w:rsid w:val="003B6C06"/>
    <w:rsid w:val="003B6C44"/>
    <w:rsid w:val="003B6CEF"/>
    <w:rsid w:val="003B6D1B"/>
    <w:rsid w:val="003B6E46"/>
    <w:rsid w:val="003B6EEA"/>
    <w:rsid w:val="003B6F54"/>
    <w:rsid w:val="003B6F78"/>
    <w:rsid w:val="003B6FF5"/>
    <w:rsid w:val="003B7069"/>
    <w:rsid w:val="003B7077"/>
    <w:rsid w:val="003B7086"/>
    <w:rsid w:val="003B70C3"/>
    <w:rsid w:val="003B70E1"/>
    <w:rsid w:val="003B70ED"/>
    <w:rsid w:val="003B7149"/>
    <w:rsid w:val="003B7193"/>
    <w:rsid w:val="003B71AC"/>
    <w:rsid w:val="003B71F5"/>
    <w:rsid w:val="003B7281"/>
    <w:rsid w:val="003B733B"/>
    <w:rsid w:val="003B7352"/>
    <w:rsid w:val="003B73A0"/>
    <w:rsid w:val="003B7404"/>
    <w:rsid w:val="003B7418"/>
    <w:rsid w:val="003B7495"/>
    <w:rsid w:val="003B74E6"/>
    <w:rsid w:val="003B7556"/>
    <w:rsid w:val="003B76EA"/>
    <w:rsid w:val="003B7759"/>
    <w:rsid w:val="003B77A1"/>
    <w:rsid w:val="003B7854"/>
    <w:rsid w:val="003B7860"/>
    <w:rsid w:val="003B78E3"/>
    <w:rsid w:val="003B79E5"/>
    <w:rsid w:val="003B7A42"/>
    <w:rsid w:val="003B7B71"/>
    <w:rsid w:val="003B7BB1"/>
    <w:rsid w:val="003B7BBD"/>
    <w:rsid w:val="003B7C5F"/>
    <w:rsid w:val="003B7D4D"/>
    <w:rsid w:val="003B7D61"/>
    <w:rsid w:val="003B7DDF"/>
    <w:rsid w:val="003B7DE0"/>
    <w:rsid w:val="003B7E3A"/>
    <w:rsid w:val="003B7E4B"/>
    <w:rsid w:val="003B7F64"/>
    <w:rsid w:val="003B7F99"/>
    <w:rsid w:val="003C0000"/>
    <w:rsid w:val="003C0021"/>
    <w:rsid w:val="003C0032"/>
    <w:rsid w:val="003C004A"/>
    <w:rsid w:val="003C005B"/>
    <w:rsid w:val="003C009C"/>
    <w:rsid w:val="003C00AA"/>
    <w:rsid w:val="003C00B6"/>
    <w:rsid w:val="003C0138"/>
    <w:rsid w:val="003C01B3"/>
    <w:rsid w:val="003C01B6"/>
    <w:rsid w:val="003C0351"/>
    <w:rsid w:val="003C0418"/>
    <w:rsid w:val="003C0443"/>
    <w:rsid w:val="003C04A0"/>
    <w:rsid w:val="003C04F7"/>
    <w:rsid w:val="003C0524"/>
    <w:rsid w:val="003C05DF"/>
    <w:rsid w:val="003C06A6"/>
    <w:rsid w:val="003C07D7"/>
    <w:rsid w:val="003C07FC"/>
    <w:rsid w:val="003C08C3"/>
    <w:rsid w:val="003C091F"/>
    <w:rsid w:val="003C0936"/>
    <w:rsid w:val="003C0955"/>
    <w:rsid w:val="003C0A2D"/>
    <w:rsid w:val="003C0A4A"/>
    <w:rsid w:val="003C0A6B"/>
    <w:rsid w:val="003C0BAB"/>
    <w:rsid w:val="003C0BCC"/>
    <w:rsid w:val="003C0CEF"/>
    <w:rsid w:val="003C0D47"/>
    <w:rsid w:val="003C0D4E"/>
    <w:rsid w:val="003C0D51"/>
    <w:rsid w:val="003C0E29"/>
    <w:rsid w:val="003C0EDB"/>
    <w:rsid w:val="003C0F41"/>
    <w:rsid w:val="003C0F42"/>
    <w:rsid w:val="003C0F98"/>
    <w:rsid w:val="003C1037"/>
    <w:rsid w:val="003C106F"/>
    <w:rsid w:val="003C107C"/>
    <w:rsid w:val="003C111B"/>
    <w:rsid w:val="003C118C"/>
    <w:rsid w:val="003C1206"/>
    <w:rsid w:val="003C1221"/>
    <w:rsid w:val="003C124C"/>
    <w:rsid w:val="003C126E"/>
    <w:rsid w:val="003C129B"/>
    <w:rsid w:val="003C129E"/>
    <w:rsid w:val="003C12B8"/>
    <w:rsid w:val="003C12F2"/>
    <w:rsid w:val="003C1309"/>
    <w:rsid w:val="003C1541"/>
    <w:rsid w:val="003C1595"/>
    <w:rsid w:val="003C15F5"/>
    <w:rsid w:val="003C166C"/>
    <w:rsid w:val="003C16B7"/>
    <w:rsid w:val="003C16F9"/>
    <w:rsid w:val="003C173D"/>
    <w:rsid w:val="003C1772"/>
    <w:rsid w:val="003C1774"/>
    <w:rsid w:val="003C1836"/>
    <w:rsid w:val="003C185A"/>
    <w:rsid w:val="003C19B6"/>
    <w:rsid w:val="003C19ED"/>
    <w:rsid w:val="003C1A27"/>
    <w:rsid w:val="003C1B86"/>
    <w:rsid w:val="003C1BE2"/>
    <w:rsid w:val="003C1BF2"/>
    <w:rsid w:val="003C1C27"/>
    <w:rsid w:val="003C1C28"/>
    <w:rsid w:val="003C1C34"/>
    <w:rsid w:val="003C1C68"/>
    <w:rsid w:val="003C1EF1"/>
    <w:rsid w:val="003C1F68"/>
    <w:rsid w:val="003C209D"/>
    <w:rsid w:val="003C20A2"/>
    <w:rsid w:val="003C20A4"/>
    <w:rsid w:val="003C20FA"/>
    <w:rsid w:val="003C21F8"/>
    <w:rsid w:val="003C22F1"/>
    <w:rsid w:val="003C22F9"/>
    <w:rsid w:val="003C22FC"/>
    <w:rsid w:val="003C2342"/>
    <w:rsid w:val="003C23EF"/>
    <w:rsid w:val="003C2421"/>
    <w:rsid w:val="003C2535"/>
    <w:rsid w:val="003C2550"/>
    <w:rsid w:val="003C25B5"/>
    <w:rsid w:val="003C2678"/>
    <w:rsid w:val="003C2812"/>
    <w:rsid w:val="003C288C"/>
    <w:rsid w:val="003C28E4"/>
    <w:rsid w:val="003C290D"/>
    <w:rsid w:val="003C2922"/>
    <w:rsid w:val="003C2950"/>
    <w:rsid w:val="003C2961"/>
    <w:rsid w:val="003C2990"/>
    <w:rsid w:val="003C2A52"/>
    <w:rsid w:val="003C2A7F"/>
    <w:rsid w:val="003C2BDB"/>
    <w:rsid w:val="003C2CAA"/>
    <w:rsid w:val="003C2CDC"/>
    <w:rsid w:val="003C2E20"/>
    <w:rsid w:val="003C2EA9"/>
    <w:rsid w:val="003C3051"/>
    <w:rsid w:val="003C30C8"/>
    <w:rsid w:val="003C311A"/>
    <w:rsid w:val="003C3149"/>
    <w:rsid w:val="003C3185"/>
    <w:rsid w:val="003C319B"/>
    <w:rsid w:val="003C31A0"/>
    <w:rsid w:val="003C31EA"/>
    <w:rsid w:val="003C31FC"/>
    <w:rsid w:val="003C321D"/>
    <w:rsid w:val="003C3234"/>
    <w:rsid w:val="003C324E"/>
    <w:rsid w:val="003C326E"/>
    <w:rsid w:val="003C32F4"/>
    <w:rsid w:val="003C3316"/>
    <w:rsid w:val="003C3389"/>
    <w:rsid w:val="003C346B"/>
    <w:rsid w:val="003C34A7"/>
    <w:rsid w:val="003C34F1"/>
    <w:rsid w:val="003C34FA"/>
    <w:rsid w:val="003C3559"/>
    <w:rsid w:val="003C35C7"/>
    <w:rsid w:val="003C3649"/>
    <w:rsid w:val="003C36FF"/>
    <w:rsid w:val="003C3735"/>
    <w:rsid w:val="003C382D"/>
    <w:rsid w:val="003C38E2"/>
    <w:rsid w:val="003C3A05"/>
    <w:rsid w:val="003C3BE2"/>
    <w:rsid w:val="003C3C57"/>
    <w:rsid w:val="003C3CA9"/>
    <w:rsid w:val="003C3CF0"/>
    <w:rsid w:val="003C3DCA"/>
    <w:rsid w:val="003C3E55"/>
    <w:rsid w:val="003C3E58"/>
    <w:rsid w:val="003C3F1E"/>
    <w:rsid w:val="003C3FA9"/>
    <w:rsid w:val="003C4071"/>
    <w:rsid w:val="003C4111"/>
    <w:rsid w:val="003C4250"/>
    <w:rsid w:val="003C42B1"/>
    <w:rsid w:val="003C434E"/>
    <w:rsid w:val="003C43DE"/>
    <w:rsid w:val="003C4462"/>
    <w:rsid w:val="003C446D"/>
    <w:rsid w:val="003C44C7"/>
    <w:rsid w:val="003C4508"/>
    <w:rsid w:val="003C45E3"/>
    <w:rsid w:val="003C4667"/>
    <w:rsid w:val="003C46C2"/>
    <w:rsid w:val="003C47AA"/>
    <w:rsid w:val="003C4852"/>
    <w:rsid w:val="003C4928"/>
    <w:rsid w:val="003C4A3D"/>
    <w:rsid w:val="003C4AAE"/>
    <w:rsid w:val="003C4AD2"/>
    <w:rsid w:val="003C4AE9"/>
    <w:rsid w:val="003C4AFE"/>
    <w:rsid w:val="003C4B58"/>
    <w:rsid w:val="003C4DB9"/>
    <w:rsid w:val="003C4E6E"/>
    <w:rsid w:val="003C4F8A"/>
    <w:rsid w:val="003C4FE5"/>
    <w:rsid w:val="003C5059"/>
    <w:rsid w:val="003C508E"/>
    <w:rsid w:val="003C50E7"/>
    <w:rsid w:val="003C511A"/>
    <w:rsid w:val="003C511E"/>
    <w:rsid w:val="003C53EC"/>
    <w:rsid w:val="003C541A"/>
    <w:rsid w:val="003C54A9"/>
    <w:rsid w:val="003C5567"/>
    <w:rsid w:val="003C561C"/>
    <w:rsid w:val="003C5699"/>
    <w:rsid w:val="003C56C5"/>
    <w:rsid w:val="003C570B"/>
    <w:rsid w:val="003C5737"/>
    <w:rsid w:val="003C579C"/>
    <w:rsid w:val="003C5800"/>
    <w:rsid w:val="003C5816"/>
    <w:rsid w:val="003C5891"/>
    <w:rsid w:val="003C58B1"/>
    <w:rsid w:val="003C58EE"/>
    <w:rsid w:val="003C5906"/>
    <w:rsid w:val="003C5958"/>
    <w:rsid w:val="003C5987"/>
    <w:rsid w:val="003C5ACC"/>
    <w:rsid w:val="003C5ACE"/>
    <w:rsid w:val="003C5B17"/>
    <w:rsid w:val="003C5B1D"/>
    <w:rsid w:val="003C5B27"/>
    <w:rsid w:val="003C5B2C"/>
    <w:rsid w:val="003C5BA5"/>
    <w:rsid w:val="003C5BA9"/>
    <w:rsid w:val="003C5C5D"/>
    <w:rsid w:val="003C5D50"/>
    <w:rsid w:val="003C5DDD"/>
    <w:rsid w:val="003C5E1D"/>
    <w:rsid w:val="003C5E28"/>
    <w:rsid w:val="003C5E31"/>
    <w:rsid w:val="003C5E5A"/>
    <w:rsid w:val="003C5F4F"/>
    <w:rsid w:val="003C5F58"/>
    <w:rsid w:val="003C6078"/>
    <w:rsid w:val="003C60A8"/>
    <w:rsid w:val="003C61A4"/>
    <w:rsid w:val="003C6201"/>
    <w:rsid w:val="003C621F"/>
    <w:rsid w:val="003C6243"/>
    <w:rsid w:val="003C6262"/>
    <w:rsid w:val="003C62A6"/>
    <w:rsid w:val="003C62BD"/>
    <w:rsid w:val="003C6373"/>
    <w:rsid w:val="003C6376"/>
    <w:rsid w:val="003C6383"/>
    <w:rsid w:val="003C63D9"/>
    <w:rsid w:val="003C6426"/>
    <w:rsid w:val="003C64A3"/>
    <w:rsid w:val="003C650C"/>
    <w:rsid w:val="003C65C0"/>
    <w:rsid w:val="003C65E9"/>
    <w:rsid w:val="003C6698"/>
    <w:rsid w:val="003C66B1"/>
    <w:rsid w:val="003C6751"/>
    <w:rsid w:val="003C6799"/>
    <w:rsid w:val="003C67BC"/>
    <w:rsid w:val="003C684B"/>
    <w:rsid w:val="003C686A"/>
    <w:rsid w:val="003C687A"/>
    <w:rsid w:val="003C68E0"/>
    <w:rsid w:val="003C6994"/>
    <w:rsid w:val="003C69C7"/>
    <w:rsid w:val="003C6AFD"/>
    <w:rsid w:val="003C6B0A"/>
    <w:rsid w:val="003C6B23"/>
    <w:rsid w:val="003C6BA7"/>
    <w:rsid w:val="003C6C21"/>
    <w:rsid w:val="003C6C3D"/>
    <w:rsid w:val="003C6CCC"/>
    <w:rsid w:val="003C6EC9"/>
    <w:rsid w:val="003C6ED0"/>
    <w:rsid w:val="003C6ED1"/>
    <w:rsid w:val="003C6EDD"/>
    <w:rsid w:val="003C6FC1"/>
    <w:rsid w:val="003C70BE"/>
    <w:rsid w:val="003C70FD"/>
    <w:rsid w:val="003C715F"/>
    <w:rsid w:val="003C71B4"/>
    <w:rsid w:val="003C71C6"/>
    <w:rsid w:val="003C71FF"/>
    <w:rsid w:val="003C722C"/>
    <w:rsid w:val="003C7277"/>
    <w:rsid w:val="003C7326"/>
    <w:rsid w:val="003C735F"/>
    <w:rsid w:val="003C74FA"/>
    <w:rsid w:val="003C7569"/>
    <w:rsid w:val="003C7576"/>
    <w:rsid w:val="003C7584"/>
    <w:rsid w:val="003C76B6"/>
    <w:rsid w:val="003C76D6"/>
    <w:rsid w:val="003C775C"/>
    <w:rsid w:val="003C77B0"/>
    <w:rsid w:val="003C77CD"/>
    <w:rsid w:val="003C7814"/>
    <w:rsid w:val="003C78ED"/>
    <w:rsid w:val="003C796F"/>
    <w:rsid w:val="003C79EA"/>
    <w:rsid w:val="003C79EB"/>
    <w:rsid w:val="003C7A44"/>
    <w:rsid w:val="003C7B12"/>
    <w:rsid w:val="003C7B16"/>
    <w:rsid w:val="003C7B66"/>
    <w:rsid w:val="003C7B95"/>
    <w:rsid w:val="003C7C92"/>
    <w:rsid w:val="003C7D70"/>
    <w:rsid w:val="003C7D87"/>
    <w:rsid w:val="003C7E0C"/>
    <w:rsid w:val="003C7E2F"/>
    <w:rsid w:val="003C7E6B"/>
    <w:rsid w:val="003C7EC9"/>
    <w:rsid w:val="003C7F19"/>
    <w:rsid w:val="003C7FB2"/>
    <w:rsid w:val="003C7FB6"/>
    <w:rsid w:val="003C7FE8"/>
    <w:rsid w:val="003D0034"/>
    <w:rsid w:val="003D0089"/>
    <w:rsid w:val="003D0098"/>
    <w:rsid w:val="003D018E"/>
    <w:rsid w:val="003D01D2"/>
    <w:rsid w:val="003D0264"/>
    <w:rsid w:val="003D0297"/>
    <w:rsid w:val="003D029E"/>
    <w:rsid w:val="003D02C3"/>
    <w:rsid w:val="003D02E2"/>
    <w:rsid w:val="003D0329"/>
    <w:rsid w:val="003D035E"/>
    <w:rsid w:val="003D0373"/>
    <w:rsid w:val="003D03B0"/>
    <w:rsid w:val="003D04C3"/>
    <w:rsid w:val="003D04E8"/>
    <w:rsid w:val="003D0651"/>
    <w:rsid w:val="003D0764"/>
    <w:rsid w:val="003D07E5"/>
    <w:rsid w:val="003D0827"/>
    <w:rsid w:val="003D08A7"/>
    <w:rsid w:val="003D092C"/>
    <w:rsid w:val="003D094C"/>
    <w:rsid w:val="003D0957"/>
    <w:rsid w:val="003D0AE5"/>
    <w:rsid w:val="003D0B1E"/>
    <w:rsid w:val="003D0B41"/>
    <w:rsid w:val="003D0B45"/>
    <w:rsid w:val="003D0B72"/>
    <w:rsid w:val="003D0B8A"/>
    <w:rsid w:val="003D0C05"/>
    <w:rsid w:val="003D0C2E"/>
    <w:rsid w:val="003D0C6F"/>
    <w:rsid w:val="003D0C87"/>
    <w:rsid w:val="003D0D22"/>
    <w:rsid w:val="003D0DC9"/>
    <w:rsid w:val="003D0E07"/>
    <w:rsid w:val="003D0E16"/>
    <w:rsid w:val="003D0F0E"/>
    <w:rsid w:val="003D0F20"/>
    <w:rsid w:val="003D0F76"/>
    <w:rsid w:val="003D100D"/>
    <w:rsid w:val="003D1057"/>
    <w:rsid w:val="003D107E"/>
    <w:rsid w:val="003D1162"/>
    <w:rsid w:val="003D1165"/>
    <w:rsid w:val="003D11DC"/>
    <w:rsid w:val="003D12A8"/>
    <w:rsid w:val="003D138F"/>
    <w:rsid w:val="003D145A"/>
    <w:rsid w:val="003D146D"/>
    <w:rsid w:val="003D1574"/>
    <w:rsid w:val="003D15BB"/>
    <w:rsid w:val="003D16BC"/>
    <w:rsid w:val="003D175F"/>
    <w:rsid w:val="003D17E7"/>
    <w:rsid w:val="003D18CC"/>
    <w:rsid w:val="003D18E9"/>
    <w:rsid w:val="003D193A"/>
    <w:rsid w:val="003D19AC"/>
    <w:rsid w:val="003D19C8"/>
    <w:rsid w:val="003D19E3"/>
    <w:rsid w:val="003D1A15"/>
    <w:rsid w:val="003D1A9B"/>
    <w:rsid w:val="003D1AF4"/>
    <w:rsid w:val="003D1B62"/>
    <w:rsid w:val="003D1BEB"/>
    <w:rsid w:val="003D1C0D"/>
    <w:rsid w:val="003D1C22"/>
    <w:rsid w:val="003D1CD0"/>
    <w:rsid w:val="003D1DD9"/>
    <w:rsid w:val="003D1F0D"/>
    <w:rsid w:val="003D1F17"/>
    <w:rsid w:val="003D1F85"/>
    <w:rsid w:val="003D1FFF"/>
    <w:rsid w:val="003D2004"/>
    <w:rsid w:val="003D204B"/>
    <w:rsid w:val="003D2050"/>
    <w:rsid w:val="003D206C"/>
    <w:rsid w:val="003D209B"/>
    <w:rsid w:val="003D20A1"/>
    <w:rsid w:val="003D20C6"/>
    <w:rsid w:val="003D2142"/>
    <w:rsid w:val="003D2294"/>
    <w:rsid w:val="003D2296"/>
    <w:rsid w:val="003D22E3"/>
    <w:rsid w:val="003D239E"/>
    <w:rsid w:val="003D241B"/>
    <w:rsid w:val="003D24C3"/>
    <w:rsid w:val="003D24DE"/>
    <w:rsid w:val="003D24ED"/>
    <w:rsid w:val="003D2519"/>
    <w:rsid w:val="003D2550"/>
    <w:rsid w:val="003D2577"/>
    <w:rsid w:val="003D25D6"/>
    <w:rsid w:val="003D25DA"/>
    <w:rsid w:val="003D25EE"/>
    <w:rsid w:val="003D2680"/>
    <w:rsid w:val="003D2683"/>
    <w:rsid w:val="003D26C0"/>
    <w:rsid w:val="003D275C"/>
    <w:rsid w:val="003D2879"/>
    <w:rsid w:val="003D2899"/>
    <w:rsid w:val="003D28B8"/>
    <w:rsid w:val="003D28FB"/>
    <w:rsid w:val="003D2939"/>
    <w:rsid w:val="003D2967"/>
    <w:rsid w:val="003D29C8"/>
    <w:rsid w:val="003D2A95"/>
    <w:rsid w:val="003D2AEE"/>
    <w:rsid w:val="003D2B03"/>
    <w:rsid w:val="003D2B2C"/>
    <w:rsid w:val="003D2B45"/>
    <w:rsid w:val="003D2C5C"/>
    <w:rsid w:val="003D2C6B"/>
    <w:rsid w:val="003D2C9D"/>
    <w:rsid w:val="003D2CCA"/>
    <w:rsid w:val="003D2CDF"/>
    <w:rsid w:val="003D2CED"/>
    <w:rsid w:val="003D2D12"/>
    <w:rsid w:val="003D2D31"/>
    <w:rsid w:val="003D2D84"/>
    <w:rsid w:val="003D2E11"/>
    <w:rsid w:val="003D2E59"/>
    <w:rsid w:val="003D2EAD"/>
    <w:rsid w:val="003D31E5"/>
    <w:rsid w:val="003D31F8"/>
    <w:rsid w:val="003D33DB"/>
    <w:rsid w:val="003D3559"/>
    <w:rsid w:val="003D35C2"/>
    <w:rsid w:val="003D365F"/>
    <w:rsid w:val="003D3671"/>
    <w:rsid w:val="003D3683"/>
    <w:rsid w:val="003D369D"/>
    <w:rsid w:val="003D36BF"/>
    <w:rsid w:val="003D36E7"/>
    <w:rsid w:val="003D3708"/>
    <w:rsid w:val="003D37B9"/>
    <w:rsid w:val="003D385B"/>
    <w:rsid w:val="003D394C"/>
    <w:rsid w:val="003D3992"/>
    <w:rsid w:val="003D39A4"/>
    <w:rsid w:val="003D39FB"/>
    <w:rsid w:val="003D3A37"/>
    <w:rsid w:val="003D3A57"/>
    <w:rsid w:val="003D3ABA"/>
    <w:rsid w:val="003D3AEE"/>
    <w:rsid w:val="003D3B62"/>
    <w:rsid w:val="003D3C45"/>
    <w:rsid w:val="003D3C84"/>
    <w:rsid w:val="003D3C8B"/>
    <w:rsid w:val="003D3CA1"/>
    <w:rsid w:val="003D3D1A"/>
    <w:rsid w:val="003D3D42"/>
    <w:rsid w:val="003D3DDA"/>
    <w:rsid w:val="003D3E8B"/>
    <w:rsid w:val="003D3EB4"/>
    <w:rsid w:val="003D3EF0"/>
    <w:rsid w:val="003D3F3A"/>
    <w:rsid w:val="003D3F7B"/>
    <w:rsid w:val="003D3FCE"/>
    <w:rsid w:val="003D4016"/>
    <w:rsid w:val="003D4072"/>
    <w:rsid w:val="003D4095"/>
    <w:rsid w:val="003D40C0"/>
    <w:rsid w:val="003D415E"/>
    <w:rsid w:val="003D420F"/>
    <w:rsid w:val="003D42E7"/>
    <w:rsid w:val="003D434D"/>
    <w:rsid w:val="003D43F1"/>
    <w:rsid w:val="003D4423"/>
    <w:rsid w:val="003D44E0"/>
    <w:rsid w:val="003D44ED"/>
    <w:rsid w:val="003D465C"/>
    <w:rsid w:val="003D4686"/>
    <w:rsid w:val="003D46EE"/>
    <w:rsid w:val="003D46F1"/>
    <w:rsid w:val="003D472F"/>
    <w:rsid w:val="003D4762"/>
    <w:rsid w:val="003D47C6"/>
    <w:rsid w:val="003D47D3"/>
    <w:rsid w:val="003D4882"/>
    <w:rsid w:val="003D4916"/>
    <w:rsid w:val="003D4971"/>
    <w:rsid w:val="003D49AF"/>
    <w:rsid w:val="003D49C1"/>
    <w:rsid w:val="003D4A3C"/>
    <w:rsid w:val="003D4AF9"/>
    <w:rsid w:val="003D4B01"/>
    <w:rsid w:val="003D4B04"/>
    <w:rsid w:val="003D4B0C"/>
    <w:rsid w:val="003D4B1F"/>
    <w:rsid w:val="003D4BAE"/>
    <w:rsid w:val="003D4C87"/>
    <w:rsid w:val="003D4C99"/>
    <w:rsid w:val="003D4CC9"/>
    <w:rsid w:val="003D4CF9"/>
    <w:rsid w:val="003D4DAA"/>
    <w:rsid w:val="003D4DC7"/>
    <w:rsid w:val="003D4E96"/>
    <w:rsid w:val="003D4E99"/>
    <w:rsid w:val="003D4EC3"/>
    <w:rsid w:val="003D4F1E"/>
    <w:rsid w:val="003D4F8B"/>
    <w:rsid w:val="003D5029"/>
    <w:rsid w:val="003D507C"/>
    <w:rsid w:val="003D508C"/>
    <w:rsid w:val="003D50B7"/>
    <w:rsid w:val="003D50BF"/>
    <w:rsid w:val="003D5103"/>
    <w:rsid w:val="003D52A5"/>
    <w:rsid w:val="003D542E"/>
    <w:rsid w:val="003D5474"/>
    <w:rsid w:val="003D5476"/>
    <w:rsid w:val="003D54EB"/>
    <w:rsid w:val="003D54F8"/>
    <w:rsid w:val="003D550E"/>
    <w:rsid w:val="003D550F"/>
    <w:rsid w:val="003D5524"/>
    <w:rsid w:val="003D5591"/>
    <w:rsid w:val="003D5755"/>
    <w:rsid w:val="003D579C"/>
    <w:rsid w:val="003D5808"/>
    <w:rsid w:val="003D592F"/>
    <w:rsid w:val="003D59B4"/>
    <w:rsid w:val="003D5A80"/>
    <w:rsid w:val="003D5AC1"/>
    <w:rsid w:val="003D5B5B"/>
    <w:rsid w:val="003D5BCC"/>
    <w:rsid w:val="003D5BEF"/>
    <w:rsid w:val="003D5C7A"/>
    <w:rsid w:val="003D5C92"/>
    <w:rsid w:val="003D5D54"/>
    <w:rsid w:val="003D5D6A"/>
    <w:rsid w:val="003D5E29"/>
    <w:rsid w:val="003D5EAA"/>
    <w:rsid w:val="003D5EBB"/>
    <w:rsid w:val="003D605B"/>
    <w:rsid w:val="003D6060"/>
    <w:rsid w:val="003D606D"/>
    <w:rsid w:val="003D60A5"/>
    <w:rsid w:val="003D60E0"/>
    <w:rsid w:val="003D6107"/>
    <w:rsid w:val="003D6136"/>
    <w:rsid w:val="003D6168"/>
    <w:rsid w:val="003D61B7"/>
    <w:rsid w:val="003D62F3"/>
    <w:rsid w:val="003D62F9"/>
    <w:rsid w:val="003D6389"/>
    <w:rsid w:val="003D63A8"/>
    <w:rsid w:val="003D63B5"/>
    <w:rsid w:val="003D63F3"/>
    <w:rsid w:val="003D645C"/>
    <w:rsid w:val="003D6511"/>
    <w:rsid w:val="003D6708"/>
    <w:rsid w:val="003D6727"/>
    <w:rsid w:val="003D674B"/>
    <w:rsid w:val="003D682F"/>
    <w:rsid w:val="003D694E"/>
    <w:rsid w:val="003D6955"/>
    <w:rsid w:val="003D69DB"/>
    <w:rsid w:val="003D6A25"/>
    <w:rsid w:val="003D6A2F"/>
    <w:rsid w:val="003D6A38"/>
    <w:rsid w:val="003D6A99"/>
    <w:rsid w:val="003D6DE6"/>
    <w:rsid w:val="003D6EE5"/>
    <w:rsid w:val="003D6F33"/>
    <w:rsid w:val="003D6FB5"/>
    <w:rsid w:val="003D6FF4"/>
    <w:rsid w:val="003D7062"/>
    <w:rsid w:val="003D7076"/>
    <w:rsid w:val="003D708D"/>
    <w:rsid w:val="003D70E5"/>
    <w:rsid w:val="003D70EA"/>
    <w:rsid w:val="003D711A"/>
    <w:rsid w:val="003D7169"/>
    <w:rsid w:val="003D71E2"/>
    <w:rsid w:val="003D7295"/>
    <w:rsid w:val="003D7427"/>
    <w:rsid w:val="003D74DD"/>
    <w:rsid w:val="003D764E"/>
    <w:rsid w:val="003D7671"/>
    <w:rsid w:val="003D769D"/>
    <w:rsid w:val="003D7764"/>
    <w:rsid w:val="003D77A3"/>
    <w:rsid w:val="003D77E5"/>
    <w:rsid w:val="003D786A"/>
    <w:rsid w:val="003D78B6"/>
    <w:rsid w:val="003D797D"/>
    <w:rsid w:val="003D7980"/>
    <w:rsid w:val="003D79B8"/>
    <w:rsid w:val="003D79FC"/>
    <w:rsid w:val="003D7A1E"/>
    <w:rsid w:val="003D7A2A"/>
    <w:rsid w:val="003D7A92"/>
    <w:rsid w:val="003D7ACA"/>
    <w:rsid w:val="003D7C13"/>
    <w:rsid w:val="003D7CB8"/>
    <w:rsid w:val="003D7CC2"/>
    <w:rsid w:val="003D7CDA"/>
    <w:rsid w:val="003D7D11"/>
    <w:rsid w:val="003D7D47"/>
    <w:rsid w:val="003D7D53"/>
    <w:rsid w:val="003D7D79"/>
    <w:rsid w:val="003D7DCD"/>
    <w:rsid w:val="003D7E1C"/>
    <w:rsid w:val="003D7E2B"/>
    <w:rsid w:val="003D7EAD"/>
    <w:rsid w:val="003D7F13"/>
    <w:rsid w:val="003D7F19"/>
    <w:rsid w:val="003D7F56"/>
    <w:rsid w:val="003D7FEF"/>
    <w:rsid w:val="003DD2FF"/>
    <w:rsid w:val="003E0083"/>
    <w:rsid w:val="003E00D8"/>
    <w:rsid w:val="003E0183"/>
    <w:rsid w:val="003E018D"/>
    <w:rsid w:val="003E0351"/>
    <w:rsid w:val="003E035E"/>
    <w:rsid w:val="003E039C"/>
    <w:rsid w:val="003E043A"/>
    <w:rsid w:val="003E0470"/>
    <w:rsid w:val="003E04EC"/>
    <w:rsid w:val="003E0593"/>
    <w:rsid w:val="003E059B"/>
    <w:rsid w:val="003E05FF"/>
    <w:rsid w:val="003E060C"/>
    <w:rsid w:val="003E060D"/>
    <w:rsid w:val="003E063D"/>
    <w:rsid w:val="003E06CC"/>
    <w:rsid w:val="003E06DA"/>
    <w:rsid w:val="003E0865"/>
    <w:rsid w:val="003E08D1"/>
    <w:rsid w:val="003E08FC"/>
    <w:rsid w:val="003E08FF"/>
    <w:rsid w:val="003E0942"/>
    <w:rsid w:val="003E0968"/>
    <w:rsid w:val="003E09D6"/>
    <w:rsid w:val="003E0C16"/>
    <w:rsid w:val="003E0C3B"/>
    <w:rsid w:val="003E0C56"/>
    <w:rsid w:val="003E0D7D"/>
    <w:rsid w:val="003E0DC9"/>
    <w:rsid w:val="003E0EAD"/>
    <w:rsid w:val="003E107C"/>
    <w:rsid w:val="003E108A"/>
    <w:rsid w:val="003E1107"/>
    <w:rsid w:val="003E1166"/>
    <w:rsid w:val="003E11F4"/>
    <w:rsid w:val="003E1307"/>
    <w:rsid w:val="003E1340"/>
    <w:rsid w:val="003E1391"/>
    <w:rsid w:val="003E14BF"/>
    <w:rsid w:val="003E151E"/>
    <w:rsid w:val="003E1532"/>
    <w:rsid w:val="003E153F"/>
    <w:rsid w:val="003E154C"/>
    <w:rsid w:val="003E156E"/>
    <w:rsid w:val="003E15A4"/>
    <w:rsid w:val="003E15BE"/>
    <w:rsid w:val="003E15E5"/>
    <w:rsid w:val="003E1603"/>
    <w:rsid w:val="003E1637"/>
    <w:rsid w:val="003E166E"/>
    <w:rsid w:val="003E16DA"/>
    <w:rsid w:val="003E16E9"/>
    <w:rsid w:val="003E16EA"/>
    <w:rsid w:val="003E1709"/>
    <w:rsid w:val="003E1733"/>
    <w:rsid w:val="003E17B1"/>
    <w:rsid w:val="003E188D"/>
    <w:rsid w:val="003E191A"/>
    <w:rsid w:val="003E19CA"/>
    <w:rsid w:val="003E19CD"/>
    <w:rsid w:val="003E1A17"/>
    <w:rsid w:val="003E1C84"/>
    <w:rsid w:val="003E1CBD"/>
    <w:rsid w:val="003E1D3E"/>
    <w:rsid w:val="003E1D89"/>
    <w:rsid w:val="003E1DB4"/>
    <w:rsid w:val="003E1DEF"/>
    <w:rsid w:val="003E1E4A"/>
    <w:rsid w:val="003E1F2C"/>
    <w:rsid w:val="003E1F88"/>
    <w:rsid w:val="003E1FFF"/>
    <w:rsid w:val="003E201C"/>
    <w:rsid w:val="003E202E"/>
    <w:rsid w:val="003E2085"/>
    <w:rsid w:val="003E20F8"/>
    <w:rsid w:val="003E2170"/>
    <w:rsid w:val="003E219B"/>
    <w:rsid w:val="003E2229"/>
    <w:rsid w:val="003E22BD"/>
    <w:rsid w:val="003E22BF"/>
    <w:rsid w:val="003E2329"/>
    <w:rsid w:val="003E2397"/>
    <w:rsid w:val="003E23D3"/>
    <w:rsid w:val="003E23EE"/>
    <w:rsid w:val="003E2430"/>
    <w:rsid w:val="003E24AE"/>
    <w:rsid w:val="003E24F4"/>
    <w:rsid w:val="003E24FA"/>
    <w:rsid w:val="003E250A"/>
    <w:rsid w:val="003E2524"/>
    <w:rsid w:val="003E2570"/>
    <w:rsid w:val="003E257F"/>
    <w:rsid w:val="003E2594"/>
    <w:rsid w:val="003E25F9"/>
    <w:rsid w:val="003E278B"/>
    <w:rsid w:val="003E27A9"/>
    <w:rsid w:val="003E2858"/>
    <w:rsid w:val="003E29BE"/>
    <w:rsid w:val="003E29D7"/>
    <w:rsid w:val="003E2B95"/>
    <w:rsid w:val="003E2C31"/>
    <w:rsid w:val="003E2C8D"/>
    <w:rsid w:val="003E2CAC"/>
    <w:rsid w:val="003E2D46"/>
    <w:rsid w:val="003E2D4F"/>
    <w:rsid w:val="003E2D5F"/>
    <w:rsid w:val="003E2DB0"/>
    <w:rsid w:val="003E2DC4"/>
    <w:rsid w:val="003E2DC9"/>
    <w:rsid w:val="003E2E69"/>
    <w:rsid w:val="003E2E7B"/>
    <w:rsid w:val="003E2EDB"/>
    <w:rsid w:val="003E2F04"/>
    <w:rsid w:val="003E2F76"/>
    <w:rsid w:val="003E2FBC"/>
    <w:rsid w:val="003E301E"/>
    <w:rsid w:val="003E304C"/>
    <w:rsid w:val="003E31A5"/>
    <w:rsid w:val="003E31CE"/>
    <w:rsid w:val="003E31D5"/>
    <w:rsid w:val="003E331A"/>
    <w:rsid w:val="003E333B"/>
    <w:rsid w:val="003E3351"/>
    <w:rsid w:val="003E347F"/>
    <w:rsid w:val="003E34AE"/>
    <w:rsid w:val="003E34FD"/>
    <w:rsid w:val="003E3606"/>
    <w:rsid w:val="003E3619"/>
    <w:rsid w:val="003E36D7"/>
    <w:rsid w:val="003E3731"/>
    <w:rsid w:val="003E3756"/>
    <w:rsid w:val="003E37CB"/>
    <w:rsid w:val="003E37D5"/>
    <w:rsid w:val="003E388B"/>
    <w:rsid w:val="003E3896"/>
    <w:rsid w:val="003E3938"/>
    <w:rsid w:val="003E3952"/>
    <w:rsid w:val="003E3954"/>
    <w:rsid w:val="003E3976"/>
    <w:rsid w:val="003E39D7"/>
    <w:rsid w:val="003E3A15"/>
    <w:rsid w:val="003E3A31"/>
    <w:rsid w:val="003E3AAD"/>
    <w:rsid w:val="003E3BB6"/>
    <w:rsid w:val="003E3C40"/>
    <w:rsid w:val="003E3D6D"/>
    <w:rsid w:val="003E3E07"/>
    <w:rsid w:val="003E3E09"/>
    <w:rsid w:val="003E3E22"/>
    <w:rsid w:val="003E3E67"/>
    <w:rsid w:val="003E3E75"/>
    <w:rsid w:val="003E3EA7"/>
    <w:rsid w:val="003E3FE9"/>
    <w:rsid w:val="003E4031"/>
    <w:rsid w:val="003E41B9"/>
    <w:rsid w:val="003E41D2"/>
    <w:rsid w:val="003E41D6"/>
    <w:rsid w:val="003E41D8"/>
    <w:rsid w:val="003E4225"/>
    <w:rsid w:val="003E43B3"/>
    <w:rsid w:val="003E43D3"/>
    <w:rsid w:val="003E449A"/>
    <w:rsid w:val="003E454E"/>
    <w:rsid w:val="003E4627"/>
    <w:rsid w:val="003E463E"/>
    <w:rsid w:val="003E46BC"/>
    <w:rsid w:val="003E46BD"/>
    <w:rsid w:val="003E46D7"/>
    <w:rsid w:val="003E4734"/>
    <w:rsid w:val="003E4736"/>
    <w:rsid w:val="003E480B"/>
    <w:rsid w:val="003E4839"/>
    <w:rsid w:val="003E4859"/>
    <w:rsid w:val="003E488F"/>
    <w:rsid w:val="003E4935"/>
    <w:rsid w:val="003E4936"/>
    <w:rsid w:val="003E4956"/>
    <w:rsid w:val="003E4B47"/>
    <w:rsid w:val="003E4B65"/>
    <w:rsid w:val="003E4BD7"/>
    <w:rsid w:val="003E4CD5"/>
    <w:rsid w:val="003E4CFE"/>
    <w:rsid w:val="003E4E27"/>
    <w:rsid w:val="003E4E2A"/>
    <w:rsid w:val="003E4E62"/>
    <w:rsid w:val="003E4E82"/>
    <w:rsid w:val="003E4F53"/>
    <w:rsid w:val="003E4F7B"/>
    <w:rsid w:val="003E5015"/>
    <w:rsid w:val="003E5018"/>
    <w:rsid w:val="003E514C"/>
    <w:rsid w:val="003E51C2"/>
    <w:rsid w:val="003E51DB"/>
    <w:rsid w:val="003E5233"/>
    <w:rsid w:val="003E524C"/>
    <w:rsid w:val="003E52AC"/>
    <w:rsid w:val="003E52CD"/>
    <w:rsid w:val="003E5307"/>
    <w:rsid w:val="003E5371"/>
    <w:rsid w:val="003E53EC"/>
    <w:rsid w:val="003E53EF"/>
    <w:rsid w:val="003E5532"/>
    <w:rsid w:val="003E5551"/>
    <w:rsid w:val="003E556E"/>
    <w:rsid w:val="003E55C3"/>
    <w:rsid w:val="003E55C7"/>
    <w:rsid w:val="003E5687"/>
    <w:rsid w:val="003E56AC"/>
    <w:rsid w:val="003E56EA"/>
    <w:rsid w:val="003E571C"/>
    <w:rsid w:val="003E581C"/>
    <w:rsid w:val="003E5879"/>
    <w:rsid w:val="003E5901"/>
    <w:rsid w:val="003E592F"/>
    <w:rsid w:val="003E59CB"/>
    <w:rsid w:val="003E59D2"/>
    <w:rsid w:val="003E5A43"/>
    <w:rsid w:val="003E5AB1"/>
    <w:rsid w:val="003E5C2D"/>
    <w:rsid w:val="003E5CF3"/>
    <w:rsid w:val="003E5D6C"/>
    <w:rsid w:val="003E5DFB"/>
    <w:rsid w:val="003E5E4B"/>
    <w:rsid w:val="003E5E56"/>
    <w:rsid w:val="003E5ED3"/>
    <w:rsid w:val="003E5F10"/>
    <w:rsid w:val="003E602C"/>
    <w:rsid w:val="003E6039"/>
    <w:rsid w:val="003E6112"/>
    <w:rsid w:val="003E614A"/>
    <w:rsid w:val="003E6159"/>
    <w:rsid w:val="003E61EB"/>
    <w:rsid w:val="003E6271"/>
    <w:rsid w:val="003E6295"/>
    <w:rsid w:val="003E63EE"/>
    <w:rsid w:val="003E6401"/>
    <w:rsid w:val="003E640F"/>
    <w:rsid w:val="003E6414"/>
    <w:rsid w:val="003E64D5"/>
    <w:rsid w:val="003E6539"/>
    <w:rsid w:val="003E667C"/>
    <w:rsid w:val="003E672D"/>
    <w:rsid w:val="003E678A"/>
    <w:rsid w:val="003E6881"/>
    <w:rsid w:val="003E68B3"/>
    <w:rsid w:val="003E68D7"/>
    <w:rsid w:val="003E68FB"/>
    <w:rsid w:val="003E691D"/>
    <w:rsid w:val="003E69B9"/>
    <w:rsid w:val="003E6B02"/>
    <w:rsid w:val="003E6B8C"/>
    <w:rsid w:val="003E6B9D"/>
    <w:rsid w:val="003E6BB7"/>
    <w:rsid w:val="003E6BCD"/>
    <w:rsid w:val="003E6BD3"/>
    <w:rsid w:val="003E6CAF"/>
    <w:rsid w:val="003E6CC7"/>
    <w:rsid w:val="003E6D03"/>
    <w:rsid w:val="003E6D23"/>
    <w:rsid w:val="003E6D55"/>
    <w:rsid w:val="003E6D86"/>
    <w:rsid w:val="003E6DC7"/>
    <w:rsid w:val="003E6DF1"/>
    <w:rsid w:val="003E6E0F"/>
    <w:rsid w:val="003E6E65"/>
    <w:rsid w:val="003E7029"/>
    <w:rsid w:val="003E71D3"/>
    <w:rsid w:val="003E740A"/>
    <w:rsid w:val="003E7458"/>
    <w:rsid w:val="003E74AF"/>
    <w:rsid w:val="003E74DE"/>
    <w:rsid w:val="003E7662"/>
    <w:rsid w:val="003E76E5"/>
    <w:rsid w:val="003E770E"/>
    <w:rsid w:val="003E7759"/>
    <w:rsid w:val="003E77A9"/>
    <w:rsid w:val="003E782B"/>
    <w:rsid w:val="003E7882"/>
    <w:rsid w:val="003E7898"/>
    <w:rsid w:val="003E78D0"/>
    <w:rsid w:val="003E78F3"/>
    <w:rsid w:val="003E794C"/>
    <w:rsid w:val="003E7959"/>
    <w:rsid w:val="003E7A2B"/>
    <w:rsid w:val="003E7A9F"/>
    <w:rsid w:val="003E7B28"/>
    <w:rsid w:val="003E7B50"/>
    <w:rsid w:val="003E7B62"/>
    <w:rsid w:val="003E7BF1"/>
    <w:rsid w:val="003E7C11"/>
    <w:rsid w:val="003E7C76"/>
    <w:rsid w:val="003E7CEE"/>
    <w:rsid w:val="003E7D1F"/>
    <w:rsid w:val="003E7D3D"/>
    <w:rsid w:val="003E7D51"/>
    <w:rsid w:val="003E7D56"/>
    <w:rsid w:val="003E7D57"/>
    <w:rsid w:val="003E7D8D"/>
    <w:rsid w:val="003E7DEF"/>
    <w:rsid w:val="003E7EF8"/>
    <w:rsid w:val="003E7F27"/>
    <w:rsid w:val="003E7F3B"/>
    <w:rsid w:val="003E7FE5"/>
    <w:rsid w:val="003F0015"/>
    <w:rsid w:val="003F001B"/>
    <w:rsid w:val="003F002E"/>
    <w:rsid w:val="003F0048"/>
    <w:rsid w:val="003F005F"/>
    <w:rsid w:val="003F01ED"/>
    <w:rsid w:val="003F0256"/>
    <w:rsid w:val="003F02C3"/>
    <w:rsid w:val="003F0338"/>
    <w:rsid w:val="003F0352"/>
    <w:rsid w:val="003F0371"/>
    <w:rsid w:val="003F0377"/>
    <w:rsid w:val="003F03CD"/>
    <w:rsid w:val="003F043B"/>
    <w:rsid w:val="003F0587"/>
    <w:rsid w:val="003F05F1"/>
    <w:rsid w:val="003F060D"/>
    <w:rsid w:val="003F0698"/>
    <w:rsid w:val="003F06EC"/>
    <w:rsid w:val="003F0701"/>
    <w:rsid w:val="003F0792"/>
    <w:rsid w:val="003F07ED"/>
    <w:rsid w:val="003F0823"/>
    <w:rsid w:val="003F0846"/>
    <w:rsid w:val="003F085C"/>
    <w:rsid w:val="003F0991"/>
    <w:rsid w:val="003F09B0"/>
    <w:rsid w:val="003F0A13"/>
    <w:rsid w:val="003F0A1B"/>
    <w:rsid w:val="003F0ABC"/>
    <w:rsid w:val="003F0B5B"/>
    <w:rsid w:val="003F0BA4"/>
    <w:rsid w:val="003F0BE3"/>
    <w:rsid w:val="003F0BE4"/>
    <w:rsid w:val="003F0CC3"/>
    <w:rsid w:val="003F0DD6"/>
    <w:rsid w:val="003F0E3F"/>
    <w:rsid w:val="003F0EE1"/>
    <w:rsid w:val="003F0F13"/>
    <w:rsid w:val="003F0F98"/>
    <w:rsid w:val="003F10B8"/>
    <w:rsid w:val="003F10E9"/>
    <w:rsid w:val="003F1108"/>
    <w:rsid w:val="003F1151"/>
    <w:rsid w:val="003F1181"/>
    <w:rsid w:val="003F1207"/>
    <w:rsid w:val="003F13A9"/>
    <w:rsid w:val="003F13AB"/>
    <w:rsid w:val="003F1445"/>
    <w:rsid w:val="003F1483"/>
    <w:rsid w:val="003F14C5"/>
    <w:rsid w:val="003F153B"/>
    <w:rsid w:val="003F1603"/>
    <w:rsid w:val="003F1669"/>
    <w:rsid w:val="003F16CD"/>
    <w:rsid w:val="003F16E4"/>
    <w:rsid w:val="003F175C"/>
    <w:rsid w:val="003F1766"/>
    <w:rsid w:val="003F1773"/>
    <w:rsid w:val="003F1841"/>
    <w:rsid w:val="003F186E"/>
    <w:rsid w:val="003F190E"/>
    <w:rsid w:val="003F1A2E"/>
    <w:rsid w:val="003F1A86"/>
    <w:rsid w:val="003F1A98"/>
    <w:rsid w:val="003F1A9E"/>
    <w:rsid w:val="003F1B0D"/>
    <w:rsid w:val="003F1BFD"/>
    <w:rsid w:val="003F1C57"/>
    <w:rsid w:val="003F1CAE"/>
    <w:rsid w:val="003F1CE0"/>
    <w:rsid w:val="003F1CF2"/>
    <w:rsid w:val="003F1D16"/>
    <w:rsid w:val="003F1D74"/>
    <w:rsid w:val="003F1DC6"/>
    <w:rsid w:val="003F1E62"/>
    <w:rsid w:val="003F1EBE"/>
    <w:rsid w:val="003F1EE7"/>
    <w:rsid w:val="003F1FC1"/>
    <w:rsid w:val="003F2052"/>
    <w:rsid w:val="003F20E0"/>
    <w:rsid w:val="003F2112"/>
    <w:rsid w:val="003F216A"/>
    <w:rsid w:val="003F217A"/>
    <w:rsid w:val="003F224F"/>
    <w:rsid w:val="003F226D"/>
    <w:rsid w:val="003F2304"/>
    <w:rsid w:val="003F232A"/>
    <w:rsid w:val="003F238D"/>
    <w:rsid w:val="003F23D6"/>
    <w:rsid w:val="003F23E3"/>
    <w:rsid w:val="003F23E9"/>
    <w:rsid w:val="003F2527"/>
    <w:rsid w:val="003F2533"/>
    <w:rsid w:val="003F253D"/>
    <w:rsid w:val="003F2554"/>
    <w:rsid w:val="003F25E8"/>
    <w:rsid w:val="003F262A"/>
    <w:rsid w:val="003F26A5"/>
    <w:rsid w:val="003F277E"/>
    <w:rsid w:val="003F283C"/>
    <w:rsid w:val="003F28C9"/>
    <w:rsid w:val="003F297B"/>
    <w:rsid w:val="003F297C"/>
    <w:rsid w:val="003F2A76"/>
    <w:rsid w:val="003F2AA9"/>
    <w:rsid w:val="003F2B89"/>
    <w:rsid w:val="003F2BDE"/>
    <w:rsid w:val="003F2C1A"/>
    <w:rsid w:val="003F2CDB"/>
    <w:rsid w:val="003F2CED"/>
    <w:rsid w:val="003F2D23"/>
    <w:rsid w:val="003F2DBA"/>
    <w:rsid w:val="003F2DFD"/>
    <w:rsid w:val="003F2EA6"/>
    <w:rsid w:val="003F2F76"/>
    <w:rsid w:val="003F30E1"/>
    <w:rsid w:val="003F31AA"/>
    <w:rsid w:val="003F3238"/>
    <w:rsid w:val="003F339D"/>
    <w:rsid w:val="003F340C"/>
    <w:rsid w:val="003F3444"/>
    <w:rsid w:val="003F3452"/>
    <w:rsid w:val="003F3477"/>
    <w:rsid w:val="003F34AB"/>
    <w:rsid w:val="003F3521"/>
    <w:rsid w:val="003F3529"/>
    <w:rsid w:val="003F354F"/>
    <w:rsid w:val="003F3551"/>
    <w:rsid w:val="003F35F7"/>
    <w:rsid w:val="003F361B"/>
    <w:rsid w:val="003F365C"/>
    <w:rsid w:val="003F36F6"/>
    <w:rsid w:val="003F3831"/>
    <w:rsid w:val="003F387F"/>
    <w:rsid w:val="003F390F"/>
    <w:rsid w:val="003F3992"/>
    <w:rsid w:val="003F3BFC"/>
    <w:rsid w:val="003F3C05"/>
    <w:rsid w:val="003F3C0A"/>
    <w:rsid w:val="003F3C10"/>
    <w:rsid w:val="003F3C61"/>
    <w:rsid w:val="003F3CB0"/>
    <w:rsid w:val="003F3D75"/>
    <w:rsid w:val="003F3D8A"/>
    <w:rsid w:val="003F3E1E"/>
    <w:rsid w:val="003F3E47"/>
    <w:rsid w:val="003F3E54"/>
    <w:rsid w:val="003F3EBE"/>
    <w:rsid w:val="003F3EFD"/>
    <w:rsid w:val="003F4087"/>
    <w:rsid w:val="003F4102"/>
    <w:rsid w:val="003F411A"/>
    <w:rsid w:val="003F4135"/>
    <w:rsid w:val="003F4144"/>
    <w:rsid w:val="003F4175"/>
    <w:rsid w:val="003F41AB"/>
    <w:rsid w:val="003F41F9"/>
    <w:rsid w:val="003F429A"/>
    <w:rsid w:val="003F435D"/>
    <w:rsid w:val="003F4380"/>
    <w:rsid w:val="003F43DD"/>
    <w:rsid w:val="003F4404"/>
    <w:rsid w:val="003F441D"/>
    <w:rsid w:val="003F44EE"/>
    <w:rsid w:val="003F4531"/>
    <w:rsid w:val="003F46C8"/>
    <w:rsid w:val="003F4791"/>
    <w:rsid w:val="003F47F9"/>
    <w:rsid w:val="003F47FD"/>
    <w:rsid w:val="003F4865"/>
    <w:rsid w:val="003F48CE"/>
    <w:rsid w:val="003F48F5"/>
    <w:rsid w:val="003F4911"/>
    <w:rsid w:val="003F496D"/>
    <w:rsid w:val="003F4A0B"/>
    <w:rsid w:val="003F4A3E"/>
    <w:rsid w:val="003F4A51"/>
    <w:rsid w:val="003F4A82"/>
    <w:rsid w:val="003F4A94"/>
    <w:rsid w:val="003F4C90"/>
    <w:rsid w:val="003F4CD6"/>
    <w:rsid w:val="003F4CE9"/>
    <w:rsid w:val="003F4D65"/>
    <w:rsid w:val="003F4D99"/>
    <w:rsid w:val="003F4DA6"/>
    <w:rsid w:val="003F4DAE"/>
    <w:rsid w:val="003F4DC8"/>
    <w:rsid w:val="003F4E30"/>
    <w:rsid w:val="003F4EB2"/>
    <w:rsid w:val="003F4EF6"/>
    <w:rsid w:val="003F4F6D"/>
    <w:rsid w:val="003F4F90"/>
    <w:rsid w:val="003F4FDA"/>
    <w:rsid w:val="003F501A"/>
    <w:rsid w:val="003F5035"/>
    <w:rsid w:val="003F50F7"/>
    <w:rsid w:val="003F5101"/>
    <w:rsid w:val="003F5113"/>
    <w:rsid w:val="003F516A"/>
    <w:rsid w:val="003F522D"/>
    <w:rsid w:val="003F525F"/>
    <w:rsid w:val="003F5285"/>
    <w:rsid w:val="003F529E"/>
    <w:rsid w:val="003F53B2"/>
    <w:rsid w:val="003F5456"/>
    <w:rsid w:val="003F5482"/>
    <w:rsid w:val="003F55AD"/>
    <w:rsid w:val="003F5618"/>
    <w:rsid w:val="003F5658"/>
    <w:rsid w:val="003F574A"/>
    <w:rsid w:val="003F59C2"/>
    <w:rsid w:val="003F5A70"/>
    <w:rsid w:val="003F5AD3"/>
    <w:rsid w:val="003F5B35"/>
    <w:rsid w:val="003F5B6C"/>
    <w:rsid w:val="003F5BA8"/>
    <w:rsid w:val="003F5BEB"/>
    <w:rsid w:val="003F5BED"/>
    <w:rsid w:val="003F5BEE"/>
    <w:rsid w:val="003F5C03"/>
    <w:rsid w:val="003F5CA5"/>
    <w:rsid w:val="003F5CB9"/>
    <w:rsid w:val="003F5CD0"/>
    <w:rsid w:val="003F5CF5"/>
    <w:rsid w:val="003F5D40"/>
    <w:rsid w:val="003F5D47"/>
    <w:rsid w:val="003F5D84"/>
    <w:rsid w:val="003F5DFA"/>
    <w:rsid w:val="003F5FB1"/>
    <w:rsid w:val="003F5FE2"/>
    <w:rsid w:val="003F6023"/>
    <w:rsid w:val="003F6073"/>
    <w:rsid w:val="003F60E2"/>
    <w:rsid w:val="003F6103"/>
    <w:rsid w:val="003F61EC"/>
    <w:rsid w:val="003F61FB"/>
    <w:rsid w:val="003F6266"/>
    <w:rsid w:val="003F62F4"/>
    <w:rsid w:val="003F6475"/>
    <w:rsid w:val="003F64B5"/>
    <w:rsid w:val="003F65A3"/>
    <w:rsid w:val="003F65DE"/>
    <w:rsid w:val="003F66D6"/>
    <w:rsid w:val="003F6708"/>
    <w:rsid w:val="003F670F"/>
    <w:rsid w:val="003F674C"/>
    <w:rsid w:val="003F686D"/>
    <w:rsid w:val="003F68B1"/>
    <w:rsid w:val="003F68BC"/>
    <w:rsid w:val="003F69BE"/>
    <w:rsid w:val="003F69F1"/>
    <w:rsid w:val="003F6AC6"/>
    <w:rsid w:val="003F6B06"/>
    <w:rsid w:val="003F6CFA"/>
    <w:rsid w:val="003F6DE2"/>
    <w:rsid w:val="003F6E06"/>
    <w:rsid w:val="003F6E29"/>
    <w:rsid w:val="003F6E61"/>
    <w:rsid w:val="003F6E73"/>
    <w:rsid w:val="003F6E96"/>
    <w:rsid w:val="003F6EE1"/>
    <w:rsid w:val="003F6F8C"/>
    <w:rsid w:val="003F7044"/>
    <w:rsid w:val="003F7047"/>
    <w:rsid w:val="003F713E"/>
    <w:rsid w:val="003F71B3"/>
    <w:rsid w:val="003F71FB"/>
    <w:rsid w:val="003F7254"/>
    <w:rsid w:val="003F736C"/>
    <w:rsid w:val="003F7388"/>
    <w:rsid w:val="003F7389"/>
    <w:rsid w:val="003F7538"/>
    <w:rsid w:val="003F75F3"/>
    <w:rsid w:val="003F76BB"/>
    <w:rsid w:val="003F7710"/>
    <w:rsid w:val="003F772B"/>
    <w:rsid w:val="003F7746"/>
    <w:rsid w:val="003F777B"/>
    <w:rsid w:val="003F77AE"/>
    <w:rsid w:val="003F78E9"/>
    <w:rsid w:val="003F78F4"/>
    <w:rsid w:val="003F7906"/>
    <w:rsid w:val="003F7948"/>
    <w:rsid w:val="003F7A07"/>
    <w:rsid w:val="003F7A78"/>
    <w:rsid w:val="003F7AE5"/>
    <w:rsid w:val="003F7AFF"/>
    <w:rsid w:val="003F7B7E"/>
    <w:rsid w:val="003F7B96"/>
    <w:rsid w:val="003F7CEE"/>
    <w:rsid w:val="003F7D5B"/>
    <w:rsid w:val="003F7DB5"/>
    <w:rsid w:val="003F7DB7"/>
    <w:rsid w:val="003F7DD8"/>
    <w:rsid w:val="003F7DF6"/>
    <w:rsid w:val="003F7E5B"/>
    <w:rsid w:val="003F7ED8"/>
    <w:rsid w:val="003F7FD9"/>
    <w:rsid w:val="0040003F"/>
    <w:rsid w:val="004000C4"/>
    <w:rsid w:val="00400218"/>
    <w:rsid w:val="00400298"/>
    <w:rsid w:val="004002BB"/>
    <w:rsid w:val="004002E3"/>
    <w:rsid w:val="00400334"/>
    <w:rsid w:val="004003B0"/>
    <w:rsid w:val="00400409"/>
    <w:rsid w:val="00400551"/>
    <w:rsid w:val="00400565"/>
    <w:rsid w:val="00400575"/>
    <w:rsid w:val="004005A5"/>
    <w:rsid w:val="004007BF"/>
    <w:rsid w:val="00400805"/>
    <w:rsid w:val="004008B9"/>
    <w:rsid w:val="004008C8"/>
    <w:rsid w:val="004008D4"/>
    <w:rsid w:val="004008F8"/>
    <w:rsid w:val="00400995"/>
    <w:rsid w:val="0040099B"/>
    <w:rsid w:val="004009A5"/>
    <w:rsid w:val="00400A3D"/>
    <w:rsid w:val="00400AB3"/>
    <w:rsid w:val="00400B01"/>
    <w:rsid w:val="00400B56"/>
    <w:rsid w:val="00400B82"/>
    <w:rsid w:val="00400BE0"/>
    <w:rsid w:val="00400BE6"/>
    <w:rsid w:val="00400CA9"/>
    <w:rsid w:val="00400CF9"/>
    <w:rsid w:val="00400D6D"/>
    <w:rsid w:val="00400DC5"/>
    <w:rsid w:val="00400DEE"/>
    <w:rsid w:val="00400E33"/>
    <w:rsid w:val="00400E46"/>
    <w:rsid w:val="00400EE6"/>
    <w:rsid w:val="00401036"/>
    <w:rsid w:val="00401206"/>
    <w:rsid w:val="00401278"/>
    <w:rsid w:val="00401286"/>
    <w:rsid w:val="004012AA"/>
    <w:rsid w:val="00401344"/>
    <w:rsid w:val="00401365"/>
    <w:rsid w:val="00401391"/>
    <w:rsid w:val="00401478"/>
    <w:rsid w:val="004014E0"/>
    <w:rsid w:val="004014F5"/>
    <w:rsid w:val="00401603"/>
    <w:rsid w:val="004016D2"/>
    <w:rsid w:val="0040171D"/>
    <w:rsid w:val="004017AC"/>
    <w:rsid w:val="0040180B"/>
    <w:rsid w:val="00401857"/>
    <w:rsid w:val="0040189C"/>
    <w:rsid w:val="0040189E"/>
    <w:rsid w:val="00401959"/>
    <w:rsid w:val="00401965"/>
    <w:rsid w:val="00401A04"/>
    <w:rsid w:val="00401B33"/>
    <w:rsid w:val="00401B70"/>
    <w:rsid w:val="00401CB0"/>
    <w:rsid w:val="00401CDF"/>
    <w:rsid w:val="00401D37"/>
    <w:rsid w:val="00401DF4"/>
    <w:rsid w:val="00401E1D"/>
    <w:rsid w:val="00401E30"/>
    <w:rsid w:val="0040205E"/>
    <w:rsid w:val="0040205F"/>
    <w:rsid w:val="004020EA"/>
    <w:rsid w:val="004021A6"/>
    <w:rsid w:val="004021F2"/>
    <w:rsid w:val="00402339"/>
    <w:rsid w:val="0040237D"/>
    <w:rsid w:val="00402417"/>
    <w:rsid w:val="00402431"/>
    <w:rsid w:val="0040244B"/>
    <w:rsid w:val="0040248A"/>
    <w:rsid w:val="0040253F"/>
    <w:rsid w:val="004025A7"/>
    <w:rsid w:val="00402662"/>
    <w:rsid w:val="0040271A"/>
    <w:rsid w:val="00402720"/>
    <w:rsid w:val="00402791"/>
    <w:rsid w:val="0040283E"/>
    <w:rsid w:val="00402860"/>
    <w:rsid w:val="00402889"/>
    <w:rsid w:val="004028A6"/>
    <w:rsid w:val="004028F7"/>
    <w:rsid w:val="004029A0"/>
    <w:rsid w:val="004029B9"/>
    <w:rsid w:val="004029FF"/>
    <w:rsid w:val="00402A00"/>
    <w:rsid w:val="00402A3E"/>
    <w:rsid w:val="00402A9C"/>
    <w:rsid w:val="00402BDA"/>
    <w:rsid w:val="00402CB2"/>
    <w:rsid w:val="00402CBB"/>
    <w:rsid w:val="00402DA5"/>
    <w:rsid w:val="00402E03"/>
    <w:rsid w:val="00402E1C"/>
    <w:rsid w:val="00402EE0"/>
    <w:rsid w:val="00402F1A"/>
    <w:rsid w:val="00402F73"/>
    <w:rsid w:val="00402F93"/>
    <w:rsid w:val="00402FF3"/>
    <w:rsid w:val="0040305F"/>
    <w:rsid w:val="00403068"/>
    <w:rsid w:val="004030FB"/>
    <w:rsid w:val="00403110"/>
    <w:rsid w:val="0040316A"/>
    <w:rsid w:val="0040317D"/>
    <w:rsid w:val="00403199"/>
    <w:rsid w:val="004031B7"/>
    <w:rsid w:val="0040325C"/>
    <w:rsid w:val="0040326A"/>
    <w:rsid w:val="00403298"/>
    <w:rsid w:val="00403393"/>
    <w:rsid w:val="0040344F"/>
    <w:rsid w:val="00403487"/>
    <w:rsid w:val="0040352F"/>
    <w:rsid w:val="00403579"/>
    <w:rsid w:val="00403588"/>
    <w:rsid w:val="004035A4"/>
    <w:rsid w:val="004035AD"/>
    <w:rsid w:val="004035F9"/>
    <w:rsid w:val="004035FE"/>
    <w:rsid w:val="00403632"/>
    <w:rsid w:val="004036FB"/>
    <w:rsid w:val="004037F1"/>
    <w:rsid w:val="00403815"/>
    <w:rsid w:val="00403893"/>
    <w:rsid w:val="00403989"/>
    <w:rsid w:val="00403A52"/>
    <w:rsid w:val="00403AEE"/>
    <w:rsid w:val="00403BAD"/>
    <w:rsid w:val="00403C4B"/>
    <w:rsid w:val="00403CA7"/>
    <w:rsid w:val="00403CC1"/>
    <w:rsid w:val="00403CFC"/>
    <w:rsid w:val="00403D00"/>
    <w:rsid w:val="00403D09"/>
    <w:rsid w:val="00403D89"/>
    <w:rsid w:val="00403D9F"/>
    <w:rsid w:val="00403E4F"/>
    <w:rsid w:val="00403F41"/>
    <w:rsid w:val="00403FF6"/>
    <w:rsid w:val="004040AB"/>
    <w:rsid w:val="0040412E"/>
    <w:rsid w:val="0040430A"/>
    <w:rsid w:val="00404324"/>
    <w:rsid w:val="004043D1"/>
    <w:rsid w:val="004043D3"/>
    <w:rsid w:val="004043DB"/>
    <w:rsid w:val="004043FA"/>
    <w:rsid w:val="00404496"/>
    <w:rsid w:val="00404527"/>
    <w:rsid w:val="0040454E"/>
    <w:rsid w:val="0040459E"/>
    <w:rsid w:val="0040461C"/>
    <w:rsid w:val="00404676"/>
    <w:rsid w:val="004046BC"/>
    <w:rsid w:val="0040471B"/>
    <w:rsid w:val="00404774"/>
    <w:rsid w:val="004047F2"/>
    <w:rsid w:val="00404805"/>
    <w:rsid w:val="00404851"/>
    <w:rsid w:val="004048A2"/>
    <w:rsid w:val="004048C3"/>
    <w:rsid w:val="004048F1"/>
    <w:rsid w:val="00404945"/>
    <w:rsid w:val="0040495D"/>
    <w:rsid w:val="004049C7"/>
    <w:rsid w:val="004049ED"/>
    <w:rsid w:val="00404A06"/>
    <w:rsid w:val="00404A63"/>
    <w:rsid w:val="00404AEC"/>
    <w:rsid w:val="00404B1F"/>
    <w:rsid w:val="00404BBA"/>
    <w:rsid w:val="00404C66"/>
    <w:rsid w:val="00404D1D"/>
    <w:rsid w:val="00404D2D"/>
    <w:rsid w:val="00404EB9"/>
    <w:rsid w:val="00404EC6"/>
    <w:rsid w:val="00404EF2"/>
    <w:rsid w:val="00404F55"/>
    <w:rsid w:val="00404FEC"/>
    <w:rsid w:val="00405015"/>
    <w:rsid w:val="00405026"/>
    <w:rsid w:val="004050B4"/>
    <w:rsid w:val="0040515C"/>
    <w:rsid w:val="0040526D"/>
    <w:rsid w:val="00405310"/>
    <w:rsid w:val="00405363"/>
    <w:rsid w:val="0040536E"/>
    <w:rsid w:val="00405566"/>
    <w:rsid w:val="004055EF"/>
    <w:rsid w:val="004055F6"/>
    <w:rsid w:val="00405612"/>
    <w:rsid w:val="00405683"/>
    <w:rsid w:val="004056E0"/>
    <w:rsid w:val="00405707"/>
    <w:rsid w:val="004057CA"/>
    <w:rsid w:val="004057DB"/>
    <w:rsid w:val="00405874"/>
    <w:rsid w:val="004058A9"/>
    <w:rsid w:val="004058BD"/>
    <w:rsid w:val="004058CB"/>
    <w:rsid w:val="00405913"/>
    <w:rsid w:val="0040596F"/>
    <w:rsid w:val="00405991"/>
    <w:rsid w:val="004059AC"/>
    <w:rsid w:val="00405A8B"/>
    <w:rsid w:val="00405AD9"/>
    <w:rsid w:val="00405BC0"/>
    <w:rsid w:val="00405BDF"/>
    <w:rsid w:val="00405C46"/>
    <w:rsid w:val="00405CBE"/>
    <w:rsid w:val="00405E66"/>
    <w:rsid w:val="00405ED7"/>
    <w:rsid w:val="00405EF6"/>
    <w:rsid w:val="00405F55"/>
    <w:rsid w:val="00405F73"/>
    <w:rsid w:val="0040607B"/>
    <w:rsid w:val="004060EA"/>
    <w:rsid w:val="00406169"/>
    <w:rsid w:val="0040621A"/>
    <w:rsid w:val="0040632C"/>
    <w:rsid w:val="0040633D"/>
    <w:rsid w:val="004064B9"/>
    <w:rsid w:val="004064E0"/>
    <w:rsid w:val="0040652C"/>
    <w:rsid w:val="00406538"/>
    <w:rsid w:val="00406561"/>
    <w:rsid w:val="00406584"/>
    <w:rsid w:val="0040661D"/>
    <w:rsid w:val="00406628"/>
    <w:rsid w:val="004066B8"/>
    <w:rsid w:val="004067FA"/>
    <w:rsid w:val="0040686E"/>
    <w:rsid w:val="0040692B"/>
    <w:rsid w:val="0040698B"/>
    <w:rsid w:val="00406A2B"/>
    <w:rsid w:val="00406A6A"/>
    <w:rsid w:val="00406A89"/>
    <w:rsid w:val="00406AAE"/>
    <w:rsid w:val="00406AE5"/>
    <w:rsid w:val="00406B1C"/>
    <w:rsid w:val="00406C3D"/>
    <w:rsid w:val="00406C98"/>
    <w:rsid w:val="00406DA3"/>
    <w:rsid w:val="00406DD5"/>
    <w:rsid w:val="00406DE5"/>
    <w:rsid w:val="00406E43"/>
    <w:rsid w:val="00406EB8"/>
    <w:rsid w:val="00406F98"/>
    <w:rsid w:val="00406FC5"/>
    <w:rsid w:val="00406FC9"/>
    <w:rsid w:val="00407047"/>
    <w:rsid w:val="0040710D"/>
    <w:rsid w:val="00407169"/>
    <w:rsid w:val="0040718A"/>
    <w:rsid w:val="0040719A"/>
    <w:rsid w:val="004071D5"/>
    <w:rsid w:val="004071D6"/>
    <w:rsid w:val="004071DA"/>
    <w:rsid w:val="004071F1"/>
    <w:rsid w:val="00407215"/>
    <w:rsid w:val="0040739E"/>
    <w:rsid w:val="004073A1"/>
    <w:rsid w:val="004073E8"/>
    <w:rsid w:val="00407403"/>
    <w:rsid w:val="00407472"/>
    <w:rsid w:val="00407493"/>
    <w:rsid w:val="004076E3"/>
    <w:rsid w:val="00407793"/>
    <w:rsid w:val="004077DC"/>
    <w:rsid w:val="004077EB"/>
    <w:rsid w:val="00407889"/>
    <w:rsid w:val="004078AB"/>
    <w:rsid w:val="004078E7"/>
    <w:rsid w:val="004078F1"/>
    <w:rsid w:val="004079BA"/>
    <w:rsid w:val="004079CB"/>
    <w:rsid w:val="004079F8"/>
    <w:rsid w:val="00407A1B"/>
    <w:rsid w:val="00407B57"/>
    <w:rsid w:val="00407C1B"/>
    <w:rsid w:val="00407C28"/>
    <w:rsid w:val="00407CED"/>
    <w:rsid w:val="00407D12"/>
    <w:rsid w:val="00407D2F"/>
    <w:rsid w:val="00407D9A"/>
    <w:rsid w:val="00407DE2"/>
    <w:rsid w:val="00407E17"/>
    <w:rsid w:val="00407E81"/>
    <w:rsid w:val="00407E89"/>
    <w:rsid w:val="00407EB3"/>
    <w:rsid w:val="00407F5B"/>
    <w:rsid w:val="00407F8E"/>
    <w:rsid w:val="00407FC4"/>
    <w:rsid w:val="0040FB0C"/>
    <w:rsid w:val="0041002D"/>
    <w:rsid w:val="0041003A"/>
    <w:rsid w:val="00410185"/>
    <w:rsid w:val="0041018A"/>
    <w:rsid w:val="0041018D"/>
    <w:rsid w:val="004102C1"/>
    <w:rsid w:val="004103FE"/>
    <w:rsid w:val="004104F1"/>
    <w:rsid w:val="004105C3"/>
    <w:rsid w:val="00410678"/>
    <w:rsid w:val="0041067D"/>
    <w:rsid w:val="00410770"/>
    <w:rsid w:val="00410854"/>
    <w:rsid w:val="004108AC"/>
    <w:rsid w:val="00410929"/>
    <w:rsid w:val="004109EE"/>
    <w:rsid w:val="00410A0A"/>
    <w:rsid w:val="00410A2D"/>
    <w:rsid w:val="00410A44"/>
    <w:rsid w:val="00410A95"/>
    <w:rsid w:val="00410AB6"/>
    <w:rsid w:val="00410ACB"/>
    <w:rsid w:val="00410BF2"/>
    <w:rsid w:val="00410D29"/>
    <w:rsid w:val="00410D7E"/>
    <w:rsid w:val="00410D8A"/>
    <w:rsid w:val="00410E50"/>
    <w:rsid w:val="00410E71"/>
    <w:rsid w:val="00410E74"/>
    <w:rsid w:val="00410EB5"/>
    <w:rsid w:val="00410EF0"/>
    <w:rsid w:val="00410F0C"/>
    <w:rsid w:val="00410F67"/>
    <w:rsid w:val="00410F68"/>
    <w:rsid w:val="00410F93"/>
    <w:rsid w:val="00410FED"/>
    <w:rsid w:val="0041101E"/>
    <w:rsid w:val="00411082"/>
    <w:rsid w:val="004110B6"/>
    <w:rsid w:val="004110D4"/>
    <w:rsid w:val="004110DD"/>
    <w:rsid w:val="0041119D"/>
    <w:rsid w:val="0041120D"/>
    <w:rsid w:val="00411404"/>
    <w:rsid w:val="004114E3"/>
    <w:rsid w:val="0041150A"/>
    <w:rsid w:val="00411529"/>
    <w:rsid w:val="00411543"/>
    <w:rsid w:val="00411570"/>
    <w:rsid w:val="00411593"/>
    <w:rsid w:val="004116CC"/>
    <w:rsid w:val="004116EC"/>
    <w:rsid w:val="00411807"/>
    <w:rsid w:val="00411809"/>
    <w:rsid w:val="00411849"/>
    <w:rsid w:val="0041189B"/>
    <w:rsid w:val="004118C9"/>
    <w:rsid w:val="004118E8"/>
    <w:rsid w:val="0041190E"/>
    <w:rsid w:val="0041193C"/>
    <w:rsid w:val="004119FA"/>
    <w:rsid w:val="00411A52"/>
    <w:rsid w:val="00411A90"/>
    <w:rsid w:val="00411ABD"/>
    <w:rsid w:val="00411AD5"/>
    <w:rsid w:val="00411B19"/>
    <w:rsid w:val="00411C40"/>
    <w:rsid w:val="00411C58"/>
    <w:rsid w:val="00411C66"/>
    <w:rsid w:val="00411D56"/>
    <w:rsid w:val="00411E2B"/>
    <w:rsid w:val="00411E35"/>
    <w:rsid w:val="00411EAD"/>
    <w:rsid w:val="00411F55"/>
    <w:rsid w:val="00411F97"/>
    <w:rsid w:val="004120FA"/>
    <w:rsid w:val="00412121"/>
    <w:rsid w:val="004121D0"/>
    <w:rsid w:val="0041225A"/>
    <w:rsid w:val="004122B8"/>
    <w:rsid w:val="00412338"/>
    <w:rsid w:val="0041239D"/>
    <w:rsid w:val="004123EB"/>
    <w:rsid w:val="0041241A"/>
    <w:rsid w:val="00412480"/>
    <w:rsid w:val="0041248C"/>
    <w:rsid w:val="004124DF"/>
    <w:rsid w:val="004124E7"/>
    <w:rsid w:val="0041250E"/>
    <w:rsid w:val="00412543"/>
    <w:rsid w:val="0041258F"/>
    <w:rsid w:val="00412681"/>
    <w:rsid w:val="004126D5"/>
    <w:rsid w:val="00412883"/>
    <w:rsid w:val="004128F4"/>
    <w:rsid w:val="00412925"/>
    <w:rsid w:val="0041296A"/>
    <w:rsid w:val="00412ACB"/>
    <w:rsid w:val="00412BB5"/>
    <w:rsid w:val="00412D3A"/>
    <w:rsid w:val="00412DA3"/>
    <w:rsid w:val="00412DF1"/>
    <w:rsid w:val="00412E25"/>
    <w:rsid w:val="00412E5B"/>
    <w:rsid w:val="00412E8C"/>
    <w:rsid w:val="00412F31"/>
    <w:rsid w:val="00412F85"/>
    <w:rsid w:val="00413083"/>
    <w:rsid w:val="004130E8"/>
    <w:rsid w:val="004131E5"/>
    <w:rsid w:val="0041321F"/>
    <w:rsid w:val="0041322E"/>
    <w:rsid w:val="00413248"/>
    <w:rsid w:val="00413273"/>
    <w:rsid w:val="004132AF"/>
    <w:rsid w:val="0041339F"/>
    <w:rsid w:val="004133AC"/>
    <w:rsid w:val="00413449"/>
    <w:rsid w:val="00413463"/>
    <w:rsid w:val="0041346F"/>
    <w:rsid w:val="004134B8"/>
    <w:rsid w:val="004135B9"/>
    <w:rsid w:val="00413620"/>
    <w:rsid w:val="00413622"/>
    <w:rsid w:val="00413623"/>
    <w:rsid w:val="00413752"/>
    <w:rsid w:val="004137A0"/>
    <w:rsid w:val="00413802"/>
    <w:rsid w:val="0041384D"/>
    <w:rsid w:val="00413865"/>
    <w:rsid w:val="004139A9"/>
    <w:rsid w:val="004139D8"/>
    <w:rsid w:val="00413A0A"/>
    <w:rsid w:val="00413A7F"/>
    <w:rsid w:val="00413AAF"/>
    <w:rsid w:val="00413B2C"/>
    <w:rsid w:val="00413BE2"/>
    <w:rsid w:val="00413C25"/>
    <w:rsid w:val="00413C4C"/>
    <w:rsid w:val="00413C9E"/>
    <w:rsid w:val="00413D35"/>
    <w:rsid w:val="00413D49"/>
    <w:rsid w:val="00413D66"/>
    <w:rsid w:val="00413D88"/>
    <w:rsid w:val="00413DF8"/>
    <w:rsid w:val="00413E0F"/>
    <w:rsid w:val="00413E31"/>
    <w:rsid w:val="00413E9C"/>
    <w:rsid w:val="00413F5E"/>
    <w:rsid w:val="00413FBC"/>
    <w:rsid w:val="0041402B"/>
    <w:rsid w:val="0041406E"/>
    <w:rsid w:val="00414184"/>
    <w:rsid w:val="0041418E"/>
    <w:rsid w:val="004141CE"/>
    <w:rsid w:val="00414250"/>
    <w:rsid w:val="0041427A"/>
    <w:rsid w:val="00414282"/>
    <w:rsid w:val="004142E7"/>
    <w:rsid w:val="0041432D"/>
    <w:rsid w:val="00414336"/>
    <w:rsid w:val="004143C9"/>
    <w:rsid w:val="0041455D"/>
    <w:rsid w:val="0041459E"/>
    <w:rsid w:val="00414691"/>
    <w:rsid w:val="004146B7"/>
    <w:rsid w:val="00414785"/>
    <w:rsid w:val="004147B5"/>
    <w:rsid w:val="004147B9"/>
    <w:rsid w:val="00414857"/>
    <w:rsid w:val="00414877"/>
    <w:rsid w:val="00414ABE"/>
    <w:rsid w:val="00414AC9"/>
    <w:rsid w:val="00414B3F"/>
    <w:rsid w:val="00414B50"/>
    <w:rsid w:val="00414BEF"/>
    <w:rsid w:val="00414C1D"/>
    <w:rsid w:val="00414D75"/>
    <w:rsid w:val="00414D7A"/>
    <w:rsid w:val="00414E79"/>
    <w:rsid w:val="00414F89"/>
    <w:rsid w:val="00414FC6"/>
    <w:rsid w:val="004150A3"/>
    <w:rsid w:val="0041521A"/>
    <w:rsid w:val="004152AB"/>
    <w:rsid w:val="0041533A"/>
    <w:rsid w:val="004153B7"/>
    <w:rsid w:val="004153D3"/>
    <w:rsid w:val="00415507"/>
    <w:rsid w:val="0041558D"/>
    <w:rsid w:val="004155FB"/>
    <w:rsid w:val="004156AF"/>
    <w:rsid w:val="004156BF"/>
    <w:rsid w:val="004156C4"/>
    <w:rsid w:val="004156D0"/>
    <w:rsid w:val="004157A6"/>
    <w:rsid w:val="004157FB"/>
    <w:rsid w:val="00415822"/>
    <w:rsid w:val="00415847"/>
    <w:rsid w:val="004158A3"/>
    <w:rsid w:val="0041591B"/>
    <w:rsid w:val="00415963"/>
    <w:rsid w:val="00415A06"/>
    <w:rsid w:val="00415A08"/>
    <w:rsid w:val="00415A1B"/>
    <w:rsid w:val="00415AD4"/>
    <w:rsid w:val="00415B37"/>
    <w:rsid w:val="00415B4C"/>
    <w:rsid w:val="00415B5F"/>
    <w:rsid w:val="00415C08"/>
    <w:rsid w:val="00415CED"/>
    <w:rsid w:val="00415CF0"/>
    <w:rsid w:val="00415D11"/>
    <w:rsid w:val="00415D1F"/>
    <w:rsid w:val="00415DCD"/>
    <w:rsid w:val="00415DFF"/>
    <w:rsid w:val="00415E03"/>
    <w:rsid w:val="00415E45"/>
    <w:rsid w:val="00415E47"/>
    <w:rsid w:val="00415EC4"/>
    <w:rsid w:val="00415F0B"/>
    <w:rsid w:val="00415F7A"/>
    <w:rsid w:val="00415F8A"/>
    <w:rsid w:val="00415FA0"/>
    <w:rsid w:val="00415FED"/>
    <w:rsid w:val="00416083"/>
    <w:rsid w:val="0041609D"/>
    <w:rsid w:val="004160E8"/>
    <w:rsid w:val="004160F3"/>
    <w:rsid w:val="00416123"/>
    <w:rsid w:val="00416203"/>
    <w:rsid w:val="00416286"/>
    <w:rsid w:val="0041631E"/>
    <w:rsid w:val="0041633E"/>
    <w:rsid w:val="004164E9"/>
    <w:rsid w:val="004164FB"/>
    <w:rsid w:val="004164FF"/>
    <w:rsid w:val="00416519"/>
    <w:rsid w:val="00416523"/>
    <w:rsid w:val="00416582"/>
    <w:rsid w:val="0041659C"/>
    <w:rsid w:val="00416644"/>
    <w:rsid w:val="004166FE"/>
    <w:rsid w:val="00416754"/>
    <w:rsid w:val="0041682A"/>
    <w:rsid w:val="0041685C"/>
    <w:rsid w:val="00416976"/>
    <w:rsid w:val="0041697F"/>
    <w:rsid w:val="004169AD"/>
    <w:rsid w:val="00416A00"/>
    <w:rsid w:val="00416A11"/>
    <w:rsid w:val="00416A20"/>
    <w:rsid w:val="00416B62"/>
    <w:rsid w:val="00416B67"/>
    <w:rsid w:val="00416B8A"/>
    <w:rsid w:val="00416BC7"/>
    <w:rsid w:val="00416C2B"/>
    <w:rsid w:val="00416C7B"/>
    <w:rsid w:val="00416D18"/>
    <w:rsid w:val="00416D60"/>
    <w:rsid w:val="00416D74"/>
    <w:rsid w:val="00416DDE"/>
    <w:rsid w:val="00416E2C"/>
    <w:rsid w:val="00416E2F"/>
    <w:rsid w:val="00416E6A"/>
    <w:rsid w:val="00416F20"/>
    <w:rsid w:val="00416F41"/>
    <w:rsid w:val="00416FD8"/>
    <w:rsid w:val="00416FF2"/>
    <w:rsid w:val="004170C0"/>
    <w:rsid w:val="004170F7"/>
    <w:rsid w:val="00417117"/>
    <w:rsid w:val="00417269"/>
    <w:rsid w:val="004172EF"/>
    <w:rsid w:val="00417389"/>
    <w:rsid w:val="00417599"/>
    <w:rsid w:val="004175F4"/>
    <w:rsid w:val="004175F6"/>
    <w:rsid w:val="00417621"/>
    <w:rsid w:val="004176B1"/>
    <w:rsid w:val="0041770A"/>
    <w:rsid w:val="004177D2"/>
    <w:rsid w:val="00417869"/>
    <w:rsid w:val="0041787E"/>
    <w:rsid w:val="004178B2"/>
    <w:rsid w:val="004178CF"/>
    <w:rsid w:val="004178D9"/>
    <w:rsid w:val="004179FE"/>
    <w:rsid w:val="00417A59"/>
    <w:rsid w:val="00417A6E"/>
    <w:rsid w:val="00417AD8"/>
    <w:rsid w:val="00417B66"/>
    <w:rsid w:val="00417CBE"/>
    <w:rsid w:val="00417D6E"/>
    <w:rsid w:val="00417D77"/>
    <w:rsid w:val="00417E0F"/>
    <w:rsid w:val="00417E71"/>
    <w:rsid w:val="00417E86"/>
    <w:rsid w:val="00417F92"/>
    <w:rsid w:val="0041F3BE"/>
    <w:rsid w:val="00420015"/>
    <w:rsid w:val="00420147"/>
    <w:rsid w:val="00420187"/>
    <w:rsid w:val="004201A3"/>
    <w:rsid w:val="00420209"/>
    <w:rsid w:val="004202BF"/>
    <w:rsid w:val="004202F6"/>
    <w:rsid w:val="0042041D"/>
    <w:rsid w:val="004204AD"/>
    <w:rsid w:val="004204F8"/>
    <w:rsid w:val="00420533"/>
    <w:rsid w:val="00420567"/>
    <w:rsid w:val="00420596"/>
    <w:rsid w:val="0042059F"/>
    <w:rsid w:val="004205D0"/>
    <w:rsid w:val="00420602"/>
    <w:rsid w:val="0042068C"/>
    <w:rsid w:val="004206AB"/>
    <w:rsid w:val="004206BD"/>
    <w:rsid w:val="004207A5"/>
    <w:rsid w:val="00420836"/>
    <w:rsid w:val="004208C3"/>
    <w:rsid w:val="004209B5"/>
    <w:rsid w:val="00420B96"/>
    <w:rsid w:val="00420C4B"/>
    <w:rsid w:val="00420CC3"/>
    <w:rsid w:val="00420D03"/>
    <w:rsid w:val="00420E4E"/>
    <w:rsid w:val="00420ED0"/>
    <w:rsid w:val="00420F02"/>
    <w:rsid w:val="00420F8A"/>
    <w:rsid w:val="00420FE1"/>
    <w:rsid w:val="004210F5"/>
    <w:rsid w:val="0042110E"/>
    <w:rsid w:val="0042112F"/>
    <w:rsid w:val="0042119A"/>
    <w:rsid w:val="004211DF"/>
    <w:rsid w:val="0042121A"/>
    <w:rsid w:val="004212DC"/>
    <w:rsid w:val="00421345"/>
    <w:rsid w:val="00421346"/>
    <w:rsid w:val="004214C2"/>
    <w:rsid w:val="004214E8"/>
    <w:rsid w:val="0042158B"/>
    <w:rsid w:val="00421593"/>
    <w:rsid w:val="0042159E"/>
    <w:rsid w:val="004215C7"/>
    <w:rsid w:val="004216BB"/>
    <w:rsid w:val="004216E7"/>
    <w:rsid w:val="0042174D"/>
    <w:rsid w:val="00421786"/>
    <w:rsid w:val="004217AE"/>
    <w:rsid w:val="004218C1"/>
    <w:rsid w:val="004218CF"/>
    <w:rsid w:val="004218F6"/>
    <w:rsid w:val="00421910"/>
    <w:rsid w:val="00421975"/>
    <w:rsid w:val="0042198F"/>
    <w:rsid w:val="00421A59"/>
    <w:rsid w:val="00421A8E"/>
    <w:rsid w:val="00421AB4"/>
    <w:rsid w:val="00421ACB"/>
    <w:rsid w:val="00421B02"/>
    <w:rsid w:val="00421BE1"/>
    <w:rsid w:val="00421BE9"/>
    <w:rsid w:val="00421D0D"/>
    <w:rsid w:val="00421D82"/>
    <w:rsid w:val="00421E34"/>
    <w:rsid w:val="00421EA5"/>
    <w:rsid w:val="00421EBE"/>
    <w:rsid w:val="00421EDE"/>
    <w:rsid w:val="00421F39"/>
    <w:rsid w:val="00422020"/>
    <w:rsid w:val="004220B0"/>
    <w:rsid w:val="004220BE"/>
    <w:rsid w:val="004220FF"/>
    <w:rsid w:val="0042218D"/>
    <w:rsid w:val="004221A8"/>
    <w:rsid w:val="004221E9"/>
    <w:rsid w:val="004221EB"/>
    <w:rsid w:val="00422233"/>
    <w:rsid w:val="00422303"/>
    <w:rsid w:val="0042239D"/>
    <w:rsid w:val="004223C0"/>
    <w:rsid w:val="00422428"/>
    <w:rsid w:val="00422556"/>
    <w:rsid w:val="00422594"/>
    <w:rsid w:val="004225B2"/>
    <w:rsid w:val="004225F5"/>
    <w:rsid w:val="004225F6"/>
    <w:rsid w:val="0042268B"/>
    <w:rsid w:val="004226EB"/>
    <w:rsid w:val="004226ED"/>
    <w:rsid w:val="0042278F"/>
    <w:rsid w:val="004227C3"/>
    <w:rsid w:val="004227D8"/>
    <w:rsid w:val="004227F8"/>
    <w:rsid w:val="0042280E"/>
    <w:rsid w:val="004228CB"/>
    <w:rsid w:val="004228DB"/>
    <w:rsid w:val="00422922"/>
    <w:rsid w:val="0042293D"/>
    <w:rsid w:val="00422943"/>
    <w:rsid w:val="004229F7"/>
    <w:rsid w:val="004229FD"/>
    <w:rsid w:val="00422A1D"/>
    <w:rsid w:val="00422A96"/>
    <w:rsid w:val="00422B7B"/>
    <w:rsid w:val="00422C55"/>
    <w:rsid w:val="00422CFD"/>
    <w:rsid w:val="00422DC5"/>
    <w:rsid w:val="00422E01"/>
    <w:rsid w:val="00422E67"/>
    <w:rsid w:val="00422EF6"/>
    <w:rsid w:val="00422F3B"/>
    <w:rsid w:val="00422F6A"/>
    <w:rsid w:val="0042300E"/>
    <w:rsid w:val="0042305C"/>
    <w:rsid w:val="0042308D"/>
    <w:rsid w:val="0042309D"/>
    <w:rsid w:val="004230BA"/>
    <w:rsid w:val="0042312C"/>
    <w:rsid w:val="00423377"/>
    <w:rsid w:val="00423384"/>
    <w:rsid w:val="0042339B"/>
    <w:rsid w:val="004233A5"/>
    <w:rsid w:val="004233DD"/>
    <w:rsid w:val="004233EA"/>
    <w:rsid w:val="00423435"/>
    <w:rsid w:val="0042349F"/>
    <w:rsid w:val="00423516"/>
    <w:rsid w:val="0042366F"/>
    <w:rsid w:val="00423706"/>
    <w:rsid w:val="004238F3"/>
    <w:rsid w:val="004238F5"/>
    <w:rsid w:val="0042390B"/>
    <w:rsid w:val="00423969"/>
    <w:rsid w:val="00423978"/>
    <w:rsid w:val="004239E9"/>
    <w:rsid w:val="004239FE"/>
    <w:rsid w:val="00423A58"/>
    <w:rsid w:val="00423A70"/>
    <w:rsid w:val="00423B45"/>
    <w:rsid w:val="00423BC8"/>
    <w:rsid w:val="00423BF5"/>
    <w:rsid w:val="00423C0F"/>
    <w:rsid w:val="00423C1E"/>
    <w:rsid w:val="00423C3E"/>
    <w:rsid w:val="00423C47"/>
    <w:rsid w:val="00423CAA"/>
    <w:rsid w:val="00423CAE"/>
    <w:rsid w:val="00423CE8"/>
    <w:rsid w:val="00423D2E"/>
    <w:rsid w:val="00423DA9"/>
    <w:rsid w:val="00423E02"/>
    <w:rsid w:val="00423E1F"/>
    <w:rsid w:val="00423E90"/>
    <w:rsid w:val="00423E9F"/>
    <w:rsid w:val="00423EEB"/>
    <w:rsid w:val="00423F0F"/>
    <w:rsid w:val="00424054"/>
    <w:rsid w:val="0042417C"/>
    <w:rsid w:val="004241AD"/>
    <w:rsid w:val="004242A8"/>
    <w:rsid w:val="00424312"/>
    <w:rsid w:val="00424379"/>
    <w:rsid w:val="004245C5"/>
    <w:rsid w:val="00424606"/>
    <w:rsid w:val="00424613"/>
    <w:rsid w:val="00424676"/>
    <w:rsid w:val="004246D2"/>
    <w:rsid w:val="00424705"/>
    <w:rsid w:val="004247C1"/>
    <w:rsid w:val="004247C2"/>
    <w:rsid w:val="004247DB"/>
    <w:rsid w:val="004247F0"/>
    <w:rsid w:val="0042484B"/>
    <w:rsid w:val="0042487A"/>
    <w:rsid w:val="004249D0"/>
    <w:rsid w:val="00424B68"/>
    <w:rsid w:val="00424BC1"/>
    <w:rsid w:val="00424C90"/>
    <w:rsid w:val="00424C91"/>
    <w:rsid w:val="00424D19"/>
    <w:rsid w:val="00424DA4"/>
    <w:rsid w:val="00424DC0"/>
    <w:rsid w:val="00424E23"/>
    <w:rsid w:val="00424E3F"/>
    <w:rsid w:val="00424E9C"/>
    <w:rsid w:val="00424FAC"/>
    <w:rsid w:val="00425079"/>
    <w:rsid w:val="004250DF"/>
    <w:rsid w:val="00425126"/>
    <w:rsid w:val="00425158"/>
    <w:rsid w:val="0042519D"/>
    <w:rsid w:val="00425383"/>
    <w:rsid w:val="004253C7"/>
    <w:rsid w:val="00425455"/>
    <w:rsid w:val="004254B1"/>
    <w:rsid w:val="004254F4"/>
    <w:rsid w:val="00425545"/>
    <w:rsid w:val="004255E2"/>
    <w:rsid w:val="00425642"/>
    <w:rsid w:val="00425690"/>
    <w:rsid w:val="0042571B"/>
    <w:rsid w:val="0042582F"/>
    <w:rsid w:val="00425832"/>
    <w:rsid w:val="0042589B"/>
    <w:rsid w:val="00425943"/>
    <w:rsid w:val="00425ADD"/>
    <w:rsid w:val="00425B00"/>
    <w:rsid w:val="00425B82"/>
    <w:rsid w:val="00425BBB"/>
    <w:rsid w:val="00425BDA"/>
    <w:rsid w:val="00425BEE"/>
    <w:rsid w:val="00425C02"/>
    <w:rsid w:val="00425D30"/>
    <w:rsid w:val="00425DCB"/>
    <w:rsid w:val="00425E14"/>
    <w:rsid w:val="00425EA7"/>
    <w:rsid w:val="00425FC1"/>
    <w:rsid w:val="0042601D"/>
    <w:rsid w:val="0042602A"/>
    <w:rsid w:val="00426184"/>
    <w:rsid w:val="00426209"/>
    <w:rsid w:val="00426282"/>
    <w:rsid w:val="004262D0"/>
    <w:rsid w:val="00426306"/>
    <w:rsid w:val="0042636A"/>
    <w:rsid w:val="0042638F"/>
    <w:rsid w:val="004263F7"/>
    <w:rsid w:val="004263FB"/>
    <w:rsid w:val="0042640F"/>
    <w:rsid w:val="00426449"/>
    <w:rsid w:val="0042646C"/>
    <w:rsid w:val="00426503"/>
    <w:rsid w:val="00426575"/>
    <w:rsid w:val="00426599"/>
    <w:rsid w:val="00426659"/>
    <w:rsid w:val="00426793"/>
    <w:rsid w:val="004267AB"/>
    <w:rsid w:val="004267F4"/>
    <w:rsid w:val="004268CF"/>
    <w:rsid w:val="004268DE"/>
    <w:rsid w:val="00426947"/>
    <w:rsid w:val="0042695A"/>
    <w:rsid w:val="00426A3D"/>
    <w:rsid w:val="00426B09"/>
    <w:rsid w:val="00426B30"/>
    <w:rsid w:val="00426B46"/>
    <w:rsid w:val="00426C23"/>
    <w:rsid w:val="00426C7A"/>
    <w:rsid w:val="00426CF0"/>
    <w:rsid w:val="00426D60"/>
    <w:rsid w:val="00426DAE"/>
    <w:rsid w:val="00426E28"/>
    <w:rsid w:val="00426E5B"/>
    <w:rsid w:val="00426EA8"/>
    <w:rsid w:val="00426EE4"/>
    <w:rsid w:val="00426EF6"/>
    <w:rsid w:val="00426F0C"/>
    <w:rsid w:val="00426F4B"/>
    <w:rsid w:val="00426FD6"/>
    <w:rsid w:val="00426FD9"/>
    <w:rsid w:val="004270EF"/>
    <w:rsid w:val="00427159"/>
    <w:rsid w:val="00427178"/>
    <w:rsid w:val="0042719A"/>
    <w:rsid w:val="004271A4"/>
    <w:rsid w:val="004271FE"/>
    <w:rsid w:val="00427207"/>
    <w:rsid w:val="004272A3"/>
    <w:rsid w:val="004272CB"/>
    <w:rsid w:val="004272E5"/>
    <w:rsid w:val="00427385"/>
    <w:rsid w:val="004273CD"/>
    <w:rsid w:val="004274B1"/>
    <w:rsid w:val="00427533"/>
    <w:rsid w:val="00427589"/>
    <w:rsid w:val="0042759B"/>
    <w:rsid w:val="0042765E"/>
    <w:rsid w:val="0042768F"/>
    <w:rsid w:val="004276C2"/>
    <w:rsid w:val="00427822"/>
    <w:rsid w:val="00427844"/>
    <w:rsid w:val="00427942"/>
    <w:rsid w:val="00427951"/>
    <w:rsid w:val="0042797E"/>
    <w:rsid w:val="00427A79"/>
    <w:rsid w:val="00427AB8"/>
    <w:rsid w:val="00427B59"/>
    <w:rsid w:val="00427B72"/>
    <w:rsid w:val="00427B8F"/>
    <w:rsid w:val="00427C54"/>
    <w:rsid w:val="00427CB0"/>
    <w:rsid w:val="00427CBF"/>
    <w:rsid w:val="00427DAF"/>
    <w:rsid w:val="00427E24"/>
    <w:rsid w:val="00427E2A"/>
    <w:rsid w:val="00427E47"/>
    <w:rsid w:val="00427E9F"/>
    <w:rsid w:val="00427F92"/>
    <w:rsid w:val="00427FEF"/>
    <w:rsid w:val="00430005"/>
    <w:rsid w:val="00430056"/>
    <w:rsid w:val="0043011B"/>
    <w:rsid w:val="0043015F"/>
    <w:rsid w:val="0043017B"/>
    <w:rsid w:val="00430197"/>
    <w:rsid w:val="004301B0"/>
    <w:rsid w:val="0043025E"/>
    <w:rsid w:val="0043033B"/>
    <w:rsid w:val="00430393"/>
    <w:rsid w:val="004303B4"/>
    <w:rsid w:val="004303EC"/>
    <w:rsid w:val="004303FB"/>
    <w:rsid w:val="00430455"/>
    <w:rsid w:val="004305E0"/>
    <w:rsid w:val="00430639"/>
    <w:rsid w:val="0043063B"/>
    <w:rsid w:val="004307EE"/>
    <w:rsid w:val="00430806"/>
    <w:rsid w:val="0043081B"/>
    <w:rsid w:val="00430938"/>
    <w:rsid w:val="0043095C"/>
    <w:rsid w:val="00430B55"/>
    <w:rsid w:val="00430B79"/>
    <w:rsid w:val="00430B8B"/>
    <w:rsid w:val="00430BC2"/>
    <w:rsid w:val="00430C2D"/>
    <w:rsid w:val="00430C65"/>
    <w:rsid w:val="00430D43"/>
    <w:rsid w:val="00430F2E"/>
    <w:rsid w:val="00430F87"/>
    <w:rsid w:val="00430FBC"/>
    <w:rsid w:val="00430FD0"/>
    <w:rsid w:val="00431045"/>
    <w:rsid w:val="0043108E"/>
    <w:rsid w:val="00431095"/>
    <w:rsid w:val="004311B7"/>
    <w:rsid w:val="00431218"/>
    <w:rsid w:val="0043121B"/>
    <w:rsid w:val="0043124E"/>
    <w:rsid w:val="00431277"/>
    <w:rsid w:val="004312A8"/>
    <w:rsid w:val="004312AF"/>
    <w:rsid w:val="004313AB"/>
    <w:rsid w:val="004313AE"/>
    <w:rsid w:val="00431402"/>
    <w:rsid w:val="00431462"/>
    <w:rsid w:val="0043146B"/>
    <w:rsid w:val="00431493"/>
    <w:rsid w:val="00431564"/>
    <w:rsid w:val="004315A7"/>
    <w:rsid w:val="004315E3"/>
    <w:rsid w:val="0043160D"/>
    <w:rsid w:val="00431639"/>
    <w:rsid w:val="00431662"/>
    <w:rsid w:val="00431678"/>
    <w:rsid w:val="00431739"/>
    <w:rsid w:val="00431747"/>
    <w:rsid w:val="00431877"/>
    <w:rsid w:val="004318D6"/>
    <w:rsid w:val="00431926"/>
    <w:rsid w:val="00431A70"/>
    <w:rsid w:val="00431AAA"/>
    <w:rsid w:val="00431BC2"/>
    <w:rsid w:val="00431C15"/>
    <w:rsid w:val="00431C62"/>
    <w:rsid w:val="00431D35"/>
    <w:rsid w:val="00431DC0"/>
    <w:rsid w:val="00431EC6"/>
    <w:rsid w:val="00432094"/>
    <w:rsid w:val="004320B5"/>
    <w:rsid w:val="0043219E"/>
    <w:rsid w:val="004321A5"/>
    <w:rsid w:val="004321A7"/>
    <w:rsid w:val="004321C4"/>
    <w:rsid w:val="004321D1"/>
    <w:rsid w:val="00432238"/>
    <w:rsid w:val="0043228B"/>
    <w:rsid w:val="00432462"/>
    <w:rsid w:val="0043255C"/>
    <w:rsid w:val="004325A5"/>
    <w:rsid w:val="004325A8"/>
    <w:rsid w:val="00432604"/>
    <w:rsid w:val="00432695"/>
    <w:rsid w:val="00432742"/>
    <w:rsid w:val="004327AF"/>
    <w:rsid w:val="00432B6F"/>
    <w:rsid w:val="00432BE7"/>
    <w:rsid w:val="00432C5D"/>
    <w:rsid w:val="00432C86"/>
    <w:rsid w:val="00432D67"/>
    <w:rsid w:val="00432F77"/>
    <w:rsid w:val="00433028"/>
    <w:rsid w:val="0043324D"/>
    <w:rsid w:val="0043327C"/>
    <w:rsid w:val="0043331F"/>
    <w:rsid w:val="0043334D"/>
    <w:rsid w:val="004333E9"/>
    <w:rsid w:val="00433503"/>
    <w:rsid w:val="00433643"/>
    <w:rsid w:val="004336AF"/>
    <w:rsid w:val="00433722"/>
    <w:rsid w:val="00433833"/>
    <w:rsid w:val="0043383C"/>
    <w:rsid w:val="004338CD"/>
    <w:rsid w:val="004338E8"/>
    <w:rsid w:val="00433960"/>
    <w:rsid w:val="00433A62"/>
    <w:rsid w:val="00433A7A"/>
    <w:rsid w:val="00433AAA"/>
    <w:rsid w:val="00433AB4"/>
    <w:rsid w:val="00433AB6"/>
    <w:rsid w:val="00433AE1"/>
    <w:rsid w:val="00433B0D"/>
    <w:rsid w:val="00433B6D"/>
    <w:rsid w:val="00433C2A"/>
    <w:rsid w:val="00433CA8"/>
    <w:rsid w:val="00433D5A"/>
    <w:rsid w:val="00433E65"/>
    <w:rsid w:val="00433E72"/>
    <w:rsid w:val="00434089"/>
    <w:rsid w:val="00434142"/>
    <w:rsid w:val="00434145"/>
    <w:rsid w:val="00434191"/>
    <w:rsid w:val="0043419C"/>
    <w:rsid w:val="004341F0"/>
    <w:rsid w:val="00434221"/>
    <w:rsid w:val="004342BC"/>
    <w:rsid w:val="0043430D"/>
    <w:rsid w:val="0043431D"/>
    <w:rsid w:val="0043432E"/>
    <w:rsid w:val="004343BB"/>
    <w:rsid w:val="004343C1"/>
    <w:rsid w:val="004343F3"/>
    <w:rsid w:val="004343FB"/>
    <w:rsid w:val="0043440B"/>
    <w:rsid w:val="00434484"/>
    <w:rsid w:val="0043449E"/>
    <w:rsid w:val="004344FE"/>
    <w:rsid w:val="0043455E"/>
    <w:rsid w:val="004345AE"/>
    <w:rsid w:val="004345D5"/>
    <w:rsid w:val="004345F6"/>
    <w:rsid w:val="00434749"/>
    <w:rsid w:val="0043474E"/>
    <w:rsid w:val="004347BA"/>
    <w:rsid w:val="004347BB"/>
    <w:rsid w:val="004347BC"/>
    <w:rsid w:val="004347EC"/>
    <w:rsid w:val="00434840"/>
    <w:rsid w:val="0043484F"/>
    <w:rsid w:val="0043497B"/>
    <w:rsid w:val="004349E0"/>
    <w:rsid w:val="00434A0D"/>
    <w:rsid w:val="00434A76"/>
    <w:rsid w:val="00434ACA"/>
    <w:rsid w:val="00434ADD"/>
    <w:rsid w:val="00434B5E"/>
    <w:rsid w:val="00434B6C"/>
    <w:rsid w:val="00434BF8"/>
    <w:rsid w:val="00434C3A"/>
    <w:rsid w:val="00434C71"/>
    <w:rsid w:val="00434CB4"/>
    <w:rsid w:val="00434D76"/>
    <w:rsid w:val="00434DA2"/>
    <w:rsid w:val="00434E43"/>
    <w:rsid w:val="00434F24"/>
    <w:rsid w:val="00434FAE"/>
    <w:rsid w:val="0043504C"/>
    <w:rsid w:val="00435062"/>
    <w:rsid w:val="00435158"/>
    <w:rsid w:val="0043519D"/>
    <w:rsid w:val="004351A5"/>
    <w:rsid w:val="0043524A"/>
    <w:rsid w:val="00435288"/>
    <w:rsid w:val="004352A9"/>
    <w:rsid w:val="004352D6"/>
    <w:rsid w:val="004352EF"/>
    <w:rsid w:val="00435341"/>
    <w:rsid w:val="00435470"/>
    <w:rsid w:val="00435475"/>
    <w:rsid w:val="00435537"/>
    <w:rsid w:val="0043553F"/>
    <w:rsid w:val="00435554"/>
    <w:rsid w:val="00435573"/>
    <w:rsid w:val="00435591"/>
    <w:rsid w:val="0043564C"/>
    <w:rsid w:val="004356B1"/>
    <w:rsid w:val="00435783"/>
    <w:rsid w:val="0043582F"/>
    <w:rsid w:val="00435850"/>
    <w:rsid w:val="0043587F"/>
    <w:rsid w:val="004358B4"/>
    <w:rsid w:val="004359F7"/>
    <w:rsid w:val="00435A51"/>
    <w:rsid w:val="00435AB2"/>
    <w:rsid w:val="00435B12"/>
    <w:rsid w:val="00435B14"/>
    <w:rsid w:val="00435B1C"/>
    <w:rsid w:val="00435B23"/>
    <w:rsid w:val="00435E01"/>
    <w:rsid w:val="00435E0A"/>
    <w:rsid w:val="00435E8D"/>
    <w:rsid w:val="00435F51"/>
    <w:rsid w:val="00435F96"/>
    <w:rsid w:val="00435FA2"/>
    <w:rsid w:val="00435FCB"/>
    <w:rsid w:val="00436051"/>
    <w:rsid w:val="0043609D"/>
    <w:rsid w:val="004360B1"/>
    <w:rsid w:val="004360DB"/>
    <w:rsid w:val="00436116"/>
    <w:rsid w:val="0043614C"/>
    <w:rsid w:val="004361C4"/>
    <w:rsid w:val="0043624C"/>
    <w:rsid w:val="0043628C"/>
    <w:rsid w:val="004362A8"/>
    <w:rsid w:val="004362E9"/>
    <w:rsid w:val="004362F1"/>
    <w:rsid w:val="00436316"/>
    <w:rsid w:val="00436352"/>
    <w:rsid w:val="00436358"/>
    <w:rsid w:val="0043639D"/>
    <w:rsid w:val="00436429"/>
    <w:rsid w:val="0043647E"/>
    <w:rsid w:val="00436529"/>
    <w:rsid w:val="00436596"/>
    <w:rsid w:val="004365B9"/>
    <w:rsid w:val="004365D4"/>
    <w:rsid w:val="004365E6"/>
    <w:rsid w:val="00436604"/>
    <w:rsid w:val="00436612"/>
    <w:rsid w:val="0043669B"/>
    <w:rsid w:val="0043669F"/>
    <w:rsid w:val="00436725"/>
    <w:rsid w:val="00436787"/>
    <w:rsid w:val="004367A5"/>
    <w:rsid w:val="00436872"/>
    <w:rsid w:val="004368A3"/>
    <w:rsid w:val="0043690F"/>
    <w:rsid w:val="00436915"/>
    <w:rsid w:val="00436933"/>
    <w:rsid w:val="00436954"/>
    <w:rsid w:val="0043696B"/>
    <w:rsid w:val="00436988"/>
    <w:rsid w:val="00436AD1"/>
    <w:rsid w:val="00436C32"/>
    <w:rsid w:val="00436CAB"/>
    <w:rsid w:val="00436D7C"/>
    <w:rsid w:val="00436DC9"/>
    <w:rsid w:val="00436E4F"/>
    <w:rsid w:val="00436EE7"/>
    <w:rsid w:val="00437014"/>
    <w:rsid w:val="00437057"/>
    <w:rsid w:val="00437134"/>
    <w:rsid w:val="00437154"/>
    <w:rsid w:val="0043737F"/>
    <w:rsid w:val="004373B1"/>
    <w:rsid w:val="004373FE"/>
    <w:rsid w:val="00437449"/>
    <w:rsid w:val="00437471"/>
    <w:rsid w:val="004374C4"/>
    <w:rsid w:val="004374DA"/>
    <w:rsid w:val="004374DE"/>
    <w:rsid w:val="00437503"/>
    <w:rsid w:val="00437556"/>
    <w:rsid w:val="0043758F"/>
    <w:rsid w:val="00437606"/>
    <w:rsid w:val="0043762D"/>
    <w:rsid w:val="00437638"/>
    <w:rsid w:val="004376CE"/>
    <w:rsid w:val="00437760"/>
    <w:rsid w:val="00437768"/>
    <w:rsid w:val="00437793"/>
    <w:rsid w:val="00437850"/>
    <w:rsid w:val="00437943"/>
    <w:rsid w:val="00437966"/>
    <w:rsid w:val="00437BB8"/>
    <w:rsid w:val="00437BCE"/>
    <w:rsid w:val="00437C0A"/>
    <w:rsid w:val="00437C0D"/>
    <w:rsid w:val="00437D37"/>
    <w:rsid w:val="00437D6D"/>
    <w:rsid w:val="00437DA3"/>
    <w:rsid w:val="00437DB5"/>
    <w:rsid w:val="00437DC8"/>
    <w:rsid w:val="00437DEA"/>
    <w:rsid w:val="00437DF3"/>
    <w:rsid w:val="00437DF8"/>
    <w:rsid w:val="00437E17"/>
    <w:rsid w:val="00437E64"/>
    <w:rsid w:val="00437E69"/>
    <w:rsid w:val="00437EF0"/>
    <w:rsid w:val="00437F2F"/>
    <w:rsid w:val="00437F50"/>
    <w:rsid w:val="00440170"/>
    <w:rsid w:val="0044018C"/>
    <w:rsid w:val="004401A3"/>
    <w:rsid w:val="004402F8"/>
    <w:rsid w:val="0044034E"/>
    <w:rsid w:val="00440355"/>
    <w:rsid w:val="00440357"/>
    <w:rsid w:val="004403A3"/>
    <w:rsid w:val="0044048B"/>
    <w:rsid w:val="004404B7"/>
    <w:rsid w:val="004404C6"/>
    <w:rsid w:val="004404F5"/>
    <w:rsid w:val="00440510"/>
    <w:rsid w:val="00440558"/>
    <w:rsid w:val="00440574"/>
    <w:rsid w:val="00440689"/>
    <w:rsid w:val="004406AA"/>
    <w:rsid w:val="004406E8"/>
    <w:rsid w:val="0044070C"/>
    <w:rsid w:val="004407B6"/>
    <w:rsid w:val="004407E1"/>
    <w:rsid w:val="0044080D"/>
    <w:rsid w:val="00440874"/>
    <w:rsid w:val="004408DD"/>
    <w:rsid w:val="00440AE7"/>
    <w:rsid w:val="00440AEA"/>
    <w:rsid w:val="00440B45"/>
    <w:rsid w:val="00440D79"/>
    <w:rsid w:val="00440E0F"/>
    <w:rsid w:val="00440E3F"/>
    <w:rsid w:val="00440FAC"/>
    <w:rsid w:val="00441072"/>
    <w:rsid w:val="00441091"/>
    <w:rsid w:val="004410C7"/>
    <w:rsid w:val="0044111C"/>
    <w:rsid w:val="00441125"/>
    <w:rsid w:val="0044116F"/>
    <w:rsid w:val="0044119A"/>
    <w:rsid w:val="004411D1"/>
    <w:rsid w:val="00441202"/>
    <w:rsid w:val="00441274"/>
    <w:rsid w:val="0044134D"/>
    <w:rsid w:val="004413A9"/>
    <w:rsid w:val="004413D3"/>
    <w:rsid w:val="004414B0"/>
    <w:rsid w:val="004414CA"/>
    <w:rsid w:val="004414F7"/>
    <w:rsid w:val="00441545"/>
    <w:rsid w:val="00441583"/>
    <w:rsid w:val="00441621"/>
    <w:rsid w:val="00441629"/>
    <w:rsid w:val="00441659"/>
    <w:rsid w:val="0044169B"/>
    <w:rsid w:val="004416D9"/>
    <w:rsid w:val="004417C1"/>
    <w:rsid w:val="004417DF"/>
    <w:rsid w:val="004417FB"/>
    <w:rsid w:val="004418E0"/>
    <w:rsid w:val="00441919"/>
    <w:rsid w:val="0044192A"/>
    <w:rsid w:val="0044197C"/>
    <w:rsid w:val="00441989"/>
    <w:rsid w:val="004419B0"/>
    <w:rsid w:val="004419E7"/>
    <w:rsid w:val="00441BFF"/>
    <w:rsid w:val="00441C1E"/>
    <w:rsid w:val="00441C1F"/>
    <w:rsid w:val="00441CC3"/>
    <w:rsid w:val="00441CEC"/>
    <w:rsid w:val="00441D00"/>
    <w:rsid w:val="00441DCD"/>
    <w:rsid w:val="00441E07"/>
    <w:rsid w:val="00441E58"/>
    <w:rsid w:val="00441ED6"/>
    <w:rsid w:val="00441EEC"/>
    <w:rsid w:val="00441EEF"/>
    <w:rsid w:val="00442044"/>
    <w:rsid w:val="00442059"/>
    <w:rsid w:val="00442128"/>
    <w:rsid w:val="004421DB"/>
    <w:rsid w:val="004421FD"/>
    <w:rsid w:val="00442237"/>
    <w:rsid w:val="00442255"/>
    <w:rsid w:val="0044227B"/>
    <w:rsid w:val="00442288"/>
    <w:rsid w:val="004422A5"/>
    <w:rsid w:val="004422E4"/>
    <w:rsid w:val="004422F1"/>
    <w:rsid w:val="004423ED"/>
    <w:rsid w:val="00442468"/>
    <w:rsid w:val="004424A0"/>
    <w:rsid w:val="004424A6"/>
    <w:rsid w:val="004424EF"/>
    <w:rsid w:val="00442526"/>
    <w:rsid w:val="0044254D"/>
    <w:rsid w:val="00442655"/>
    <w:rsid w:val="0044268D"/>
    <w:rsid w:val="004427B7"/>
    <w:rsid w:val="004427FB"/>
    <w:rsid w:val="00442847"/>
    <w:rsid w:val="004428A1"/>
    <w:rsid w:val="004428D1"/>
    <w:rsid w:val="00442966"/>
    <w:rsid w:val="0044296C"/>
    <w:rsid w:val="0044298C"/>
    <w:rsid w:val="004429DF"/>
    <w:rsid w:val="00442A15"/>
    <w:rsid w:val="00442A5B"/>
    <w:rsid w:val="00442A8F"/>
    <w:rsid w:val="00442B88"/>
    <w:rsid w:val="00442BF5"/>
    <w:rsid w:val="00442CCD"/>
    <w:rsid w:val="00442CD1"/>
    <w:rsid w:val="00442D46"/>
    <w:rsid w:val="00442E48"/>
    <w:rsid w:val="00442E6E"/>
    <w:rsid w:val="00442F29"/>
    <w:rsid w:val="00442F2C"/>
    <w:rsid w:val="00442F3E"/>
    <w:rsid w:val="00442FAA"/>
    <w:rsid w:val="00442FC9"/>
    <w:rsid w:val="00443164"/>
    <w:rsid w:val="004431BA"/>
    <w:rsid w:val="00443222"/>
    <w:rsid w:val="0044325F"/>
    <w:rsid w:val="0044331D"/>
    <w:rsid w:val="0044338F"/>
    <w:rsid w:val="004433E1"/>
    <w:rsid w:val="0044347F"/>
    <w:rsid w:val="004434E4"/>
    <w:rsid w:val="00443579"/>
    <w:rsid w:val="0044359B"/>
    <w:rsid w:val="0044365D"/>
    <w:rsid w:val="004436CE"/>
    <w:rsid w:val="00443709"/>
    <w:rsid w:val="004437B9"/>
    <w:rsid w:val="0044381F"/>
    <w:rsid w:val="00443820"/>
    <w:rsid w:val="004438FA"/>
    <w:rsid w:val="00443952"/>
    <w:rsid w:val="00443A66"/>
    <w:rsid w:val="00443A71"/>
    <w:rsid w:val="00443B2E"/>
    <w:rsid w:val="00443B7B"/>
    <w:rsid w:val="00443BBE"/>
    <w:rsid w:val="00443D3A"/>
    <w:rsid w:val="00443D50"/>
    <w:rsid w:val="00443D54"/>
    <w:rsid w:val="00443D7C"/>
    <w:rsid w:val="00443DA2"/>
    <w:rsid w:val="00443E22"/>
    <w:rsid w:val="00443F06"/>
    <w:rsid w:val="00443F1E"/>
    <w:rsid w:val="00443F72"/>
    <w:rsid w:val="00444008"/>
    <w:rsid w:val="0044401A"/>
    <w:rsid w:val="0044404A"/>
    <w:rsid w:val="0044415E"/>
    <w:rsid w:val="0044417F"/>
    <w:rsid w:val="004441A2"/>
    <w:rsid w:val="00444239"/>
    <w:rsid w:val="0044429A"/>
    <w:rsid w:val="004442F0"/>
    <w:rsid w:val="00444335"/>
    <w:rsid w:val="00444374"/>
    <w:rsid w:val="004443C3"/>
    <w:rsid w:val="004444C9"/>
    <w:rsid w:val="004445B1"/>
    <w:rsid w:val="004445E7"/>
    <w:rsid w:val="00444686"/>
    <w:rsid w:val="004446C6"/>
    <w:rsid w:val="0044473B"/>
    <w:rsid w:val="00444766"/>
    <w:rsid w:val="00444878"/>
    <w:rsid w:val="004448A3"/>
    <w:rsid w:val="004448A5"/>
    <w:rsid w:val="004448B7"/>
    <w:rsid w:val="004448E0"/>
    <w:rsid w:val="004449D3"/>
    <w:rsid w:val="00444AC9"/>
    <w:rsid w:val="00444BED"/>
    <w:rsid w:val="00444CF5"/>
    <w:rsid w:val="00444D2E"/>
    <w:rsid w:val="00444D7B"/>
    <w:rsid w:val="00444DAA"/>
    <w:rsid w:val="00444DF1"/>
    <w:rsid w:val="00444E83"/>
    <w:rsid w:val="00444EBB"/>
    <w:rsid w:val="00444EDF"/>
    <w:rsid w:val="00444EE0"/>
    <w:rsid w:val="00444F00"/>
    <w:rsid w:val="00444FA5"/>
    <w:rsid w:val="00444FAF"/>
    <w:rsid w:val="00445064"/>
    <w:rsid w:val="004450C9"/>
    <w:rsid w:val="004450F8"/>
    <w:rsid w:val="0044512B"/>
    <w:rsid w:val="00445158"/>
    <w:rsid w:val="004451A9"/>
    <w:rsid w:val="00445221"/>
    <w:rsid w:val="0044525C"/>
    <w:rsid w:val="0044527F"/>
    <w:rsid w:val="004452E3"/>
    <w:rsid w:val="00445323"/>
    <w:rsid w:val="00445331"/>
    <w:rsid w:val="0044533D"/>
    <w:rsid w:val="00445387"/>
    <w:rsid w:val="004453C9"/>
    <w:rsid w:val="00445409"/>
    <w:rsid w:val="004454A1"/>
    <w:rsid w:val="00445517"/>
    <w:rsid w:val="0044556F"/>
    <w:rsid w:val="004455B8"/>
    <w:rsid w:val="004455DD"/>
    <w:rsid w:val="00445771"/>
    <w:rsid w:val="00445799"/>
    <w:rsid w:val="0044579B"/>
    <w:rsid w:val="004457E6"/>
    <w:rsid w:val="004458E2"/>
    <w:rsid w:val="0044594C"/>
    <w:rsid w:val="00445956"/>
    <w:rsid w:val="00445958"/>
    <w:rsid w:val="00445978"/>
    <w:rsid w:val="00445991"/>
    <w:rsid w:val="00445A7E"/>
    <w:rsid w:val="00445B2A"/>
    <w:rsid w:val="00445B6B"/>
    <w:rsid w:val="00445BB7"/>
    <w:rsid w:val="00445C4E"/>
    <w:rsid w:val="00445C95"/>
    <w:rsid w:val="00445E44"/>
    <w:rsid w:val="00445F81"/>
    <w:rsid w:val="00446031"/>
    <w:rsid w:val="0044605D"/>
    <w:rsid w:val="004460A6"/>
    <w:rsid w:val="004460EB"/>
    <w:rsid w:val="00446249"/>
    <w:rsid w:val="0044635F"/>
    <w:rsid w:val="0044646A"/>
    <w:rsid w:val="0044646E"/>
    <w:rsid w:val="004464F6"/>
    <w:rsid w:val="0044650C"/>
    <w:rsid w:val="00446557"/>
    <w:rsid w:val="004466F2"/>
    <w:rsid w:val="00446745"/>
    <w:rsid w:val="00446878"/>
    <w:rsid w:val="004468A5"/>
    <w:rsid w:val="00446971"/>
    <w:rsid w:val="004469C4"/>
    <w:rsid w:val="00446A55"/>
    <w:rsid w:val="00446A65"/>
    <w:rsid w:val="00446AE7"/>
    <w:rsid w:val="00446BA4"/>
    <w:rsid w:val="00446BC7"/>
    <w:rsid w:val="00446C11"/>
    <w:rsid w:val="00446C2E"/>
    <w:rsid w:val="00446C5A"/>
    <w:rsid w:val="00446C6D"/>
    <w:rsid w:val="00446CA1"/>
    <w:rsid w:val="00446D0B"/>
    <w:rsid w:val="00446D44"/>
    <w:rsid w:val="00446E34"/>
    <w:rsid w:val="00446E83"/>
    <w:rsid w:val="00446ECC"/>
    <w:rsid w:val="00446EF0"/>
    <w:rsid w:val="00446F0F"/>
    <w:rsid w:val="00446FDD"/>
    <w:rsid w:val="004470E9"/>
    <w:rsid w:val="00447134"/>
    <w:rsid w:val="00447166"/>
    <w:rsid w:val="004471C9"/>
    <w:rsid w:val="004471F3"/>
    <w:rsid w:val="00447237"/>
    <w:rsid w:val="00447239"/>
    <w:rsid w:val="004472A9"/>
    <w:rsid w:val="00447376"/>
    <w:rsid w:val="004473F8"/>
    <w:rsid w:val="00447550"/>
    <w:rsid w:val="00447554"/>
    <w:rsid w:val="00447572"/>
    <w:rsid w:val="00447573"/>
    <w:rsid w:val="0044757B"/>
    <w:rsid w:val="00447745"/>
    <w:rsid w:val="00447866"/>
    <w:rsid w:val="00447874"/>
    <w:rsid w:val="00447913"/>
    <w:rsid w:val="004479DC"/>
    <w:rsid w:val="004479E3"/>
    <w:rsid w:val="00447AF3"/>
    <w:rsid w:val="00447BB0"/>
    <w:rsid w:val="00447C78"/>
    <w:rsid w:val="00447D7B"/>
    <w:rsid w:val="00447E88"/>
    <w:rsid w:val="00447ED8"/>
    <w:rsid w:val="00447F48"/>
    <w:rsid w:val="00447F59"/>
    <w:rsid w:val="00447F6D"/>
    <w:rsid w:val="0045001D"/>
    <w:rsid w:val="00450048"/>
    <w:rsid w:val="0045005C"/>
    <w:rsid w:val="00450065"/>
    <w:rsid w:val="0045012E"/>
    <w:rsid w:val="0045015C"/>
    <w:rsid w:val="004501AF"/>
    <w:rsid w:val="0045024D"/>
    <w:rsid w:val="00450347"/>
    <w:rsid w:val="00450436"/>
    <w:rsid w:val="004504D4"/>
    <w:rsid w:val="0045052C"/>
    <w:rsid w:val="0045055E"/>
    <w:rsid w:val="004505CB"/>
    <w:rsid w:val="00450698"/>
    <w:rsid w:val="004506DE"/>
    <w:rsid w:val="00450713"/>
    <w:rsid w:val="004507CC"/>
    <w:rsid w:val="004507DD"/>
    <w:rsid w:val="00450881"/>
    <w:rsid w:val="0045089C"/>
    <w:rsid w:val="00450936"/>
    <w:rsid w:val="0045097F"/>
    <w:rsid w:val="004509FC"/>
    <w:rsid w:val="00450A36"/>
    <w:rsid w:val="00450A3B"/>
    <w:rsid w:val="00450A71"/>
    <w:rsid w:val="00450BAF"/>
    <w:rsid w:val="00450C7A"/>
    <w:rsid w:val="00450D49"/>
    <w:rsid w:val="00450D65"/>
    <w:rsid w:val="00450E43"/>
    <w:rsid w:val="00450E65"/>
    <w:rsid w:val="00450E87"/>
    <w:rsid w:val="00450EB0"/>
    <w:rsid w:val="00450EC6"/>
    <w:rsid w:val="00450ECA"/>
    <w:rsid w:val="00450ECD"/>
    <w:rsid w:val="00450EF7"/>
    <w:rsid w:val="00451022"/>
    <w:rsid w:val="0045115B"/>
    <w:rsid w:val="00451168"/>
    <w:rsid w:val="004511B3"/>
    <w:rsid w:val="004511F8"/>
    <w:rsid w:val="0045124A"/>
    <w:rsid w:val="004514F5"/>
    <w:rsid w:val="00451594"/>
    <w:rsid w:val="00451599"/>
    <w:rsid w:val="004516C9"/>
    <w:rsid w:val="004516CB"/>
    <w:rsid w:val="004516FA"/>
    <w:rsid w:val="00451771"/>
    <w:rsid w:val="0045187B"/>
    <w:rsid w:val="004518E5"/>
    <w:rsid w:val="0045190C"/>
    <w:rsid w:val="00451924"/>
    <w:rsid w:val="004519A4"/>
    <w:rsid w:val="004519B7"/>
    <w:rsid w:val="00451A35"/>
    <w:rsid w:val="00451AE3"/>
    <w:rsid w:val="00451B7D"/>
    <w:rsid w:val="00451BB5"/>
    <w:rsid w:val="00451BC7"/>
    <w:rsid w:val="00451BF3"/>
    <w:rsid w:val="00451D32"/>
    <w:rsid w:val="00451D75"/>
    <w:rsid w:val="00451D86"/>
    <w:rsid w:val="00451E29"/>
    <w:rsid w:val="00451E87"/>
    <w:rsid w:val="00451EE4"/>
    <w:rsid w:val="0045206E"/>
    <w:rsid w:val="004520C3"/>
    <w:rsid w:val="004521EB"/>
    <w:rsid w:val="00452220"/>
    <w:rsid w:val="00452421"/>
    <w:rsid w:val="004524F8"/>
    <w:rsid w:val="00452511"/>
    <w:rsid w:val="0045252E"/>
    <w:rsid w:val="00452535"/>
    <w:rsid w:val="00452569"/>
    <w:rsid w:val="0045262A"/>
    <w:rsid w:val="0045268A"/>
    <w:rsid w:val="004526CF"/>
    <w:rsid w:val="004526EC"/>
    <w:rsid w:val="00452738"/>
    <w:rsid w:val="00452762"/>
    <w:rsid w:val="00452776"/>
    <w:rsid w:val="004528EC"/>
    <w:rsid w:val="00452990"/>
    <w:rsid w:val="00452995"/>
    <w:rsid w:val="004529A2"/>
    <w:rsid w:val="004529C3"/>
    <w:rsid w:val="00452A95"/>
    <w:rsid w:val="00452AF1"/>
    <w:rsid w:val="00452B06"/>
    <w:rsid w:val="00452B17"/>
    <w:rsid w:val="00452BB5"/>
    <w:rsid w:val="00452C1C"/>
    <w:rsid w:val="00452C1F"/>
    <w:rsid w:val="00452C23"/>
    <w:rsid w:val="00452C4E"/>
    <w:rsid w:val="00452C51"/>
    <w:rsid w:val="00452CD3"/>
    <w:rsid w:val="00452CFE"/>
    <w:rsid w:val="00452E2C"/>
    <w:rsid w:val="00452E78"/>
    <w:rsid w:val="00452E7C"/>
    <w:rsid w:val="00452E8E"/>
    <w:rsid w:val="00452F91"/>
    <w:rsid w:val="00452FDD"/>
    <w:rsid w:val="0045317E"/>
    <w:rsid w:val="004531A6"/>
    <w:rsid w:val="004532C2"/>
    <w:rsid w:val="004532E8"/>
    <w:rsid w:val="00453326"/>
    <w:rsid w:val="0045332A"/>
    <w:rsid w:val="00453337"/>
    <w:rsid w:val="0045334F"/>
    <w:rsid w:val="0045347C"/>
    <w:rsid w:val="004534E6"/>
    <w:rsid w:val="00453572"/>
    <w:rsid w:val="004535BB"/>
    <w:rsid w:val="0045369D"/>
    <w:rsid w:val="004536DE"/>
    <w:rsid w:val="004536F1"/>
    <w:rsid w:val="004536F9"/>
    <w:rsid w:val="004537C1"/>
    <w:rsid w:val="004537E3"/>
    <w:rsid w:val="00453907"/>
    <w:rsid w:val="00453914"/>
    <w:rsid w:val="00453926"/>
    <w:rsid w:val="0045396E"/>
    <w:rsid w:val="00453A06"/>
    <w:rsid w:val="00453A36"/>
    <w:rsid w:val="00453A4D"/>
    <w:rsid w:val="00453AEB"/>
    <w:rsid w:val="00453B36"/>
    <w:rsid w:val="00453B5F"/>
    <w:rsid w:val="00453B68"/>
    <w:rsid w:val="00453BBD"/>
    <w:rsid w:val="00453DF8"/>
    <w:rsid w:val="00453E63"/>
    <w:rsid w:val="00453FA2"/>
    <w:rsid w:val="00454065"/>
    <w:rsid w:val="0045409F"/>
    <w:rsid w:val="004540C6"/>
    <w:rsid w:val="004540EF"/>
    <w:rsid w:val="00454194"/>
    <w:rsid w:val="00454216"/>
    <w:rsid w:val="00454229"/>
    <w:rsid w:val="004542A8"/>
    <w:rsid w:val="00454328"/>
    <w:rsid w:val="0045432A"/>
    <w:rsid w:val="004543C6"/>
    <w:rsid w:val="004543FB"/>
    <w:rsid w:val="00454448"/>
    <w:rsid w:val="00454475"/>
    <w:rsid w:val="00454490"/>
    <w:rsid w:val="004544E5"/>
    <w:rsid w:val="00454535"/>
    <w:rsid w:val="0045454E"/>
    <w:rsid w:val="004545D5"/>
    <w:rsid w:val="004545DF"/>
    <w:rsid w:val="004545F2"/>
    <w:rsid w:val="004545FF"/>
    <w:rsid w:val="0045461B"/>
    <w:rsid w:val="00454666"/>
    <w:rsid w:val="004546BF"/>
    <w:rsid w:val="004546E2"/>
    <w:rsid w:val="004546EC"/>
    <w:rsid w:val="00454727"/>
    <w:rsid w:val="00454786"/>
    <w:rsid w:val="00454802"/>
    <w:rsid w:val="00454844"/>
    <w:rsid w:val="00454860"/>
    <w:rsid w:val="0045486E"/>
    <w:rsid w:val="00454995"/>
    <w:rsid w:val="004549B8"/>
    <w:rsid w:val="00454A31"/>
    <w:rsid w:val="00454A50"/>
    <w:rsid w:val="00454AC6"/>
    <w:rsid w:val="00454B36"/>
    <w:rsid w:val="00454BDC"/>
    <w:rsid w:val="00454BF3"/>
    <w:rsid w:val="00454BFA"/>
    <w:rsid w:val="00454C39"/>
    <w:rsid w:val="00454CA4"/>
    <w:rsid w:val="00454DC0"/>
    <w:rsid w:val="00454DC5"/>
    <w:rsid w:val="00454DCD"/>
    <w:rsid w:val="00454EA9"/>
    <w:rsid w:val="00454FEE"/>
    <w:rsid w:val="0045500A"/>
    <w:rsid w:val="00455177"/>
    <w:rsid w:val="0045519D"/>
    <w:rsid w:val="004551AA"/>
    <w:rsid w:val="004551CD"/>
    <w:rsid w:val="004551CF"/>
    <w:rsid w:val="004551D3"/>
    <w:rsid w:val="0045521C"/>
    <w:rsid w:val="004552B2"/>
    <w:rsid w:val="0045530F"/>
    <w:rsid w:val="00455318"/>
    <w:rsid w:val="004553D9"/>
    <w:rsid w:val="004553EF"/>
    <w:rsid w:val="00455434"/>
    <w:rsid w:val="00455439"/>
    <w:rsid w:val="004554E0"/>
    <w:rsid w:val="00455521"/>
    <w:rsid w:val="004555AC"/>
    <w:rsid w:val="004555C8"/>
    <w:rsid w:val="00455615"/>
    <w:rsid w:val="00455743"/>
    <w:rsid w:val="00455782"/>
    <w:rsid w:val="004557D6"/>
    <w:rsid w:val="00455830"/>
    <w:rsid w:val="00455839"/>
    <w:rsid w:val="00455894"/>
    <w:rsid w:val="004558D0"/>
    <w:rsid w:val="004558D1"/>
    <w:rsid w:val="0045596A"/>
    <w:rsid w:val="00455A08"/>
    <w:rsid w:val="00455A80"/>
    <w:rsid w:val="00455AB5"/>
    <w:rsid w:val="00455ACB"/>
    <w:rsid w:val="00455AEC"/>
    <w:rsid w:val="00455B60"/>
    <w:rsid w:val="00455BB7"/>
    <w:rsid w:val="00455CC7"/>
    <w:rsid w:val="00455CE0"/>
    <w:rsid w:val="00455CE6"/>
    <w:rsid w:val="00455D3B"/>
    <w:rsid w:val="00455D98"/>
    <w:rsid w:val="00455E62"/>
    <w:rsid w:val="00455F47"/>
    <w:rsid w:val="00455FE9"/>
    <w:rsid w:val="0045600B"/>
    <w:rsid w:val="00456106"/>
    <w:rsid w:val="00456127"/>
    <w:rsid w:val="004561B6"/>
    <w:rsid w:val="004561BA"/>
    <w:rsid w:val="0045624D"/>
    <w:rsid w:val="00456333"/>
    <w:rsid w:val="00456369"/>
    <w:rsid w:val="0045638A"/>
    <w:rsid w:val="00456432"/>
    <w:rsid w:val="00456444"/>
    <w:rsid w:val="00456467"/>
    <w:rsid w:val="004565B0"/>
    <w:rsid w:val="00456613"/>
    <w:rsid w:val="00456673"/>
    <w:rsid w:val="004566AC"/>
    <w:rsid w:val="004566B6"/>
    <w:rsid w:val="004566BE"/>
    <w:rsid w:val="00456713"/>
    <w:rsid w:val="0045672E"/>
    <w:rsid w:val="00456790"/>
    <w:rsid w:val="004567C5"/>
    <w:rsid w:val="004567DC"/>
    <w:rsid w:val="004568B9"/>
    <w:rsid w:val="004569C2"/>
    <w:rsid w:val="004569C5"/>
    <w:rsid w:val="004569EF"/>
    <w:rsid w:val="00456A26"/>
    <w:rsid w:val="00456A38"/>
    <w:rsid w:val="00456B12"/>
    <w:rsid w:val="00456BA2"/>
    <w:rsid w:val="00456D8A"/>
    <w:rsid w:val="00456D94"/>
    <w:rsid w:val="00456DDE"/>
    <w:rsid w:val="00456E6F"/>
    <w:rsid w:val="00456ECE"/>
    <w:rsid w:val="00456F3D"/>
    <w:rsid w:val="00456F3E"/>
    <w:rsid w:val="00456FFB"/>
    <w:rsid w:val="004570E0"/>
    <w:rsid w:val="0045712E"/>
    <w:rsid w:val="0045716A"/>
    <w:rsid w:val="00457186"/>
    <w:rsid w:val="004572F2"/>
    <w:rsid w:val="00457334"/>
    <w:rsid w:val="00457393"/>
    <w:rsid w:val="00457446"/>
    <w:rsid w:val="004574D1"/>
    <w:rsid w:val="00457502"/>
    <w:rsid w:val="00457525"/>
    <w:rsid w:val="00457547"/>
    <w:rsid w:val="004575B2"/>
    <w:rsid w:val="004575CA"/>
    <w:rsid w:val="00457626"/>
    <w:rsid w:val="0045765A"/>
    <w:rsid w:val="00457747"/>
    <w:rsid w:val="00457749"/>
    <w:rsid w:val="004577B6"/>
    <w:rsid w:val="004577BE"/>
    <w:rsid w:val="004577D7"/>
    <w:rsid w:val="004578DC"/>
    <w:rsid w:val="004579F8"/>
    <w:rsid w:val="00457A1B"/>
    <w:rsid w:val="00457A2E"/>
    <w:rsid w:val="00457A42"/>
    <w:rsid w:val="00457ACF"/>
    <w:rsid w:val="00457B8C"/>
    <w:rsid w:val="00457BFC"/>
    <w:rsid w:val="00457C2A"/>
    <w:rsid w:val="00457DA0"/>
    <w:rsid w:val="00457E26"/>
    <w:rsid w:val="00457E36"/>
    <w:rsid w:val="00457EA9"/>
    <w:rsid w:val="00457EC9"/>
    <w:rsid w:val="00457F11"/>
    <w:rsid w:val="00457FC7"/>
    <w:rsid w:val="00460030"/>
    <w:rsid w:val="0046007B"/>
    <w:rsid w:val="004600E7"/>
    <w:rsid w:val="0046012B"/>
    <w:rsid w:val="0046017C"/>
    <w:rsid w:val="00460183"/>
    <w:rsid w:val="004601C0"/>
    <w:rsid w:val="004601C6"/>
    <w:rsid w:val="004602B7"/>
    <w:rsid w:val="004602DA"/>
    <w:rsid w:val="0046036B"/>
    <w:rsid w:val="0046041D"/>
    <w:rsid w:val="00460550"/>
    <w:rsid w:val="0046058C"/>
    <w:rsid w:val="004605D0"/>
    <w:rsid w:val="004605DD"/>
    <w:rsid w:val="00460643"/>
    <w:rsid w:val="00460671"/>
    <w:rsid w:val="00460712"/>
    <w:rsid w:val="00460764"/>
    <w:rsid w:val="004607BB"/>
    <w:rsid w:val="004607E6"/>
    <w:rsid w:val="004607F4"/>
    <w:rsid w:val="00460846"/>
    <w:rsid w:val="0046086E"/>
    <w:rsid w:val="004608A4"/>
    <w:rsid w:val="0046096F"/>
    <w:rsid w:val="00460971"/>
    <w:rsid w:val="004609CE"/>
    <w:rsid w:val="00460A6F"/>
    <w:rsid w:val="00460B93"/>
    <w:rsid w:val="00460D10"/>
    <w:rsid w:val="00460D5F"/>
    <w:rsid w:val="00460E40"/>
    <w:rsid w:val="00460E4C"/>
    <w:rsid w:val="00460EA2"/>
    <w:rsid w:val="00460EC9"/>
    <w:rsid w:val="00460F1E"/>
    <w:rsid w:val="00460FA0"/>
    <w:rsid w:val="00460FA9"/>
    <w:rsid w:val="00460FD4"/>
    <w:rsid w:val="00460FF4"/>
    <w:rsid w:val="00461003"/>
    <w:rsid w:val="0046107C"/>
    <w:rsid w:val="004610D0"/>
    <w:rsid w:val="00461146"/>
    <w:rsid w:val="004611C3"/>
    <w:rsid w:val="004611C4"/>
    <w:rsid w:val="004611EE"/>
    <w:rsid w:val="0046122D"/>
    <w:rsid w:val="0046134B"/>
    <w:rsid w:val="004613A3"/>
    <w:rsid w:val="00461461"/>
    <w:rsid w:val="0046168F"/>
    <w:rsid w:val="0046177F"/>
    <w:rsid w:val="00461788"/>
    <w:rsid w:val="004617D8"/>
    <w:rsid w:val="004617DD"/>
    <w:rsid w:val="0046189F"/>
    <w:rsid w:val="0046195F"/>
    <w:rsid w:val="0046199D"/>
    <w:rsid w:val="00461A02"/>
    <w:rsid w:val="00461A81"/>
    <w:rsid w:val="00461B7A"/>
    <w:rsid w:val="00461B89"/>
    <w:rsid w:val="00461BF7"/>
    <w:rsid w:val="00461C5D"/>
    <w:rsid w:val="00461C7A"/>
    <w:rsid w:val="00461D30"/>
    <w:rsid w:val="00461D55"/>
    <w:rsid w:val="00461E25"/>
    <w:rsid w:val="00461E8F"/>
    <w:rsid w:val="00461E9C"/>
    <w:rsid w:val="00461F4D"/>
    <w:rsid w:val="00461F51"/>
    <w:rsid w:val="00462065"/>
    <w:rsid w:val="00462066"/>
    <w:rsid w:val="00462085"/>
    <w:rsid w:val="00462121"/>
    <w:rsid w:val="004622B5"/>
    <w:rsid w:val="004622C8"/>
    <w:rsid w:val="004622FD"/>
    <w:rsid w:val="004623DB"/>
    <w:rsid w:val="004623F0"/>
    <w:rsid w:val="00462419"/>
    <w:rsid w:val="0046241D"/>
    <w:rsid w:val="00462495"/>
    <w:rsid w:val="004624FB"/>
    <w:rsid w:val="00462508"/>
    <w:rsid w:val="00462533"/>
    <w:rsid w:val="004625AF"/>
    <w:rsid w:val="004625E0"/>
    <w:rsid w:val="0046262E"/>
    <w:rsid w:val="00462631"/>
    <w:rsid w:val="00462662"/>
    <w:rsid w:val="0046273F"/>
    <w:rsid w:val="00462818"/>
    <w:rsid w:val="00462834"/>
    <w:rsid w:val="0046289C"/>
    <w:rsid w:val="00462941"/>
    <w:rsid w:val="00462A05"/>
    <w:rsid w:val="00462A27"/>
    <w:rsid w:val="00462A61"/>
    <w:rsid w:val="00462BE3"/>
    <w:rsid w:val="00462C16"/>
    <w:rsid w:val="00462C26"/>
    <w:rsid w:val="00462D0D"/>
    <w:rsid w:val="00462D6E"/>
    <w:rsid w:val="00462E0B"/>
    <w:rsid w:val="00462EE5"/>
    <w:rsid w:val="00462F1E"/>
    <w:rsid w:val="00462F64"/>
    <w:rsid w:val="00462F96"/>
    <w:rsid w:val="00463169"/>
    <w:rsid w:val="00463172"/>
    <w:rsid w:val="0046317F"/>
    <w:rsid w:val="00463204"/>
    <w:rsid w:val="004632A0"/>
    <w:rsid w:val="0046339B"/>
    <w:rsid w:val="0046342A"/>
    <w:rsid w:val="0046357A"/>
    <w:rsid w:val="004635CB"/>
    <w:rsid w:val="00463603"/>
    <w:rsid w:val="0046361F"/>
    <w:rsid w:val="0046363F"/>
    <w:rsid w:val="00463641"/>
    <w:rsid w:val="0046365D"/>
    <w:rsid w:val="0046367F"/>
    <w:rsid w:val="00463687"/>
    <w:rsid w:val="0046369D"/>
    <w:rsid w:val="004636B4"/>
    <w:rsid w:val="0046380D"/>
    <w:rsid w:val="0046381E"/>
    <w:rsid w:val="00463867"/>
    <w:rsid w:val="004638BF"/>
    <w:rsid w:val="004638C6"/>
    <w:rsid w:val="00463992"/>
    <w:rsid w:val="004639C3"/>
    <w:rsid w:val="00463A3D"/>
    <w:rsid w:val="00463A72"/>
    <w:rsid w:val="00463A7C"/>
    <w:rsid w:val="00463AA5"/>
    <w:rsid w:val="00463AC5"/>
    <w:rsid w:val="00463AFE"/>
    <w:rsid w:val="00463B4E"/>
    <w:rsid w:val="00463C6B"/>
    <w:rsid w:val="00463C90"/>
    <w:rsid w:val="00463CEB"/>
    <w:rsid w:val="00463D6F"/>
    <w:rsid w:val="00463D86"/>
    <w:rsid w:val="00463EAE"/>
    <w:rsid w:val="0046408B"/>
    <w:rsid w:val="004640FF"/>
    <w:rsid w:val="0046419D"/>
    <w:rsid w:val="004641D2"/>
    <w:rsid w:val="0046422E"/>
    <w:rsid w:val="00464294"/>
    <w:rsid w:val="0046429C"/>
    <w:rsid w:val="00464311"/>
    <w:rsid w:val="00464329"/>
    <w:rsid w:val="004643A2"/>
    <w:rsid w:val="00464412"/>
    <w:rsid w:val="00464472"/>
    <w:rsid w:val="0046450C"/>
    <w:rsid w:val="0046457C"/>
    <w:rsid w:val="0046458B"/>
    <w:rsid w:val="0046470B"/>
    <w:rsid w:val="0046471D"/>
    <w:rsid w:val="00464758"/>
    <w:rsid w:val="004647AE"/>
    <w:rsid w:val="00464880"/>
    <w:rsid w:val="004648B5"/>
    <w:rsid w:val="00464911"/>
    <w:rsid w:val="00464968"/>
    <w:rsid w:val="004649F0"/>
    <w:rsid w:val="00464A35"/>
    <w:rsid w:val="00464AB8"/>
    <w:rsid w:val="00464ACA"/>
    <w:rsid w:val="00464B82"/>
    <w:rsid w:val="00464B9A"/>
    <w:rsid w:val="00464C0F"/>
    <w:rsid w:val="00464C24"/>
    <w:rsid w:val="00464C29"/>
    <w:rsid w:val="00464C3A"/>
    <w:rsid w:val="00464DFD"/>
    <w:rsid w:val="00464E97"/>
    <w:rsid w:val="00464EBD"/>
    <w:rsid w:val="00464EEE"/>
    <w:rsid w:val="00464F03"/>
    <w:rsid w:val="00464F9F"/>
    <w:rsid w:val="00465041"/>
    <w:rsid w:val="0046505C"/>
    <w:rsid w:val="0046505E"/>
    <w:rsid w:val="0046509C"/>
    <w:rsid w:val="00465105"/>
    <w:rsid w:val="00465115"/>
    <w:rsid w:val="004651A4"/>
    <w:rsid w:val="0046520B"/>
    <w:rsid w:val="00465293"/>
    <w:rsid w:val="004652BC"/>
    <w:rsid w:val="0046533B"/>
    <w:rsid w:val="00465487"/>
    <w:rsid w:val="004654AC"/>
    <w:rsid w:val="004654F0"/>
    <w:rsid w:val="004654F6"/>
    <w:rsid w:val="00465555"/>
    <w:rsid w:val="0046557A"/>
    <w:rsid w:val="0046562F"/>
    <w:rsid w:val="0046563C"/>
    <w:rsid w:val="00465675"/>
    <w:rsid w:val="0046568F"/>
    <w:rsid w:val="00465732"/>
    <w:rsid w:val="004657DC"/>
    <w:rsid w:val="00465842"/>
    <w:rsid w:val="004658C5"/>
    <w:rsid w:val="00465918"/>
    <w:rsid w:val="0046597E"/>
    <w:rsid w:val="004659B5"/>
    <w:rsid w:val="004659E1"/>
    <w:rsid w:val="00465B1E"/>
    <w:rsid w:val="00465B59"/>
    <w:rsid w:val="00465BE2"/>
    <w:rsid w:val="00465BE3"/>
    <w:rsid w:val="00465C87"/>
    <w:rsid w:val="00465CC7"/>
    <w:rsid w:val="00465D40"/>
    <w:rsid w:val="00465D5D"/>
    <w:rsid w:val="00465E1A"/>
    <w:rsid w:val="00465E1D"/>
    <w:rsid w:val="00465E2F"/>
    <w:rsid w:val="00465E9F"/>
    <w:rsid w:val="00465F98"/>
    <w:rsid w:val="00466052"/>
    <w:rsid w:val="00466068"/>
    <w:rsid w:val="00466132"/>
    <w:rsid w:val="004661C9"/>
    <w:rsid w:val="004661EE"/>
    <w:rsid w:val="00466246"/>
    <w:rsid w:val="00466293"/>
    <w:rsid w:val="00466342"/>
    <w:rsid w:val="00466362"/>
    <w:rsid w:val="0046644E"/>
    <w:rsid w:val="00466461"/>
    <w:rsid w:val="004664BD"/>
    <w:rsid w:val="004664EF"/>
    <w:rsid w:val="00466541"/>
    <w:rsid w:val="00466557"/>
    <w:rsid w:val="0046658E"/>
    <w:rsid w:val="00466623"/>
    <w:rsid w:val="004666F8"/>
    <w:rsid w:val="00466765"/>
    <w:rsid w:val="0046678C"/>
    <w:rsid w:val="004667F5"/>
    <w:rsid w:val="0046682E"/>
    <w:rsid w:val="0046685F"/>
    <w:rsid w:val="0046686D"/>
    <w:rsid w:val="004668A0"/>
    <w:rsid w:val="004668A2"/>
    <w:rsid w:val="004668EF"/>
    <w:rsid w:val="00466975"/>
    <w:rsid w:val="00466AD8"/>
    <w:rsid w:val="00466B55"/>
    <w:rsid w:val="00466B8B"/>
    <w:rsid w:val="00466BA2"/>
    <w:rsid w:val="00466C32"/>
    <w:rsid w:val="00466CBD"/>
    <w:rsid w:val="00466D2A"/>
    <w:rsid w:val="00466D59"/>
    <w:rsid w:val="00466DBB"/>
    <w:rsid w:val="00466E67"/>
    <w:rsid w:val="00466E7B"/>
    <w:rsid w:val="00466E93"/>
    <w:rsid w:val="00466E9E"/>
    <w:rsid w:val="00466F23"/>
    <w:rsid w:val="00466F41"/>
    <w:rsid w:val="00467013"/>
    <w:rsid w:val="00467055"/>
    <w:rsid w:val="004670C9"/>
    <w:rsid w:val="0046713B"/>
    <w:rsid w:val="004671A0"/>
    <w:rsid w:val="004671A5"/>
    <w:rsid w:val="004671E1"/>
    <w:rsid w:val="00467209"/>
    <w:rsid w:val="004673C3"/>
    <w:rsid w:val="00467547"/>
    <w:rsid w:val="00467576"/>
    <w:rsid w:val="004675AB"/>
    <w:rsid w:val="00467657"/>
    <w:rsid w:val="004676BC"/>
    <w:rsid w:val="004677A5"/>
    <w:rsid w:val="004677A7"/>
    <w:rsid w:val="0046782F"/>
    <w:rsid w:val="00467850"/>
    <w:rsid w:val="004678BA"/>
    <w:rsid w:val="004678E0"/>
    <w:rsid w:val="00467900"/>
    <w:rsid w:val="004679F5"/>
    <w:rsid w:val="00467A3D"/>
    <w:rsid w:val="00467A52"/>
    <w:rsid w:val="00467AC9"/>
    <w:rsid w:val="00467AFA"/>
    <w:rsid w:val="00467B42"/>
    <w:rsid w:val="00467B5E"/>
    <w:rsid w:val="00467B69"/>
    <w:rsid w:val="00467BE6"/>
    <w:rsid w:val="00467BF9"/>
    <w:rsid w:val="00467D56"/>
    <w:rsid w:val="00467DDD"/>
    <w:rsid w:val="00467DED"/>
    <w:rsid w:val="00467E6D"/>
    <w:rsid w:val="00467ECE"/>
    <w:rsid w:val="00470025"/>
    <w:rsid w:val="00470043"/>
    <w:rsid w:val="00470136"/>
    <w:rsid w:val="00470152"/>
    <w:rsid w:val="004702CF"/>
    <w:rsid w:val="004702D3"/>
    <w:rsid w:val="00470326"/>
    <w:rsid w:val="00470335"/>
    <w:rsid w:val="0047035C"/>
    <w:rsid w:val="00470389"/>
    <w:rsid w:val="0047044F"/>
    <w:rsid w:val="00470493"/>
    <w:rsid w:val="00470547"/>
    <w:rsid w:val="004705DA"/>
    <w:rsid w:val="004705E0"/>
    <w:rsid w:val="00470611"/>
    <w:rsid w:val="00470663"/>
    <w:rsid w:val="00470686"/>
    <w:rsid w:val="004706D0"/>
    <w:rsid w:val="004706D9"/>
    <w:rsid w:val="00470811"/>
    <w:rsid w:val="0047086C"/>
    <w:rsid w:val="004708B6"/>
    <w:rsid w:val="004708DC"/>
    <w:rsid w:val="00470AA7"/>
    <w:rsid w:val="00470ADD"/>
    <w:rsid w:val="00470B35"/>
    <w:rsid w:val="00470B3D"/>
    <w:rsid w:val="00470C35"/>
    <w:rsid w:val="00470C61"/>
    <w:rsid w:val="00470E34"/>
    <w:rsid w:val="00470EE6"/>
    <w:rsid w:val="00470F56"/>
    <w:rsid w:val="00470FCD"/>
    <w:rsid w:val="004710C3"/>
    <w:rsid w:val="00471104"/>
    <w:rsid w:val="00471116"/>
    <w:rsid w:val="004711D6"/>
    <w:rsid w:val="0047121E"/>
    <w:rsid w:val="0047126C"/>
    <w:rsid w:val="00471292"/>
    <w:rsid w:val="0047132E"/>
    <w:rsid w:val="004713D6"/>
    <w:rsid w:val="00471443"/>
    <w:rsid w:val="00471516"/>
    <w:rsid w:val="0047151E"/>
    <w:rsid w:val="00471550"/>
    <w:rsid w:val="00471582"/>
    <w:rsid w:val="00471596"/>
    <w:rsid w:val="0047159E"/>
    <w:rsid w:val="004715F8"/>
    <w:rsid w:val="00471645"/>
    <w:rsid w:val="00471663"/>
    <w:rsid w:val="00471752"/>
    <w:rsid w:val="00471772"/>
    <w:rsid w:val="00471779"/>
    <w:rsid w:val="00471782"/>
    <w:rsid w:val="004717E9"/>
    <w:rsid w:val="00471845"/>
    <w:rsid w:val="00471A0B"/>
    <w:rsid w:val="00471A42"/>
    <w:rsid w:val="00471B28"/>
    <w:rsid w:val="00471B68"/>
    <w:rsid w:val="00471C03"/>
    <w:rsid w:val="00471D22"/>
    <w:rsid w:val="00471D46"/>
    <w:rsid w:val="00471DAF"/>
    <w:rsid w:val="00471DCD"/>
    <w:rsid w:val="00471E0A"/>
    <w:rsid w:val="00471E32"/>
    <w:rsid w:val="00471E37"/>
    <w:rsid w:val="00471E42"/>
    <w:rsid w:val="00471E81"/>
    <w:rsid w:val="00471EC5"/>
    <w:rsid w:val="00471F30"/>
    <w:rsid w:val="00471F5A"/>
    <w:rsid w:val="00471FA5"/>
    <w:rsid w:val="00471FFD"/>
    <w:rsid w:val="00472057"/>
    <w:rsid w:val="004720BD"/>
    <w:rsid w:val="004720C5"/>
    <w:rsid w:val="00472163"/>
    <w:rsid w:val="004721A0"/>
    <w:rsid w:val="004721E4"/>
    <w:rsid w:val="00472218"/>
    <w:rsid w:val="0047231A"/>
    <w:rsid w:val="0047236F"/>
    <w:rsid w:val="0047238B"/>
    <w:rsid w:val="004724A8"/>
    <w:rsid w:val="004724F8"/>
    <w:rsid w:val="004724F9"/>
    <w:rsid w:val="0047253A"/>
    <w:rsid w:val="00472550"/>
    <w:rsid w:val="0047262B"/>
    <w:rsid w:val="00472706"/>
    <w:rsid w:val="00472720"/>
    <w:rsid w:val="004727DD"/>
    <w:rsid w:val="00472882"/>
    <w:rsid w:val="004728FC"/>
    <w:rsid w:val="00472ABB"/>
    <w:rsid w:val="00472C4B"/>
    <w:rsid w:val="00472CBC"/>
    <w:rsid w:val="00472CDD"/>
    <w:rsid w:val="00472D15"/>
    <w:rsid w:val="00472D73"/>
    <w:rsid w:val="00472D84"/>
    <w:rsid w:val="00472DFE"/>
    <w:rsid w:val="00472E28"/>
    <w:rsid w:val="00472E44"/>
    <w:rsid w:val="00472E6E"/>
    <w:rsid w:val="00472E80"/>
    <w:rsid w:val="00472EB6"/>
    <w:rsid w:val="00472EC5"/>
    <w:rsid w:val="00472ED4"/>
    <w:rsid w:val="00472F37"/>
    <w:rsid w:val="00472F85"/>
    <w:rsid w:val="00472F9A"/>
    <w:rsid w:val="00472FDB"/>
    <w:rsid w:val="00472FFB"/>
    <w:rsid w:val="00473052"/>
    <w:rsid w:val="00473098"/>
    <w:rsid w:val="00473103"/>
    <w:rsid w:val="00473116"/>
    <w:rsid w:val="004732A0"/>
    <w:rsid w:val="004732ED"/>
    <w:rsid w:val="0047330A"/>
    <w:rsid w:val="0047336C"/>
    <w:rsid w:val="00473392"/>
    <w:rsid w:val="004733B5"/>
    <w:rsid w:val="00473477"/>
    <w:rsid w:val="004734F0"/>
    <w:rsid w:val="004735A3"/>
    <w:rsid w:val="004735E2"/>
    <w:rsid w:val="00473697"/>
    <w:rsid w:val="004737B7"/>
    <w:rsid w:val="004737BA"/>
    <w:rsid w:val="004737F3"/>
    <w:rsid w:val="00473828"/>
    <w:rsid w:val="004738A5"/>
    <w:rsid w:val="0047391D"/>
    <w:rsid w:val="00473922"/>
    <w:rsid w:val="004739C7"/>
    <w:rsid w:val="00473A20"/>
    <w:rsid w:val="00473A67"/>
    <w:rsid w:val="00473A82"/>
    <w:rsid w:val="00473A95"/>
    <w:rsid w:val="00473BD5"/>
    <w:rsid w:val="00473BEB"/>
    <w:rsid w:val="00473C2A"/>
    <w:rsid w:val="00473C3D"/>
    <w:rsid w:val="00473C86"/>
    <w:rsid w:val="00473CB6"/>
    <w:rsid w:val="00473D40"/>
    <w:rsid w:val="00473D6C"/>
    <w:rsid w:val="00473D75"/>
    <w:rsid w:val="00473DC3"/>
    <w:rsid w:val="00473DF0"/>
    <w:rsid w:val="00473E45"/>
    <w:rsid w:val="00473F0A"/>
    <w:rsid w:val="00473F99"/>
    <w:rsid w:val="00474055"/>
    <w:rsid w:val="004740F7"/>
    <w:rsid w:val="00474202"/>
    <w:rsid w:val="00474294"/>
    <w:rsid w:val="00474328"/>
    <w:rsid w:val="0047435C"/>
    <w:rsid w:val="0047444F"/>
    <w:rsid w:val="004744EA"/>
    <w:rsid w:val="004746C1"/>
    <w:rsid w:val="004746E5"/>
    <w:rsid w:val="0047473E"/>
    <w:rsid w:val="004747FC"/>
    <w:rsid w:val="00474874"/>
    <w:rsid w:val="004748DC"/>
    <w:rsid w:val="0047494B"/>
    <w:rsid w:val="00474996"/>
    <w:rsid w:val="00474A01"/>
    <w:rsid w:val="00474A46"/>
    <w:rsid w:val="00474A49"/>
    <w:rsid w:val="00474AEE"/>
    <w:rsid w:val="00474AFD"/>
    <w:rsid w:val="00474B72"/>
    <w:rsid w:val="00474B7D"/>
    <w:rsid w:val="00474C2F"/>
    <w:rsid w:val="00474CF9"/>
    <w:rsid w:val="00474D54"/>
    <w:rsid w:val="00474D66"/>
    <w:rsid w:val="00474E64"/>
    <w:rsid w:val="00474EE7"/>
    <w:rsid w:val="00474F04"/>
    <w:rsid w:val="00474F0F"/>
    <w:rsid w:val="00474FBE"/>
    <w:rsid w:val="004750A7"/>
    <w:rsid w:val="004751BE"/>
    <w:rsid w:val="004751CF"/>
    <w:rsid w:val="004751DB"/>
    <w:rsid w:val="00475226"/>
    <w:rsid w:val="00475254"/>
    <w:rsid w:val="00475293"/>
    <w:rsid w:val="0047529C"/>
    <w:rsid w:val="004752C9"/>
    <w:rsid w:val="00475334"/>
    <w:rsid w:val="00475373"/>
    <w:rsid w:val="00475407"/>
    <w:rsid w:val="0047544E"/>
    <w:rsid w:val="00475453"/>
    <w:rsid w:val="00475535"/>
    <w:rsid w:val="00475582"/>
    <w:rsid w:val="00475786"/>
    <w:rsid w:val="0047580A"/>
    <w:rsid w:val="00475894"/>
    <w:rsid w:val="00475946"/>
    <w:rsid w:val="00475956"/>
    <w:rsid w:val="0047599E"/>
    <w:rsid w:val="004759A9"/>
    <w:rsid w:val="00475A00"/>
    <w:rsid w:val="00475A24"/>
    <w:rsid w:val="00475A50"/>
    <w:rsid w:val="00475A85"/>
    <w:rsid w:val="00475AAB"/>
    <w:rsid w:val="00475AEA"/>
    <w:rsid w:val="00475B0E"/>
    <w:rsid w:val="00475B5D"/>
    <w:rsid w:val="00475B87"/>
    <w:rsid w:val="00475C3A"/>
    <w:rsid w:val="00475C4A"/>
    <w:rsid w:val="00475C78"/>
    <w:rsid w:val="00475CE0"/>
    <w:rsid w:val="00475CF9"/>
    <w:rsid w:val="00475D0A"/>
    <w:rsid w:val="00475DD3"/>
    <w:rsid w:val="00475E44"/>
    <w:rsid w:val="00475E4E"/>
    <w:rsid w:val="00475E5F"/>
    <w:rsid w:val="00475ECD"/>
    <w:rsid w:val="00476011"/>
    <w:rsid w:val="0047604F"/>
    <w:rsid w:val="004760AC"/>
    <w:rsid w:val="004760FE"/>
    <w:rsid w:val="004760FF"/>
    <w:rsid w:val="00476152"/>
    <w:rsid w:val="00476159"/>
    <w:rsid w:val="00476172"/>
    <w:rsid w:val="00476183"/>
    <w:rsid w:val="00476236"/>
    <w:rsid w:val="004762D3"/>
    <w:rsid w:val="00476344"/>
    <w:rsid w:val="00476396"/>
    <w:rsid w:val="00476501"/>
    <w:rsid w:val="00476540"/>
    <w:rsid w:val="00476673"/>
    <w:rsid w:val="0047669D"/>
    <w:rsid w:val="004766C5"/>
    <w:rsid w:val="004766C7"/>
    <w:rsid w:val="004767B8"/>
    <w:rsid w:val="004768CB"/>
    <w:rsid w:val="004769E4"/>
    <w:rsid w:val="00476A31"/>
    <w:rsid w:val="00476A8C"/>
    <w:rsid w:val="00476AEE"/>
    <w:rsid w:val="00476B0F"/>
    <w:rsid w:val="00476BBF"/>
    <w:rsid w:val="00476C11"/>
    <w:rsid w:val="00476C27"/>
    <w:rsid w:val="00476D38"/>
    <w:rsid w:val="00476D4E"/>
    <w:rsid w:val="00476E4F"/>
    <w:rsid w:val="00476EAA"/>
    <w:rsid w:val="00476F45"/>
    <w:rsid w:val="00476F4E"/>
    <w:rsid w:val="00477022"/>
    <w:rsid w:val="0047709D"/>
    <w:rsid w:val="004770DF"/>
    <w:rsid w:val="0047711E"/>
    <w:rsid w:val="004771CE"/>
    <w:rsid w:val="00477260"/>
    <w:rsid w:val="00477297"/>
    <w:rsid w:val="004772BB"/>
    <w:rsid w:val="004772DF"/>
    <w:rsid w:val="004772ED"/>
    <w:rsid w:val="00477311"/>
    <w:rsid w:val="00477357"/>
    <w:rsid w:val="00477393"/>
    <w:rsid w:val="0047746F"/>
    <w:rsid w:val="00477483"/>
    <w:rsid w:val="00477522"/>
    <w:rsid w:val="004775DE"/>
    <w:rsid w:val="004775DF"/>
    <w:rsid w:val="00477677"/>
    <w:rsid w:val="00477691"/>
    <w:rsid w:val="00477706"/>
    <w:rsid w:val="00477740"/>
    <w:rsid w:val="00477747"/>
    <w:rsid w:val="00477763"/>
    <w:rsid w:val="0047782D"/>
    <w:rsid w:val="00477897"/>
    <w:rsid w:val="004778E8"/>
    <w:rsid w:val="00477918"/>
    <w:rsid w:val="00477926"/>
    <w:rsid w:val="00477A70"/>
    <w:rsid w:val="00477ACA"/>
    <w:rsid w:val="00477B96"/>
    <w:rsid w:val="00477C0D"/>
    <w:rsid w:val="00477C1C"/>
    <w:rsid w:val="00477C87"/>
    <w:rsid w:val="00477D05"/>
    <w:rsid w:val="00477D06"/>
    <w:rsid w:val="00477D8B"/>
    <w:rsid w:val="00477E23"/>
    <w:rsid w:val="00477EC6"/>
    <w:rsid w:val="00477ECA"/>
    <w:rsid w:val="00477F54"/>
    <w:rsid w:val="0048011A"/>
    <w:rsid w:val="00480134"/>
    <w:rsid w:val="00480168"/>
    <w:rsid w:val="004801C1"/>
    <w:rsid w:val="0048021F"/>
    <w:rsid w:val="004802FA"/>
    <w:rsid w:val="00480395"/>
    <w:rsid w:val="004803F1"/>
    <w:rsid w:val="00480418"/>
    <w:rsid w:val="004804EA"/>
    <w:rsid w:val="004804F6"/>
    <w:rsid w:val="00480665"/>
    <w:rsid w:val="00480672"/>
    <w:rsid w:val="004807A9"/>
    <w:rsid w:val="00480878"/>
    <w:rsid w:val="00480934"/>
    <w:rsid w:val="00480935"/>
    <w:rsid w:val="00480960"/>
    <w:rsid w:val="0048099C"/>
    <w:rsid w:val="00480A4E"/>
    <w:rsid w:val="00480A91"/>
    <w:rsid w:val="00480AB6"/>
    <w:rsid w:val="00480BE9"/>
    <w:rsid w:val="00480C28"/>
    <w:rsid w:val="00480C56"/>
    <w:rsid w:val="00480C84"/>
    <w:rsid w:val="00480D4C"/>
    <w:rsid w:val="00480DAF"/>
    <w:rsid w:val="00480E4C"/>
    <w:rsid w:val="00480EBD"/>
    <w:rsid w:val="00480F7F"/>
    <w:rsid w:val="00481072"/>
    <w:rsid w:val="004810B1"/>
    <w:rsid w:val="0048111F"/>
    <w:rsid w:val="00481216"/>
    <w:rsid w:val="0048134D"/>
    <w:rsid w:val="00481384"/>
    <w:rsid w:val="0048141A"/>
    <w:rsid w:val="004814AD"/>
    <w:rsid w:val="004814F5"/>
    <w:rsid w:val="0048156B"/>
    <w:rsid w:val="004815AB"/>
    <w:rsid w:val="004815DA"/>
    <w:rsid w:val="004815F5"/>
    <w:rsid w:val="00481642"/>
    <w:rsid w:val="00481649"/>
    <w:rsid w:val="004819C3"/>
    <w:rsid w:val="00481A0F"/>
    <w:rsid w:val="00481AB8"/>
    <w:rsid w:val="00481B47"/>
    <w:rsid w:val="00481B88"/>
    <w:rsid w:val="00481BA8"/>
    <w:rsid w:val="00481C3F"/>
    <w:rsid w:val="00481C68"/>
    <w:rsid w:val="00481D11"/>
    <w:rsid w:val="00481D74"/>
    <w:rsid w:val="00481DAC"/>
    <w:rsid w:val="00481DD0"/>
    <w:rsid w:val="00481F0D"/>
    <w:rsid w:val="00481F1C"/>
    <w:rsid w:val="00481F2A"/>
    <w:rsid w:val="00481F43"/>
    <w:rsid w:val="00481FE0"/>
    <w:rsid w:val="00482044"/>
    <w:rsid w:val="00482082"/>
    <w:rsid w:val="004820A2"/>
    <w:rsid w:val="004820BD"/>
    <w:rsid w:val="0048213A"/>
    <w:rsid w:val="00482144"/>
    <w:rsid w:val="004821E1"/>
    <w:rsid w:val="00482273"/>
    <w:rsid w:val="00482277"/>
    <w:rsid w:val="004822EB"/>
    <w:rsid w:val="004822F7"/>
    <w:rsid w:val="00482344"/>
    <w:rsid w:val="00482476"/>
    <w:rsid w:val="00482527"/>
    <w:rsid w:val="004825B8"/>
    <w:rsid w:val="004825BE"/>
    <w:rsid w:val="00482622"/>
    <w:rsid w:val="0048262C"/>
    <w:rsid w:val="0048264F"/>
    <w:rsid w:val="00482657"/>
    <w:rsid w:val="004826B8"/>
    <w:rsid w:val="00482707"/>
    <w:rsid w:val="00482745"/>
    <w:rsid w:val="004827A7"/>
    <w:rsid w:val="00482831"/>
    <w:rsid w:val="0048287B"/>
    <w:rsid w:val="004829A4"/>
    <w:rsid w:val="00482AC6"/>
    <w:rsid w:val="00482B7D"/>
    <w:rsid w:val="00482C41"/>
    <w:rsid w:val="00482C4E"/>
    <w:rsid w:val="00482C6E"/>
    <w:rsid w:val="00482C7E"/>
    <w:rsid w:val="00482CA1"/>
    <w:rsid w:val="00482CB7"/>
    <w:rsid w:val="00482CFA"/>
    <w:rsid w:val="00482CFB"/>
    <w:rsid w:val="00482EF2"/>
    <w:rsid w:val="00482F8D"/>
    <w:rsid w:val="00482FF4"/>
    <w:rsid w:val="00483045"/>
    <w:rsid w:val="0048304E"/>
    <w:rsid w:val="00483148"/>
    <w:rsid w:val="00483192"/>
    <w:rsid w:val="0048319F"/>
    <w:rsid w:val="004831FB"/>
    <w:rsid w:val="00483207"/>
    <w:rsid w:val="0048320D"/>
    <w:rsid w:val="00483213"/>
    <w:rsid w:val="00483336"/>
    <w:rsid w:val="00483375"/>
    <w:rsid w:val="00483377"/>
    <w:rsid w:val="00483464"/>
    <w:rsid w:val="0048358E"/>
    <w:rsid w:val="004836DA"/>
    <w:rsid w:val="00483703"/>
    <w:rsid w:val="00483754"/>
    <w:rsid w:val="004837A7"/>
    <w:rsid w:val="00483967"/>
    <w:rsid w:val="004839A8"/>
    <w:rsid w:val="00483A30"/>
    <w:rsid w:val="00483A37"/>
    <w:rsid w:val="00483AF6"/>
    <w:rsid w:val="00483B3B"/>
    <w:rsid w:val="00483B74"/>
    <w:rsid w:val="00483B7C"/>
    <w:rsid w:val="00483C82"/>
    <w:rsid w:val="00483CE1"/>
    <w:rsid w:val="00483E22"/>
    <w:rsid w:val="00483E23"/>
    <w:rsid w:val="00483EAB"/>
    <w:rsid w:val="00483EBB"/>
    <w:rsid w:val="00483EEA"/>
    <w:rsid w:val="00483F2D"/>
    <w:rsid w:val="00483FE3"/>
    <w:rsid w:val="00484163"/>
    <w:rsid w:val="00484188"/>
    <w:rsid w:val="004841DA"/>
    <w:rsid w:val="00484266"/>
    <w:rsid w:val="0048426D"/>
    <w:rsid w:val="004842AB"/>
    <w:rsid w:val="00484349"/>
    <w:rsid w:val="0048437C"/>
    <w:rsid w:val="004843C5"/>
    <w:rsid w:val="004843D8"/>
    <w:rsid w:val="00484411"/>
    <w:rsid w:val="0048446F"/>
    <w:rsid w:val="004844A5"/>
    <w:rsid w:val="0048452A"/>
    <w:rsid w:val="00484563"/>
    <w:rsid w:val="0048465E"/>
    <w:rsid w:val="00484853"/>
    <w:rsid w:val="00484899"/>
    <w:rsid w:val="004848D0"/>
    <w:rsid w:val="004849D0"/>
    <w:rsid w:val="004849D5"/>
    <w:rsid w:val="00484A10"/>
    <w:rsid w:val="00484AB9"/>
    <w:rsid w:val="00484ADF"/>
    <w:rsid w:val="00484AF6"/>
    <w:rsid w:val="00484B74"/>
    <w:rsid w:val="00484C23"/>
    <w:rsid w:val="00484D14"/>
    <w:rsid w:val="00484D58"/>
    <w:rsid w:val="00484E70"/>
    <w:rsid w:val="00484FBE"/>
    <w:rsid w:val="00484FD4"/>
    <w:rsid w:val="0048502C"/>
    <w:rsid w:val="0048506A"/>
    <w:rsid w:val="00485174"/>
    <w:rsid w:val="00485186"/>
    <w:rsid w:val="004851B3"/>
    <w:rsid w:val="004851D0"/>
    <w:rsid w:val="0048520B"/>
    <w:rsid w:val="0048520E"/>
    <w:rsid w:val="004853CA"/>
    <w:rsid w:val="004854EB"/>
    <w:rsid w:val="0048559F"/>
    <w:rsid w:val="004855B3"/>
    <w:rsid w:val="004855C3"/>
    <w:rsid w:val="00485607"/>
    <w:rsid w:val="00485618"/>
    <w:rsid w:val="00485640"/>
    <w:rsid w:val="0048564D"/>
    <w:rsid w:val="00485676"/>
    <w:rsid w:val="0048580B"/>
    <w:rsid w:val="004858DA"/>
    <w:rsid w:val="004858DD"/>
    <w:rsid w:val="00485989"/>
    <w:rsid w:val="00485A3F"/>
    <w:rsid w:val="00485CE1"/>
    <w:rsid w:val="00485E1F"/>
    <w:rsid w:val="00485E90"/>
    <w:rsid w:val="00485EDD"/>
    <w:rsid w:val="00485F2F"/>
    <w:rsid w:val="00485F47"/>
    <w:rsid w:val="00485FBF"/>
    <w:rsid w:val="00486112"/>
    <w:rsid w:val="00486129"/>
    <w:rsid w:val="00486146"/>
    <w:rsid w:val="004861D5"/>
    <w:rsid w:val="004861FD"/>
    <w:rsid w:val="00486206"/>
    <w:rsid w:val="00486227"/>
    <w:rsid w:val="00486249"/>
    <w:rsid w:val="00486269"/>
    <w:rsid w:val="0048629D"/>
    <w:rsid w:val="004862A3"/>
    <w:rsid w:val="00486341"/>
    <w:rsid w:val="00486343"/>
    <w:rsid w:val="00486399"/>
    <w:rsid w:val="0048652D"/>
    <w:rsid w:val="0048657B"/>
    <w:rsid w:val="0048666A"/>
    <w:rsid w:val="0048668C"/>
    <w:rsid w:val="004866C1"/>
    <w:rsid w:val="00486764"/>
    <w:rsid w:val="004867E9"/>
    <w:rsid w:val="004868C6"/>
    <w:rsid w:val="004868F4"/>
    <w:rsid w:val="004869FA"/>
    <w:rsid w:val="00486AA2"/>
    <w:rsid w:val="00486C36"/>
    <w:rsid w:val="00486CDC"/>
    <w:rsid w:val="00486D75"/>
    <w:rsid w:val="00487069"/>
    <w:rsid w:val="00487169"/>
    <w:rsid w:val="00487309"/>
    <w:rsid w:val="004874BC"/>
    <w:rsid w:val="004874F7"/>
    <w:rsid w:val="00487532"/>
    <w:rsid w:val="004875B8"/>
    <w:rsid w:val="004875E7"/>
    <w:rsid w:val="0048762F"/>
    <w:rsid w:val="00487714"/>
    <w:rsid w:val="0048779A"/>
    <w:rsid w:val="0048780E"/>
    <w:rsid w:val="004879A7"/>
    <w:rsid w:val="004879A9"/>
    <w:rsid w:val="00487A03"/>
    <w:rsid w:val="00487AB4"/>
    <w:rsid w:val="00487B38"/>
    <w:rsid w:val="00487B75"/>
    <w:rsid w:val="00487BDC"/>
    <w:rsid w:val="00487C02"/>
    <w:rsid w:val="00487CE2"/>
    <w:rsid w:val="00487D81"/>
    <w:rsid w:val="00487D9C"/>
    <w:rsid w:val="00487F25"/>
    <w:rsid w:val="00487F84"/>
    <w:rsid w:val="00487FC5"/>
    <w:rsid w:val="00487FD0"/>
    <w:rsid w:val="0048BC07"/>
    <w:rsid w:val="00490051"/>
    <w:rsid w:val="0049007E"/>
    <w:rsid w:val="004900A1"/>
    <w:rsid w:val="00490151"/>
    <w:rsid w:val="00490154"/>
    <w:rsid w:val="00490188"/>
    <w:rsid w:val="004901D2"/>
    <w:rsid w:val="0049020A"/>
    <w:rsid w:val="00490219"/>
    <w:rsid w:val="00490394"/>
    <w:rsid w:val="00490440"/>
    <w:rsid w:val="0049045A"/>
    <w:rsid w:val="0049046E"/>
    <w:rsid w:val="004904F7"/>
    <w:rsid w:val="0049062A"/>
    <w:rsid w:val="004906AF"/>
    <w:rsid w:val="004906BA"/>
    <w:rsid w:val="00490719"/>
    <w:rsid w:val="0049071F"/>
    <w:rsid w:val="00490739"/>
    <w:rsid w:val="00490769"/>
    <w:rsid w:val="00490782"/>
    <w:rsid w:val="004907EF"/>
    <w:rsid w:val="00490815"/>
    <w:rsid w:val="00490869"/>
    <w:rsid w:val="00490936"/>
    <w:rsid w:val="00490956"/>
    <w:rsid w:val="00490961"/>
    <w:rsid w:val="00490A0F"/>
    <w:rsid w:val="00490B03"/>
    <w:rsid w:val="00490CCB"/>
    <w:rsid w:val="00490D21"/>
    <w:rsid w:val="00490DCE"/>
    <w:rsid w:val="00490E72"/>
    <w:rsid w:val="00490EEA"/>
    <w:rsid w:val="00490EF6"/>
    <w:rsid w:val="00490F58"/>
    <w:rsid w:val="00490F5F"/>
    <w:rsid w:val="00490FBE"/>
    <w:rsid w:val="004911BC"/>
    <w:rsid w:val="0049125F"/>
    <w:rsid w:val="004912CD"/>
    <w:rsid w:val="00491305"/>
    <w:rsid w:val="00491313"/>
    <w:rsid w:val="00491347"/>
    <w:rsid w:val="004914D2"/>
    <w:rsid w:val="004915A4"/>
    <w:rsid w:val="004915E6"/>
    <w:rsid w:val="00491684"/>
    <w:rsid w:val="0049168B"/>
    <w:rsid w:val="00491749"/>
    <w:rsid w:val="0049177D"/>
    <w:rsid w:val="004917A7"/>
    <w:rsid w:val="00491846"/>
    <w:rsid w:val="004918EC"/>
    <w:rsid w:val="004918F6"/>
    <w:rsid w:val="004919A4"/>
    <w:rsid w:val="004919F5"/>
    <w:rsid w:val="00491A3E"/>
    <w:rsid w:val="00491A67"/>
    <w:rsid w:val="00491AB5"/>
    <w:rsid w:val="00491ABA"/>
    <w:rsid w:val="00491B39"/>
    <w:rsid w:val="00491B6D"/>
    <w:rsid w:val="00491B88"/>
    <w:rsid w:val="00491BD7"/>
    <w:rsid w:val="00491BF7"/>
    <w:rsid w:val="00491C45"/>
    <w:rsid w:val="00491C55"/>
    <w:rsid w:val="00491D0E"/>
    <w:rsid w:val="00491D4E"/>
    <w:rsid w:val="00491E9C"/>
    <w:rsid w:val="00491EC1"/>
    <w:rsid w:val="00491F53"/>
    <w:rsid w:val="00491F88"/>
    <w:rsid w:val="00491F8C"/>
    <w:rsid w:val="0049201B"/>
    <w:rsid w:val="00492026"/>
    <w:rsid w:val="00492094"/>
    <w:rsid w:val="004920EE"/>
    <w:rsid w:val="004921F2"/>
    <w:rsid w:val="00492309"/>
    <w:rsid w:val="00492332"/>
    <w:rsid w:val="00492348"/>
    <w:rsid w:val="004923C1"/>
    <w:rsid w:val="004924E0"/>
    <w:rsid w:val="0049258A"/>
    <w:rsid w:val="004925E9"/>
    <w:rsid w:val="0049262F"/>
    <w:rsid w:val="004926C6"/>
    <w:rsid w:val="004926F0"/>
    <w:rsid w:val="004927E6"/>
    <w:rsid w:val="0049280E"/>
    <w:rsid w:val="00492835"/>
    <w:rsid w:val="0049287D"/>
    <w:rsid w:val="0049291E"/>
    <w:rsid w:val="004929FB"/>
    <w:rsid w:val="00492AC9"/>
    <w:rsid w:val="00492ACE"/>
    <w:rsid w:val="00492AD1"/>
    <w:rsid w:val="00492CBD"/>
    <w:rsid w:val="00492CC3"/>
    <w:rsid w:val="00492D13"/>
    <w:rsid w:val="00492DD1"/>
    <w:rsid w:val="00492E6E"/>
    <w:rsid w:val="00492E96"/>
    <w:rsid w:val="00492F0A"/>
    <w:rsid w:val="00492FFA"/>
    <w:rsid w:val="00492FFB"/>
    <w:rsid w:val="004930AB"/>
    <w:rsid w:val="0049314A"/>
    <w:rsid w:val="00493158"/>
    <w:rsid w:val="00493167"/>
    <w:rsid w:val="004932C9"/>
    <w:rsid w:val="004932F0"/>
    <w:rsid w:val="004932F4"/>
    <w:rsid w:val="0049330D"/>
    <w:rsid w:val="00493418"/>
    <w:rsid w:val="0049349C"/>
    <w:rsid w:val="004934C0"/>
    <w:rsid w:val="004934F7"/>
    <w:rsid w:val="0049352A"/>
    <w:rsid w:val="00493544"/>
    <w:rsid w:val="00493571"/>
    <w:rsid w:val="004935B9"/>
    <w:rsid w:val="004935E9"/>
    <w:rsid w:val="00493642"/>
    <w:rsid w:val="0049366D"/>
    <w:rsid w:val="004936D0"/>
    <w:rsid w:val="004936F1"/>
    <w:rsid w:val="004938D0"/>
    <w:rsid w:val="00493AC1"/>
    <w:rsid w:val="00493C28"/>
    <w:rsid w:val="00493C53"/>
    <w:rsid w:val="00493CA3"/>
    <w:rsid w:val="00493CA7"/>
    <w:rsid w:val="00493D0B"/>
    <w:rsid w:val="00493D5F"/>
    <w:rsid w:val="00493D7E"/>
    <w:rsid w:val="00493D9B"/>
    <w:rsid w:val="00493DCF"/>
    <w:rsid w:val="00493E04"/>
    <w:rsid w:val="00493E50"/>
    <w:rsid w:val="00493E9C"/>
    <w:rsid w:val="00493EEC"/>
    <w:rsid w:val="00493F2A"/>
    <w:rsid w:val="00493F2F"/>
    <w:rsid w:val="00493F7D"/>
    <w:rsid w:val="00493F88"/>
    <w:rsid w:val="00493FF8"/>
    <w:rsid w:val="00494004"/>
    <w:rsid w:val="00494023"/>
    <w:rsid w:val="0049407B"/>
    <w:rsid w:val="004940AB"/>
    <w:rsid w:val="004940C7"/>
    <w:rsid w:val="00494113"/>
    <w:rsid w:val="0049413B"/>
    <w:rsid w:val="00494151"/>
    <w:rsid w:val="0049419D"/>
    <w:rsid w:val="00494213"/>
    <w:rsid w:val="0049430C"/>
    <w:rsid w:val="0049437D"/>
    <w:rsid w:val="004943FB"/>
    <w:rsid w:val="0049443E"/>
    <w:rsid w:val="00494447"/>
    <w:rsid w:val="0049444D"/>
    <w:rsid w:val="00494468"/>
    <w:rsid w:val="004944FE"/>
    <w:rsid w:val="00494510"/>
    <w:rsid w:val="004945B7"/>
    <w:rsid w:val="004945B9"/>
    <w:rsid w:val="004945D5"/>
    <w:rsid w:val="00494691"/>
    <w:rsid w:val="00494746"/>
    <w:rsid w:val="00494749"/>
    <w:rsid w:val="0049475A"/>
    <w:rsid w:val="00494768"/>
    <w:rsid w:val="0049479C"/>
    <w:rsid w:val="004947E7"/>
    <w:rsid w:val="00494819"/>
    <w:rsid w:val="00494894"/>
    <w:rsid w:val="004948AB"/>
    <w:rsid w:val="004948BA"/>
    <w:rsid w:val="0049499E"/>
    <w:rsid w:val="004949B4"/>
    <w:rsid w:val="004949D5"/>
    <w:rsid w:val="00494A3D"/>
    <w:rsid w:val="00494A91"/>
    <w:rsid w:val="00494B2C"/>
    <w:rsid w:val="00494BC1"/>
    <w:rsid w:val="00494BDB"/>
    <w:rsid w:val="00494C99"/>
    <w:rsid w:val="00494CF8"/>
    <w:rsid w:val="00494D06"/>
    <w:rsid w:val="00494D41"/>
    <w:rsid w:val="00494DAD"/>
    <w:rsid w:val="00494E3D"/>
    <w:rsid w:val="00494F05"/>
    <w:rsid w:val="00494F15"/>
    <w:rsid w:val="00494F64"/>
    <w:rsid w:val="00494F89"/>
    <w:rsid w:val="00495008"/>
    <w:rsid w:val="00495092"/>
    <w:rsid w:val="004950D6"/>
    <w:rsid w:val="0049511D"/>
    <w:rsid w:val="0049512C"/>
    <w:rsid w:val="00495149"/>
    <w:rsid w:val="0049521D"/>
    <w:rsid w:val="00495262"/>
    <w:rsid w:val="00495289"/>
    <w:rsid w:val="00495327"/>
    <w:rsid w:val="004953F4"/>
    <w:rsid w:val="00495499"/>
    <w:rsid w:val="004955ED"/>
    <w:rsid w:val="00495635"/>
    <w:rsid w:val="0049565F"/>
    <w:rsid w:val="00495714"/>
    <w:rsid w:val="00495751"/>
    <w:rsid w:val="00495772"/>
    <w:rsid w:val="00495817"/>
    <w:rsid w:val="00495821"/>
    <w:rsid w:val="00495893"/>
    <w:rsid w:val="004958F7"/>
    <w:rsid w:val="00495950"/>
    <w:rsid w:val="0049598A"/>
    <w:rsid w:val="00495996"/>
    <w:rsid w:val="004959CD"/>
    <w:rsid w:val="00495A65"/>
    <w:rsid w:val="00495ABE"/>
    <w:rsid w:val="00495ACB"/>
    <w:rsid w:val="00495B06"/>
    <w:rsid w:val="00495C43"/>
    <w:rsid w:val="00495CBF"/>
    <w:rsid w:val="00495D2E"/>
    <w:rsid w:val="00495D92"/>
    <w:rsid w:val="00495DED"/>
    <w:rsid w:val="00495E0D"/>
    <w:rsid w:val="00495E2A"/>
    <w:rsid w:val="00495E78"/>
    <w:rsid w:val="00495F36"/>
    <w:rsid w:val="00495F7B"/>
    <w:rsid w:val="00495F8C"/>
    <w:rsid w:val="00496002"/>
    <w:rsid w:val="0049602E"/>
    <w:rsid w:val="00496117"/>
    <w:rsid w:val="0049611F"/>
    <w:rsid w:val="0049623E"/>
    <w:rsid w:val="0049628D"/>
    <w:rsid w:val="0049629E"/>
    <w:rsid w:val="004962FE"/>
    <w:rsid w:val="004963A5"/>
    <w:rsid w:val="00496518"/>
    <w:rsid w:val="00496545"/>
    <w:rsid w:val="00496596"/>
    <w:rsid w:val="00496709"/>
    <w:rsid w:val="00496781"/>
    <w:rsid w:val="004967B0"/>
    <w:rsid w:val="0049680B"/>
    <w:rsid w:val="00496902"/>
    <w:rsid w:val="00496940"/>
    <w:rsid w:val="00496A4D"/>
    <w:rsid w:val="00496AF9"/>
    <w:rsid w:val="00496B98"/>
    <w:rsid w:val="00496BB1"/>
    <w:rsid w:val="00496D35"/>
    <w:rsid w:val="00496D6A"/>
    <w:rsid w:val="00496D6B"/>
    <w:rsid w:val="00496DD1"/>
    <w:rsid w:val="00496DFA"/>
    <w:rsid w:val="00496EFB"/>
    <w:rsid w:val="00496F9C"/>
    <w:rsid w:val="00496FA5"/>
    <w:rsid w:val="00496FEE"/>
    <w:rsid w:val="00497010"/>
    <w:rsid w:val="004971F7"/>
    <w:rsid w:val="0049723A"/>
    <w:rsid w:val="00497249"/>
    <w:rsid w:val="004972A7"/>
    <w:rsid w:val="00497300"/>
    <w:rsid w:val="0049739F"/>
    <w:rsid w:val="004973E6"/>
    <w:rsid w:val="0049746F"/>
    <w:rsid w:val="00497476"/>
    <w:rsid w:val="004974DC"/>
    <w:rsid w:val="004974E1"/>
    <w:rsid w:val="0049750B"/>
    <w:rsid w:val="0049756A"/>
    <w:rsid w:val="00497585"/>
    <w:rsid w:val="0049763D"/>
    <w:rsid w:val="004977C5"/>
    <w:rsid w:val="00497805"/>
    <w:rsid w:val="00497813"/>
    <w:rsid w:val="004978CE"/>
    <w:rsid w:val="0049790C"/>
    <w:rsid w:val="00497A0C"/>
    <w:rsid w:val="00497A3D"/>
    <w:rsid w:val="00497BDF"/>
    <w:rsid w:val="00497C57"/>
    <w:rsid w:val="00497C78"/>
    <w:rsid w:val="00497C97"/>
    <w:rsid w:val="00497D42"/>
    <w:rsid w:val="00497DAD"/>
    <w:rsid w:val="00497E09"/>
    <w:rsid w:val="00497E80"/>
    <w:rsid w:val="00497E9F"/>
    <w:rsid w:val="00497ED0"/>
    <w:rsid w:val="00497EE7"/>
    <w:rsid w:val="00497EFD"/>
    <w:rsid w:val="00497F8A"/>
    <w:rsid w:val="00497FFD"/>
    <w:rsid w:val="004A007C"/>
    <w:rsid w:val="004A016D"/>
    <w:rsid w:val="004A0242"/>
    <w:rsid w:val="004A0295"/>
    <w:rsid w:val="004A02AB"/>
    <w:rsid w:val="004A02B2"/>
    <w:rsid w:val="004A0450"/>
    <w:rsid w:val="004A0479"/>
    <w:rsid w:val="004A053E"/>
    <w:rsid w:val="004A0673"/>
    <w:rsid w:val="004A072A"/>
    <w:rsid w:val="004A0798"/>
    <w:rsid w:val="004A082E"/>
    <w:rsid w:val="004A08E2"/>
    <w:rsid w:val="004A08F9"/>
    <w:rsid w:val="004A094D"/>
    <w:rsid w:val="004A0966"/>
    <w:rsid w:val="004A0971"/>
    <w:rsid w:val="004A0B14"/>
    <w:rsid w:val="004A0B3E"/>
    <w:rsid w:val="004A0B5F"/>
    <w:rsid w:val="004A0BFD"/>
    <w:rsid w:val="004A0C27"/>
    <w:rsid w:val="004A0CE4"/>
    <w:rsid w:val="004A0D62"/>
    <w:rsid w:val="004A0D77"/>
    <w:rsid w:val="004A0E57"/>
    <w:rsid w:val="004A0EE8"/>
    <w:rsid w:val="004A0F5A"/>
    <w:rsid w:val="004A0F99"/>
    <w:rsid w:val="004A0FE8"/>
    <w:rsid w:val="004A1049"/>
    <w:rsid w:val="004A11B3"/>
    <w:rsid w:val="004A121E"/>
    <w:rsid w:val="004A122B"/>
    <w:rsid w:val="004A122D"/>
    <w:rsid w:val="004A124F"/>
    <w:rsid w:val="004A1250"/>
    <w:rsid w:val="004A1299"/>
    <w:rsid w:val="004A12A5"/>
    <w:rsid w:val="004A1307"/>
    <w:rsid w:val="004A1319"/>
    <w:rsid w:val="004A1362"/>
    <w:rsid w:val="004A13AE"/>
    <w:rsid w:val="004A1499"/>
    <w:rsid w:val="004A1548"/>
    <w:rsid w:val="004A156C"/>
    <w:rsid w:val="004A1594"/>
    <w:rsid w:val="004A15A7"/>
    <w:rsid w:val="004A160E"/>
    <w:rsid w:val="004A1616"/>
    <w:rsid w:val="004A1637"/>
    <w:rsid w:val="004A1650"/>
    <w:rsid w:val="004A1732"/>
    <w:rsid w:val="004A17DD"/>
    <w:rsid w:val="004A181B"/>
    <w:rsid w:val="004A185A"/>
    <w:rsid w:val="004A1969"/>
    <w:rsid w:val="004A1992"/>
    <w:rsid w:val="004A1A22"/>
    <w:rsid w:val="004A1A6B"/>
    <w:rsid w:val="004A1ABB"/>
    <w:rsid w:val="004A1AE2"/>
    <w:rsid w:val="004A1B3C"/>
    <w:rsid w:val="004A1B40"/>
    <w:rsid w:val="004A1B52"/>
    <w:rsid w:val="004A1BAB"/>
    <w:rsid w:val="004A1C33"/>
    <w:rsid w:val="004A1D00"/>
    <w:rsid w:val="004A1D3C"/>
    <w:rsid w:val="004A1D6B"/>
    <w:rsid w:val="004A1DB2"/>
    <w:rsid w:val="004A1DD1"/>
    <w:rsid w:val="004A1E00"/>
    <w:rsid w:val="004A1E0B"/>
    <w:rsid w:val="004A1F0A"/>
    <w:rsid w:val="004A208C"/>
    <w:rsid w:val="004A2141"/>
    <w:rsid w:val="004A2159"/>
    <w:rsid w:val="004A2211"/>
    <w:rsid w:val="004A222C"/>
    <w:rsid w:val="004A22B4"/>
    <w:rsid w:val="004A22E1"/>
    <w:rsid w:val="004A23C1"/>
    <w:rsid w:val="004A2442"/>
    <w:rsid w:val="004A247E"/>
    <w:rsid w:val="004A24F4"/>
    <w:rsid w:val="004A2500"/>
    <w:rsid w:val="004A260F"/>
    <w:rsid w:val="004A26CC"/>
    <w:rsid w:val="004A27D4"/>
    <w:rsid w:val="004A2835"/>
    <w:rsid w:val="004A2844"/>
    <w:rsid w:val="004A2859"/>
    <w:rsid w:val="004A28C4"/>
    <w:rsid w:val="004A28E8"/>
    <w:rsid w:val="004A2932"/>
    <w:rsid w:val="004A2A59"/>
    <w:rsid w:val="004A2A69"/>
    <w:rsid w:val="004A2ABD"/>
    <w:rsid w:val="004A2B52"/>
    <w:rsid w:val="004A2B6A"/>
    <w:rsid w:val="004A2C15"/>
    <w:rsid w:val="004A2D21"/>
    <w:rsid w:val="004A2D87"/>
    <w:rsid w:val="004A2DA8"/>
    <w:rsid w:val="004A2E74"/>
    <w:rsid w:val="004A2F41"/>
    <w:rsid w:val="004A2FA5"/>
    <w:rsid w:val="004A3020"/>
    <w:rsid w:val="004A3028"/>
    <w:rsid w:val="004A3061"/>
    <w:rsid w:val="004A30AA"/>
    <w:rsid w:val="004A311C"/>
    <w:rsid w:val="004A3326"/>
    <w:rsid w:val="004A3352"/>
    <w:rsid w:val="004A339F"/>
    <w:rsid w:val="004A351A"/>
    <w:rsid w:val="004A3522"/>
    <w:rsid w:val="004A3539"/>
    <w:rsid w:val="004A3567"/>
    <w:rsid w:val="004A361B"/>
    <w:rsid w:val="004A36F5"/>
    <w:rsid w:val="004A37DC"/>
    <w:rsid w:val="004A38B5"/>
    <w:rsid w:val="004A391A"/>
    <w:rsid w:val="004A3965"/>
    <w:rsid w:val="004A3B0B"/>
    <w:rsid w:val="004A3B3F"/>
    <w:rsid w:val="004A3C41"/>
    <w:rsid w:val="004A3CB5"/>
    <w:rsid w:val="004A3CCD"/>
    <w:rsid w:val="004A3D40"/>
    <w:rsid w:val="004A3DCD"/>
    <w:rsid w:val="004A3DED"/>
    <w:rsid w:val="004A3E45"/>
    <w:rsid w:val="004A3E5A"/>
    <w:rsid w:val="004A3EDD"/>
    <w:rsid w:val="004A3EE3"/>
    <w:rsid w:val="004A3F5F"/>
    <w:rsid w:val="004A407E"/>
    <w:rsid w:val="004A40BD"/>
    <w:rsid w:val="004A40C7"/>
    <w:rsid w:val="004A4101"/>
    <w:rsid w:val="004A414D"/>
    <w:rsid w:val="004A4220"/>
    <w:rsid w:val="004A429E"/>
    <w:rsid w:val="004A42CE"/>
    <w:rsid w:val="004A42E8"/>
    <w:rsid w:val="004A4337"/>
    <w:rsid w:val="004A439F"/>
    <w:rsid w:val="004A43E8"/>
    <w:rsid w:val="004A43E9"/>
    <w:rsid w:val="004A4441"/>
    <w:rsid w:val="004A4455"/>
    <w:rsid w:val="004A448F"/>
    <w:rsid w:val="004A4491"/>
    <w:rsid w:val="004A45AC"/>
    <w:rsid w:val="004A45E5"/>
    <w:rsid w:val="004A4670"/>
    <w:rsid w:val="004A4693"/>
    <w:rsid w:val="004A46D2"/>
    <w:rsid w:val="004A4771"/>
    <w:rsid w:val="004A49EF"/>
    <w:rsid w:val="004A4A06"/>
    <w:rsid w:val="004A4A64"/>
    <w:rsid w:val="004A4AA3"/>
    <w:rsid w:val="004A4AA7"/>
    <w:rsid w:val="004A4AE2"/>
    <w:rsid w:val="004A4C78"/>
    <w:rsid w:val="004A4CD9"/>
    <w:rsid w:val="004A4D35"/>
    <w:rsid w:val="004A4D6D"/>
    <w:rsid w:val="004A4D72"/>
    <w:rsid w:val="004A4D8E"/>
    <w:rsid w:val="004A4DEF"/>
    <w:rsid w:val="004A4F0F"/>
    <w:rsid w:val="004A4FA6"/>
    <w:rsid w:val="004A4FBB"/>
    <w:rsid w:val="004A50B6"/>
    <w:rsid w:val="004A5154"/>
    <w:rsid w:val="004A51F8"/>
    <w:rsid w:val="004A5288"/>
    <w:rsid w:val="004A52BE"/>
    <w:rsid w:val="004A52DD"/>
    <w:rsid w:val="004A5327"/>
    <w:rsid w:val="004A532F"/>
    <w:rsid w:val="004A535B"/>
    <w:rsid w:val="004A5374"/>
    <w:rsid w:val="004A5581"/>
    <w:rsid w:val="004A5616"/>
    <w:rsid w:val="004A564D"/>
    <w:rsid w:val="004A5665"/>
    <w:rsid w:val="004A568A"/>
    <w:rsid w:val="004A56C5"/>
    <w:rsid w:val="004A56EE"/>
    <w:rsid w:val="004A578E"/>
    <w:rsid w:val="004A57F0"/>
    <w:rsid w:val="004A5827"/>
    <w:rsid w:val="004A5940"/>
    <w:rsid w:val="004A5950"/>
    <w:rsid w:val="004A5994"/>
    <w:rsid w:val="004A5A1A"/>
    <w:rsid w:val="004A5AB8"/>
    <w:rsid w:val="004A5B19"/>
    <w:rsid w:val="004A5B21"/>
    <w:rsid w:val="004A5B3D"/>
    <w:rsid w:val="004A5B40"/>
    <w:rsid w:val="004A5B5F"/>
    <w:rsid w:val="004A5B95"/>
    <w:rsid w:val="004A5BBD"/>
    <w:rsid w:val="004A5BD8"/>
    <w:rsid w:val="004A5BDB"/>
    <w:rsid w:val="004A5CF3"/>
    <w:rsid w:val="004A5D64"/>
    <w:rsid w:val="004A5D88"/>
    <w:rsid w:val="004A5DF0"/>
    <w:rsid w:val="004A5DF2"/>
    <w:rsid w:val="004A5E8C"/>
    <w:rsid w:val="004A5F24"/>
    <w:rsid w:val="004A5F2D"/>
    <w:rsid w:val="004A5F5C"/>
    <w:rsid w:val="004A605C"/>
    <w:rsid w:val="004A609B"/>
    <w:rsid w:val="004A60F9"/>
    <w:rsid w:val="004A613B"/>
    <w:rsid w:val="004A6164"/>
    <w:rsid w:val="004A629B"/>
    <w:rsid w:val="004A62C4"/>
    <w:rsid w:val="004A62D2"/>
    <w:rsid w:val="004A636A"/>
    <w:rsid w:val="004A63E0"/>
    <w:rsid w:val="004A64D4"/>
    <w:rsid w:val="004A6501"/>
    <w:rsid w:val="004A6521"/>
    <w:rsid w:val="004A6529"/>
    <w:rsid w:val="004A6569"/>
    <w:rsid w:val="004A65B5"/>
    <w:rsid w:val="004A6612"/>
    <w:rsid w:val="004A6664"/>
    <w:rsid w:val="004A6814"/>
    <w:rsid w:val="004A6881"/>
    <w:rsid w:val="004A68D5"/>
    <w:rsid w:val="004A68ED"/>
    <w:rsid w:val="004A68FF"/>
    <w:rsid w:val="004A6A54"/>
    <w:rsid w:val="004A6A8C"/>
    <w:rsid w:val="004A6B3A"/>
    <w:rsid w:val="004A6B5B"/>
    <w:rsid w:val="004A6B92"/>
    <w:rsid w:val="004A6BB6"/>
    <w:rsid w:val="004A6BFA"/>
    <w:rsid w:val="004A6C29"/>
    <w:rsid w:val="004A6D46"/>
    <w:rsid w:val="004A6E96"/>
    <w:rsid w:val="004A6F02"/>
    <w:rsid w:val="004A6F45"/>
    <w:rsid w:val="004A7058"/>
    <w:rsid w:val="004A7122"/>
    <w:rsid w:val="004A7188"/>
    <w:rsid w:val="004A7283"/>
    <w:rsid w:val="004A72C8"/>
    <w:rsid w:val="004A72E7"/>
    <w:rsid w:val="004A73A6"/>
    <w:rsid w:val="004A7465"/>
    <w:rsid w:val="004A7493"/>
    <w:rsid w:val="004A7497"/>
    <w:rsid w:val="004A74AF"/>
    <w:rsid w:val="004A75BB"/>
    <w:rsid w:val="004A75E7"/>
    <w:rsid w:val="004A7667"/>
    <w:rsid w:val="004A76B1"/>
    <w:rsid w:val="004A771D"/>
    <w:rsid w:val="004A77D6"/>
    <w:rsid w:val="004A7852"/>
    <w:rsid w:val="004A78A7"/>
    <w:rsid w:val="004A795E"/>
    <w:rsid w:val="004A79AC"/>
    <w:rsid w:val="004A79BE"/>
    <w:rsid w:val="004A79CE"/>
    <w:rsid w:val="004A7A56"/>
    <w:rsid w:val="004A7AFE"/>
    <w:rsid w:val="004A7B41"/>
    <w:rsid w:val="004A7BEC"/>
    <w:rsid w:val="004A7C5E"/>
    <w:rsid w:val="004A7CD6"/>
    <w:rsid w:val="004A7D12"/>
    <w:rsid w:val="004A7D52"/>
    <w:rsid w:val="004A7D80"/>
    <w:rsid w:val="004A7DEE"/>
    <w:rsid w:val="004A7E05"/>
    <w:rsid w:val="004A7E81"/>
    <w:rsid w:val="004A7F95"/>
    <w:rsid w:val="004A7FA7"/>
    <w:rsid w:val="004A7FE5"/>
    <w:rsid w:val="004A7FF7"/>
    <w:rsid w:val="004B0054"/>
    <w:rsid w:val="004B018F"/>
    <w:rsid w:val="004B022F"/>
    <w:rsid w:val="004B0330"/>
    <w:rsid w:val="004B03D4"/>
    <w:rsid w:val="004B0436"/>
    <w:rsid w:val="004B0502"/>
    <w:rsid w:val="004B0588"/>
    <w:rsid w:val="004B05DE"/>
    <w:rsid w:val="004B0649"/>
    <w:rsid w:val="004B0885"/>
    <w:rsid w:val="004B09A2"/>
    <w:rsid w:val="004B0A0E"/>
    <w:rsid w:val="004B0A77"/>
    <w:rsid w:val="004B0A82"/>
    <w:rsid w:val="004B0B10"/>
    <w:rsid w:val="004B0B8A"/>
    <w:rsid w:val="004B0C5F"/>
    <w:rsid w:val="004B0CBF"/>
    <w:rsid w:val="004B0CDB"/>
    <w:rsid w:val="004B0E08"/>
    <w:rsid w:val="004B0E88"/>
    <w:rsid w:val="004B0F84"/>
    <w:rsid w:val="004B0FCE"/>
    <w:rsid w:val="004B0FF5"/>
    <w:rsid w:val="004B1055"/>
    <w:rsid w:val="004B106E"/>
    <w:rsid w:val="004B10E7"/>
    <w:rsid w:val="004B10F8"/>
    <w:rsid w:val="004B11A2"/>
    <w:rsid w:val="004B13EB"/>
    <w:rsid w:val="004B1458"/>
    <w:rsid w:val="004B1556"/>
    <w:rsid w:val="004B15CB"/>
    <w:rsid w:val="004B1679"/>
    <w:rsid w:val="004B167F"/>
    <w:rsid w:val="004B16BA"/>
    <w:rsid w:val="004B17B0"/>
    <w:rsid w:val="004B186B"/>
    <w:rsid w:val="004B18ED"/>
    <w:rsid w:val="004B19F7"/>
    <w:rsid w:val="004B1A4E"/>
    <w:rsid w:val="004B1A6B"/>
    <w:rsid w:val="004B1A87"/>
    <w:rsid w:val="004B1B4A"/>
    <w:rsid w:val="004B1B88"/>
    <w:rsid w:val="004B1BDB"/>
    <w:rsid w:val="004B1BEA"/>
    <w:rsid w:val="004B1C1C"/>
    <w:rsid w:val="004B1C25"/>
    <w:rsid w:val="004B1C50"/>
    <w:rsid w:val="004B1CD2"/>
    <w:rsid w:val="004B1D0B"/>
    <w:rsid w:val="004B1E27"/>
    <w:rsid w:val="004B1E53"/>
    <w:rsid w:val="004B1E83"/>
    <w:rsid w:val="004B1E96"/>
    <w:rsid w:val="004B2040"/>
    <w:rsid w:val="004B20A1"/>
    <w:rsid w:val="004B20EF"/>
    <w:rsid w:val="004B20F1"/>
    <w:rsid w:val="004B2100"/>
    <w:rsid w:val="004B21A4"/>
    <w:rsid w:val="004B21B1"/>
    <w:rsid w:val="004B221A"/>
    <w:rsid w:val="004B223C"/>
    <w:rsid w:val="004B2265"/>
    <w:rsid w:val="004B22BF"/>
    <w:rsid w:val="004B22DE"/>
    <w:rsid w:val="004B2304"/>
    <w:rsid w:val="004B2375"/>
    <w:rsid w:val="004B23B2"/>
    <w:rsid w:val="004B2410"/>
    <w:rsid w:val="004B24F6"/>
    <w:rsid w:val="004B24FA"/>
    <w:rsid w:val="004B2511"/>
    <w:rsid w:val="004B2523"/>
    <w:rsid w:val="004B25AA"/>
    <w:rsid w:val="004B25B2"/>
    <w:rsid w:val="004B25F8"/>
    <w:rsid w:val="004B269F"/>
    <w:rsid w:val="004B2712"/>
    <w:rsid w:val="004B272E"/>
    <w:rsid w:val="004B2798"/>
    <w:rsid w:val="004B2811"/>
    <w:rsid w:val="004B2863"/>
    <w:rsid w:val="004B288A"/>
    <w:rsid w:val="004B28C3"/>
    <w:rsid w:val="004B297B"/>
    <w:rsid w:val="004B29A9"/>
    <w:rsid w:val="004B29CE"/>
    <w:rsid w:val="004B2A91"/>
    <w:rsid w:val="004B2A92"/>
    <w:rsid w:val="004B2AB2"/>
    <w:rsid w:val="004B2ABE"/>
    <w:rsid w:val="004B2B17"/>
    <w:rsid w:val="004B2B55"/>
    <w:rsid w:val="004B2BA6"/>
    <w:rsid w:val="004B2BC2"/>
    <w:rsid w:val="004B2BF6"/>
    <w:rsid w:val="004B2C36"/>
    <w:rsid w:val="004B2C42"/>
    <w:rsid w:val="004B2C8A"/>
    <w:rsid w:val="004B2CC2"/>
    <w:rsid w:val="004B2DFB"/>
    <w:rsid w:val="004B2E22"/>
    <w:rsid w:val="004B2EA5"/>
    <w:rsid w:val="004B2EED"/>
    <w:rsid w:val="004B2EF6"/>
    <w:rsid w:val="004B30CE"/>
    <w:rsid w:val="004B313D"/>
    <w:rsid w:val="004B3179"/>
    <w:rsid w:val="004B323F"/>
    <w:rsid w:val="004B3242"/>
    <w:rsid w:val="004B326B"/>
    <w:rsid w:val="004B340C"/>
    <w:rsid w:val="004B3465"/>
    <w:rsid w:val="004B351F"/>
    <w:rsid w:val="004B35AA"/>
    <w:rsid w:val="004B3629"/>
    <w:rsid w:val="004B3641"/>
    <w:rsid w:val="004B36C3"/>
    <w:rsid w:val="004B388C"/>
    <w:rsid w:val="004B39C5"/>
    <w:rsid w:val="004B39CD"/>
    <w:rsid w:val="004B3A14"/>
    <w:rsid w:val="004B3A73"/>
    <w:rsid w:val="004B3B3A"/>
    <w:rsid w:val="004B3B67"/>
    <w:rsid w:val="004B3BC5"/>
    <w:rsid w:val="004B3CA2"/>
    <w:rsid w:val="004B3CB2"/>
    <w:rsid w:val="004B3CC0"/>
    <w:rsid w:val="004B3D00"/>
    <w:rsid w:val="004B3D5B"/>
    <w:rsid w:val="004B3D88"/>
    <w:rsid w:val="004B3D8D"/>
    <w:rsid w:val="004B3D99"/>
    <w:rsid w:val="004B3ECE"/>
    <w:rsid w:val="004B3EE3"/>
    <w:rsid w:val="004B3EE8"/>
    <w:rsid w:val="004B3F1C"/>
    <w:rsid w:val="004B4046"/>
    <w:rsid w:val="004B40A7"/>
    <w:rsid w:val="004B4380"/>
    <w:rsid w:val="004B43C9"/>
    <w:rsid w:val="004B4450"/>
    <w:rsid w:val="004B44A2"/>
    <w:rsid w:val="004B44E9"/>
    <w:rsid w:val="004B4567"/>
    <w:rsid w:val="004B45AB"/>
    <w:rsid w:val="004B45F0"/>
    <w:rsid w:val="004B4646"/>
    <w:rsid w:val="004B466D"/>
    <w:rsid w:val="004B4675"/>
    <w:rsid w:val="004B4692"/>
    <w:rsid w:val="004B46E5"/>
    <w:rsid w:val="004B475E"/>
    <w:rsid w:val="004B4835"/>
    <w:rsid w:val="004B485F"/>
    <w:rsid w:val="004B4893"/>
    <w:rsid w:val="004B48F9"/>
    <w:rsid w:val="004B4920"/>
    <w:rsid w:val="004B4959"/>
    <w:rsid w:val="004B49A4"/>
    <w:rsid w:val="004B49F6"/>
    <w:rsid w:val="004B4A50"/>
    <w:rsid w:val="004B4A75"/>
    <w:rsid w:val="004B4B0F"/>
    <w:rsid w:val="004B4B25"/>
    <w:rsid w:val="004B4BAE"/>
    <w:rsid w:val="004B4C22"/>
    <w:rsid w:val="004B4CE0"/>
    <w:rsid w:val="004B4D5B"/>
    <w:rsid w:val="004B4E70"/>
    <w:rsid w:val="004B4F61"/>
    <w:rsid w:val="004B4F6F"/>
    <w:rsid w:val="004B4F9E"/>
    <w:rsid w:val="004B4FC3"/>
    <w:rsid w:val="004B4FE0"/>
    <w:rsid w:val="004B5035"/>
    <w:rsid w:val="004B5083"/>
    <w:rsid w:val="004B50A1"/>
    <w:rsid w:val="004B50C2"/>
    <w:rsid w:val="004B5117"/>
    <w:rsid w:val="004B5181"/>
    <w:rsid w:val="004B51BE"/>
    <w:rsid w:val="004B527E"/>
    <w:rsid w:val="004B52C1"/>
    <w:rsid w:val="004B52E9"/>
    <w:rsid w:val="004B5328"/>
    <w:rsid w:val="004B5340"/>
    <w:rsid w:val="004B5393"/>
    <w:rsid w:val="004B53C7"/>
    <w:rsid w:val="004B53D9"/>
    <w:rsid w:val="004B53E6"/>
    <w:rsid w:val="004B53EF"/>
    <w:rsid w:val="004B5541"/>
    <w:rsid w:val="004B55B1"/>
    <w:rsid w:val="004B55BE"/>
    <w:rsid w:val="004B55D4"/>
    <w:rsid w:val="004B55D7"/>
    <w:rsid w:val="004B5801"/>
    <w:rsid w:val="004B58B1"/>
    <w:rsid w:val="004B5936"/>
    <w:rsid w:val="004B59DB"/>
    <w:rsid w:val="004B59EF"/>
    <w:rsid w:val="004B5A7E"/>
    <w:rsid w:val="004B5ADF"/>
    <w:rsid w:val="004B5B2D"/>
    <w:rsid w:val="004B5B9C"/>
    <w:rsid w:val="004B5CEF"/>
    <w:rsid w:val="004B5D69"/>
    <w:rsid w:val="004B5DEB"/>
    <w:rsid w:val="004B5DEC"/>
    <w:rsid w:val="004B5E7E"/>
    <w:rsid w:val="004B5F09"/>
    <w:rsid w:val="004B5FB5"/>
    <w:rsid w:val="004B5FC8"/>
    <w:rsid w:val="004B601B"/>
    <w:rsid w:val="004B603B"/>
    <w:rsid w:val="004B6059"/>
    <w:rsid w:val="004B60A4"/>
    <w:rsid w:val="004B61C0"/>
    <w:rsid w:val="004B61FE"/>
    <w:rsid w:val="004B6252"/>
    <w:rsid w:val="004B625A"/>
    <w:rsid w:val="004B62FB"/>
    <w:rsid w:val="004B636A"/>
    <w:rsid w:val="004B6386"/>
    <w:rsid w:val="004B6391"/>
    <w:rsid w:val="004B64F6"/>
    <w:rsid w:val="004B657E"/>
    <w:rsid w:val="004B6609"/>
    <w:rsid w:val="004B6619"/>
    <w:rsid w:val="004B6677"/>
    <w:rsid w:val="004B6707"/>
    <w:rsid w:val="004B6744"/>
    <w:rsid w:val="004B6815"/>
    <w:rsid w:val="004B6823"/>
    <w:rsid w:val="004B689B"/>
    <w:rsid w:val="004B68AB"/>
    <w:rsid w:val="004B68BB"/>
    <w:rsid w:val="004B6934"/>
    <w:rsid w:val="004B6994"/>
    <w:rsid w:val="004B69D1"/>
    <w:rsid w:val="004B69E5"/>
    <w:rsid w:val="004B6A56"/>
    <w:rsid w:val="004B6AB3"/>
    <w:rsid w:val="004B6AF0"/>
    <w:rsid w:val="004B6C13"/>
    <w:rsid w:val="004B6D77"/>
    <w:rsid w:val="004B6DD0"/>
    <w:rsid w:val="004B6DD4"/>
    <w:rsid w:val="004B6E20"/>
    <w:rsid w:val="004B6E3F"/>
    <w:rsid w:val="004B6E54"/>
    <w:rsid w:val="004B6E6F"/>
    <w:rsid w:val="004B6F21"/>
    <w:rsid w:val="004B6F66"/>
    <w:rsid w:val="004B6F7E"/>
    <w:rsid w:val="004B6FB9"/>
    <w:rsid w:val="004B6FC2"/>
    <w:rsid w:val="004B7058"/>
    <w:rsid w:val="004B7098"/>
    <w:rsid w:val="004B70A1"/>
    <w:rsid w:val="004B7130"/>
    <w:rsid w:val="004B7170"/>
    <w:rsid w:val="004B7194"/>
    <w:rsid w:val="004B7195"/>
    <w:rsid w:val="004B71BC"/>
    <w:rsid w:val="004B736D"/>
    <w:rsid w:val="004B738A"/>
    <w:rsid w:val="004B738F"/>
    <w:rsid w:val="004B746B"/>
    <w:rsid w:val="004B74A1"/>
    <w:rsid w:val="004B74D1"/>
    <w:rsid w:val="004B7591"/>
    <w:rsid w:val="004B7695"/>
    <w:rsid w:val="004B7735"/>
    <w:rsid w:val="004B7744"/>
    <w:rsid w:val="004B7783"/>
    <w:rsid w:val="004B77D2"/>
    <w:rsid w:val="004B77E0"/>
    <w:rsid w:val="004B77E5"/>
    <w:rsid w:val="004B77EE"/>
    <w:rsid w:val="004B77FB"/>
    <w:rsid w:val="004B7948"/>
    <w:rsid w:val="004B7999"/>
    <w:rsid w:val="004B79B5"/>
    <w:rsid w:val="004B7A47"/>
    <w:rsid w:val="004B7AE0"/>
    <w:rsid w:val="004B7B16"/>
    <w:rsid w:val="004B7B45"/>
    <w:rsid w:val="004B7C8D"/>
    <w:rsid w:val="004B7FC4"/>
    <w:rsid w:val="004B7FFE"/>
    <w:rsid w:val="004C00A0"/>
    <w:rsid w:val="004C00C3"/>
    <w:rsid w:val="004C00D7"/>
    <w:rsid w:val="004C0115"/>
    <w:rsid w:val="004C01AF"/>
    <w:rsid w:val="004C021B"/>
    <w:rsid w:val="004C0222"/>
    <w:rsid w:val="004C0262"/>
    <w:rsid w:val="004C0284"/>
    <w:rsid w:val="004C02B5"/>
    <w:rsid w:val="004C02D5"/>
    <w:rsid w:val="004C02E5"/>
    <w:rsid w:val="004C02F0"/>
    <w:rsid w:val="004C034D"/>
    <w:rsid w:val="004C0380"/>
    <w:rsid w:val="004C03E9"/>
    <w:rsid w:val="004C045D"/>
    <w:rsid w:val="004C0472"/>
    <w:rsid w:val="004C048D"/>
    <w:rsid w:val="004C04D3"/>
    <w:rsid w:val="004C051A"/>
    <w:rsid w:val="004C052D"/>
    <w:rsid w:val="004C05AC"/>
    <w:rsid w:val="004C066D"/>
    <w:rsid w:val="004C06C8"/>
    <w:rsid w:val="004C0847"/>
    <w:rsid w:val="004C0939"/>
    <w:rsid w:val="004C095D"/>
    <w:rsid w:val="004C0A5E"/>
    <w:rsid w:val="004C0A64"/>
    <w:rsid w:val="004C0A89"/>
    <w:rsid w:val="004C0C15"/>
    <w:rsid w:val="004C0CAF"/>
    <w:rsid w:val="004C0CD9"/>
    <w:rsid w:val="004C0D34"/>
    <w:rsid w:val="004C0E0B"/>
    <w:rsid w:val="004C0F8E"/>
    <w:rsid w:val="004C10CE"/>
    <w:rsid w:val="004C1151"/>
    <w:rsid w:val="004C1167"/>
    <w:rsid w:val="004C11ED"/>
    <w:rsid w:val="004C1240"/>
    <w:rsid w:val="004C12C8"/>
    <w:rsid w:val="004C12E9"/>
    <w:rsid w:val="004C130D"/>
    <w:rsid w:val="004C131C"/>
    <w:rsid w:val="004C13A4"/>
    <w:rsid w:val="004C1501"/>
    <w:rsid w:val="004C16D2"/>
    <w:rsid w:val="004C18B4"/>
    <w:rsid w:val="004C196D"/>
    <w:rsid w:val="004C1A0D"/>
    <w:rsid w:val="004C1A6C"/>
    <w:rsid w:val="004C1BDD"/>
    <w:rsid w:val="004C1BF6"/>
    <w:rsid w:val="004C1C0F"/>
    <w:rsid w:val="004C1C14"/>
    <w:rsid w:val="004C1C23"/>
    <w:rsid w:val="004C1C6A"/>
    <w:rsid w:val="004C1E78"/>
    <w:rsid w:val="004C1E92"/>
    <w:rsid w:val="004C1FE9"/>
    <w:rsid w:val="004C2018"/>
    <w:rsid w:val="004C2059"/>
    <w:rsid w:val="004C2075"/>
    <w:rsid w:val="004C20E3"/>
    <w:rsid w:val="004C20F2"/>
    <w:rsid w:val="004C213F"/>
    <w:rsid w:val="004C216F"/>
    <w:rsid w:val="004C21EE"/>
    <w:rsid w:val="004C21F2"/>
    <w:rsid w:val="004C224D"/>
    <w:rsid w:val="004C229B"/>
    <w:rsid w:val="004C2342"/>
    <w:rsid w:val="004C2434"/>
    <w:rsid w:val="004C2467"/>
    <w:rsid w:val="004C278B"/>
    <w:rsid w:val="004C28CB"/>
    <w:rsid w:val="004C293C"/>
    <w:rsid w:val="004C2982"/>
    <w:rsid w:val="004C29DD"/>
    <w:rsid w:val="004C2AE8"/>
    <w:rsid w:val="004C2B81"/>
    <w:rsid w:val="004C2B8B"/>
    <w:rsid w:val="004C2BE5"/>
    <w:rsid w:val="004C2CAE"/>
    <w:rsid w:val="004C2CD2"/>
    <w:rsid w:val="004C2D49"/>
    <w:rsid w:val="004C2E36"/>
    <w:rsid w:val="004C2F80"/>
    <w:rsid w:val="004C304B"/>
    <w:rsid w:val="004C3067"/>
    <w:rsid w:val="004C30BF"/>
    <w:rsid w:val="004C3155"/>
    <w:rsid w:val="004C31A6"/>
    <w:rsid w:val="004C321E"/>
    <w:rsid w:val="004C3264"/>
    <w:rsid w:val="004C3270"/>
    <w:rsid w:val="004C3294"/>
    <w:rsid w:val="004C3298"/>
    <w:rsid w:val="004C32F1"/>
    <w:rsid w:val="004C3361"/>
    <w:rsid w:val="004C33F8"/>
    <w:rsid w:val="004C346E"/>
    <w:rsid w:val="004C34DB"/>
    <w:rsid w:val="004C34F9"/>
    <w:rsid w:val="004C357F"/>
    <w:rsid w:val="004C3585"/>
    <w:rsid w:val="004C358F"/>
    <w:rsid w:val="004C3599"/>
    <w:rsid w:val="004C3654"/>
    <w:rsid w:val="004C367B"/>
    <w:rsid w:val="004C3709"/>
    <w:rsid w:val="004C38DE"/>
    <w:rsid w:val="004C3929"/>
    <w:rsid w:val="004C3974"/>
    <w:rsid w:val="004C39E3"/>
    <w:rsid w:val="004C3A14"/>
    <w:rsid w:val="004C3A20"/>
    <w:rsid w:val="004C3A5F"/>
    <w:rsid w:val="004C3A7E"/>
    <w:rsid w:val="004C3AC1"/>
    <w:rsid w:val="004C3B28"/>
    <w:rsid w:val="004C3B50"/>
    <w:rsid w:val="004C3B98"/>
    <w:rsid w:val="004C3C12"/>
    <w:rsid w:val="004C3CA1"/>
    <w:rsid w:val="004C3CB4"/>
    <w:rsid w:val="004C3E53"/>
    <w:rsid w:val="004C3ED2"/>
    <w:rsid w:val="004C4101"/>
    <w:rsid w:val="004C4194"/>
    <w:rsid w:val="004C41F6"/>
    <w:rsid w:val="004C4201"/>
    <w:rsid w:val="004C42A8"/>
    <w:rsid w:val="004C42EE"/>
    <w:rsid w:val="004C4315"/>
    <w:rsid w:val="004C434A"/>
    <w:rsid w:val="004C4420"/>
    <w:rsid w:val="004C4514"/>
    <w:rsid w:val="004C451F"/>
    <w:rsid w:val="004C464D"/>
    <w:rsid w:val="004C46B0"/>
    <w:rsid w:val="004C4717"/>
    <w:rsid w:val="004C4771"/>
    <w:rsid w:val="004C47F9"/>
    <w:rsid w:val="004C4815"/>
    <w:rsid w:val="004C4851"/>
    <w:rsid w:val="004C48A2"/>
    <w:rsid w:val="004C48FB"/>
    <w:rsid w:val="004C4935"/>
    <w:rsid w:val="004C493F"/>
    <w:rsid w:val="004C4A42"/>
    <w:rsid w:val="004C4AF6"/>
    <w:rsid w:val="004C4C62"/>
    <w:rsid w:val="004C4D8C"/>
    <w:rsid w:val="004C4DA1"/>
    <w:rsid w:val="004C4DDA"/>
    <w:rsid w:val="004C4DDD"/>
    <w:rsid w:val="004C4E7A"/>
    <w:rsid w:val="004C4EBA"/>
    <w:rsid w:val="004C4ECC"/>
    <w:rsid w:val="004C4ED7"/>
    <w:rsid w:val="004C4F25"/>
    <w:rsid w:val="004C5189"/>
    <w:rsid w:val="004C51DD"/>
    <w:rsid w:val="004C525E"/>
    <w:rsid w:val="004C525F"/>
    <w:rsid w:val="004C5289"/>
    <w:rsid w:val="004C52AA"/>
    <w:rsid w:val="004C52DA"/>
    <w:rsid w:val="004C52EE"/>
    <w:rsid w:val="004C52F8"/>
    <w:rsid w:val="004C536B"/>
    <w:rsid w:val="004C53D7"/>
    <w:rsid w:val="004C549A"/>
    <w:rsid w:val="004C54CB"/>
    <w:rsid w:val="004C552D"/>
    <w:rsid w:val="004C55B3"/>
    <w:rsid w:val="004C55CC"/>
    <w:rsid w:val="004C55D1"/>
    <w:rsid w:val="004C56E5"/>
    <w:rsid w:val="004C56E8"/>
    <w:rsid w:val="004C5826"/>
    <w:rsid w:val="004C58A9"/>
    <w:rsid w:val="004C58D9"/>
    <w:rsid w:val="004C58E2"/>
    <w:rsid w:val="004C58FA"/>
    <w:rsid w:val="004C59F5"/>
    <w:rsid w:val="004C5A8A"/>
    <w:rsid w:val="004C5AC2"/>
    <w:rsid w:val="004C5ACE"/>
    <w:rsid w:val="004C5B39"/>
    <w:rsid w:val="004C5BD4"/>
    <w:rsid w:val="004C5BE6"/>
    <w:rsid w:val="004C5DB2"/>
    <w:rsid w:val="004C5DC5"/>
    <w:rsid w:val="004C5DEE"/>
    <w:rsid w:val="004C5E8E"/>
    <w:rsid w:val="004C5F29"/>
    <w:rsid w:val="004C5FA0"/>
    <w:rsid w:val="004C6043"/>
    <w:rsid w:val="004C6085"/>
    <w:rsid w:val="004C60AE"/>
    <w:rsid w:val="004C60E7"/>
    <w:rsid w:val="004C6161"/>
    <w:rsid w:val="004C61C6"/>
    <w:rsid w:val="004C61C8"/>
    <w:rsid w:val="004C6208"/>
    <w:rsid w:val="004C6250"/>
    <w:rsid w:val="004C63A4"/>
    <w:rsid w:val="004C63EA"/>
    <w:rsid w:val="004C646B"/>
    <w:rsid w:val="004C647E"/>
    <w:rsid w:val="004C64BC"/>
    <w:rsid w:val="004C6528"/>
    <w:rsid w:val="004C65CF"/>
    <w:rsid w:val="004C6640"/>
    <w:rsid w:val="004C6759"/>
    <w:rsid w:val="004C6802"/>
    <w:rsid w:val="004C6838"/>
    <w:rsid w:val="004C68A8"/>
    <w:rsid w:val="004C6900"/>
    <w:rsid w:val="004C69A8"/>
    <w:rsid w:val="004C69B9"/>
    <w:rsid w:val="004C6A5B"/>
    <w:rsid w:val="004C6B84"/>
    <w:rsid w:val="004C6BF1"/>
    <w:rsid w:val="004C6C17"/>
    <w:rsid w:val="004C6C7A"/>
    <w:rsid w:val="004C6CA1"/>
    <w:rsid w:val="004C6CA9"/>
    <w:rsid w:val="004C6D09"/>
    <w:rsid w:val="004C6D2F"/>
    <w:rsid w:val="004C6D7C"/>
    <w:rsid w:val="004C6DFB"/>
    <w:rsid w:val="004C6E2D"/>
    <w:rsid w:val="004C6E33"/>
    <w:rsid w:val="004C6E6F"/>
    <w:rsid w:val="004C6EDA"/>
    <w:rsid w:val="004C6EE5"/>
    <w:rsid w:val="004C6F14"/>
    <w:rsid w:val="004C6F3E"/>
    <w:rsid w:val="004C6F86"/>
    <w:rsid w:val="004C6FD8"/>
    <w:rsid w:val="004C705C"/>
    <w:rsid w:val="004C70C2"/>
    <w:rsid w:val="004C7188"/>
    <w:rsid w:val="004C7220"/>
    <w:rsid w:val="004C72CD"/>
    <w:rsid w:val="004C73B2"/>
    <w:rsid w:val="004C74EE"/>
    <w:rsid w:val="004C750E"/>
    <w:rsid w:val="004C7533"/>
    <w:rsid w:val="004C75AE"/>
    <w:rsid w:val="004C762C"/>
    <w:rsid w:val="004C7687"/>
    <w:rsid w:val="004C769E"/>
    <w:rsid w:val="004C7730"/>
    <w:rsid w:val="004C776F"/>
    <w:rsid w:val="004C7803"/>
    <w:rsid w:val="004C781A"/>
    <w:rsid w:val="004C7858"/>
    <w:rsid w:val="004C791D"/>
    <w:rsid w:val="004C79F9"/>
    <w:rsid w:val="004C79FB"/>
    <w:rsid w:val="004C7AA7"/>
    <w:rsid w:val="004C7B2C"/>
    <w:rsid w:val="004C7BA4"/>
    <w:rsid w:val="004C7BBB"/>
    <w:rsid w:val="004C7BC2"/>
    <w:rsid w:val="004C7C47"/>
    <w:rsid w:val="004C7C67"/>
    <w:rsid w:val="004C7CF6"/>
    <w:rsid w:val="004C7CFE"/>
    <w:rsid w:val="004C7D33"/>
    <w:rsid w:val="004C7D40"/>
    <w:rsid w:val="004C7DC2"/>
    <w:rsid w:val="004C7DEB"/>
    <w:rsid w:val="004C7E51"/>
    <w:rsid w:val="004C7F05"/>
    <w:rsid w:val="004C7F2B"/>
    <w:rsid w:val="004C7F33"/>
    <w:rsid w:val="004C7F45"/>
    <w:rsid w:val="004C7FE6"/>
    <w:rsid w:val="004D0000"/>
    <w:rsid w:val="004D0109"/>
    <w:rsid w:val="004D0144"/>
    <w:rsid w:val="004D0176"/>
    <w:rsid w:val="004D0197"/>
    <w:rsid w:val="004D0225"/>
    <w:rsid w:val="004D0250"/>
    <w:rsid w:val="004D029A"/>
    <w:rsid w:val="004D02F1"/>
    <w:rsid w:val="004D03F5"/>
    <w:rsid w:val="004D040C"/>
    <w:rsid w:val="004D04AB"/>
    <w:rsid w:val="004D0584"/>
    <w:rsid w:val="004D0607"/>
    <w:rsid w:val="004D0633"/>
    <w:rsid w:val="004D0642"/>
    <w:rsid w:val="004D065C"/>
    <w:rsid w:val="004D0717"/>
    <w:rsid w:val="004D076A"/>
    <w:rsid w:val="004D0787"/>
    <w:rsid w:val="004D0791"/>
    <w:rsid w:val="004D08AA"/>
    <w:rsid w:val="004D09F7"/>
    <w:rsid w:val="004D09FA"/>
    <w:rsid w:val="004D0A5A"/>
    <w:rsid w:val="004D0BCC"/>
    <w:rsid w:val="004D0C4D"/>
    <w:rsid w:val="004D0CF4"/>
    <w:rsid w:val="004D0D0A"/>
    <w:rsid w:val="004D0D70"/>
    <w:rsid w:val="004D0D8F"/>
    <w:rsid w:val="004D0DB4"/>
    <w:rsid w:val="004D0DCD"/>
    <w:rsid w:val="004D0EE9"/>
    <w:rsid w:val="004D0F06"/>
    <w:rsid w:val="004D0FB5"/>
    <w:rsid w:val="004D0FCF"/>
    <w:rsid w:val="004D0FE3"/>
    <w:rsid w:val="004D1134"/>
    <w:rsid w:val="004D120A"/>
    <w:rsid w:val="004D1365"/>
    <w:rsid w:val="004D1460"/>
    <w:rsid w:val="004D14D7"/>
    <w:rsid w:val="004D1507"/>
    <w:rsid w:val="004D1538"/>
    <w:rsid w:val="004D158A"/>
    <w:rsid w:val="004D1610"/>
    <w:rsid w:val="004D1647"/>
    <w:rsid w:val="004D1691"/>
    <w:rsid w:val="004D1736"/>
    <w:rsid w:val="004D1768"/>
    <w:rsid w:val="004D1809"/>
    <w:rsid w:val="004D1882"/>
    <w:rsid w:val="004D1910"/>
    <w:rsid w:val="004D1917"/>
    <w:rsid w:val="004D19DB"/>
    <w:rsid w:val="004D1A61"/>
    <w:rsid w:val="004D1AB1"/>
    <w:rsid w:val="004D1B0E"/>
    <w:rsid w:val="004D1B75"/>
    <w:rsid w:val="004D1BC0"/>
    <w:rsid w:val="004D1BE6"/>
    <w:rsid w:val="004D1C87"/>
    <w:rsid w:val="004D1C9D"/>
    <w:rsid w:val="004D1D1C"/>
    <w:rsid w:val="004D1D1D"/>
    <w:rsid w:val="004D1D3E"/>
    <w:rsid w:val="004D1F11"/>
    <w:rsid w:val="004D206C"/>
    <w:rsid w:val="004D2073"/>
    <w:rsid w:val="004D2079"/>
    <w:rsid w:val="004D20BC"/>
    <w:rsid w:val="004D20DD"/>
    <w:rsid w:val="004D219F"/>
    <w:rsid w:val="004D21EE"/>
    <w:rsid w:val="004D22B5"/>
    <w:rsid w:val="004D2317"/>
    <w:rsid w:val="004D2324"/>
    <w:rsid w:val="004D23BD"/>
    <w:rsid w:val="004D23CE"/>
    <w:rsid w:val="004D23E9"/>
    <w:rsid w:val="004D240E"/>
    <w:rsid w:val="004D24E3"/>
    <w:rsid w:val="004D2502"/>
    <w:rsid w:val="004D2515"/>
    <w:rsid w:val="004D25A8"/>
    <w:rsid w:val="004D2632"/>
    <w:rsid w:val="004D2666"/>
    <w:rsid w:val="004D2668"/>
    <w:rsid w:val="004D2684"/>
    <w:rsid w:val="004D27C7"/>
    <w:rsid w:val="004D27E9"/>
    <w:rsid w:val="004D280E"/>
    <w:rsid w:val="004D2824"/>
    <w:rsid w:val="004D2831"/>
    <w:rsid w:val="004D285C"/>
    <w:rsid w:val="004D2951"/>
    <w:rsid w:val="004D2A22"/>
    <w:rsid w:val="004D2A9F"/>
    <w:rsid w:val="004D2D12"/>
    <w:rsid w:val="004D2D43"/>
    <w:rsid w:val="004D2D48"/>
    <w:rsid w:val="004D2D7F"/>
    <w:rsid w:val="004D2D92"/>
    <w:rsid w:val="004D2D95"/>
    <w:rsid w:val="004D2DBE"/>
    <w:rsid w:val="004D2DF3"/>
    <w:rsid w:val="004D2EA0"/>
    <w:rsid w:val="004D2EEF"/>
    <w:rsid w:val="004D2F99"/>
    <w:rsid w:val="004D3084"/>
    <w:rsid w:val="004D3141"/>
    <w:rsid w:val="004D31B2"/>
    <w:rsid w:val="004D31EF"/>
    <w:rsid w:val="004D3211"/>
    <w:rsid w:val="004D337E"/>
    <w:rsid w:val="004D3386"/>
    <w:rsid w:val="004D3399"/>
    <w:rsid w:val="004D3450"/>
    <w:rsid w:val="004D3456"/>
    <w:rsid w:val="004D34ED"/>
    <w:rsid w:val="004D3514"/>
    <w:rsid w:val="004D3582"/>
    <w:rsid w:val="004D3651"/>
    <w:rsid w:val="004D369D"/>
    <w:rsid w:val="004D36C8"/>
    <w:rsid w:val="004D370A"/>
    <w:rsid w:val="004D38E2"/>
    <w:rsid w:val="004D38F7"/>
    <w:rsid w:val="004D3951"/>
    <w:rsid w:val="004D3A12"/>
    <w:rsid w:val="004D3A66"/>
    <w:rsid w:val="004D3AB6"/>
    <w:rsid w:val="004D3ABD"/>
    <w:rsid w:val="004D3AF6"/>
    <w:rsid w:val="004D3B1D"/>
    <w:rsid w:val="004D3B9D"/>
    <w:rsid w:val="004D3C08"/>
    <w:rsid w:val="004D3C1E"/>
    <w:rsid w:val="004D3C22"/>
    <w:rsid w:val="004D3D0C"/>
    <w:rsid w:val="004D3DD4"/>
    <w:rsid w:val="004D3DE9"/>
    <w:rsid w:val="004D3EDB"/>
    <w:rsid w:val="004D3EE6"/>
    <w:rsid w:val="004D3F48"/>
    <w:rsid w:val="004D3F4C"/>
    <w:rsid w:val="004D3F86"/>
    <w:rsid w:val="004D3FA3"/>
    <w:rsid w:val="004D3FC5"/>
    <w:rsid w:val="004D4089"/>
    <w:rsid w:val="004D408B"/>
    <w:rsid w:val="004D4114"/>
    <w:rsid w:val="004D41B9"/>
    <w:rsid w:val="004D4219"/>
    <w:rsid w:val="004D429A"/>
    <w:rsid w:val="004D42F3"/>
    <w:rsid w:val="004D432B"/>
    <w:rsid w:val="004D437D"/>
    <w:rsid w:val="004D43AE"/>
    <w:rsid w:val="004D43E0"/>
    <w:rsid w:val="004D43EE"/>
    <w:rsid w:val="004D4460"/>
    <w:rsid w:val="004D44AE"/>
    <w:rsid w:val="004D452B"/>
    <w:rsid w:val="004D4643"/>
    <w:rsid w:val="004D46E4"/>
    <w:rsid w:val="004D46E6"/>
    <w:rsid w:val="004D470C"/>
    <w:rsid w:val="004D47CC"/>
    <w:rsid w:val="004D4820"/>
    <w:rsid w:val="004D4875"/>
    <w:rsid w:val="004D4915"/>
    <w:rsid w:val="004D4943"/>
    <w:rsid w:val="004D4A69"/>
    <w:rsid w:val="004D4A8A"/>
    <w:rsid w:val="004D4ADE"/>
    <w:rsid w:val="004D4B71"/>
    <w:rsid w:val="004D4BD4"/>
    <w:rsid w:val="004D4BFA"/>
    <w:rsid w:val="004D4C2D"/>
    <w:rsid w:val="004D4C66"/>
    <w:rsid w:val="004D4C6F"/>
    <w:rsid w:val="004D4D41"/>
    <w:rsid w:val="004D4D89"/>
    <w:rsid w:val="004D4D95"/>
    <w:rsid w:val="004D4DAB"/>
    <w:rsid w:val="004D4E88"/>
    <w:rsid w:val="004D4F6E"/>
    <w:rsid w:val="004D4FA0"/>
    <w:rsid w:val="004D4FC7"/>
    <w:rsid w:val="004D4FC8"/>
    <w:rsid w:val="004D50C4"/>
    <w:rsid w:val="004D50DB"/>
    <w:rsid w:val="004D5206"/>
    <w:rsid w:val="004D5264"/>
    <w:rsid w:val="004D52A9"/>
    <w:rsid w:val="004D53A7"/>
    <w:rsid w:val="004D5425"/>
    <w:rsid w:val="004D542A"/>
    <w:rsid w:val="004D5499"/>
    <w:rsid w:val="004D5505"/>
    <w:rsid w:val="004D551B"/>
    <w:rsid w:val="004D5524"/>
    <w:rsid w:val="004D554A"/>
    <w:rsid w:val="004D55CE"/>
    <w:rsid w:val="004D562A"/>
    <w:rsid w:val="004D5687"/>
    <w:rsid w:val="004D575F"/>
    <w:rsid w:val="004D5878"/>
    <w:rsid w:val="004D5964"/>
    <w:rsid w:val="004D5966"/>
    <w:rsid w:val="004D5971"/>
    <w:rsid w:val="004D59B0"/>
    <w:rsid w:val="004D5BCE"/>
    <w:rsid w:val="004D5C60"/>
    <w:rsid w:val="004D5CC0"/>
    <w:rsid w:val="004D5CDE"/>
    <w:rsid w:val="004D5EF0"/>
    <w:rsid w:val="004D5EFE"/>
    <w:rsid w:val="004D5F2F"/>
    <w:rsid w:val="004D5FCF"/>
    <w:rsid w:val="004D5FE2"/>
    <w:rsid w:val="004D5FEF"/>
    <w:rsid w:val="004D60E6"/>
    <w:rsid w:val="004D6129"/>
    <w:rsid w:val="004D6387"/>
    <w:rsid w:val="004D63DA"/>
    <w:rsid w:val="004D648C"/>
    <w:rsid w:val="004D64E4"/>
    <w:rsid w:val="004D6530"/>
    <w:rsid w:val="004D6593"/>
    <w:rsid w:val="004D663D"/>
    <w:rsid w:val="004D6651"/>
    <w:rsid w:val="004D6680"/>
    <w:rsid w:val="004D66D4"/>
    <w:rsid w:val="004D6717"/>
    <w:rsid w:val="004D6824"/>
    <w:rsid w:val="004D685C"/>
    <w:rsid w:val="004D6866"/>
    <w:rsid w:val="004D686E"/>
    <w:rsid w:val="004D687C"/>
    <w:rsid w:val="004D68DB"/>
    <w:rsid w:val="004D68FF"/>
    <w:rsid w:val="004D690B"/>
    <w:rsid w:val="004D690F"/>
    <w:rsid w:val="004D6961"/>
    <w:rsid w:val="004D6A84"/>
    <w:rsid w:val="004D6B5C"/>
    <w:rsid w:val="004D6B5D"/>
    <w:rsid w:val="004D6B77"/>
    <w:rsid w:val="004D6B8A"/>
    <w:rsid w:val="004D6BCA"/>
    <w:rsid w:val="004D6C33"/>
    <w:rsid w:val="004D6CC1"/>
    <w:rsid w:val="004D6CCF"/>
    <w:rsid w:val="004D6CF7"/>
    <w:rsid w:val="004D6D1A"/>
    <w:rsid w:val="004D6E1F"/>
    <w:rsid w:val="004D6E47"/>
    <w:rsid w:val="004D6E62"/>
    <w:rsid w:val="004D6E73"/>
    <w:rsid w:val="004D6EB0"/>
    <w:rsid w:val="004D6F94"/>
    <w:rsid w:val="004D7039"/>
    <w:rsid w:val="004D703F"/>
    <w:rsid w:val="004D70DB"/>
    <w:rsid w:val="004D7107"/>
    <w:rsid w:val="004D7271"/>
    <w:rsid w:val="004D72CE"/>
    <w:rsid w:val="004D7305"/>
    <w:rsid w:val="004D7374"/>
    <w:rsid w:val="004D73D2"/>
    <w:rsid w:val="004D7466"/>
    <w:rsid w:val="004D74EF"/>
    <w:rsid w:val="004D750B"/>
    <w:rsid w:val="004D7667"/>
    <w:rsid w:val="004D76B8"/>
    <w:rsid w:val="004D76FA"/>
    <w:rsid w:val="004D7724"/>
    <w:rsid w:val="004D772C"/>
    <w:rsid w:val="004D7923"/>
    <w:rsid w:val="004D7931"/>
    <w:rsid w:val="004D7B26"/>
    <w:rsid w:val="004D7B78"/>
    <w:rsid w:val="004D7C08"/>
    <w:rsid w:val="004D7C2A"/>
    <w:rsid w:val="004D7C49"/>
    <w:rsid w:val="004D7C6C"/>
    <w:rsid w:val="004D7D11"/>
    <w:rsid w:val="004D7D6C"/>
    <w:rsid w:val="004D7F65"/>
    <w:rsid w:val="004D7FED"/>
    <w:rsid w:val="004E004B"/>
    <w:rsid w:val="004E00F6"/>
    <w:rsid w:val="004E0107"/>
    <w:rsid w:val="004E01DE"/>
    <w:rsid w:val="004E02A4"/>
    <w:rsid w:val="004E0330"/>
    <w:rsid w:val="004E0336"/>
    <w:rsid w:val="004E0433"/>
    <w:rsid w:val="004E04CD"/>
    <w:rsid w:val="004E0618"/>
    <w:rsid w:val="004E0674"/>
    <w:rsid w:val="004E0695"/>
    <w:rsid w:val="004E0758"/>
    <w:rsid w:val="004E0781"/>
    <w:rsid w:val="004E0785"/>
    <w:rsid w:val="004E07BD"/>
    <w:rsid w:val="004E082D"/>
    <w:rsid w:val="004E0837"/>
    <w:rsid w:val="004E0899"/>
    <w:rsid w:val="004E08FB"/>
    <w:rsid w:val="004E0933"/>
    <w:rsid w:val="004E0BAC"/>
    <w:rsid w:val="004E0BEE"/>
    <w:rsid w:val="004E0C87"/>
    <w:rsid w:val="004E0CE5"/>
    <w:rsid w:val="004E0D5A"/>
    <w:rsid w:val="004E0D74"/>
    <w:rsid w:val="004E0DC3"/>
    <w:rsid w:val="004E0DCA"/>
    <w:rsid w:val="004E0DE9"/>
    <w:rsid w:val="004E0E2B"/>
    <w:rsid w:val="004E0FB1"/>
    <w:rsid w:val="004E1018"/>
    <w:rsid w:val="004E101E"/>
    <w:rsid w:val="004E1079"/>
    <w:rsid w:val="004E111C"/>
    <w:rsid w:val="004E112D"/>
    <w:rsid w:val="004E1183"/>
    <w:rsid w:val="004E11CC"/>
    <w:rsid w:val="004E11FA"/>
    <w:rsid w:val="004E1275"/>
    <w:rsid w:val="004E1280"/>
    <w:rsid w:val="004E13A4"/>
    <w:rsid w:val="004E140F"/>
    <w:rsid w:val="004E1497"/>
    <w:rsid w:val="004E1499"/>
    <w:rsid w:val="004E149D"/>
    <w:rsid w:val="004E14DE"/>
    <w:rsid w:val="004E1598"/>
    <w:rsid w:val="004E15D6"/>
    <w:rsid w:val="004E15EE"/>
    <w:rsid w:val="004E161A"/>
    <w:rsid w:val="004E16C9"/>
    <w:rsid w:val="004E16CF"/>
    <w:rsid w:val="004E177E"/>
    <w:rsid w:val="004E17A5"/>
    <w:rsid w:val="004E17CD"/>
    <w:rsid w:val="004E1829"/>
    <w:rsid w:val="004E1885"/>
    <w:rsid w:val="004E18BD"/>
    <w:rsid w:val="004E1984"/>
    <w:rsid w:val="004E19BF"/>
    <w:rsid w:val="004E1A72"/>
    <w:rsid w:val="004E1ABC"/>
    <w:rsid w:val="004E1AFC"/>
    <w:rsid w:val="004E1B9C"/>
    <w:rsid w:val="004E1D12"/>
    <w:rsid w:val="004E1D6F"/>
    <w:rsid w:val="004E1D94"/>
    <w:rsid w:val="004E1D9B"/>
    <w:rsid w:val="004E1DEE"/>
    <w:rsid w:val="004E1F13"/>
    <w:rsid w:val="004E1F66"/>
    <w:rsid w:val="004E2035"/>
    <w:rsid w:val="004E20AC"/>
    <w:rsid w:val="004E20D4"/>
    <w:rsid w:val="004E20E5"/>
    <w:rsid w:val="004E20E8"/>
    <w:rsid w:val="004E20FD"/>
    <w:rsid w:val="004E2143"/>
    <w:rsid w:val="004E215A"/>
    <w:rsid w:val="004E2169"/>
    <w:rsid w:val="004E23AA"/>
    <w:rsid w:val="004E23BF"/>
    <w:rsid w:val="004E2450"/>
    <w:rsid w:val="004E256B"/>
    <w:rsid w:val="004E25C4"/>
    <w:rsid w:val="004E25D8"/>
    <w:rsid w:val="004E2661"/>
    <w:rsid w:val="004E26E1"/>
    <w:rsid w:val="004E272E"/>
    <w:rsid w:val="004E2746"/>
    <w:rsid w:val="004E2757"/>
    <w:rsid w:val="004E2758"/>
    <w:rsid w:val="004E277B"/>
    <w:rsid w:val="004E27E3"/>
    <w:rsid w:val="004E2844"/>
    <w:rsid w:val="004E286F"/>
    <w:rsid w:val="004E2A68"/>
    <w:rsid w:val="004E2C05"/>
    <w:rsid w:val="004E2C3B"/>
    <w:rsid w:val="004E2C62"/>
    <w:rsid w:val="004E2CC3"/>
    <w:rsid w:val="004E2CF9"/>
    <w:rsid w:val="004E2D06"/>
    <w:rsid w:val="004E2D1E"/>
    <w:rsid w:val="004E2DF5"/>
    <w:rsid w:val="004E2E26"/>
    <w:rsid w:val="004E2E46"/>
    <w:rsid w:val="004E2E61"/>
    <w:rsid w:val="004E2EB3"/>
    <w:rsid w:val="004E2EBA"/>
    <w:rsid w:val="004E2F0D"/>
    <w:rsid w:val="004E2FC6"/>
    <w:rsid w:val="004E3009"/>
    <w:rsid w:val="004E302C"/>
    <w:rsid w:val="004E3043"/>
    <w:rsid w:val="004E3046"/>
    <w:rsid w:val="004E3059"/>
    <w:rsid w:val="004E3217"/>
    <w:rsid w:val="004E32F1"/>
    <w:rsid w:val="004E330F"/>
    <w:rsid w:val="004E3334"/>
    <w:rsid w:val="004E3379"/>
    <w:rsid w:val="004E33B9"/>
    <w:rsid w:val="004E33DE"/>
    <w:rsid w:val="004E34AE"/>
    <w:rsid w:val="004E353A"/>
    <w:rsid w:val="004E3608"/>
    <w:rsid w:val="004E3680"/>
    <w:rsid w:val="004E36D3"/>
    <w:rsid w:val="004E3704"/>
    <w:rsid w:val="004E374B"/>
    <w:rsid w:val="004E375B"/>
    <w:rsid w:val="004E3775"/>
    <w:rsid w:val="004E377F"/>
    <w:rsid w:val="004E37A5"/>
    <w:rsid w:val="004E3852"/>
    <w:rsid w:val="004E3985"/>
    <w:rsid w:val="004E39BC"/>
    <w:rsid w:val="004E39FE"/>
    <w:rsid w:val="004E3A7B"/>
    <w:rsid w:val="004E3A85"/>
    <w:rsid w:val="004E3AEC"/>
    <w:rsid w:val="004E3B19"/>
    <w:rsid w:val="004E3B41"/>
    <w:rsid w:val="004E3B4B"/>
    <w:rsid w:val="004E3B58"/>
    <w:rsid w:val="004E3C0A"/>
    <w:rsid w:val="004E3C9C"/>
    <w:rsid w:val="004E3D0E"/>
    <w:rsid w:val="004E3E35"/>
    <w:rsid w:val="004E3FE0"/>
    <w:rsid w:val="004E4107"/>
    <w:rsid w:val="004E4193"/>
    <w:rsid w:val="004E41A9"/>
    <w:rsid w:val="004E420A"/>
    <w:rsid w:val="004E420B"/>
    <w:rsid w:val="004E4257"/>
    <w:rsid w:val="004E4273"/>
    <w:rsid w:val="004E42FD"/>
    <w:rsid w:val="004E437E"/>
    <w:rsid w:val="004E4451"/>
    <w:rsid w:val="004E446D"/>
    <w:rsid w:val="004E44EA"/>
    <w:rsid w:val="004E4564"/>
    <w:rsid w:val="004E45B6"/>
    <w:rsid w:val="004E45D5"/>
    <w:rsid w:val="004E462C"/>
    <w:rsid w:val="004E469D"/>
    <w:rsid w:val="004E46E9"/>
    <w:rsid w:val="004E46F9"/>
    <w:rsid w:val="004E4756"/>
    <w:rsid w:val="004E4783"/>
    <w:rsid w:val="004E482A"/>
    <w:rsid w:val="004E484A"/>
    <w:rsid w:val="004E48DA"/>
    <w:rsid w:val="004E4910"/>
    <w:rsid w:val="004E4922"/>
    <w:rsid w:val="004E4A3B"/>
    <w:rsid w:val="004E4B3C"/>
    <w:rsid w:val="004E4BC9"/>
    <w:rsid w:val="004E4C4A"/>
    <w:rsid w:val="004E4C81"/>
    <w:rsid w:val="004E4C9B"/>
    <w:rsid w:val="004E4CB6"/>
    <w:rsid w:val="004E4CBD"/>
    <w:rsid w:val="004E4CE2"/>
    <w:rsid w:val="004E4D27"/>
    <w:rsid w:val="004E4DB7"/>
    <w:rsid w:val="004E4DCE"/>
    <w:rsid w:val="004E4DDD"/>
    <w:rsid w:val="004E4E71"/>
    <w:rsid w:val="004E4F3B"/>
    <w:rsid w:val="004E4F53"/>
    <w:rsid w:val="004E4FCE"/>
    <w:rsid w:val="004E501B"/>
    <w:rsid w:val="004E506C"/>
    <w:rsid w:val="004E5080"/>
    <w:rsid w:val="004E50AC"/>
    <w:rsid w:val="004E514B"/>
    <w:rsid w:val="004E5242"/>
    <w:rsid w:val="004E52A3"/>
    <w:rsid w:val="004E532F"/>
    <w:rsid w:val="004E53B8"/>
    <w:rsid w:val="004E53FA"/>
    <w:rsid w:val="004E5428"/>
    <w:rsid w:val="004E543A"/>
    <w:rsid w:val="004E54CC"/>
    <w:rsid w:val="004E54F2"/>
    <w:rsid w:val="004E5559"/>
    <w:rsid w:val="004E564B"/>
    <w:rsid w:val="004E568C"/>
    <w:rsid w:val="004E56A6"/>
    <w:rsid w:val="004E57E2"/>
    <w:rsid w:val="004E5809"/>
    <w:rsid w:val="004E5988"/>
    <w:rsid w:val="004E59B0"/>
    <w:rsid w:val="004E5A33"/>
    <w:rsid w:val="004E5A34"/>
    <w:rsid w:val="004E5A3B"/>
    <w:rsid w:val="004E5AEB"/>
    <w:rsid w:val="004E5AF6"/>
    <w:rsid w:val="004E5B1D"/>
    <w:rsid w:val="004E5B1F"/>
    <w:rsid w:val="004E5B4B"/>
    <w:rsid w:val="004E5B4F"/>
    <w:rsid w:val="004E5BEF"/>
    <w:rsid w:val="004E5C04"/>
    <w:rsid w:val="004E5CBD"/>
    <w:rsid w:val="004E5D15"/>
    <w:rsid w:val="004E5D66"/>
    <w:rsid w:val="004E5D68"/>
    <w:rsid w:val="004E5DAE"/>
    <w:rsid w:val="004E5E41"/>
    <w:rsid w:val="004E5F5D"/>
    <w:rsid w:val="004E605B"/>
    <w:rsid w:val="004E60D0"/>
    <w:rsid w:val="004E60D2"/>
    <w:rsid w:val="004E60D6"/>
    <w:rsid w:val="004E629B"/>
    <w:rsid w:val="004E62BE"/>
    <w:rsid w:val="004E62C2"/>
    <w:rsid w:val="004E62C3"/>
    <w:rsid w:val="004E634B"/>
    <w:rsid w:val="004E6396"/>
    <w:rsid w:val="004E63AE"/>
    <w:rsid w:val="004E63C9"/>
    <w:rsid w:val="004E63CB"/>
    <w:rsid w:val="004E63D8"/>
    <w:rsid w:val="004E6443"/>
    <w:rsid w:val="004E6460"/>
    <w:rsid w:val="004E6470"/>
    <w:rsid w:val="004E64E9"/>
    <w:rsid w:val="004E654A"/>
    <w:rsid w:val="004E654D"/>
    <w:rsid w:val="004E65EE"/>
    <w:rsid w:val="004E6646"/>
    <w:rsid w:val="004E6760"/>
    <w:rsid w:val="004E68A3"/>
    <w:rsid w:val="004E696A"/>
    <w:rsid w:val="004E6A1A"/>
    <w:rsid w:val="004E6B2D"/>
    <w:rsid w:val="004E6B32"/>
    <w:rsid w:val="004E6BBC"/>
    <w:rsid w:val="004E6C10"/>
    <w:rsid w:val="004E6C16"/>
    <w:rsid w:val="004E6C24"/>
    <w:rsid w:val="004E6C44"/>
    <w:rsid w:val="004E6D6A"/>
    <w:rsid w:val="004E6DE9"/>
    <w:rsid w:val="004E6E9A"/>
    <w:rsid w:val="004E6F1F"/>
    <w:rsid w:val="004E6F5A"/>
    <w:rsid w:val="004E70B4"/>
    <w:rsid w:val="004E7136"/>
    <w:rsid w:val="004E7157"/>
    <w:rsid w:val="004E719D"/>
    <w:rsid w:val="004E727E"/>
    <w:rsid w:val="004E72A6"/>
    <w:rsid w:val="004E72CD"/>
    <w:rsid w:val="004E7358"/>
    <w:rsid w:val="004E73DD"/>
    <w:rsid w:val="004E73E5"/>
    <w:rsid w:val="004E75B9"/>
    <w:rsid w:val="004E76EC"/>
    <w:rsid w:val="004E7715"/>
    <w:rsid w:val="004E774E"/>
    <w:rsid w:val="004E7810"/>
    <w:rsid w:val="004E784B"/>
    <w:rsid w:val="004E789A"/>
    <w:rsid w:val="004E790D"/>
    <w:rsid w:val="004E7983"/>
    <w:rsid w:val="004E7A5B"/>
    <w:rsid w:val="004E7AD9"/>
    <w:rsid w:val="004E7B44"/>
    <w:rsid w:val="004E7B8B"/>
    <w:rsid w:val="004E7B9D"/>
    <w:rsid w:val="004E7BAE"/>
    <w:rsid w:val="004E7BB4"/>
    <w:rsid w:val="004E7BE9"/>
    <w:rsid w:val="004E7C28"/>
    <w:rsid w:val="004E7C2A"/>
    <w:rsid w:val="004E7C33"/>
    <w:rsid w:val="004E7CAB"/>
    <w:rsid w:val="004E7D28"/>
    <w:rsid w:val="004E7E13"/>
    <w:rsid w:val="004E7E99"/>
    <w:rsid w:val="004E7EAF"/>
    <w:rsid w:val="004E7ECF"/>
    <w:rsid w:val="004E7F50"/>
    <w:rsid w:val="004E7F5E"/>
    <w:rsid w:val="004F0035"/>
    <w:rsid w:val="004F0079"/>
    <w:rsid w:val="004F00D7"/>
    <w:rsid w:val="004F0142"/>
    <w:rsid w:val="004F0144"/>
    <w:rsid w:val="004F0189"/>
    <w:rsid w:val="004F01C8"/>
    <w:rsid w:val="004F02D4"/>
    <w:rsid w:val="004F02E4"/>
    <w:rsid w:val="004F0363"/>
    <w:rsid w:val="004F038B"/>
    <w:rsid w:val="004F040B"/>
    <w:rsid w:val="004F057C"/>
    <w:rsid w:val="004F06AD"/>
    <w:rsid w:val="004F0821"/>
    <w:rsid w:val="004F086D"/>
    <w:rsid w:val="004F0877"/>
    <w:rsid w:val="004F08F1"/>
    <w:rsid w:val="004F09B0"/>
    <w:rsid w:val="004F0A01"/>
    <w:rsid w:val="004F0AA1"/>
    <w:rsid w:val="004F0ABA"/>
    <w:rsid w:val="004F0B1E"/>
    <w:rsid w:val="004F0BA9"/>
    <w:rsid w:val="004F0C0C"/>
    <w:rsid w:val="004F0CD5"/>
    <w:rsid w:val="004F0D7E"/>
    <w:rsid w:val="004F0D92"/>
    <w:rsid w:val="004F0E4B"/>
    <w:rsid w:val="004F0E65"/>
    <w:rsid w:val="004F0E66"/>
    <w:rsid w:val="004F0E7C"/>
    <w:rsid w:val="004F0EBD"/>
    <w:rsid w:val="004F0F41"/>
    <w:rsid w:val="004F0F5A"/>
    <w:rsid w:val="004F0F79"/>
    <w:rsid w:val="004F0F80"/>
    <w:rsid w:val="004F0FDC"/>
    <w:rsid w:val="004F106C"/>
    <w:rsid w:val="004F10FF"/>
    <w:rsid w:val="004F1188"/>
    <w:rsid w:val="004F11A3"/>
    <w:rsid w:val="004F1294"/>
    <w:rsid w:val="004F12DC"/>
    <w:rsid w:val="004F1316"/>
    <w:rsid w:val="004F13D2"/>
    <w:rsid w:val="004F1430"/>
    <w:rsid w:val="004F14C8"/>
    <w:rsid w:val="004F14E7"/>
    <w:rsid w:val="004F14F2"/>
    <w:rsid w:val="004F14FA"/>
    <w:rsid w:val="004F1523"/>
    <w:rsid w:val="004F16B0"/>
    <w:rsid w:val="004F1723"/>
    <w:rsid w:val="004F194A"/>
    <w:rsid w:val="004F1A69"/>
    <w:rsid w:val="004F1AAF"/>
    <w:rsid w:val="004F1B1D"/>
    <w:rsid w:val="004F1B9C"/>
    <w:rsid w:val="004F1C16"/>
    <w:rsid w:val="004F1CBE"/>
    <w:rsid w:val="004F1D61"/>
    <w:rsid w:val="004F1DE1"/>
    <w:rsid w:val="004F1E54"/>
    <w:rsid w:val="004F1E59"/>
    <w:rsid w:val="004F1E88"/>
    <w:rsid w:val="004F1E9E"/>
    <w:rsid w:val="004F1EBA"/>
    <w:rsid w:val="004F1F9B"/>
    <w:rsid w:val="004F1FAE"/>
    <w:rsid w:val="004F2044"/>
    <w:rsid w:val="004F2050"/>
    <w:rsid w:val="004F2057"/>
    <w:rsid w:val="004F205E"/>
    <w:rsid w:val="004F20BB"/>
    <w:rsid w:val="004F214D"/>
    <w:rsid w:val="004F249B"/>
    <w:rsid w:val="004F24BD"/>
    <w:rsid w:val="004F2601"/>
    <w:rsid w:val="004F263F"/>
    <w:rsid w:val="004F26E2"/>
    <w:rsid w:val="004F274D"/>
    <w:rsid w:val="004F27A5"/>
    <w:rsid w:val="004F2898"/>
    <w:rsid w:val="004F2A1D"/>
    <w:rsid w:val="004F2A24"/>
    <w:rsid w:val="004F2ADC"/>
    <w:rsid w:val="004F2B43"/>
    <w:rsid w:val="004F2C32"/>
    <w:rsid w:val="004F2C73"/>
    <w:rsid w:val="004F2C74"/>
    <w:rsid w:val="004F2CD5"/>
    <w:rsid w:val="004F2EB4"/>
    <w:rsid w:val="004F2F0E"/>
    <w:rsid w:val="004F2F6C"/>
    <w:rsid w:val="004F3066"/>
    <w:rsid w:val="004F30E9"/>
    <w:rsid w:val="004F30EC"/>
    <w:rsid w:val="004F3171"/>
    <w:rsid w:val="004F319D"/>
    <w:rsid w:val="004F31D8"/>
    <w:rsid w:val="004F3219"/>
    <w:rsid w:val="004F32BA"/>
    <w:rsid w:val="004F32D7"/>
    <w:rsid w:val="004F33A9"/>
    <w:rsid w:val="004F33E4"/>
    <w:rsid w:val="004F3434"/>
    <w:rsid w:val="004F3436"/>
    <w:rsid w:val="004F351E"/>
    <w:rsid w:val="004F3575"/>
    <w:rsid w:val="004F3623"/>
    <w:rsid w:val="004F363A"/>
    <w:rsid w:val="004F36DC"/>
    <w:rsid w:val="004F36EC"/>
    <w:rsid w:val="004F3810"/>
    <w:rsid w:val="004F38DB"/>
    <w:rsid w:val="004F38E9"/>
    <w:rsid w:val="004F3A07"/>
    <w:rsid w:val="004F3A1B"/>
    <w:rsid w:val="004F3A56"/>
    <w:rsid w:val="004F3AEA"/>
    <w:rsid w:val="004F3AF1"/>
    <w:rsid w:val="004F3BAA"/>
    <w:rsid w:val="004F3BC7"/>
    <w:rsid w:val="004F3C5B"/>
    <w:rsid w:val="004F3C90"/>
    <w:rsid w:val="004F3CCA"/>
    <w:rsid w:val="004F3E18"/>
    <w:rsid w:val="004F3E3C"/>
    <w:rsid w:val="004F3F0C"/>
    <w:rsid w:val="004F3FAF"/>
    <w:rsid w:val="004F3FB2"/>
    <w:rsid w:val="004F40BD"/>
    <w:rsid w:val="004F4144"/>
    <w:rsid w:val="004F41DB"/>
    <w:rsid w:val="004F41E8"/>
    <w:rsid w:val="004F427C"/>
    <w:rsid w:val="004F4293"/>
    <w:rsid w:val="004F42E4"/>
    <w:rsid w:val="004F4366"/>
    <w:rsid w:val="004F43E4"/>
    <w:rsid w:val="004F443B"/>
    <w:rsid w:val="004F4575"/>
    <w:rsid w:val="004F45BE"/>
    <w:rsid w:val="004F45D9"/>
    <w:rsid w:val="004F4616"/>
    <w:rsid w:val="004F463C"/>
    <w:rsid w:val="004F4653"/>
    <w:rsid w:val="004F46AC"/>
    <w:rsid w:val="004F46C6"/>
    <w:rsid w:val="004F4721"/>
    <w:rsid w:val="004F4742"/>
    <w:rsid w:val="004F4754"/>
    <w:rsid w:val="004F4760"/>
    <w:rsid w:val="004F479F"/>
    <w:rsid w:val="004F47A9"/>
    <w:rsid w:val="004F4827"/>
    <w:rsid w:val="004F4853"/>
    <w:rsid w:val="004F489F"/>
    <w:rsid w:val="004F4922"/>
    <w:rsid w:val="004F4942"/>
    <w:rsid w:val="004F4985"/>
    <w:rsid w:val="004F4A1E"/>
    <w:rsid w:val="004F4A82"/>
    <w:rsid w:val="004F4B0B"/>
    <w:rsid w:val="004F4B59"/>
    <w:rsid w:val="004F4C22"/>
    <w:rsid w:val="004F4D04"/>
    <w:rsid w:val="004F4D84"/>
    <w:rsid w:val="004F4DDA"/>
    <w:rsid w:val="004F4E0C"/>
    <w:rsid w:val="004F4E1E"/>
    <w:rsid w:val="004F4F8E"/>
    <w:rsid w:val="004F4FA2"/>
    <w:rsid w:val="004F5014"/>
    <w:rsid w:val="004F50B6"/>
    <w:rsid w:val="004F50E1"/>
    <w:rsid w:val="004F5128"/>
    <w:rsid w:val="004F515A"/>
    <w:rsid w:val="004F51A1"/>
    <w:rsid w:val="004F51F8"/>
    <w:rsid w:val="004F5258"/>
    <w:rsid w:val="004F52D2"/>
    <w:rsid w:val="004F5421"/>
    <w:rsid w:val="004F5442"/>
    <w:rsid w:val="004F55E8"/>
    <w:rsid w:val="004F56A7"/>
    <w:rsid w:val="004F56C0"/>
    <w:rsid w:val="004F56F9"/>
    <w:rsid w:val="004F5881"/>
    <w:rsid w:val="004F58E5"/>
    <w:rsid w:val="004F59A3"/>
    <w:rsid w:val="004F59C4"/>
    <w:rsid w:val="004F59DD"/>
    <w:rsid w:val="004F5A08"/>
    <w:rsid w:val="004F5AEE"/>
    <w:rsid w:val="004F5B91"/>
    <w:rsid w:val="004F5BDB"/>
    <w:rsid w:val="004F5BF1"/>
    <w:rsid w:val="004F5CC6"/>
    <w:rsid w:val="004F5D39"/>
    <w:rsid w:val="004F5D3F"/>
    <w:rsid w:val="004F5D7C"/>
    <w:rsid w:val="004F5F10"/>
    <w:rsid w:val="004F5F6A"/>
    <w:rsid w:val="004F600A"/>
    <w:rsid w:val="004F6039"/>
    <w:rsid w:val="004F6055"/>
    <w:rsid w:val="004F60D9"/>
    <w:rsid w:val="004F6196"/>
    <w:rsid w:val="004F6299"/>
    <w:rsid w:val="004F62C0"/>
    <w:rsid w:val="004F62D0"/>
    <w:rsid w:val="004F636D"/>
    <w:rsid w:val="004F63BB"/>
    <w:rsid w:val="004F63F1"/>
    <w:rsid w:val="004F6476"/>
    <w:rsid w:val="004F6514"/>
    <w:rsid w:val="004F65FA"/>
    <w:rsid w:val="004F667C"/>
    <w:rsid w:val="004F668E"/>
    <w:rsid w:val="004F66B6"/>
    <w:rsid w:val="004F66BF"/>
    <w:rsid w:val="004F67AB"/>
    <w:rsid w:val="004F67B5"/>
    <w:rsid w:val="004F67F4"/>
    <w:rsid w:val="004F686B"/>
    <w:rsid w:val="004F6875"/>
    <w:rsid w:val="004F68E9"/>
    <w:rsid w:val="004F6936"/>
    <w:rsid w:val="004F6A41"/>
    <w:rsid w:val="004F6B6F"/>
    <w:rsid w:val="004F6B70"/>
    <w:rsid w:val="004F6D5F"/>
    <w:rsid w:val="004F6D62"/>
    <w:rsid w:val="004F6E08"/>
    <w:rsid w:val="004F6E48"/>
    <w:rsid w:val="004F6EDC"/>
    <w:rsid w:val="004F6F40"/>
    <w:rsid w:val="004F700A"/>
    <w:rsid w:val="004F7101"/>
    <w:rsid w:val="004F7124"/>
    <w:rsid w:val="004F723A"/>
    <w:rsid w:val="004F72B9"/>
    <w:rsid w:val="004F72C3"/>
    <w:rsid w:val="004F734B"/>
    <w:rsid w:val="004F7382"/>
    <w:rsid w:val="004F73CE"/>
    <w:rsid w:val="004F7411"/>
    <w:rsid w:val="004F742A"/>
    <w:rsid w:val="004F747C"/>
    <w:rsid w:val="004F74C3"/>
    <w:rsid w:val="004F7555"/>
    <w:rsid w:val="004F765B"/>
    <w:rsid w:val="004F77AB"/>
    <w:rsid w:val="004F7867"/>
    <w:rsid w:val="004F786D"/>
    <w:rsid w:val="004F793E"/>
    <w:rsid w:val="004F7970"/>
    <w:rsid w:val="004F79DA"/>
    <w:rsid w:val="004F7B27"/>
    <w:rsid w:val="004F7B69"/>
    <w:rsid w:val="004F7B9E"/>
    <w:rsid w:val="004F7BA3"/>
    <w:rsid w:val="004F7C47"/>
    <w:rsid w:val="004F7C49"/>
    <w:rsid w:val="004F7DAB"/>
    <w:rsid w:val="004F7E4C"/>
    <w:rsid w:val="004F7E69"/>
    <w:rsid w:val="004F7E80"/>
    <w:rsid w:val="004F7E81"/>
    <w:rsid w:val="004F7EAC"/>
    <w:rsid w:val="004F7EDB"/>
    <w:rsid w:val="004F7F40"/>
    <w:rsid w:val="004F7FB4"/>
    <w:rsid w:val="004FE78C"/>
    <w:rsid w:val="00500014"/>
    <w:rsid w:val="00500049"/>
    <w:rsid w:val="005000B1"/>
    <w:rsid w:val="005000C0"/>
    <w:rsid w:val="00500119"/>
    <w:rsid w:val="0050012C"/>
    <w:rsid w:val="00500161"/>
    <w:rsid w:val="005001A0"/>
    <w:rsid w:val="005001BA"/>
    <w:rsid w:val="005001D7"/>
    <w:rsid w:val="005001F0"/>
    <w:rsid w:val="005002BB"/>
    <w:rsid w:val="005003C5"/>
    <w:rsid w:val="005003DE"/>
    <w:rsid w:val="005004E2"/>
    <w:rsid w:val="00500547"/>
    <w:rsid w:val="00500566"/>
    <w:rsid w:val="005005DD"/>
    <w:rsid w:val="005005E8"/>
    <w:rsid w:val="005006CF"/>
    <w:rsid w:val="005006EF"/>
    <w:rsid w:val="005007E8"/>
    <w:rsid w:val="005007EB"/>
    <w:rsid w:val="0050082B"/>
    <w:rsid w:val="00500833"/>
    <w:rsid w:val="00500849"/>
    <w:rsid w:val="0050085C"/>
    <w:rsid w:val="005008B4"/>
    <w:rsid w:val="00500AB8"/>
    <w:rsid w:val="00500B4C"/>
    <w:rsid w:val="00500CA0"/>
    <w:rsid w:val="00500CED"/>
    <w:rsid w:val="00500D51"/>
    <w:rsid w:val="00500DB7"/>
    <w:rsid w:val="00500DBC"/>
    <w:rsid w:val="00500DD2"/>
    <w:rsid w:val="00500DDD"/>
    <w:rsid w:val="00500E06"/>
    <w:rsid w:val="00500E63"/>
    <w:rsid w:val="00500E76"/>
    <w:rsid w:val="00500E77"/>
    <w:rsid w:val="00500F43"/>
    <w:rsid w:val="0050102C"/>
    <w:rsid w:val="0050112B"/>
    <w:rsid w:val="0050113A"/>
    <w:rsid w:val="0050115C"/>
    <w:rsid w:val="00501246"/>
    <w:rsid w:val="0050131E"/>
    <w:rsid w:val="005013B5"/>
    <w:rsid w:val="005013E0"/>
    <w:rsid w:val="00501499"/>
    <w:rsid w:val="005014A2"/>
    <w:rsid w:val="005014D6"/>
    <w:rsid w:val="00501529"/>
    <w:rsid w:val="0050157C"/>
    <w:rsid w:val="0050161C"/>
    <w:rsid w:val="0050163A"/>
    <w:rsid w:val="0050173B"/>
    <w:rsid w:val="005017B7"/>
    <w:rsid w:val="00501820"/>
    <w:rsid w:val="00501858"/>
    <w:rsid w:val="005018B9"/>
    <w:rsid w:val="00501917"/>
    <w:rsid w:val="00501966"/>
    <w:rsid w:val="00501A14"/>
    <w:rsid w:val="00501A71"/>
    <w:rsid w:val="00501AD2"/>
    <w:rsid w:val="00501AD6"/>
    <w:rsid w:val="00501BAA"/>
    <w:rsid w:val="00501BB2"/>
    <w:rsid w:val="00501BDE"/>
    <w:rsid w:val="00501C57"/>
    <w:rsid w:val="00501D15"/>
    <w:rsid w:val="00501DD9"/>
    <w:rsid w:val="00501DDB"/>
    <w:rsid w:val="00501E2B"/>
    <w:rsid w:val="00501E43"/>
    <w:rsid w:val="00501E59"/>
    <w:rsid w:val="00501E6D"/>
    <w:rsid w:val="00501F2B"/>
    <w:rsid w:val="00501F4A"/>
    <w:rsid w:val="00501F66"/>
    <w:rsid w:val="0050200C"/>
    <w:rsid w:val="0050208A"/>
    <w:rsid w:val="00502139"/>
    <w:rsid w:val="005022EB"/>
    <w:rsid w:val="00502410"/>
    <w:rsid w:val="00502433"/>
    <w:rsid w:val="00502446"/>
    <w:rsid w:val="0050249A"/>
    <w:rsid w:val="005024BA"/>
    <w:rsid w:val="005024EF"/>
    <w:rsid w:val="0050250B"/>
    <w:rsid w:val="00502512"/>
    <w:rsid w:val="00502574"/>
    <w:rsid w:val="0050274F"/>
    <w:rsid w:val="00502765"/>
    <w:rsid w:val="00502793"/>
    <w:rsid w:val="0050279E"/>
    <w:rsid w:val="005028E8"/>
    <w:rsid w:val="005029AE"/>
    <w:rsid w:val="00502ADC"/>
    <w:rsid w:val="00502B79"/>
    <w:rsid w:val="00502B98"/>
    <w:rsid w:val="00502BC5"/>
    <w:rsid w:val="00502CA2"/>
    <w:rsid w:val="00502D2C"/>
    <w:rsid w:val="00502D64"/>
    <w:rsid w:val="00502DA7"/>
    <w:rsid w:val="00502EB7"/>
    <w:rsid w:val="00502EFC"/>
    <w:rsid w:val="00502FA1"/>
    <w:rsid w:val="00502FAF"/>
    <w:rsid w:val="00502FB7"/>
    <w:rsid w:val="00502FBE"/>
    <w:rsid w:val="00502FED"/>
    <w:rsid w:val="00503024"/>
    <w:rsid w:val="0050304F"/>
    <w:rsid w:val="005030D5"/>
    <w:rsid w:val="0050311C"/>
    <w:rsid w:val="005032AD"/>
    <w:rsid w:val="005032ED"/>
    <w:rsid w:val="00503344"/>
    <w:rsid w:val="00503356"/>
    <w:rsid w:val="00503397"/>
    <w:rsid w:val="005033CD"/>
    <w:rsid w:val="00503414"/>
    <w:rsid w:val="0050344B"/>
    <w:rsid w:val="005034D1"/>
    <w:rsid w:val="0050352E"/>
    <w:rsid w:val="00503590"/>
    <w:rsid w:val="00503594"/>
    <w:rsid w:val="005035C7"/>
    <w:rsid w:val="005035F3"/>
    <w:rsid w:val="0050364D"/>
    <w:rsid w:val="00503671"/>
    <w:rsid w:val="005036BD"/>
    <w:rsid w:val="005036E2"/>
    <w:rsid w:val="00503734"/>
    <w:rsid w:val="00503753"/>
    <w:rsid w:val="00503788"/>
    <w:rsid w:val="005037A7"/>
    <w:rsid w:val="005037B3"/>
    <w:rsid w:val="005037FE"/>
    <w:rsid w:val="00503826"/>
    <w:rsid w:val="0050382C"/>
    <w:rsid w:val="00503867"/>
    <w:rsid w:val="005038FE"/>
    <w:rsid w:val="0050395D"/>
    <w:rsid w:val="0050396A"/>
    <w:rsid w:val="00503974"/>
    <w:rsid w:val="00503AC7"/>
    <w:rsid w:val="00503AD4"/>
    <w:rsid w:val="00503B12"/>
    <w:rsid w:val="00503BB2"/>
    <w:rsid w:val="00503C9C"/>
    <w:rsid w:val="00503DD2"/>
    <w:rsid w:val="00503E66"/>
    <w:rsid w:val="00503F3A"/>
    <w:rsid w:val="00503F86"/>
    <w:rsid w:val="00503FB6"/>
    <w:rsid w:val="00503FF8"/>
    <w:rsid w:val="00504020"/>
    <w:rsid w:val="005040BF"/>
    <w:rsid w:val="00504189"/>
    <w:rsid w:val="00504226"/>
    <w:rsid w:val="00504290"/>
    <w:rsid w:val="005042D4"/>
    <w:rsid w:val="0050443F"/>
    <w:rsid w:val="00504471"/>
    <w:rsid w:val="0050447A"/>
    <w:rsid w:val="00504526"/>
    <w:rsid w:val="00504557"/>
    <w:rsid w:val="00504565"/>
    <w:rsid w:val="005045DE"/>
    <w:rsid w:val="005045E5"/>
    <w:rsid w:val="00504660"/>
    <w:rsid w:val="00504669"/>
    <w:rsid w:val="00504723"/>
    <w:rsid w:val="00504725"/>
    <w:rsid w:val="00504784"/>
    <w:rsid w:val="005047D7"/>
    <w:rsid w:val="005047D9"/>
    <w:rsid w:val="00504804"/>
    <w:rsid w:val="0050480D"/>
    <w:rsid w:val="00504863"/>
    <w:rsid w:val="0050487C"/>
    <w:rsid w:val="00504898"/>
    <w:rsid w:val="0050499D"/>
    <w:rsid w:val="005049A3"/>
    <w:rsid w:val="00504A23"/>
    <w:rsid w:val="00504A71"/>
    <w:rsid w:val="00504A80"/>
    <w:rsid w:val="00504AF1"/>
    <w:rsid w:val="00504B6A"/>
    <w:rsid w:val="00504B81"/>
    <w:rsid w:val="00504BD0"/>
    <w:rsid w:val="00504C10"/>
    <w:rsid w:val="00504D14"/>
    <w:rsid w:val="00504D36"/>
    <w:rsid w:val="00504D4C"/>
    <w:rsid w:val="00504DA7"/>
    <w:rsid w:val="00504DFA"/>
    <w:rsid w:val="00504DFC"/>
    <w:rsid w:val="00504E0A"/>
    <w:rsid w:val="00504E57"/>
    <w:rsid w:val="00504E60"/>
    <w:rsid w:val="00504E71"/>
    <w:rsid w:val="00504E97"/>
    <w:rsid w:val="0050503A"/>
    <w:rsid w:val="0050507E"/>
    <w:rsid w:val="0050509A"/>
    <w:rsid w:val="00505137"/>
    <w:rsid w:val="0050523A"/>
    <w:rsid w:val="00505386"/>
    <w:rsid w:val="005053AF"/>
    <w:rsid w:val="00505574"/>
    <w:rsid w:val="0050559E"/>
    <w:rsid w:val="005055C3"/>
    <w:rsid w:val="005056D3"/>
    <w:rsid w:val="00505703"/>
    <w:rsid w:val="00505730"/>
    <w:rsid w:val="00505758"/>
    <w:rsid w:val="00505767"/>
    <w:rsid w:val="00505783"/>
    <w:rsid w:val="00505796"/>
    <w:rsid w:val="0050586A"/>
    <w:rsid w:val="0050598F"/>
    <w:rsid w:val="005059E6"/>
    <w:rsid w:val="00505A77"/>
    <w:rsid w:val="00505A7A"/>
    <w:rsid w:val="00505CD2"/>
    <w:rsid w:val="00505D34"/>
    <w:rsid w:val="00505E2D"/>
    <w:rsid w:val="00505E93"/>
    <w:rsid w:val="00505EB8"/>
    <w:rsid w:val="00505EFD"/>
    <w:rsid w:val="00506116"/>
    <w:rsid w:val="0050613F"/>
    <w:rsid w:val="0050614E"/>
    <w:rsid w:val="005062C0"/>
    <w:rsid w:val="0050630C"/>
    <w:rsid w:val="0050630D"/>
    <w:rsid w:val="0050632A"/>
    <w:rsid w:val="005063D2"/>
    <w:rsid w:val="00506472"/>
    <w:rsid w:val="005065CA"/>
    <w:rsid w:val="00506662"/>
    <w:rsid w:val="005066F0"/>
    <w:rsid w:val="0050677F"/>
    <w:rsid w:val="0050680A"/>
    <w:rsid w:val="005068FE"/>
    <w:rsid w:val="0050695A"/>
    <w:rsid w:val="0050698E"/>
    <w:rsid w:val="005069B6"/>
    <w:rsid w:val="00506A03"/>
    <w:rsid w:val="00506AC2"/>
    <w:rsid w:val="00506B3E"/>
    <w:rsid w:val="00506C40"/>
    <w:rsid w:val="00506CCB"/>
    <w:rsid w:val="00506D16"/>
    <w:rsid w:val="00506D27"/>
    <w:rsid w:val="00506D2D"/>
    <w:rsid w:val="00506D38"/>
    <w:rsid w:val="00506DBA"/>
    <w:rsid w:val="00506DC9"/>
    <w:rsid w:val="00506DFD"/>
    <w:rsid w:val="00506E02"/>
    <w:rsid w:val="00506E19"/>
    <w:rsid w:val="00506E87"/>
    <w:rsid w:val="00506ED4"/>
    <w:rsid w:val="00506F55"/>
    <w:rsid w:val="00506F6D"/>
    <w:rsid w:val="0050703B"/>
    <w:rsid w:val="00507067"/>
    <w:rsid w:val="00507082"/>
    <w:rsid w:val="0050710A"/>
    <w:rsid w:val="005071A4"/>
    <w:rsid w:val="00507214"/>
    <w:rsid w:val="005073A0"/>
    <w:rsid w:val="005073E1"/>
    <w:rsid w:val="00507402"/>
    <w:rsid w:val="00507462"/>
    <w:rsid w:val="00507479"/>
    <w:rsid w:val="005074C3"/>
    <w:rsid w:val="005074E2"/>
    <w:rsid w:val="005075C6"/>
    <w:rsid w:val="005076AC"/>
    <w:rsid w:val="00507712"/>
    <w:rsid w:val="00507759"/>
    <w:rsid w:val="005077FD"/>
    <w:rsid w:val="00507817"/>
    <w:rsid w:val="00507871"/>
    <w:rsid w:val="00507900"/>
    <w:rsid w:val="0050790C"/>
    <w:rsid w:val="005079C8"/>
    <w:rsid w:val="005079E8"/>
    <w:rsid w:val="00507A76"/>
    <w:rsid w:val="00507CF7"/>
    <w:rsid w:val="00507D3A"/>
    <w:rsid w:val="00507DE4"/>
    <w:rsid w:val="00507EB7"/>
    <w:rsid w:val="00507EC3"/>
    <w:rsid w:val="00507EFD"/>
    <w:rsid w:val="00507F01"/>
    <w:rsid w:val="00507F66"/>
    <w:rsid w:val="00507F6F"/>
    <w:rsid w:val="00507FCE"/>
    <w:rsid w:val="00510053"/>
    <w:rsid w:val="0051011C"/>
    <w:rsid w:val="005101F7"/>
    <w:rsid w:val="005102B1"/>
    <w:rsid w:val="00510308"/>
    <w:rsid w:val="00510318"/>
    <w:rsid w:val="0051031B"/>
    <w:rsid w:val="00510346"/>
    <w:rsid w:val="00510361"/>
    <w:rsid w:val="005103BC"/>
    <w:rsid w:val="005105BB"/>
    <w:rsid w:val="005105F8"/>
    <w:rsid w:val="00510744"/>
    <w:rsid w:val="00510945"/>
    <w:rsid w:val="00510951"/>
    <w:rsid w:val="005109DC"/>
    <w:rsid w:val="00510A44"/>
    <w:rsid w:val="00510B04"/>
    <w:rsid w:val="00510B2C"/>
    <w:rsid w:val="00510B46"/>
    <w:rsid w:val="00510B7C"/>
    <w:rsid w:val="00510B83"/>
    <w:rsid w:val="00510B89"/>
    <w:rsid w:val="00510C0F"/>
    <w:rsid w:val="00510C7D"/>
    <w:rsid w:val="00510C84"/>
    <w:rsid w:val="00510CBD"/>
    <w:rsid w:val="00510CD7"/>
    <w:rsid w:val="00510CE7"/>
    <w:rsid w:val="00510D09"/>
    <w:rsid w:val="00510D22"/>
    <w:rsid w:val="00510D64"/>
    <w:rsid w:val="00510ECD"/>
    <w:rsid w:val="00510F24"/>
    <w:rsid w:val="00510F35"/>
    <w:rsid w:val="00510F38"/>
    <w:rsid w:val="00510F77"/>
    <w:rsid w:val="00510F8D"/>
    <w:rsid w:val="0051105A"/>
    <w:rsid w:val="0051107C"/>
    <w:rsid w:val="00511080"/>
    <w:rsid w:val="0051111C"/>
    <w:rsid w:val="0051112A"/>
    <w:rsid w:val="0051114C"/>
    <w:rsid w:val="005111D7"/>
    <w:rsid w:val="00511257"/>
    <w:rsid w:val="005112F3"/>
    <w:rsid w:val="00511411"/>
    <w:rsid w:val="00511413"/>
    <w:rsid w:val="00511464"/>
    <w:rsid w:val="00511490"/>
    <w:rsid w:val="00511519"/>
    <w:rsid w:val="0051157F"/>
    <w:rsid w:val="005115F5"/>
    <w:rsid w:val="00511673"/>
    <w:rsid w:val="0051171E"/>
    <w:rsid w:val="0051176E"/>
    <w:rsid w:val="005118A2"/>
    <w:rsid w:val="00511946"/>
    <w:rsid w:val="00511980"/>
    <w:rsid w:val="00511AA3"/>
    <w:rsid w:val="00511BD6"/>
    <w:rsid w:val="00511C0D"/>
    <w:rsid w:val="00511C25"/>
    <w:rsid w:val="00511CBC"/>
    <w:rsid w:val="00511D45"/>
    <w:rsid w:val="00511EDA"/>
    <w:rsid w:val="00511FA2"/>
    <w:rsid w:val="00511FB8"/>
    <w:rsid w:val="0051208D"/>
    <w:rsid w:val="0051217B"/>
    <w:rsid w:val="0051219A"/>
    <w:rsid w:val="005121FB"/>
    <w:rsid w:val="00512280"/>
    <w:rsid w:val="00512398"/>
    <w:rsid w:val="0051239E"/>
    <w:rsid w:val="005123DA"/>
    <w:rsid w:val="005123FF"/>
    <w:rsid w:val="005124C3"/>
    <w:rsid w:val="005124D0"/>
    <w:rsid w:val="005124EE"/>
    <w:rsid w:val="00512585"/>
    <w:rsid w:val="005125EF"/>
    <w:rsid w:val="0051267E"/>
    <w:rsid w:val="005126C9"/>
    <w:rsid w:val="00512810"/>
    <w:rsid w:val="0051292E"/>
    <w:rsid w:val="0051298B"/>
    <w:rsid w:val="0051299E"/>
    <w:rsid w:val="005129FA"/>
    <w:rsid w:val="00512B9E"/>
    <w:rsid w:val="00512BE2"/>
    <w:rsid w:val="00512C14"/>
    <w:rsid w:val="00512C63"/>
    <w:rsid w:val="00512CAD"/>
    <w:rsid w:val="00512CEF"/>
    <w:rsid w:val="00512CF0"/>
    <w:rsid w:val="00512D71"/>
    <w:rsid w:val="00512DEE"/>
    <w:rsid w:val="00512EA6"/>
    <w:rsid w:val="00512F6D"/>
    <w:rsid w:val="00513030"/>
    <w:rsid w:val="005130FB"/>
    <w:rsid w:val="00513163"/>
    <w:rsid w:val="005131EF"/>
    <w:rsid w:val="00513224"/>
    <w:rsid w:val="00513518"/>
    <w:rsid w:val="00513565"/>
    <w:rsid w:val="0051359E"/>
    <w:rsid w:val="005135A1"/>
    <w:rsid w:val="005135FA"/>
    <w:rsid w:val="00513649"/>
    <w:rsid w:val="00513671"/>
    <w:rsid w:val="00513702"/>
    <w:rsid w:val="00513754"/>
    <w:rsid w:val="00513921"/>
    <w:rsid w:val="00513948"/>
    <w:rsid w:val="00513977"/>
    <w:rsid w:val="00513979"/>
    <w:rsid w:val="00513A67"/>
    <w:rsid w:val="00513B7B"/>
    <w:rsid w:val="00513BB1"/>
    <w:rsid w:val="00513C4C"/>
    <w:rsid w:val="00513CD3"/>
    <w:rsid w:val="00513DCC"/>
    <w:rsid w:val="00513E9E"/>
    <w:rsid w:val="00513F8A"/>
    <w:rsid w:val="00513FF9"/>
    <w:rsid w:val="00514031"/>
    <w:rsid w:val="00514074"/>
    <w:rsid w:val="005140D9"/>
    <w:rsid w:val="00514199"/>
    <w:rsid w:val="0051424A"/>
    <w:rsid w:val="005142B8"/>
    <w:rsid w:val="005142CF"/>
    <w:rsid w:val="005142E8"/>
    <w:rsid w:val="00514318"/>
    <w:rsid w:val="00514355"/>
    <w:rsid w:val="0051436B"/>
    <w:rsid w:val="005144AF"/>
    <w:rsid w:val="005144EB"/>
    <w:rsid w:val="0051455E"/>
    <w:rsid w:val="00514590"/>
    <w:rsid w:val="005146AC"/>
    <w:rsid w:val="005146CE"/>
    <w:rsid w:val="0051474E"/>
    <w:rsid w:val="005147EE"/>
    <w:rsid w:val="00514838"/>
    <w:rsid w:val="00514898"/>
    <w:rsid w:val="0051493F"/>
    <w:rsid w:val="0051497A"/>
    <w:rsid w:val="005149A0"/>
    <w:rsid w:val="005149E3"/>
    <w:rsid w:val="00514A36"/>
    <w:rsid w:val="00514B2D"/>
    <w:rsid w:val="00514B30"/>
    <w:rsid w:val="00514B35"/>
    <w:rsid w:val="00514B7B"/>
    <w:rsid w:val="00514BE3"/>
    <w:rsid w:val="00514BF6"/>
    <w:rsid w:val="00514D4D"/>
    <w:rsid w:val="00514DBB"/>
    <w:rsid w:val="00514E0F"/>
    <w:rsid w:val="00514E57"/>
    <w:rsid w:val="00514E91"/>
    <w:rsid w:val="00514EBC"/>
    <w:rsid w:val="00514F37"/>
    <w:rsid w:val="00514F84"/>
    <w:rsid w:val="00514FA0"/>
    <w:rsid w:val="0051509B"/>
    <w:rsid w:val="005151B9"/>
    <w:rsid w:val="0051523D"/>
    <w:rsid w:val="0051523E"/>
    <w:rsid w:val="0051528F"/>
    <w:rsid w:val="005152E4"/>
    <w:rsid w:val="0051531D"/>
    <w:rsid w:val="00515368"/>
    <w:rsid w:val="0051538C"/>
    <w:rsid w:val="00515392"/>
    <w:rsid w:val="00515394"/>
    <w:rsid w:val="00515435"/>
    <w:rsid w:val="0051548B"/>
    <w:rsid w:val="0051548C"/>
    <w:rsid w:val="005154FB"/>
    <w:rsid w:val="0051554C"/>
    <w:rsid w:val="00515561"/>
    <w:rsid w:val="0051556E"/>
    <w:rsid w:val="0051568A"/>
    <w:rsid w:val="005156ED"/>
    <w:rsid w:val="00515864"/>
    <w:rsid w:val="00515867"/>
    <w:rsid w:val="005158AE"/>
    <w:rsid w:val="005158C5"/>
    <w:rsid w:val="00515915"/>
    <w:rsid w:val="00515985"/>
    <w:rsid w:val="005159AA"/>
    <w:rsid w:val="005159CE"/>
    <w:rsid w:val="005159E8"/>
    <w:rsid w:val="00515B23"/>
    <w:rsid w:val="00515B88"/>
    <w:rsid w:val="00515CB4"/>
    <w:rsid w:val="00515D5D"/>
    <w:rsid w:val="00515DC7"/>
    <w:rsid w:val="00515E4A"/>
    <w:rsid w:val="00516063"/>
    <w:rsid w:val="005160A1"/>
    <w:rsid w:val="005160E9"/>
    <w:rsid w:val="005160FC"/>
    <w:rsid w:val="00516132"/>
    <w:rsid w:val="00516231"/>
    <w:rsid w:val="005162BC"/>
    <w:rsid w:val="00516319"/>
    <w:rsid w:val="00516357"/>
    <w:rsid w:val="005163CD"/>
    <w:rsid w:val="00516434"/>
    <w:rsid w:val="00516459"/>
    <w:rsid w:val="00516462"/>
    <w:rsid w:val="005164A0"/>
    <w:rsid w:val="005164D8"/>
    <w:rsid w:val="005164F7"/>
    <w:rsid w:val="00516501"/>
    <w:rsid w:val="00516530"/>
    <w:rsid w:val="0051658A"/>
    <w:rsid w:val="00516619"/>
    <w:rsid w:val="0051673B"/>
    <w:rsid w:val="005167D7"/>
    <w:rsid w:val="00516870"/>
    <w:rsid w:val="00516876"/>
    <w:rsid w:val="005168C4"/>
    <w:rsid w:val="005168C6"/>
    <w:rsid w:val="005168D2"/>
    <w:rsid w:val="005168D5"/>
    <w:rsid w:val="005168EC"/>
    <w:rsid w:val="00516962"/>
    <w:rsid w:val="00516967"/>
    <w:rsid w:val="005169BE"/>
    <w:rsid w:val="00516AAF"/>
    <w:rsid w:val="00516C01"/>
    <w:rsid w:val="00516C0A"/>
    <w:rsid w:val="00516C1A"/>
    <w:rsid w:val="00516C77"/>
    <w:rsid w:val="00516E98"/>
    <w:rsid w:val="00516EA4"/>
    <w:rsid w:val="00516EED"/>
    <w:rsid w:val="00516F07"/>
    <w:rsid w:val="00516F70"/>
    <w:rsid w:val="00517081"/>
    <w:rsid w:val="005170DE"/>
    <w:rsid w:val="00517197"/>
    <w:rsid w:val="0051728F"/>
    <w:rsid w:val="005172F2"/>
    <w:rsid w:val="00517307"/>
    <w:rsid w:val="0051733F"/>
    <w:rsid w:val="005173AB"/>
    <w:rsid w:val="005173D7"/>
    <w:rsid w:val="005173DF"/>
    <w:rsid w:val="005173EE"/>
    <w:rsid w:val="005173F5"/>
    <w:rsid w:val="0051741C"/>
    <w:rsid w:val="00517461"/>
    <w:rsid w:val="00517518"/>
    <w:rsid w:val="00517561"/>
    <w:rsid w:val="005175A6"/>
    <w:rsid w:val="0051760B"/>
    <w:rsid w:val="00517622"/>
    <w:rsid w:val="005177F1"/>
    <w:rsid w:val="005177F2"/>
    <w:rsid w:val="00517874"/>
    <w:rsid w:val="005178AE"/>
    <w:rsid w:val="005178CF"/>
    <w:rsid w:val="0051798C"/>
    <w:rsid w:val="00517994"/>
    <w:rsid w:val="00517997"/>
    <w:rsid w:val="005179D3"/>
    <w:rsid w:val="00517A0D"/>
    <w:rsid w:val="00517AD4"/>
    <w:rsid w:val="00517BE5"/>
    <w:rsid w:val="00517BEC"/>
    <w:rsid w:val="00517C06"/>
    <w:rsid w:val="00517C8E"/>
    <w:rsid w:val="00517D25"/>
    <w:rsid w:val="00517E50"/>
    <w:rsid w:val="00517EE7"/>
    <w:rsid w:val="00517F09"/>
    <w:rsid w:val="00517F0D"/>
    <w:rsid w:val="00517F41"/>
    <w:rsid w:val="00517F77"/>
    <w:rsid w:val="00517FB6"/>
    <w:rsid w:val="00517FE0"/>
    <w:rsid w:val="00517FE1"/>
    <w:rsid w:val="005201F7"/>
    <w:rsid w:val="00520242"/>
    <w:rsid w:val="00520270"/>
    <w:rsid w:val="00520284"/>
    <w:rsid w:val="005202B8"/>
    <w:rsid w:val="005202D5"/>
    <w:rsid w:val="00520312"/>
    <w:rsid w:val="0052039A"/>
    <w:rsid w:val="005203C9"/>
    <w:rsid w:val="005203CE"/>
    <w:rsid w:val="0052044D"/>
    <w:rsid w:val="005204C9"/>
    <w:rsid w:val="005204E1"/>
    <w:rsid w:val="005204FC"/>
    <w:rsid w:val="0052057D"/>
    <w:rsid w:val="0052062B"/>
    <w:rsid w:val="00520689"/>
    <w:rsid w:val="005206E2"/>
    <w:rsid w:val="0052070F"/>
    <w:rsid w:val="0052074A"/>
    <w:rsid w:val="00520794"/>
    <w:rsid w:val="005207B3"/>
    <w:rsid w:val="005207CE"/>
    <w:rsid w:val="005207F1"/>
    <w:rsid w:val="00520839"/>
    <w:rsid w:val="00520840"/>
    <w:rsid w:val="0052084A"/>
    <w:rsid w:val="00520931"/>
    <w:rsid w:val="00520961"/>
    <w:rsid w:val="005209DF"/>
    <w:rsid w:val="005209E3"/>
    <w:rsid w:val="00520AAD"/>
    <w:rsid w:val="00520AC1"/>
    <w:rsid w:val="00520AE6"/>
    <w:rsid w:val="00520C25"/>
    <w:rsid w:val="00520C93"/>
    <w:rsid w:val="00520CB2"/>
    <w:rsid w:val="00520CD8"/>
    <w:rsid w:val="00520CFF"/>
    <w:rsid w:val="00520D11"/>
    <w:rsid w:val="00520D80"/>
    <w:rsid w:val="00520DA0"/>
    <w:rsid w:val="00520DAB"/>
    <w:rsid w:val="00520E2B"/>
    <w:rsid w:val="00520E3A"/>
    <w:rsid w:val="00521010"/>
    <w:rsid w:val="00521071"/>
    <w:rsid w:val="00521080"/>
    <w:rsid w:val="005210B1"/>
    <w:rsid w:val="0052113C"/>
    <w:rsid w:val="00521276"/>
    <w:rsid w:val="00521310"/>
    <w:rsid w:val="0052134E"/>
    <w:rsid w:val="00521366"/>
    <w:rsid w:val="00521403"/>
    <w:rsid w:val="005214CD"/>
    <w:rsid w:val="005214CE"/>
    <w:rsid w:val="005214EB"/>
    <w:rsid w:val="005214FB"/>
    <w:rsid w:val="0052153F"/>
    <w:rsid w:val="005215DC"/>
    <w:rsid w:val="005215FF"/>
    <w:rsid w:val="005216AB"/>
    <w:rsid w:val="005216F6"/>
    <w:rsid w:val="0052180A"/>
    <w:rsid w:val="0052180D"/>
    <w:rsid w:val="0052185E"/>
    <w:rsid w:val="005218EB"/>
    <w:rsid w:val="00521979"/>
    <w:rsid w:val="005219C1"/>
    <w:rsid w:val="00521A31"/>
    <w:rsid w:val="00521AD2"/>
    <w:rsid w:val="00521B6D"/>
    <w:rsid w:val="00521B9F"/>
    <w:rsid w:val="00521C19"/>
    <w:rsid w:val="00521D1B"/>
    <w:rsid w:val="00521D74"/>
    <w:rsid w:val="00521DA8"/>
    <w:rsid w:val="00521DBB"/>
    <w:rsid w:val="00521DCB"/>
    <w:rsid w:val="00521E65"/>
    <w:rsid w:val="00521E96"/>
    <w:rsid w:val="00521EA0"/>
    <w:rsid w:val="00521F77"/>
    <w:rsid w:val="00521FC9"/>
    <w:rsid w:val="00521FCC"/>
    <w:rsid w:val="005220A7"/>
    <w:rsid w:val="00522177"/>
    <w:rsid w:val="00522186"/>
    <w:rsid w:val="005221F7"/>
    <w:rsid w:val="00522237"/>
    <w:rsid w:val="0052225A"/>
    <w:rsid w:val="00522269"/>
    <w:rsid w:val="0052226B"/>
    <w:rsid w:val="00522440"/>
    <w:rsid w:val="00522482"/>
    <w:rsid w:val="0052250E"/>
    <w:rsid w:val="0052257C"/>
    <w:rsid w:val="005225CC"/>
    <w:rsid w:val="005226D4"/>
    <w:rsid w:val="005226DA"/>
    <w:rsid w:val="00522762"/>
    <w:rsid w:val="00522772"/>
    <w:rsid w:val="00522791"/>
    <w:rsid w:val="00522798"/>
    <w:rsid w:val="005227BC"/>
    <w:rsid w:val="005227DA"/>
    <w:rsid w:val="0052281B"/>
    <w:rsid w:val="00522820"/>
    <w:rsid w:val="00522863"/>
    <w:rsid w:val="0052293A"/>
    <w:rsid w:val="005229ED"/>
    <w:rsid w:val="00522A98"/>
    <w:rsid w:val="00522AE6"/>
    <w:rsid w:val="00522B14"/>
    <w:rsid w:val="00522B4E"/>
    <w:rsid w:val="00522B5F"/>
    <w:rsid w:val="00522C29"/>
    <w:rsid w:val="00522C4F"/>
    <w:rsid w:val="00522C6C"/>
    <w:rsid w:val="00522D39"/>
    <w:rsid w:val="00522DD6"/>
    <w:rsid w:val="00522DDC"/>
    <w:rsid w:val="00522E4A"/>
    <w:rsid w:val="00522F0C"/>
    <w:rsid w:val="00522F80"/>
    <w:rsid w:val="0052303C"/>
    <w:rsid w:val="00523043"/>
    <w:rsid w:val="005230B2"/>
    <w:rsid w:val="00523206"/>
    <w:rsid w:val="0052327D"/>
    <w:rsid w:val="005232A2"/>
    <w:rsid w:val="005232A9"/>
    <w:rsid w:val="00523348"/>
    <w:rsid w:val="0052336E"/>
    <w:rsid w:val="00523394"/>
    <w:rsid w:val="00523439"/>
    <w:rsid w:val="0052354D"/>
    <w:rsid w:val="005235D3"/>
    <w:rsid w:val="00523637"/>
    <w:rsid w:val="0052363B"/>
    <w:rsid w:val="0052367A"/>
    <w:rsid w:val="00523740"/>
    <w:rsid w:val="005237C6"/>
    <w:rsid w:val="005237CA"/>
    <w:rsid w:val="005237E4"/>
    <w:rsid w:val="00523822"/>
    <w:rsid w:val="00523A0C"/>
    <w:rsid w:val="00523A4C"/>
    <w:rsid w:val="00523A77"/>
    <w:rsid w:val="00523A7D"/>
    <w:rsid w:val="00523AB0"/>
    <w:rsid w:val="00523B3B"/>
    <w:rsid w:val="00523B5E"/>
    <w:rsid w:val="00523BB9"/>
    <w:rsid w:val="00523D2A"/>
    <w:rsid w:val="00523D3A"/>
    <w:rsid w:val="00523DAF"/>
    <w:rsid w:val="00523DB3"/>
    <w:rsid w:val="00523E08"/>
    <w:rsid w:val="00523E99"/>
    <w:rsid w:val="00523EC0"/>
    <w:rsid w:val="00523F5D"/>
    <w:rsid w:val="00524019"/>
    <w:rsid w:val="00524036"/>
    <w:rsid w:val="0052409D"/>
    <w:rsid w:val="00524127"/>
    <w:rsid w:val="00524156"/>
    <w:rsid w:val="005241D7"/>
    <w:rsid w:val="005242F4"/>
    <w:rsid w:val="00524394"/>
    <w:rsid w:val="005243E4"/>
    <w:rsid w:val="00524429"/>
    <w:rsid w:val="0052444B"/>
    <w:rsid w:val="005244E4"/>
    <w:rsid w:val="00524519"/>
    <w:rsid w:val="005245C3"/>
    <w:rsid w:val="005245E1"/>
    <w:rsid w:val="00524646"/>
    <w:rsid w:val="00524649"/>
    <w:rsid w:val="00524653"/>
    <w:rsid w:val="0052467F"/>
    <w:rsid w:val="005246D2"/>
    <w:rsid w:val="00524743"/>
    <w:rsid w:val="0052478A"/>
    <w:rsid w:val="0052481D"/>
    <w:rsid w:val="00524882"/>
    <w:rsid w:val="005248D2"/>
    <w:rsid w:val="005248FC"/>
    <w:rsid w:val="00524A55"/>
    <w:rsid w:val="00524A76"/>
    <w:rsid w:val="00524AFB"/>
    <w:rsid w:val="00524BAB"/>
    <w:rsid w:val="00524BD2"/>
    <w:rsid w:val="00524C0A"/>
    <w:rsid w:val="00524C2C"/>
    <w:rsid w:val="00524C86"/>
    <w:rsid w:val="00524CC2"/>
    <w:rsid w:val="00524CD2"/>
    <w:rsid w:val="00524CD3"/>
    <w:rsid w:val="00524CF1"/>
    <w:rsid w:val="00524CFA"/>
    <w:rsid w:val="00524E19"/>
    <w:rsid w:val="00524E47"/>
    <w:rsid w:val="00524EC3"/>
    <w:rsid w:val="00524EC4"/>
    <w:rsid w:val="00524FA3"/>
    <w:rsid w:val="00524FAB"/>
    <w:rsid w:val="00524FC4"/>
    <w:rsid w:val="00524FFE"/>
    <w:rsid w:val="00525001"/>
    <w:rsid w:val="00525006"/>
    <w:rsid w:val="0052500C"/>
    <w:rsid w:val="00525010"/>
    <w:rsid w:val="00525020"/>
    <w:rsid w:val="0052504E"/>
    <w:rsid w:val="005250DD"/>
    <w:rsid w:val="005251F3"/>
    <w:rsid w:val="00525220"/>
    <w:rsid w:val="00525242"/>
    <w:rsid w:val="0052528D"/>
    <w:rsid w:val="005252A8"/>
    <w:rsid w:val="0052531B"/>
    <w:rsid w:val="0052532F"/>
    <w:rsid w:val="00525382"/>
    <w:rsid w:val="005253AC"/>
    <w:rsid w:val="00525420"/>
    <w:rsid w:val="00525439"/>
    <w:rsid w:val="00525481"/>
    <w:rsid w:val="005254E6"/>
    <w:rsid w:val="005255A2"/>
    <w:rsid w:val="005255CA"/>
    <w:rsid w:val="0052566E"/>
    <w:rsid w:val="0052567C"/>
    <w:rsid w:val="005256FE"/>
    <w:rsid w:val="005257BD"/>
    <w:rsid w:val="005258EE"/>
    <w:rsid w:val="00525905"/>
    <w:rsid w:val="0052596D"/>
    <w:rsid w:val="00525ABF"/>
    <w:rsid w:val="00525AF8"/>
    <w:rsid w:val="00525B2E"/>
    <w:rsid w:val="00525B33"/>
    <w:rsid w:val="00525B4B"/>
    <w:rsid w:val="00525B7C"/>
    <w:rsid w:val="00525B98"/>
    <w:rsid w:val="00525C53"/>
    <w:rsid w:val="00525C8D"/>
    <w:rsid w:val="00525CC0"/>
    <w:rsid w:val="00525CFF"/>
    <w:rsid w:val="00525D7E"/>
    <w:rsid w:val="00525E55"/>
    <w:rsid w:val="00526014"/>
    <w:rsid w:val="00526081"/>
    <w:rsid w:val="005260A1"/>
    <w:rsid w:val="005260CF"/>
    <w:rsid w:val="005260F4"/>
    <w:rsid w:val="005260FA"/>
    <w:rsid w:val="00526157"/>
    <w:rsid w:val="0052618D"/>
    <w:rsid w:val="00526198"/>
    <w:rsid w:val="00526199"/>
    <w:rsid w:val="00526206"/>
    <w:rsid w:val="00526271"/>
    <w:rsid w:val="0052634B"/>
    <w:rsid w:val="00526370"/>
    <w:rsid w:val="005263B7"/>
    <w:rsid w:val="00526453"/>
    <w:rsid w:val="005264AE"/>
    <w:rsid w:val="00526537"/>
    <w:rsid w:val="00526618"/>
    <w:rsid w:val="00526623"/>
    <w:rsid w:val="00526687"/>
    <w:rsid w:val="005266DB"/>
    <w:rsid w:val="005266EB"/>
    <w:rsid w:val="00526723"/>
    <w:rsid w:val="0052673E"/>
    <w:rsid w:val="00526783"/>
    <w:rsid w:val="005267F7"/>
    <w:rsid w:val="0052681F"/>
    <w:rsid w:val="0052692E"/>
    <w:rsid w:val="00526958"/>
    <w:rsid w:val="00526A0D"/>
    <w:rsid w:val="00526A45"/>
    <w:rsid w:val="00526AFD"/>
    <w:rsid w:val="00526B13"/>
    <w:rsid w:val="00526B1E"/>
    <w:rsid w:val="00526C27"/>
    <w:rsid w:val="00526C94"/>
    <w:rsid w:val="00526CD1"/>
    <w:rsid w:val="00526E4D"/>
    <w:rsid w:val="00526E5B"/>
    <w:rsid w:val="00526EC4"/>
    <w:rsid w:val="00526EF2"/>
    <w:rsid w:val="00526FDB"/>
    <w:rsid w:val="00527462"/>
    <w:rsid w:val="00527538"/>
    <w:rsid w:val="005275EA"/>
    <w:rsid w:val="00527626"/>
    <w:rsid w:val="0052772C"/>
    <w:rsid w:val="00527780"/>
    <w:rsid w:val="005277AD"/>
    <w:rsid w:val="005277BB"/>
    <w:rsid w:val="005277FC"/>
    <w:rsid w:val="005278A5"/>
    <w:rsid w:val="005278AE"/>
    <w:rsid w:val="005278E7"/>
    <w:rsid w:val="005279A1"/>
    <w:rsid w:val="005279DD"/>
    <w:rsid w:val="005279E5"/>
    <w:rsid w:val="00527A32"/>
    <w:rsid w:val="00527B23"/>
    <w:rsid w:val="00527B66"/>
    <w:rsid w:val="00527BA4"/>
    <w:rsid w:val="00527CF4"/>
    <w:rsid w:val="00527D44"/>
    <w:rsid w:val="00527D53"/>
    <w:rsid w:val="00527D5F"/>
    <w:rsid w:val="00527E41"/>
    <w:rsid w:val="00527FCA"/>
    <w:rsid w:val="00530141"/>
    <w:rsid w:val="0053017A"/>
    <w:rsid w:val="00530238"/>
    <w:rsid w:val="0053030E"/>
    <w:rsid w:val="00530366"/>
    <w:rsid w:val="005305B6"/>
    <w:rsid w:val="005306D1"/>
    <w:rsid w:val="0053072E"/>
    <w:rsid w:val="00530743"/>
    <w:rsid w:val="00530744"/>
    <w:rsid w:val="005307B5"/>
    <w:rsid w:val="005307C2"/>
    <w:rsid w:val="005307C4"/>
    <w:rsid w:val="00530832"/>
    <w:rsid w:val="005308CD"/>
    <w:rsid w:val="00530968"/>
    <w:rsid w:val="00530A04"/>
    <w:rsid w:val="00530A9E"/>
    <w:rsid w:val="00530B1F"/>
    <w:rsid w:val="00530B3E"/>
    <w:rsid w:val="00530B62"/>
    <w:rsid w:val="00530B87"/>
    <w:rsid w:val="00530BB1"/>
    <w:rsid w:val="00530C29"/>
    <w:rsid w:val="00530C64"/>
    <w:rsid w:val="00530E6A"/>
    <w:rsid w:val="00530ECB"/>
    <w:rsid w:val="00530F20"/>
    <w:rsid w:val="00530F4F"/>
    <w:rsid w:val="00530FDB"/>
    <w:rsid w:val="00531046"/>
    <w:rsid w:val="005310AD"/>
    <w:rsid w:val="0053114C"/>
    <w:rsid w:val="005311B0"/>
    <w:rsid w:val="0053129C"/>
    <w:rsid w:val="005312BB"/>
    <w:rsid w:val="00531334"/>
    <w:rsid w:val="0053135D"/>
    <w:rsid w:val="00531479"/>
    <w:rsid w:val="00531491"/>
    <w:rsid w:val="005314D6"/>
    <w:rsid w:val="005314E8"/>
    <w:rsid w:val="0053150A"/>
    <w:rsid w:val="0053154A"/>
    <w:rsid w:val="00531577"/>
    <w:rsid w:val="00531651"/>
    <w:rsid w:val="005316FD"/>
    <w:rsid w:val="00531765"/>
    <w:rsid w:val="005317CC"/>
    <w:rsid w:val="005317D2"/>
    <w:rsid w:val="005318E7"/>
    <w:rsid w:val="00531951"/>
    <w:rsid w:val="0053195D"/>
    <w:rsid w:val="005319A3"/>
    <w:rsid w:val="005319E6"/>
    <w:rsid w:val="00531AA3"/>
    <w:rsid w:val="00531ABF"/>
    <w:rsid w:val="00531AD0"/>
    <w:rsid w:val="00531B64"/>
    <w:rsid w:val="00531BCE"/>
    <w:rsid w:val="00531C06"/>
    <w:rsid w:val="00531C70"/>
    <w:rsid w:val="00531C77"/>
    <w:rsid w:val="00531C8D"/>
    <w:rsid w:val="00531C93"/>
    <w:rsid w:val="00531CC6"/>
    <w:rsid w:val="00531D41"/>
    <w:rsid w:val="00531E32"/>
    <w:rsid w:val="00531EBF"/>
    <w:rsid w:val="00531F37"/>
    <w:rsid w:val="00531F5E"/>
    <w:rsid w:val="00532070"/>
    <w:rsid w:val="005320A6"/>
    <w:rsid w:val="005320BD"/>
    <w:rsid w:val="00532117"/>
    <w:rsid w:val="005321D0"/>
    <w:rsid w:val="0053220D"/>
    <w:rsid w:val="00532259"/>
    <w:rsid w:val="005323D7"/>
    <w:rsid w:val="00532451"/>
    <w:rsid w:val="00532523"/>
    <w:rsid w:val="005325AB"/>
    <w:rsid w:val="005325CF"/>
    <w:rsid w:val="0053260E"/>
    <w:rsid w:val="005326CB"/>
    <w:rsid w:val="00532780"/>
    <w:rsid w:val="005327A0"/>
    <w:rsid w:val="005327D0"/>
    <w:rsid w:val="00532826"/>
    <w:rsid w:val="0053284D"/>
    <w:rsid w:val="0053289D"/>
    <w:rsid w:val="005328E5"/>
    <w:rsid w:val="00532952"/>
    <w:rsid w:val="0053297A"/>
    <w:rsid w:val="005329A3"/>
    <w:rsid w:val="00532A5D"/>
    <w:rsid w:val="00532B51"/>
    <w:rsid w:val="00532B95"/>
    <w:rsid w:val="00532B9E"/>
    <w:rsid w:val="00532BC6"/>
    <w:rsid w:val="00532C8C"/>
    <w:rsid w:val="00532C9D"/>
    <w:rsid w:val="00532CE6"/>
    <w:rsid w:val="00532DDB"/>
    <w:rsid w:val="00532DEF"/>
    <w:rsid w:val="00532E20"/>
    <w:rsid w:val="00532E25"/>
    <w:rsid w:val="00532E76"/>
    <w:rsid w:val="00532EA1"/>
    <w:rsid w:val="00532FDB"/>
    <w:rsid w:val="00533061"/>
    <w:rsid w:val="00533166"/>
    <w:rsid w:val="00533262"/>
    <w:rsid w:val="00533299"/>
    <w:rsid w:val="005332CB"/>
    <w:rsid w:val="005332D5"/>
    <w:rsid w:val="0053330F"/>
    <w:rsid w:val="0053333B"/>
    <w:rsid w:val="00533496"/>
    <w:rsid w:val="005335FB"/>
    <w:rsid w:val="00533605"/>
    <w:rsid w:val="0053362B"/>
    <w:rsid w:val="0053365E"/>
    <w:rsid w:val="00533685"/>
    <w:rsid w:val="00533716"/>
    <w:rsid w:val="00533762"/>
    <w:rsid w:val="00533829"/>
    <w:rsid w:val="00533833"/>
    <w:rsid w:val="0053396D"/>
    <w:rsid w:val="0053397B"/>
    <w:rsid w:val="00533A07"/>
    <w:rsid w:val="00533A7A"/>
    <w:rsid w:val="00533AEB"/>
    <w:rsid w:val="00533B19"/>
    <w:rsid w:val="00533B98"/>
    <w:rsid w:val="00533BB9"/>
    <w:rsid w:val="00533C31"/>
    <w:rsid w:val="00533D94"/>
    <w:rsid w:val="00533DC1"/>
    <w:rsid w:val="00533E2E"/>
    <w:rsid w:val="00533EAB"/>
    <w:rsid w:val="00533FAE"/>
    <w:rsid w:val="00533FB2"/>
    <w:rsid w:val="00533FBD"/>
    <w:rsid w:val="0053400D"/>
    <w:rsid w:val="00534084"/>
    <w:rsid w:val="005340AA"/>
    <w:rsid w:val="0053413C"/>
    <w:rsid w:val="00534176"/>
    <w:rsid w:val="0053417B"/>
    <w:rsid w:val="0053418D"/>
    <w:rsid w:val="00534266"/>
    <w:rsid w:val="0053436B"/>
    <w:rsid w:val="00534395"/>
    <w:rsid w:val="005343C0"/>
    <w:rsid w:val="005343D6"/>
    <w:rsid w:val="00534400"/>
    <w:rsid w:val="00534455"/>
    <w:rsid w:val="00534482"/>
    <w:rsid w:val="005344A5"/>
    <w:rsid w:val="005345CC"/>
    <w:rsid w:val="00534648"/>
    <w:rsid w:val="0053469A"/>
    <w:rsid w:val="00534767"/>
    <w:rsid w:val="0053477C"/>
    <w:rsid w:val="0053479C"/>
    <w:rsid w:val="005347E7"/>
    <w:rsid w:val="0053498B"/>
    <w:rsid w:val="005349F2"/>
    <w:rsid w:val="00534A63"/>
    <w:rsid w:val="00534AA1"/>
    <w:rsid w:val="00534B3D"/>
    <w:rsid w:val="00534BF6"/>
    <w:rsid w:val="00534C5B"/>
    <w:rsid w:val="00534CC2"/>
    <w:rsid w:val="00534D6A"/>
    <w:rsid w:val="00534DD5"/>
    <w:rsid w:val="00534DDC"/>
    <w:rsid w:val="00534DEF"/>
    <w:rsid w:val="00534E93"/>
    <w:rsid w:val="00534EB3"/>
    <w:rsid w:val="00534EF0"/>
    <w:rsid w:val="00534F8A"/>
    <w:rsid w:val="00535008"/>
    <w:rsid w:val="005350EA"/>
    <w:rsid w:val="005350EF"/>
    <w:rsid w:val="005350F4"/>
    <w:rsid w:val="0053519B"/>
    <w:rsid w:val="005351CC"/>
    <w:rsid w:val="005351D8"/>
    <w:rsid w:val="00535244"/>
    <w:rsid w:val="00535321"/>
    <w:rsid w:val="005353C7"/>
    <w:rsid w:val="00535493"/>
    <w:rsid w:val="005355F1"/>
    <w:rsid w:val="00535635"/>
    <w:rsid w:val="0053572B"/>
    <w:rsid w:val="005357BD"/>
    <w:rsid w:val="005357FE"/>
    <w:rsid w:val="00535851"/>
    <w:rsid w:val="00535898"/>
    <w:rsid w:val="005358B9"/>
    <w:rsid w:val="005358D5"/>
    <w:rsid w:val="0053590E"/>
    <w:rsid w:val="005359BF"/>
    <w:rsid w:val="00535AE2"/>
    <w:rsid w:val="00535B36"/>
    <w:rsid w:val="00535B7F"/>
    <w:rsid w:val="00535BBA"/>
    <w:rsid w:val="00535D2B"/>
    <w:rsid w:val="00535D48"/>
    <w:rsid w:val="00535DA3"/>
    <w:rsid w:val="00535DC5"/>
    <w:rsid w:val="00535EE7"/>
    <w:rsid w:val="00535F47"/>
    <w:rsid w:val="00535FAD"/>
    <w:rsid w:val="00535FE0"/>
    <w:rsid w:val="00535FF3"/>
    <w:rsid w:val="00536060"/>
    <w:rsid w:val="0053609E"/>
    <w:rsid w:val="005360CB"/>
    <w:rsid w:val="0053620E"/>
    <w:rsid w:val="00536219"/>
    <w:rsid w:val="00536285"/>
    <w:rsid w:val="00536387"/>
    <w:rsid w:val="005363AE"/>
    <w:rsid w:val="005363FD"/>
    <w:rsid w:val="00536557"/>
    <w:rsid w:val="00536568"/>
    <w:rsid w:val="00536593"/>
    <w:rsid w:val="005366BD"/>
    <w:rsid w:val="005366F3"/>
    <w:rsid w:val="00536724"/>
    <w:rsid w:val="00536757"/>
    <w:rsid w:val="005367DA"/>
    <w:rsid w:val="00536895"/>
    <w:rsid w:val="0053690E"/>
    <w:rsid w:val="00536956"/>
    <w:rsid w:val="0053696C"/>
    <w:rsid w:val="005369D6"/>
    <w:rsid w:val="00536A35"/>
    <w:rsid w:val="00536AE4"/>
    <w:rsid w:val="00536C6B"/>
    <w:rsid w:val="00536D93"/>
    <w:rsid w:val="00536DF4"/>
    <w:rsid w:val="00536E32"/>
    <w:rsid w:val="00536F3F"/>
    <w:rsid w:val="00536F98"/>
    <w:rsid w:val="00536FFE"/>
    <w:rsid w:val="005370AC"/>
    <w:rsid w:val="00537203"/>
    <w:rsid w:val="0053729E"/>
    <w:rsid w:val="005372C1"/>
    <w:rsid w:val="005372C6"/>
    <w:rsid w:val="005373FF"/>
    <w:rsid w:val="0053741D"/>
    <w:rsid w:val="00537460"/>
    <w:rsid w:val="005374BE"/>
    <w:rsid w:val="00537614"/>
    <w:rsid w:val="00537695"/>
    <w:rsid w:val="00537765"/>
    <w:rsid w:val="005377AF"/>
    <w:rsid w:val="00537832"/>
    <w:rsid w:val="00537862"/>
    <w:rsid w:val="005378E7"/>
    <w:rsid w:val="005378F1"/>
    <w:rsid w:val="00537A47"/>
    <w:rsid w:val="00537A6C"/>
    <w:rsid w:val="00537AB7"/>
    <w:rsid w:val="00537ACC"/>
    <w:rsid w:val="00537ACD"/>
    <w:rsid w:val="00537AD7"/>
    <w:rsid w:val="00537B67"/>
    <w:rsid w:val="00537B71"/>
    <w:rsid w:val="00537C0B"/>
    <w:rsid w:val="00537D15"/>
    <w:rsid w:val="00537D36"/>
    <w:rsid w:val="00537D79"/>
    <w:rsid w:val="00537D8A"/>
    <w:rsid w:val="00537DB9"/>
    <w:rsid w:val="00537E50"/>
    <w:rsid w:val="00537EC9"/>
    <w:rsid w:val="00537F6A"/>
    <w:rsid w:val="00537FEA"/>
    <w:rsid w:val="00540026"/>
    <w:rsid w:val="0054003A"/>
    <w:rsid w:val="005400B9"/>
    <w:rsid w:val="005400C9"/>
    <w:rsid w:val="00540262"/>
    <w:rsid w:val="00540271"/>
    <w:rsid w:val="00540278"/>
    <w:rsid w:val="005402EE"/>
    <w:rsid w:val="00540308"/>
    <w:rsid w:val="00540369"/>
    <w:rsid w:val="00540379"/>
    <w:rsid w:val="005403A5"/>
    <w:rsid w:val="005403B6"/>
    <w:rsid w:val="00540401"/>
    <w:rsid w:val="0054042C"/>
    <w:rsid w:val="0054046B"/>
    <w:rsid w:val="00540560"/>
    <w:rsid w:val="005405C9"/>
    <w:rsid w:val="0054063F"/>
    <w:rsid w:val="00540641"/>
    <w:rsid w:val="00540670"/>
    <w:rsid w:val="0054073E"/>
    <w:rsid w:val="005407BB"/>
    <w:rsid w:val="005409F5"/>
    <w:rsid w:val="00540A35"/>
    <w:rsid w:val="00540AB0"/>
    <w:rsid w:val="00540B9D"/>
    <w:rsid w:val="00540C19"/>
    <w:rsid w:val="00540C21"/>
    <w:rsid w:val="00540CBB"/>
    <w:rsid w:val="00540CED"/>
    <w:rsid w:val="00540DEE"/>
    <w:rsid w:val="00540E32"/>
    <w:rsid w:val="00540E71"/>
    <w:rsid w:val="00541089"/>
    <w:rsid w:val="0054117C"/>
    <w:rsid w:val="00541186"/>
    <w:rsid w:val="0054123F"/>
    <w:rsid w:val="005412CA"/>
    <w:rsid w:val="00541362"/>
    <w:rsid w:val="0054136C"/>
    <w:rsid w:val="005413B9"/>
    <w:rsid w:val="0054142F"/>
    <w:rsid w:val="00541448"/>
    <w:rsid w:val="00541495"/>
    <w:rsid w:val="00541554"/>
    <w:rsid w:val="0054164C"/>
    <w:rsid w:val="00541673"/>
    <w:rsid w:val="00541749"/>
    <w:rsid w:val="005418A2"/>
    <w:rsid w:val="005418CF"/>
    <w:rsid w:val="005418D0"/>
    <w:rsid w:val="00541904"/>
    <w:rsid w:val="005419F2"/>
    <w:rsid w:val="00541ACF"/>
    <w:rsid w:val="00541AD7"/>
    <w:rsid w:val="00541B04"/>
    <w:rsid w:val="00541B45"/>
    <w:rsid w:val="00541C19"/>
    <w:rsid w:val="00541CA2"/>
    <w:rsid w:val="00541E1F"/>
    <w:rsid w:val="00541E6C"/>
    <w:rsid w:val="00541F4B"/>
    <w:rsid w:val="00541F5B"/>
    <w:rsid w:val="00541F75"/>
    <w:rsid w:val="00541F8A"/>
    <w:rsid w:val="0054200D"/>
    <w:rsid w:val="0054200F"/>
    <w:rsid w:val="0054203C"/>
    <w:rsid w:val="005420A1"/>
    <w:rsid w:val="0054216B"/>
    <w:rsid w:val="005421C8"/>
    <w:rsid w:val="0054224C"/>
    <w:rsid w:val="005422AA"/>
    <w:rsid w:val="00542372"/>
    <w:rsid w:val="005423BF"/>
    <w:rsid w:val="00542418"/>
    <w:rsid w:val="0054242A"/>
    <w:rsid w:val="00542430"/>
    <w:rsid w:val="00542459"/>
    <w:rsid w:val="00542463"/>
    <w:rsid w:val="00542486"/>
    <w:rsid w:val="005424AA"/>
    <w:rsid w:val="00542500"/>
    <w:rsid w:val="0054258E"/>
    <w:rsid w:val="00542655"/>
    <w:rsid w:val="00542728"/>
    <w:rsid w:val="005427CD"/>
    <w:rsid w:val="005429C4"/>
    <w:rsid w:val="00542A41"/>
    <w:rsid w:val="00542AA8"/>
    <w:rsid w:val="00542AC6"/>
    <w:rsid w:val="00542B78"/>
    <w:rsid w:val="00542BE8"/>
    <w:rsid w:val="00542CC8"/>
    <w:rsid w:val="00542CCB"/>
    <w:rsid w:val="00542DD2"/>
    <w:rsid w:val="00542EAC"/>
    <w:rsid w:val="00542F64"/>
    <w:rsid w:val="00542FAB"/>
    <w:rsid w:val="00542FC2"/>
    <w:rsid w:val="00542FDF"/>
    <w:rsid w:val="0054304D"/>
    <w:rsid w:val="00543121"/>
    <w:rsid w:val="00543137"/>
    <w:rsid w:val="0054314E"/>
    <w:rsid w:val="00543188"/>
    <w:rsid w:val="00543220"/>
    <w:rsid w:val="0054323F"/>
    <w:rsid w:val="00543387"/>
    <w:rsid w:val="00543495"/>
    <w:rsid w:val="005434A0"/>
    <w:rsid w:val="00543502"/>
    <w:rsid w:val="00543503"/>
    <w:rsid w:val="00543541"/>
    <w:rsid w:val="005435A9"/>
    <w:rsid w:val="005435F3"/>
    <w:rsid w:val="00543652"/>
    <w:rsid w:val="005436A7"/>
    <w:rsid w:val="005436B2"/>
    <w:rsid w:val="005436FA"/>
    <w:rsid w:val="0054371E"/>
    <w:rsid w:val="00543747"/>
    <w:rsid w:val="0054377B"/>
    <w:rsid w:val="0054378C"/>
    <w:rsid w:val="005437C4"/>
    <w:rsid w:val="005438ED"/>
    <w:rsid w:val="0054390F"/>
    <w:rsid w:val="00543974"/>
    <w:rsid w:val="00543986"/>
    <w:rsid w:val="00543AEC"/>
    <w:rsid w:val="00543B01"/>
    <w:rsid w:val="00543B5F"/>
    <w:rsid w:val="00543B79"/>
    <w:rsid w:val="00543B9B"/>
    <w:rsid w:val="00543C16"/>
    <w:rsid w:val="00543CC0"/>
    <w:rsid w:val="00543CEE"/>
    <w:rsid w:val="00543E3A"/>
    <w:rsid w:val="00543E41"/>
    <w:rsid w:val="00543E73"/>
    <w:rsid w:val="00543F13"/>
    <w:rsid w:val="00543F21"/>
    <w:rsid w:val="00543F34"/>
    <w:rsid w:val="0054403B"/>
    <w:rsid w:val="0054405B"/>
    <w:rsid w:val="005440EA"/>
    <w:rsid w:val="005440FF"/>
    <w:rsid w:val="00544111"/>
    <w:rsid w:val="0054419C"/>
    <w:rsid w:val="00544244"/>
    <w:rsid w:val="00544263"/>
    <w:rsid w:val="00544279"/>
    <w:rsid w:val="005442A2"/>
    <w:rsid w:val="005442AB"/>
    <w:rsid w:val="005442E1"/>
    <w:rsid w:val="00544319"/>
    <w:rsid w:val="00544334"/>
    <w:rsid w:val="0054433B"/>
    <w:rsid w:val="00544351"/>
    <w:rsid w:val="005443D1"/>
    <w:rsid w:val="00544437"/>
    <w:rsid w:val="005445DE"/>
    <w:rsid w:val="00544621"/>
    <w:rsid w:val="0054475B"/>
    <w:rsid w:val="005447BF"/>
    <w:rsid w:val="0054480D"/>
    <w:rsid w:val="0054486E"/>
    <w:rsid w:val="005448D0"/>
    <w:rsid w:val="005448D5"/>
    <w:rsid w:val="005448EC"/>
    <w:rsid w:val="00544918"/>
    <w:rsid w:val="0054495A"/>
    <w:rsid w:val="00544AA6"/>
    <w:rsid w:val="00544B9F"/>
    <w:rsid w:val="00544BF3"/>
    <w:rsid w:val="00544C3A"/>
    <w:rsid w:val="00544C47"/>
    <w:rsid w:val="00544C68"/>
    <w:rsid w:val="00544C8D"/>
    <w:rsid w:val="00544CB6"/>
    <w:rsid w:val="00544E42"/>
    <w:rsid w:val="00544E78"/>
    <w:rsid w:val="00544E8F"/>
    <w:rsid w:val="00544F7E"/>
    <w:rsid w:val="00544FA2"/>
    <w:rsid w:val="00544FA5"/>
    <w:rsid w:val="0054500A"/>
    <w:rsid w:val="005450B8"/>
    <w:rsid w:val="005450D8"/>
    <w:rsid w:val="005450E6"/>
    <w:rsid w:val="00545173"/>
    <w:rsid w:val="00545188"/>
    <w:rsid w:val="005451B6"/>
    <w:rsid w:val="005451E8"/>
    <w:rsid w:val="00545225"/>
    <w:rsid w:val="00545233"/>
    <w:rsid w:val="0054523F"/>
    <w:rsid w:val="0054524F"/>
    <w:rsid w:val="005453AA"/>
    <w:rsid w:val="005453F6"/>
    <w:rsid w:val="0054542F"/>
    <w:rsid w:val="00545474"/>
    <w:rsid w:val="005454C3"/>
    <w:rsid w:val="00545540"/>
    <w:rsid w:val="005456EC"/>
    <w:rsid w:val="005456FB"/>
    <w:rsid w:val="00545710"/>
    <w:rsid w:val="0054572C"/>
    <w:rsid w:val="00545794"/>
    <w:rsid w:val="005457BE"/>
    <w:rsid w:val="005457E3"/>
    <w:rsid w:val="00545865"/>
    <w:rsid w:val="005458B9"/>
    <w:rsid w:val="005458BF"/>
    <w:rsid w:val="00545946"/>
    <w:rsid w:val="00545976"/>
    <w:rsid w:val="00545978"/>
    <w:rsid w:val="00545A83"/>
    <w:rsid w:val="00545B21"/>
    <w:rsid w:val="00545BBA"/>
    <w:rsid w:val="00545BC3"/>
    <w:rsid w:val="00545BC4"/>
    <w:rsid w:val="00545C05"/>
    <w:rsid w:val="00545C87"/>
    <w:rsid w:val="00545D3A"/>
    <w:rsid w:val="00545DB4"/>
    <w:rsid w:val="00545E3F"/>
    <w:rsid w:val="00545EFB"/>
    <w:rsid w:val="00545F3C"/>
    <w:rsid w:val="00545F50"/>
    <w:rsid w:val="00545F59"/>
    <w:rsid w:val="00545FD1"/>
    <w:rsid w:val="0054603E"/>
    <w:rsid w:val="00546040"/>
    <w:rsid w:val="0054621B"/>
    <w:rsid w:val="0054622C"/>
    <w:rsid w:val="00546253"/>
    <w:rsid w:val="0054626D"/>
    <w:rsid w:val="00546350"/>
    <w:rsid w:val="005463B0"/>
    <w:rsid w:val="00546441"/>
    <w:rsid w:val="0054645A"/>
    <w:rsid w:val="005464EF"/>
    <w:rsid w:val="00546552"/>
    <w:rsid w:val="00546613"/>
    <w:rsid w:val="005466DA"/>
    <w:rsid w:val="00546729"/>
    <w:rsid w:val="005467C2"/>
    <w:rsid w:val="00546817"/>
    <w:rsid w:val="0054686B"/>
    <w:rsid w:val="0054686C"/>
    <w:rsid w:val="005468A9"/>
    <w:rsid w:val="005468DB"/>
    <w:rsid w:val="005468EE"/>
    <w:rsid w:val="00546A31"/>
    <w:rsid w:val="00546A7C"/>
    <w:rsid w:val="00546CEC"/>
    <w:rsid w:val="00546E31"/>
    <w:rsid w:val="00546EC8"/>
    <w:rsid w:val="00546F1A"/>
    <w:rsid w:val="00546F54"/>
    <w:rsid w:val="0054700B"/>
    <w:rsid w:val="0054709F"/>
    <w:rsid w:val="005470BF"/>
    <w:rsid w:val="005470E8"/>
    <w:rsid w:val="00547122"/>
    <w:rsid w:val="00547139"/>
    <w:rsid w:val="005471CA"/>
    <w:rsid w:val="005471F8"/>
    <w:rsid w:val="0054723C"/>
    <w:rsid w:val="00547292"/>
    <w:rsid w:val="00547302"/>
    <w:rsid w:val="005474D7"/>
    <w:rsid w:val="00547528"/>
    <w:rsid w:val="005475A4"/>
    <w:rsid w:val="0054760F"/>
    <w:rsid w:val="0054766F"/>
    <w:rsid w:val="005476D6"/>
    <w:rsid w:val="00547733"/>
    <w:rsid w:val="005477A0"/>
    <w:rsid w:val="005477CB"/>
    <w:rsid w:val="005477F0"/>
    <w:rsid w:val="00547840"/>
    <w:rsid w:val="00547877"/>
    <w:rsid w:val="005478BB"/>
    <w:rsid w:val="00547932"/>
    <w:rsid w:val="00547933"/>
    <w:rsid w:val="0054799E"/>
    <w:rsid w:val="005479A1"/>
    <w:rsid w:val="00547A40"/>
    <w:rsid w:val="00547C29"/>
    <w:rsid w:val="00547C32"/>
    <w:rsid w:val="00547C4C"/>
    <w:rsid w:val="00547D13"/>
    <w:rsid w:val="00547D62"/>
    <w:rsid w:val="00547D82"/>
    <w:rsid w:val="00547DAD"/>
    <w:rsid w:val="00547DF5"/>
    <w:rsid w:val="00547E5C"/>
    <w:rsid w:val="00547EDA"/>
    <w:rsid w:val="00547F42"/>
    <w:rsid w:val="00547FA7"/>
    <w:rsid w:val="00547FAA"/>
    <w:rsid w:val="00550029"/>
    <w:rsid w:val="0055003B"/>
    <w:rsid w:val="0055004A"/>
    <w:rsid w:val="0055005C"/>
    <w:rsid w:val="00550123"/>
    <w:rsid w:val="00550129"/>
    <w:rsid w:val="005502D0"/>
    <w:rsid w:val="00550321"/>
    <w:rsid w:val="005503C7"/>
    <w:rsid w:val="00550420"/>
    <w:rsid w:val="0055048F"/>
    <w:rsid w:val="005505A8"/>
    <w:rsid w:val="005505D1"/>
    <w:rsid w:val="005505D9"/>
    <w:rsid w:val="00550635"/>
    <w:rsid w:val="0055069E"/>
    <w:rsid w:val="005506DA"/>
    <w:rsid w:val="00550722"/>
    <w:rsid w:val="00550746"/>
    <w:rsid w:val="0055074B"/>
    <w:rsid w:val="00550847"/>
    <w:rsid w:val="005508B5"/>
    <w:rsid w:val="005509FC"/>
    <w:rsid w:val="00550A1A"/>
    <w:rsid w:val="00550A50"/>
    <w:rsid w:val="00550AE6"/>
    <w:rsid w:val="00550C39"/>
    <w:rsid w:val="00550CB1"/>
    <w:rsid w:val="00550D30"/>
    <w:rsid w:val="00550DC2"/>
    <w:rsid w:val="00550E31"/>
    <w:rsid w:val="00550E50"/>
    <w:rsid w:val="00550FDF"/>
    <w:rsid w:val="0055106B"/>
    <w:rsid w:val="005510B7"/>
    <w:rsid w:val="0055112D"/>
    <w:rsid w:val="005511A2"/>
    <w:rsid w:val="0055130B"/>
    <w:rsid w:val="005513F7"/>
    <w:rsid w:val="0055141F"/>
    <w:rsid w:val="005514A1"/>
    <w:rsid w:val="0055155B"/>
    <w:rsid w:val="00551581"/>
    <w:rsid w:val="005515E0"/>
    <w:rsid w:val="00551668"/>
    <w:rsid w:val="0055167F"/>
    <w:rsid w:val="00551686"/>
    <w:rsid w:val="005517D9"/>
    <w:rsid w:val="0055180F"/>
    <w:rsid w:val="005518B7"/>
    <w:rsid w:val="0055197D"/>
    <w:rsid w:val="0055197F"/>
    <w:rsid w:val="005519F4"/>
    <w:rsid w:val="005519F5"/>
    <w:rsid w:val="00551B2F"/>
    <w:rsid w:val="00551B33"/>
    <w:rsid w:val="00551B49"/>
    <w:rsid w:val="00551CC1"/>
    <w:rsid w:val="00551CDF"/>
    <w:rsid w:val="00551E10"/>
    <w:rsid w:val="00551E18"/>
    <w:rsid w:val="00551EFA"/>
    <w:rsid w:val="00551F4A"/>
    <w:rsid w:val="00551F69"/>
    <w:rsid w:val="00552041"/>
    <w:rsid w:val="00552091"/>
    <w:rsid w:val="00552120"/>
    <w:rsid w:val="0055213C"/>
    <w:rsid w:val="005521EE"/>
    <w:rsid w:val="00552266"/>
    <w:rsid w:val="00552395"/>
    <w:rsid w:val="00552469"/>
    <w:rsid w:val="0055250C"/>
    <w:rsid w:val="0055266E"/>
    <w:rsid w:val="0055267B"/>
    <w:rsid w:val="005526B7"/>
    <w:rsid w:val="00552755"/>
    <w:rsid w:val="005527E3"/>
    <w:rsid w:val="0055287B"/>
    <w:rsid w:val="00552B75"/>
    <w:rsid w:val="00552D26"/>
    <w:rsid w:val="00552D49"/>
    <w:rsid w:val="00552DC1"/>
    <w:rsid w:val="00552E34"/>
    <w:rsid w:val="00552EB7"/>
    <w:rsid w:val="00552F59"/>
    <w:rsid w:val="005530D8"/>
    <w:rsid w:val="005530E5"/>
    <w:rsid w:val="005530ED"/>
    <w:rsid w:val="00553102"/>
    <w:rsid w:val="005532CA"/>
    <w:rsid w:val="0055348B"/>
    <w:rsid w:val="00553494"/>
    <w:rsid w:val="005534A8"/>
    <w:rsid w:val="00553528"/>
    <w:rsid w:val="00553530"/>
    <w:rsid w:val="0055362B"/>
    <w:rsid w:val="0055365E"/>
    <w:rsid w:val="00553664"/>
    <w:rsid w:val="00553760"/>
    <w:rsid w:val="00553832"/>
    <w:rsid w:val="005538CC"/>
    <w:rsid w:val="005538DF"/>
    <w:rsid w:val="005538FE"/>
    <w:rsid w:val="00553904"/>
    <w:rsid w:val="00553941"/>
    <w:rsid w:val="005539B4"/>
    <w:rsid w:val="005539C6"/>
    <w:rsid w:val="00553A18"/>
    <w:rsid w:val="00553A60"/>
    <w:rsid w:val="00553A69"/>
    <w:rsid w:val="00553B32"/>
    <w:rsid w:val="00553B38"/>
    <w:rsid w:val="00553B7A"/>
    <w:rsid w:val="00553B89"/>
    <w:rsid w:val="00553C44"/>
    <w:rsid w:val="00553C6F"/>
    <w:rsid w:val="00553C85"/>
    <w:rsid w:val="00553CBA"/>
    <w:rsid w:val="00553D77"/>
    <w:rsid w:val="00553DAB"/>
    <w:rsid w:val="00553E56"/>
    <w:rsid w:val="00553E67"/>
    <w:rsid w:val="00553E8C"/>
    <w:rsid w:val="00553EB8"/>
    <w:rsid w:val="00553F53"/>
    <w:rsid w:val="00553F95"/>
    <w:rsid w:val="00553FA4"/>
    <w:rsid w:val="00553FD4"/>
    <w:rsid w:val="005540B3"/>
    <w:rsid w:val="005540BC"/>
    <w:rsid w:val="0055411D"/>
    <w:rsid w:val="0055422B"/>
    <w:rsid w:val="0055424F"/>
    <w:rsid w:val="005542AA"/>
    <w:rsid w:val="00554335"/>
    <w:rsid w:val="00554366"/>
    <w:rsid w:val="00554428"/>
    <w:rsid w:val="00554572"/>
    <w:rsid w:val="00554586"/>
    <w:rsid w:val="005545DD"/>
    <w:rsid w:val="005545EF"/>
    <w:rsid w:val="0055468C"/>
    <w:rsid w:val="005546B2"/>
    <w:rsid w:val="005546B4"/>
    <w:rsid w:val="005546BE"/>
    <w:rsid w:val="005546FD"/>
    <w:rsid w:val="0055475E"/>
    <w:rsid w:val="005547D4"/>
    <w:rsid w:val="005547D6"/>
    <w:rsid w:val="00554869"/>
    <w:rsid w:val="005548A6"/>
    <w:rsid w:val="00554AC0"/>
    <w:rsid w:val="00554ADE"/>
    <w:rsid w:val="00554B34"/>
    <w:rsid w:val="00554B46"/>
    <w:rsid w:val="00554B4B"/>
    <w:rsid w:val="00554CB3"/>
    <w:rsid w:val="00554CE2"/>
    <w:rsid w:val="00554DBF"/>
    <w:rsid w:val="00554DCF"/>
    <w:rsid w:val="00554E30"/>
    <w:rsid w:val="00554EFE"/>
    <w:rsid w:val="00554F1C"/>
    <w:rsid w:val="00554F46"/>
    <w:rsid w:val="00554F96"/>
    <w:rsid w:val="00555067"/>
    <w:rsid w:val="00555097"/>
    <w:rsid w:val="00555116"/>
    <w:rsid w:val="0055513D"/>
    <w:rsid w:val="00555193"/>
    <w:rsid w:val="0055519A"/>
    <w:rsid w:val="005551A3"/>
    <w:rsid w:val="005551DC"/>
    <w:rsid w:val="005551E3"/>
    <w:rsid w:val="00555255"/>
    <w:rsid w:val="0055525B"/>
    <w:rsid w:val="0055544D"/>
    <w:rsid w:val="00555477"/>
    <w:rsid w:val="005554F3"/>
    <w:rsid w:val="00555545"/>
    <w:rsid w:val="005555DE"/>
    <w:rsid w:val="005555E3"/>
    <w:rsid w:val="0055561E"/>
    <w:rsid w:val="005556A8"/>
    <w:rsid w:val="005556FB"/>
    <w:rsid w:val="00555720"/>
    <w:rsid w:val="0055575D"/>
    <w:rsid w:val="00555792"/>
    <w:rsid w:val="005557A6"/>
    <w:rsid w:val="00555816"/>
    <w:rsid w:val="0055583C"/>
    <w:rsid w:val="0055585A"/>
    <w:rsid w:val="00555874"/>
    <w:rsid w:val="005558E8"/>
    <w:rsid w:val="0055599E"/>
    <w:rsid w:val="00555A42"/>
    <w:rsid w:val="00555A5C"/>
    <w:rsid w:val="00555A75"/>
    <w:rsid w:val="00555ABA"/>
    <w:rsid w:val="00555B59"/>
    <w:rsid w:val="00555C8E"/>
    <w:rsid w:val="00555CF2"/>
    <w:rsid w:val="00555D3A"/>
    <w:rsid w:val="00555DB8"/>
    <w:rsid w:val="00555F5D"/>
    <w:rsid w:val="00555F85"/>
    <w:rsid w:val="00555F8E"/>
    <w:rsid w:val="00555FCE"/>
    <w:rsid w:val="00556016"/>
    <w:rsid w:val="00556030"/>
    <w:rsid w:val="0055607F"/>
    <w:rsid w:val="005560D8"/>
    <w:rsid w:val="00556125"/>
    <w:rsid w:val="00556172"/>
    <w:rsid w:val="0055623F"/>
    <w:rsid w:val="005562FE"/>
    <w:rsid w:val="0055636A"/>
    <w:rsid w:val="00556551"/>
    <w:rsid w:val="005565B4"/>
    <w:rsid w:val="005565C4"/>
    <w:rsid w:val="005565F5"/>
    <w:rsid w:val="005566F7"/>
    <w:rsid w:val="005566FA"/>
    <w:rsid w:val="00556741"/>
    <w:rsid w:val="005567F8"/>
    <w:rsid w:val="00556849"/>
    <w:rsid w:val="00556859"/>
    <w:rsid w:val="00556941"/>
    <w:rsid w:val="0055696C"/>
    <w:rsid w:val="005569A6"/>
    <w:rsid w:val="00556AA2"/>
    <w:rsid w:val="00556AC3"/>
    <w:rsid w:val="00556B4D"/>
    <w:rsid w:val="00556BBE"/>
    <w:rsid w:val="00556BCD"/>
    <w:rsid w:val="00556C72"/>
    <w:rsid w:val="00556D36"/>
    <w:rsid w:val="00556D97"/>
    <w:rsid w:val="00556E92"/>
    <w:rsid w:val="00556EA3"/>
    <w:rsid w:val="00556EE4"/>
    <w:rsid w:val="00556F04"/>
    <w:rsid w:val="00556F23"/>
    <w:rsid w:val="00556F81"/>
    <w:rsid w:val="00556F9E"/>
    <w:rsid w:val="00557057"/>
    <w:rsid w:val="00557060"/>
    <w:rsid w:val="005570EF"/>
    <w:rsid w:val="00557180"/>
    <w:rsid w:val="0055720F"/>
    <w:rsid w:val="0055721F"/>
    <w:rsid w:val="0055728A"/>
    <w:rsid w:val="005572AA"/>
    <w:rsid w:val="005572C8"/>
    <w:rsid w:val="00557309"/>
    <w:rsid w:val="0055732F"/>
    <w:rsid w:val="00557449"/>
    <w:rsid w:val="0055747D"/>
    <w:rsid w:val="005574A1"/>
    <w:rsid w:val="0055751B"/>
    <w:rsid w:val="00557542"/>
    <w:rsid w:val="0055759A"/>
    <w:rsid w:val="00557668"/>
    <w:rsid w:val="00557674"/>
    <w:rsid w:val="005576D3"/>
    <w:rsid w:val="005576FF"/>
    <w:rsid w:val="0055773F"/>
    <w:rsid w:val="00557763"/>
    <w:rsid w:val="005577D7"/>
    <w:rsid w:val="00557A1D"/>
    <w:rsid w:val="00557A65"/>
    <w:rsid w:val="00557A80"/>
    <w:rsid w:val="00557ADC"/>
    <w:rsid w:val="00557B41"/>
    <w:rsid w:val="00557B48"/>
    <w:rsid w:val="00557B9A"/>
    <w:rsid w:val="00557C2E"/>
    <w:rsid w:val="00557C4E"/>
    <w:rsid w:val="00557CFE"/>
    <w:rsid w:val="00557E4D"/>
    <w:rsid w:val="00557E74"/>
    <w:rsid w:val="00557F9E"/>
    <w:rsid w:val="00557FA0"/>
    <w:rsid w:val="00560015"/>
    <w:rsid w:val="0056001C"/>
    <w:rsid w:val="00560154"/>
    <w:rsid w:val="005601A9"/>
    <w:rsid w:val="005601E1"/>
    <w:rsid w:val="0056029B"/>
    <w:rsid w:val="005602F4"/>
    <w:rsid w:val="00560476"/>
    <w:rsid w:val="00560478"/>
    <w:rsid w:val="005604A9"/>
    <w:rsid w:val="005604D2"/>
    <w:rsid w:val="0056052A"/>
    <w:rsid w:val="00560542"/>
    <w:rsid w:val="0056066B"/>
    <w:rsid w:val="00560775"/>
    <w:rsid w:val="0056077A"/>
    <w:rsid w:val="00560783"/>
    <w:rsid w:val="0056086A"/>
    <w:rsid w:val="00560896"/>
    <w:rsid w:val="00560921"/>
    <w:rsid w:val="00560A36"/>
    <w:rsid w:val="00560A47"/>
    <w:rsid w:val="00560AC7"/>
    <w:rsid w:val="00560ADD"/>
    <w:rsid w:val="00560B79"/>
    <w:rsid w:val="00560B93"/>
    <w:rsid w:val="00560C6B"/>
    <w:rsid w:val="00560CBA"/>
    <w:rsid w:val="00560CE0"/>
    <w:rsid w:val="00560D3D"/>
    <w:rsid w:val="00560DC0"/>
    <w:rsid w:val="00560E28"/>
    <w:rsid w:val="00560EE6"/>
    <w:rsid w:val="00560EEE"/>
    <w:rsid w:val="00560EFC"/>
    <w:rsid w:val="00560F76"/>
    <w:rsid w:val="00560FAA"/>
    <w:rsid w:val="00560FDC"/>
    <w:rsid w:val="0056102B"/>
    <w:rsid w:val="00561066"/>
    <w:rsid w:val="00561134"/>
    <w:rsid w:val="00561150"/>
    <w:rsid w:val="005611FB"/>
    <w:rsid w:val="0056127E"/>
    <w:rsid w:val="005612E8"/>
    <w:rsid w:val="005612F9"/>
    <w:rsid w:val="0056143B"/>
    <w:rsid w:val="00561490"/>
    <w:rsid w:val="0056149A"/>
    <w:rsid w:val="005615A4"/>
    <w:rsid w:val="00561662"/>
    <w:rsid w:val="005616EE"/>
    <w:rsid w:val="00561759"/>
    <w:rsid w:val="00561789"/>
    <w:rsid w:val="00561798"/>
    <w:rsid w:val="00561860"/>
    <w:rsid w:val="0056187B"/>
    <w:rsid w:val="00561890"/>
    <w:rsid w:val="005618C9"/>
    <w:rsid w:val="00561905"/>
    <w:rsid w:val="0056190A"/>
    <w:rsid w:val="005619E6"/>
    <w:rsid w:val="00561A08"/>
    <w:rsid w:val="00561AA8"/>
    <w:rsid w:val="00561B20"/>
    <w:rsid w:val="00561B8A"/>
    <w:rsid w:val="00561BB1"/>
    <w:rsid w:val="00561BC3"/>
    <w:rsid w:val="00561C8D"/>
    <w:rsid w:val="00561D21"/>
    <w:rsid w:val="00561E1B"/>
    <w:rsid w:val="00561E4D"/>
    <w:rsid w:val="00561EA3"/>
    <w:rsid w:val="00561EFC"/>
    <w:rsid w:val="00561F2E"/>
    <w:rsid w:val="00561F7F"/>
    <w:rsid w:val="00562055"/>
    <w:rsid w:val="0056205F"/>
    <w:rsid w:val="00562061"/>
    <w:rsid w:val="00562090"/>
    <w:rsid w:val="005620CA"/>
    <w:rsid w:val="0056210C"/>
    <w:rsid w:val="00562146"/>
    <w:rsid w:val="0056223A"/>
    <w:rsid w:val="0056224E"/>
    <w:rsid w:val="005622B9"/>
    <w:rsid w:val="0056231D"/>
    <w:rsid w:val="0056232E"/>
    <w:rsid w:val="0056237F"/>
    <w:rsid w:val="00562399"/>
    <w:rsid w:val="005623BE"/>
    <w:rsid w:val="005623CB"/>
    <w:rsid w:val="00562438"/>
    <w:rsid w:val="00562458"/>
    <w:rsid w:val="005624AC"/>
    <w:rsid w:val="005624B3"/>
    <w:rsid w:val="0056258C"/>
    <w:rsid w:val="00562657"/>
    <w:rsid w:val="00562661"/>
    <w:rsid w:val="00562668"/>
    <w:rsid w:val="0056266D"/>
    <w:rsid w:val="00562681"/>
    <w:rsid w:val="005626DE"/>
    <w:rsid w:val="0056277A"/>
    <w:rsid w:val="00562787"/>
    <w:rsid w:val="00562875"/>
    <w:rsid w:val="005628DB"/>
    <w:rsid w:val="00562903"/>
    <w:rsid w:val="0056299E"/>
    <w:rsid w:val="00562A9A"/>
    <w:rsid w:val="00562AA2"/>
    <w:rsid w:val="00562BA0"/>
    <w:rsid w:val="00562C01"/>
    <w:rsid w:val="00562C45"/>
    <w:rsid w:val="00562D49"/>
    <w:rsid w:val="00562DBB"/>
    <w:rsid w:val="00562DC3"/>
    <w:rsid w:val="00562E64"/>
    <w:rsid w:val="00562F39"/>
    <w:rsid w:val="00563117"/>
    <w:rsid w:val="00563176"/>
    <w:rsid w:val="005631A6"/>
    <w:rsid w:val="005632DF"/>
    <w:rsid w:val="005633EC"/>
    <w:rsid w:val="0056348E"/>
    <w:rsid w:val="005635A8"/>
    <w:rsid w:val="005636CF"/>
    <w:rsid w:val="005636D4"/>
    <w:rsid w:val="0056380B"/>
    <w:rsid w:val="005638E1"/>
    <w:rsid w:val="005638FD"/>
    <w:rsid w:val="00563973"/>
    <w:rsid w:val="00563A58"/>
    <w:rsid w:val="00563A74"/>
    <w:rsid w:val="00563B16"/>
    <w:rsid w:val="00563B26"/>
    <w:rsid w:val="00563B3F"/>
    <w:rsid w:val="00563D36"/>
    <w:rsid w:val="00563D97"/>
    <w:rsid w:val="00563EFD"/>
    <w:rsid w:val="0056402F"/>
    <w:rsid w:val="0056410C"/>
    <w:rsid w:val="00564150"/>
    <w:rsid w:val="0056418D"/>
    <w:rsid w:val="005641AC"/>
    <w:rsid w:val="00564266"/>
    <w:rsid w:val="005642D8"/>
    <w:rsid w:val="00564324"/>
    <w:rsid w:val="00564383"/>
    <w:rsid w:val="005643C4"/>
    <w:rsid w:val="005643E9"/>
    <w:rsid w:val="00564403"/>
    <w:rsid w:val="005645B2"/>
    <w:rsid w:val="005645C1"/>
    <w:rsid w:val="005645C7"/>
    <w:rsid w:val="005645F4"/>
    <w:rsid w:val="00564605"/>
    <w:rsid w:val="00564726"/>
    <w:rsid w:val="00564778"/>
    <w:rsid w:val="005647FC"/>
    <w:rsid w:val="005649F9"/>
    <w:rsid w:val="00564A77"/>
    <w:rsid w:val="00564B6A"/>
    <w:rsid w:val="00564B84"/>
    <w:rsid w:val="00564C05"/>
    <w:rsid w:val="00564C19"/>
    <w:rsid w:val="00564C31"/>
    <w:rsid w:val="00564D33"/>
    <w:rsid w:val="00564D6B"/>
    <w:rsid w:val="00564DDE"/>
    <w:rsid w:val="00564E10"/>
    <w:rsid w:val="00564EE4"/>
    <w:rsid w:val="00564F8C"/>
    <w:rsid w:val="00564FE1"/>
    <w:rsid w:val="00565092"/>
    <w:rsid w:val="005650C2"/>
    <w:rsid w:val="00565272"/>
    <w:rsid w:val="005652CD"/>
    <w:rsid w:val="005652D0"/>
    <w:rsid w:val="005652D4"/>
    <w:rsid w:val="00565300"/>
    <w:rsid w:val="0056534C"/>
    <w:rsid w:val="00565360"/>
    <w:rsid w:val="00565364"/>
    <w:rsid w:val="00565382"/>
    <w:rsid w:val="005653F4"/>
    <w:rsid w:val="005654CF"/>
    <w:rsid w:val="005655ED"/>
    <w:rsid w:val="0056560E"/>
    <w:rsid w:val="00565639"/>
    <w:rsid w:val="00565678"/>
    <w:rsid w:val="0056568C"/>
    <w:rsid w:val="005656EE"/>
    <w:rsid w:val="0056574D"/>
    <w:rsid w:val="00565764"/>
    <w:rsid w:val="0056576A"/>
    <w:rsid w:val="005657AC"/>
    <w:rsid w:val="005658A5"/>
    <w:rsid w:val="00565A35"/>
    <w:rsid w:val="00565ABB"/>
    <w:rsid w:val="00565C5F"/>
    <w:rsid w:val="00565CFC"/>
    <w:rsid w:val="00565D12"/>
    <w:rsid w:val="00565DCF"/>
    <w:rsid w:val="00565F03"/>
    <w:rsid w:val="00565F6E"/>
    <w:rsid w:val="00566029"/>
    <w:rsid w:val="00566059"/>
    <w:rsid w:val="005660AD"/>
    <w:rsid w:val="00566149"/>
    <w:rsid w:val="00566161"/>
    <w:rsid w:val="00566191"/>
    <w:rsid w:val="0056620E"/>
    <w:rsid w:val="00566284"/>
    <w:rsid w:val="0056628A"/>
    <w:rsid w:val="00566417"/>
    <w:rsid w:val="00566543"/>
    <w:rsid w:val="0056659B"/>
    <w:rsid w:val="0056665F"/>
    <w:rsid w:val="005666AC"/>
    <w:rsid w:val="00566793"/>
    <w:rsid w:val="005667A4"/>
    <w:rsid w:val="005667B4"/>
    <w:rsid w:val="005667BC"/>
    <w:rsid w:val="0056688B"/>
    <w:rsid w:val="005669B3"/>
    <w:rsid w:val="005669CF"/>
    <w:rsid w:val="00566A06"/>
    <w:rsid w:val="00566A68"/>
    <w:rsid w:val="00566B6F"/>
    <w:rsid w:val="00566B77"/>
    <w:rsid w:val="00566B9F"/>
    <w:rsid w:val="00566C15"/>
    <w:rsid w:val="00566C2E"/>
    <w:rsid w:val="00566C4D"/>
    <w:rsid w:val="00566C5A"/>
    <w:rsid w:val="00566D33"/>
    <w:rsid w:val="00566E1A"/>
    <w:rsid w:val="00566E52"/>
    <w:rsid w:val="00566E7C"/>
    <w:rsid w:val="00566ED0"/>
    <w:rsid w:val="00566F90"/>
    <w:rsid w:val="00566FF4"/>
    <w:rsid w:val="005670E1"/>
    <w:rsid w:val="005670FD"/>
    <w:rsid w:val="00567108"/>
    <w:rsid w:val="0056711E"/>
    <w:rsid w:val="00567149"/>
    <w:rsid w:val="005671BB"/>
    <w:rsid w:val="0056725F"/>
    <w:rsid w:val="0056728C"/>
    <w:rsid w:val="005673B8"/>
    <w:rsid w:val="0056740A"/>
    <w:rsid w:val="00567431"/>
    <w:rsid w:val="00567482"/>
    <w:rsid w:val="005674C4"/>
    <w:rsid w:val="005674DC"/>
    <w:rsid w:val="005674EC"/>
    <w:rsid w:val="00567543"/>
    <w:rsid w:val="00567626"/>
    <w:rsid w:val="00567648"/>
    <w:rsid w:val="0056767B"/>
    <w:rsid w:val="005676C8"/>
    <w:rsid w:val="0056774B"/>
    <w:rsid w:val="005678B6"/>
    <w:rsid w:val="00567948"/>
    <w:rsid w:val="005679FD"/>
    <w:rsid w:val="00567A12"/>
    <w:rsid w:val="00567A3B"/>
    <w:rsid w:val="00567BA7"/>
    <w:rsid w:val="00567BF4"/>
    <w:rsid w:val="00567D16"/>
    <w:rsid w:val="00567D4A"/>
    <w:rsid w:val="00567D4D"/>
    <w:rsid w:val="00567F04"/>
    <w:rsid w:val="00567F3A"/>
    <w:rsid w:val="00567FCC"/>
    <w:rsid w:val="00567FD1"/>
    <w:rsid w:val="00567FE1"/>
    <w:rsid w:val="0056FA52"/>
    <w:rsid w:val="00570049"/>
    <w:rsid w:val="00570080"/>
    <w:rsid w:val="005701D9"/>
    <w:rsid w:val="00570264"/>
    <w:rsid w:val="005702D2"/>
    <w:rsid w:val="00570334"/>
    <w:rsid w:val="00570367"/>
    <w:rsid w:val="005703A3"/>
    <w:rsid w:val="005703D1"/>
    <w:rsid w:val="00570423"/>
    <w:rsid w:val="00570438"/>
    <w:rsid w:val="0057045D"/>
    <w:rsid w:val="00570495"/>
    <w:rsid w:val="005704C6"/>
    <w:rsid w:val="005704FE"/>
    <w:rsid w:val="00570566"/>
    <w:rsid w:val="0057056C"/>
    <w:rsid w:val="00570595"/>
    <w:rsid w:val="005705BC"/>
    <w:rsid w:val="00570660"/>
    <w:rsid w:val="00570732"/>
    <w:rsid w:val="00570738"/>
    <w:rsid w:val="0057077B"/>
    <w:rsid w:val="0057078E"/>
    <w:rsid w:val="005707CF"/>
    <w:rsid w:val="0057081E"/>
    <w:rsid w:val="00570856"/>
    <w:rsid w:val="00570881"/>
    <w:rsid w:val="00570A7D"/>
    <w:rsid w:val="00570A8D"/>
    <w:rsid w:val="00570AA8"/>
    <w:rsid w:val="00570ADB"/>
    <w:rsid w:val="00570B96"/>
    <w:rsid w:val="00570BDE"/>
    <w:rsid w:val="00570BF6"/>
    <w:rsid w:val="00570CFA"/>
    <w:rsid w:val="00570D03"/>
    <w:rsid w:val="00570D18"/>
    <w:rsid w:val="00570D1E"/>
    <w:rsid w:val="00570D44"/>
    <w:rsid w:val="00570D48"/>
    <w:rsid w:val="00570D75"/>
    <w:rsid w:val="00570DFD"/>
    <w:rsid w:val="00570E26"/>
    <w:rsid w:val="00570E36"/>
    <w:rsid w:val="00570E44"/>
    <w:rsid w:val="00570F93"/>
    <w:rsid w:val="00571005"/>
    <w:rsid w:val="0057100F"/>
    <w:rsid w:val="005710B2"/>
    <w:rsid w:val="005710FE"/>
    <w:rsid w:val="00571153"/>
    <w:rsid w:val="00571166"/>
    <w:rsid w:val="0057121F"/>
    <w:rsid w:val="0057127C"/>
    <w:rsid w:val="0057132A"/>
    <w:rsid w:val="005713DE"/>
    <w:rsid w:val="005713F7"/>
    <w:rsid w:val="0057143C"/>
    <w:rsid w:val="00571448"/>
    <w:rsid w:val="0057158D"/>
    <w:rsid w:val="00571699"/>
    <w:rsid w:val="005716B0"/>
    <w:rsid w:val="0057179A"/>
    <w:rsid w:val="00571817"/>
    <w:rsid w:val="00571875"/>
    <w:rsid w:val="005718B0"/>
    <w:rsid w:val="005718D6"/>
    <w:rsid w:val="005718E8"/>
    <w:rsid w:val="00571ABC"/>
    <w:rsid w:val="00571BC4"/>
    <w:rsid w:val="00571C33"/>
    <w:rsid w:val="00571C51"/>
    <w:rsid w:val="00571C8F"/>
    <w:rsid w:val="00571CAB"/>
    <w:rsid w:val="00571E36"/>
    <w:rsid w:val="00571EED"/>
    <w:rsid w:val="00571FF8"/>
    <w:rsid w:val="00572004"/>
    <w:rsid w:val="0057200B"/>
    <w:rsid w:val="0057203C"/>
    <w:rsid w:val="00572089"/>
    <w:rsid w:val="005720C7"/>
    <w:rsid w:val="00572100"/>
    <w:rsid w:val="00572159"/>
    <w:rsid w:val="005721A5"/>
    <w:rsid w:val="005721AC"/>
    <w:rsid w:val="00572213"/>
    <w:rsid w:val="00572276"/>
    <w:rsid w:val="00572290"/>
    <w:rsid w:val="00572305"/>
    <w:rsid w:val="00572312"/>
    <w:rsid w:val="00572344"/>
    <w:rsid w:val="005725A0"/>
    <w:rsid w:val="00572629"/>
    <w:rsid w:val="00572652"/>
    <w:rsid w:val="00572661"/>
    <w:rsid w:val="00572665"/>
    <w:rsid w:val="005726EF"/>
    <w:rsid w:val="0057273F"/>
    <w:rsid w:val="005727E3"/>
    <w:rsid w:val="00572885"/>
    <w:rsid w:val="005728D3"/>
    <w:rsid w:val="005729B2"/>
    <w:rsid w:val="005729D0"/>
    <w:rsid w:val="005729E3"/>
    <w:rsid w:val="005729F8"/>
    <w:rsid w:val="00572A15"/>
    <w:rsid w:val="00572B26"/>
    <w:rsid w:val="00572B32"/>
    <w:rsid w:val="00572B9A"/>
    <w:rsid w:val="00572C6C"/>
    <w:rsid w:val="00572D8A"/>
    <w:rsid w:val="00572E90"/>
    <w:rsid w:val="00572F36"/>
    <w:rsid w:val="00572F8E"/>
    <w:rsid w:val="00572FB5"/>
    <w:rsid w:val="00572FE4"/>
    <w:rsid w:val="0057301A"/>
    <w:rsid w:val="00573257"/>
    <w:rsid w:val="00573273"/>
    <w:rsid w:val="00573276"/>
    <w:rsid w:val="00573326"/>
    <w:rsid w:val="005733A5"/>
    <w:rsid w:val="005733E1"/>
    <w:rsid w:val="0057341D"/>
    <w:rsid w:val="0057352F"/>
    <w:rsid w:val="0057353D"/>
    <w:rsid w:val="00573582"/>
    <w:rsid w:val="0057358D"/>
    <w:rsid w:val="005736D3"/>
    <w:rsid w:val="005736F3"/>
    <w:rsid w:val="00573748"/>
    <w:rsid w:val="005737BD"/>
    <w:rsid w:val="005739A4"/>
    <w:rsid w:val="00573A69"/>
    <w:rsid w:val="00573AA6"/>
    <w:rsid w:val="00573BA7"/>
    <w:rsid w:val="00573BBC"/>
    <w:rsid w:val="00573C7F"/>
    <w:rsid w:val="00573C8E"/>
    <w:rsid w:val="00573DC6"/>
    <w:rsid w:val="00573E9A"/>
    <w:rsid w:val="00574002"/>
    <w:rsid w:val="005740F9"/>
    <w:rsid w:val="00574109"/>
    <w:rsid w:val="00574169"/>
    <w:rsid w:val="0057421C"/>
    <w:rsid w:val="00574250"/>
    <w:rsid w:val="00574295"/>
    <w:rsid w:val="005742B5"/>
    <w:rsid w:val="005743F0"/>
    <w:rsid w:val="0057441B"/>
    <w:rsid w:val="00574452"/>
    <w:rsid w:val="00574576"/>
    <w:rsid w:val="00574765"/>
    <w:rsid w:val="00574854"/>
    <w:rsid w:val="005748D6"/>
    <w:rsid w:val="005748DF"/>
    <w:rsid w:val="005748E3"/>
    <w:rsid w:val="00574A5F"/>
    <w:rsid w:val="00574AA2"/>
    <w:rsid w:val="00574ABC"/>
    <w:rsid w:val="00574B83"/>
    <w:rsid w:val="00574C19"/>
    <w:rsid w:val="00574C58"/>
    <w:rsid w:val="00574CBE"/>
    <w:rsid w:val="00574CD5"/>
    <w:rsid w:val="00574E7D"/>
    <w:rsid w:val="00574E9E"/>
    <w:rsid w:val="00574EA0"/>
    <w:rsid w:val="00574EB5"/>
    <w:rsid w:val="00574F6F"/>
    <w:rsid w:val="00574FAB"/>
    <w:rsid w:val="00574FF6"/>
    <w:rsid w:val="005752E8"/>
    <w:rsid w:val="0057534F"/>
    <w:rsid w:val="0057536B"/>
    <w:rsid w:val="00575382"/>
    <w:rsid w:val="00575388"/>
    <w:rsid w:val="005754AA"/>
    <w:rsid w:val="005754DD"/>
    <w:rsid w:val="0057556C"/>
    <w:rsid w:val="00575577"/>
    <w:rsid w:val="005755D4"/>
    <w:rsid w:val="00575693"/>
    <w:rsid w:val="005756AB"/>
    <w:rsid w:val="00575733"/>
    <w:rsid w:val="00575794"/>
    <w:rsid w:val="0057582E"/>
    <w:rsid w:val="0057589F"/>
    <w:rsid w:val="005758CA"/>
    <w:rsid w:val="005758D3"/>
    <w:rsid w:val="0057591E"/>
    <w:rsid w:val="00575952"/>
    <w:rsid w:val="005759E3"/>
    <w:rsid w:val="00575AE9"/>
    <w:rsid w:val="00575AFE"/>
    <w:rsid w:val="00575B25"/>
    <w:rsid w:val="00575BE1"/>
    <w:rsid w:val="00575C36"/>
    <w:rsid w:val="00575C3D"/>
    <w:rsid w:val="00575DB7"/>
    <w:rsid w:val="00575DC6"/>
    <w:rsid w:val="00575DDD"/>
    <w:rsid w:val="00575ED8"/>
    <w:rsid w:val="00575F76"/>
    <w:rsid w:val="005760F7"/>
    <w:rsid w:val="00576158"/>
    <w:rsid w:val="005761A3"/>
    <w:rsid w:val="005761DB"/>
    <w:rsid w:val="0057624C"/>
    <w:rsid w:val="005762BD"/>
    <w:rsid w:val="00576352"/>
    <w:rsid w:val="00576384"/>
    <w:rsid w:val="00576462"/>
    <w:rsid w:val="0057649F"/>
    <w:rsid w:val="005765BF"/>
    <w:rsid w:val="00576670"/>
    <w:rsid w:val="00576675"/>
    <w:rsid w:val="005766CC"/>
    <w:rsid w:val="0057676B"/>
    <w:rsid w:val="005767CF"/>
    <w:rsid w:val="00576857"/>
    <w:rsid w:val="005768E9"/>
    <w:rsid w:val="00576998"/>
    <w:rsid w:val="005769FD"/>
    <w:rsid w:val="00576AF3"/>
    <w:rsid w:val="00576AFB"/>
    <w:rsid w:val="00576C1D"/>
    <w:rsid w:val="00576CCB"/>
    <w:rsid w:val="00576CD5"/>
    <w:rsid w:val="00576CF4"/>
    <w:rsid w:val="00576E29"/>
    <w:rsid w:val="00576E35"/>
    <w:rsid w:val="00576E37"/>
    <w:rsid w:val="00576EE2"/>
    <w:rsid w:val="00576FA1"/>
    <w:rsid w:val="00576FB7"/>
    <w:rsid w:val="0057708F"/>
    <w:rsid w:val="005770A6"/>
    <w:rsid w:val="005770C0"/>
    <w:rsid w:val="005770C7"/>
    <w:rsid w:val="005770C8"/>
    <w:rsid w:val="005770CB"/>
    <w:rsid w:val="0057712D"/>
    <w:rsid w:val="005771F5"/>
    <w:rsid w:val="005771FB"/>
    <w:rsid w:val="0057739C"/>
    <w:rsid w:val="005773A3"/>
    <w:rsid w:val="005773EB"/>
    <w:rsid w:val="00577536"/>
    <w:rsid w:val="005775B2"/>
    <w:rsid w:val="00577668"/>
    <w:rsid w:val="0057769F"/>
    <w:rsid w:val="005776FD"/>
    <w:rsid w:val="005776FF"/>
    <w:rsid w:val="00577721"/>
    <w:rsid w:val="0057776B"/>
    <w:rsid w:val="00577785"/>
    <w:rsid w:val="0057778F"/>
    <w:rsid w:val="00577797"/>
    <w:rsid w:val="00577812"/>
    <w:rsid w:val="00577836"/>
    <w:rsid w:val="0057789A"/>
    <w:rsid w:val="005778A7"/>
    <w:rsid w:val="005778F3"/>
    <w:rsid w:val="0057798C"/>
    <w:rsid w:val="005779AD"/>
    <w:rsid w:val="005779EF"/>
    <w:rsid w:val="00577A4F"/>
    <w:rsid w:val="00577A50"/>
    <w:rsid w:val="00577C30"/>
    <w:rsid w:val="00577C39"/>
    <w:rsid w:val="00577CEC"/>
    <w:rsid w:val="00577D6D"/>
    <w:rsid w:val="00577DB7"/>
    <w:rsid w:val="00577E16"/>
    <w:rsid w:val="00577F44"/>
    <w:rsid w:val="00577F62"/>
    <w:rsid w:val="00577F90"/>
    <w:rsid w:val="00577FC9"/>
    <w:rsid w:val="00580010"/>
    <w:rsid w:val="00580013"/>
    <w:rsid w:val="00580023"/>
    <w:rsid w:val="00580079"/>
    <w:rsid w:val="00580083"/>
    <w:rsid w:val="0058019F"/>
    <w:rsid w:val="005801AD"/>
    <w:rsid w:val="005801FD"/>
    <w:rsid w:val="00580219"/>
    <w:rsid w:val="005802E5"/>
    <w:rsid w:val="00580345"/>
    <w:rsid w:val="005804DD"/>
    <w:rsid w:val="0058056C"/>
    <w:rsid w:val="0058060B"/>
    <w:rsid w:val="00580696"/>
    <w:rsid w:val="005806F1"/>
    <w:rsid w:val="005806F7"/>
    <w:rsid w:val="005806F9"/>
    <w:rsid w:val="0058073F"/>
    <w:rsid w:val="005807F8"/>
    <w:rsid w:val="0058080A"/>
    <w:rsid w:val="00580817"/>
    <w:rsid w:val="00580844"/>
    <w:rsid w:val="005808A3"/>
    <w:rsid w:val="005808AE"/>
    <w:rsid w:val="00580903"/>
    <w:rsid w:val="005809B8"/>
    <w:rsid w:val="005809C5"/>
    <w:rsid w:val="005809F9"/>
    <w:rsid w:val="00580A17"/>
    <w:rsid w:val="00580A3E"/>
    <w:rsid w:val="00580B19"/>
    <w:rsid w:val="00580B59"/>
    <w:rsid w:val="00580BF9"/>
    <w:rsid w:val="00580C5A"/>
    <w:rsid w:val="00580CB7"/>
    <w:rsid w:val="00580CBE"/>
    <w:rsid w:val="00580D19"/>
    <w:rsid w:val="00580D29"/>
    <w:rsid w:val="00580D89"/>
    <w:rsid w:val="00580D9A"/>
    <w:rsid w:val="00580EA3"/>
    <w:rsid w:val="00580EE7"/>
    <w:rsid w:val="00580F05"/>
    <w:rsid w:val="00580F7C"/>
    <w:rsid w:val="00580F87"/>
    <w:rsid w:val="00580FCC"/>
    <w:rsid w:val="0058102E"/>
    <w:rsid w:val="00581097"/>
    <w:rsid w:val="005810C8"/>
    <w:rsid w:val="0058112E"/>
    <w:rsid w:val="0058116F"/>
    <w:rsid w:val="005811E8"/>
    <w:rsid w:val="005811ED"/>
    <w:rsid w:val="0058123F"/>
    <w:rsid w:val="00581252"/>
    <w:rsid w:val="00581273"/>
    <w:rsid w:val="00581279"/>
    <w:rsid w:val="005812AE"/>
    <w:rsid w:val="0058132D"/>
    <w:rsid w:val="00581394"/>
    <w:rsid w:val="0058144F"/>
    <w:rsid w:val="00581462"/>
    <w:rsid w:val="005814AC"/>
    <w:rsid w:val="0058152D"/>
    <w:rsid w:val="00581569"/>
    <w:rsid w:val="00581619"/>
    <w:rsid w:val="0058161C"/>
    <w:rsid w:val="005816EA"/>
    <w:rsid w:val="00581765"/>
    <w:rsid w:val="0058179C"/>
    <w:rsid w:val="005818A0"/>
    <w:rsid w:val="005818BA"/>
    <w:rsid w:val="005818C3"/>
    <w:rsid w:val="0058190D"/>
    <w:rsid w:val="00581929"/>
    <w:rsid w:val="0058199C"/>
    <w:rsid w:val="005819ED"/>
    <w:rsid w:val="00581A2D"/>
    <w:rsid w:val="00581A5C"/>
    <w:rsid w:val="00581AE5"/>
    <w:rsid w:val="00581AF8"/>
    <w:rsid w:val="00581AFE"/>
    <w:rsid w:val="00581B09"/>
    <w:rsid w:val="00581B62"/>
    <w:rsid w:val="00581C28"/>
    <w:rsid w:val="00581C2A"/>
    <w:rsid w:val="00581C85"/>
    <w:rsid w:val="00581D24"/>
    <w:rsid w:val="00581D37"/>
    <w:rsid w:val="00581D61"/>
    <w:rsid w:val="00581DDF"/>
    <w:rsid w:val="00581E94"/>
    <w:rsid w:val="00581F32"/>
    <w:rsid w:val="0058203F"/>
    <w:rsid w:val="00582165"/>
    <w:rsid w:val="0058219F"/>
    <w:rsid w:val="00582247"/>
    <w:rsid w:val="0058225A"/>
    <w:rsid w:val="005822BB"/>
    <w:rsid w:val="00582394"/>
    <w:rsid w:val="0058244C"/>
    <w:rsid w:val="0058249E"/>
    <w:rsid w:val="00582521"/>
    <w:rsid w:val="00582585"/>
    <w:rsid w:val="0058259B"/>
    <w:rsid w:val="005825B3"/>
    <w:rsid w:val="005825BD"/>
    <w:rsid w:val="005825CD"/>
    <w:rsid w:val="005825F2"/>
    <w:rsid w:val="00582627"/>
    <w:rsid w:val="0058262B"/>
    <w:rsid w:val="005827C0"/>
    <w:rsid w:val="005827CF"/>
    <w:rsid w:val="0058293A"/>
    <w:rsid w:val="005829C4"/>
    <w:rsid w:val="00582A10"/>
    <w:rsid w:val="00582AE0"/>
    <w:rsid w:val="00582B77"/>
    <w:rsid w:val="00582B9D"/>
    <w:rsid w:val="00582BBB"/>
    <w:rsid w:val="00582C09"/>
    <w:rsid w:val="00582D36"/>
    <w:rsid w:val="00582D50"/>
    <w:rsid w:val="00582DC8"/>
    <w:rsid w:val="00582DCF"/>
    <w:rsid w:val="00582E44"/>
    <w:rsid w:val="00582ECE"/>
    <w:rsid w:val="00582F2B"/>
    <w:rsid w:val="00582F4C"/>
    <w:rsid w:val="00582F50"/>
    <w:rsid w:val="00582FD3"/>
    <w:rsid w:val="00582FDE"/>
    <w:rsid w:val="00583037"/>
    <w:rsid w:val="0058313B"/>
    <w:rsid w:val="00583199"/>
    <w:rsid w:val="00583238"/>
    <w:rsid w:val="00583335"/>
    <w:rsid w:val="00583371"/>
    <w:rsid w:val="00583376"/>
    <w:rsid w:val="005833CA"/>
    <w:rsid w:val="005834A9"/>
    <w:rsid w:val="00583500"/>
    <w:rsid w:val="0058364A"/>
    <w:rsid w:val="0058369E"/>
    <w:rsid w:val="005836B0"/>
    <w:rsid w:val="00583755"/>
    <w:rsid w:val="0058376D"/>
    <w:rsid w:val="00583782"/>
    <w:rsid w:val="005837CA"/>
    <w:rsid w:val="005837E3"/>
    <w:rsid w:val="005837ED"/>
    <w:rsid w:val="0058383F"/>
    <w:rsid w:val="005838A9"/>
    <w:rsid w:val="0058399D"/>
    <w:rsid w:val="005839EC"/>
    <w:rsid w:val="005839F6"/>
    <w:rsid w:val="00583B12"/>
    <w:rsid w:val="00583B33"/>
    <w:rsid w:val="00583BCF"/>
    <w:rsid w:val="00583BF7"/>
    <w:rsid w:val="00583C03"/>
    <w:rsid w:val="00583C05"/>
    <w:rsid w:val="00583C0A"/>
    <w:rsid w:val="00583C15"/>
    <w:rsid w:val="00583C68"/>
    <w:rsid w:val="00583C6B"/>
    <w:rsid w:val="00583C97"/>
    <w:rsid w:val="00583D08"/>
    <w:rsid w:val="00583D23"/>
    <w:rsid w:val="00583E0A"/>
    <w:rsid w:val="00583E4E"/>
    <w:rsid w:val="00583F55"/>
    <w:rsid w:val="00583FD8"/>
    <w:rsid w:val="00583FE2"/>
    <w:rsid w:val="00584057"/>
    <w:rsid w:val="005840B3"/>
    <w:rsid w:val="00584110"/>
    <w:rsid w:val="005841ED"/>
    <w:rsid w:val="00584223"/>
    <w:rsid w:val="0058439C"/>
    <w:rsid w:val="005843C7"/>
    <w:rsid w:val="005843F5"/>
    <w:rsid w:val="00584461"/>
    <w:rsid w:val="00584486"/>
    <w:rsid w:val="005844C9"/>
    <w:rsid w:val="005844FD"/>
    <w:rsid w:val="0058454C"/>
    <w:rsid w:val="005846D6"/>
    <w:rsid w:val="00584737"/>
    <w:rsid w:val="0058474E"/>
    <w:rsid w:val="00584788"/>
    <w:rsid w:val="00584795"/>
    <w:rsid w:val="0058483F"/>
    <w:rsid w:val="0058484A"/>
    <w:rsid w:val="0058489C"/>
    <w:rsid w:val="00584A67"/>
    <w:rsid w:val="00584A7C"/>
    <w:rsid w:val="00584AC6"/>
    <w:rsid w:val="00584B08"/>
    <w:rsid w:val="00584BA4"/>
    <w:rsid w:val="00584C04"/>
    <w:rsid w:val="00584C35"/>
    <w:rsid w:val="00584C95"/>
    <w:rsid w:val="00584C97"/>
    <w:rsid w:val="00584D7D"/>
    <w:rsid w:val="00584D7F"/>
    <w:rsid w:val="00584E07"/>
    <w:rsid w:val="00584ED2"/>
    <w:rsid w:val="00584F88"/>
    <w:rsid w:val="005850A4"/>
    <w:rsid w:val="005851DF"/>
    <w:rsid w:val="00585247"/>
    <w:rsid w:val="005852F1"/>
    <w:rsid w:val="00585315"/>
    <w:rsid w:val="00585345"/>
    <w:rsid w:val="00585385"/>
    <w:rsid w:val="005853B1"/>
    <w:rsid w:val="005853B6"/>
    <w:rsid w:val="00585410"/>
    <w:rsid w:val="0058549A"/>
    <w:rsid w:val="0058555F"/>
    <w:rsid w:val="005855BF"/>
    <w:rsid w:val="005855D0"/>
    <w:rsid w:val="005855EC"/>
    <w:rsid w:val="005856B2"/>
    <w:rsid w:val="0058571C"/>
    <w:rsid w:val="005857AB"/>
    <w:rsid w:val="00585878"/>
    <w:rsid w:val="005858AC"/>
    <w:rsid w:val="00585965"/>
    <w:rsid w:val="0058596E"/>
    <w:rsid w:val="00585980"/>
    <w:rsid w:val="00585988"/>
    <w:rsid w:val="00585A65"/>
    <w:rsid w:val="00585A76"/>
    <w:rsid w:val="00585A87"/>
    <w:rsid w:val="00585BF8"/>
    <w:rsid w:val="00585CCC"/>
    <w:rsid w:val="00585CED"/>
    <w:rsid w:val="00585E90"/>
    <w:rsid w:val="00585EA3"/>
    <w:rsid w:val="00585F4E"/>
    <w:rsid w:val="00585FE3"/>
    <w:rsid w:val="005860CC"/>
    <w:rsid w:val="005860E0"/>
    <w:rsid w:val="0058614D"/>
    <w:rsid w:val="00586161"/>
    <w:rsid w:val="005861EE"/>
    <w:rsid w:val="0058625C"/>
    <w:rsid w:val="00586300"/>
    <w:rsid w:val="005863F2"/>
    <w:rsid w:val="0058641F"/>
    <w:rsid w:val="0058656E"/>
    <w:rsid w:val="005865D1"/>
    <w:rsid w:val="00586628"/>
    <w:rsid w:val="00586631"/>
    <w:rsid w:val="005866C2"/>
    <w:rsid w:val="005867DB"/>
    <w:rsid w:val="00586888"/>
    <w:rsid w:val="005868A0"/>
    <w:rsid w:val="005868C7"/>
    <w:rsid w:val="005869CE"/>
    <w:rsid w:val="00586A06"/>
    <w:rsid w:val="00586A5A"/>
    <w:rsid w:val="00586A8C"/>
    <w:rsid w:val="00586BB2"/>
    <w:rsid w:val="00586BC5"/>
    <w:rsid w:val="00586BF2"/>
    <w:rsid w:val="00586CB7"/>
    <w:rsid w:val="00586D55"/>
    <w:rsid w:val="00586D8C"/>
    <w:rsid w:val="00586DEC"/>
    <w:rsid w:val="00586DFC"/>
    <w:rsid w:val="00586E4E"/>
    <w:rsid w:val="00586F3A"/>
    <w:rsid w:val="00586FF6"/>
    <w:rsid w:val="00587013"/>
    <w:rsid w:val="0058707A"/>
    <w:rsid w:val="00587080"/>
    <w:rsid w:val="005870A5"/>
    <w:rsid w:val="00587104"/>
    <w:rsid w:val="00587148"/>
    <w:rsid w:val="0058719A"/>
    <w:rsid w:val="005871E9"/>
    <w:rsid w:val="005871FF"/>
    <w:rsid w:val="00587377"/>
    <w:rsid w:val="00587391"/>
    <w:rsid w:val="005873E7"/>
    <w:rsid w:val="0058750A"/>
    <w:rsid w:val="00587578"/>
    <w:rsid w:val="0058759F"/>
    <w:rsid w:val="0058763C"/>
    <w:rsid w:val="00587692"/>
    <w:rsid w:val="005876B2"/>
    <w:rsid w:val="00587755"/>
    <w:rsid w:val="00587777"/>
    <w:rsid w:val="00587786"/>
    <w:rsid w:val="0058779B"/>
    <w:rsid w:val="005877C0"/>
    <w:rsid w:val="005877CC"/>
    <w:rsid w:val="005877CD"/>
    <w:rsid w:val="005877DD"/>
    <w:rsid w:val="0058785A"/>
    <w:rsid w:val="00587876"/>
    <w:rsid w:val="005879B9"/>
    <w:rsid w:val="00587AE6"/>
    <w:rsid w:val="00587B02"/>
    <w:rsid w:val="00587B9D"/>
    <w:rsid w:val="00587BC4"/>
    <w:rsid w:val="00587C53"/>
    <w:rsid w:val="00587D12"/>
    <w:rsid w:val="00587D39"/>
    <w:rsid w:val="00587E8C"/>
    <w:rsid w:val="00587F30"/>
    <w:rsid w:val="00587FA1"/>
    <w:rsid w:val="00590016"/>
    <w:rsid w:val="00590034"/>
    <w:rsid w:val="00590048"/>
    <w:rsid w:val="005900F7"/>
    <w:rsid w:val="0059015A"/>
    <w:rsid w:val="00590195"/>
    <w:rsid w:val="005902B9"/>
    <w:rsid w:val="005902BB"/>
    <w:rsid w:val="0059032D"/>
    <w:rsid w:val="00590334"/>
    <w:rsid w:val="00590343"/>
    <w:rsid w:val="0059036D"/>
    <w:rsid w:val="00590397"/>
    <w:rsid w:val="0059047D"/>
    <w:rsid w:val="005904DE"/>
    <w:rsid w:val="00590553"/>
    <w:rsid w:val="00590593"/>
    <w:rsid w:val="005905A3"/>
    <w:rsid w:val="005905BC"/>
    <w:rsid w:val="00590625"/>
    <w:rsid w:val="005906D4"/>
    <w:rsid w:val="00590704"/>
    <w:rsid w:val="0059078B"/>
    <w:rsid w:val="005907DF"/>
    <w:rsid w:val="005907FF"/>
    <w:rsid w:val="0059086A"/>
    <w:rsid w:val="0059088F"/>
    <w:rsid w:val="00590972"/>
    <w:rsid w:val="005909BC"/>
    <w:rsid w:val="00590A49"/>
    <w:rsid w:val="00590A93"/>
    <w:rsid w:val="00590AD4"/>
    <w:rsid w:val="00590ADC"/>
    <w:rsid w:val="00590B58"/>
    <w:rsid w:val="00590BC4"/>
    <w:rsid w:val="00590BD5"/>
    <w:rsid w:val="00590BD6"/>
    <w:rsid w:val="00590C62"/>
    <w:rsid w:val="00590D03"/>
    <w:rsid w:val="00590D1D"/>
    <w:rsid w:val="00590DEF"/>
    <w:rsid w:val="00590E51"/>
    <w:rsid w:val="00591094"/>
    <w:rsid w:val="005910F6"/>
    <w:rsid w:val="00591136"/>
    <w:rsid w:val="005911B9"/>
    <w:rsid w:val="005911C9"/>
    <w:rsid w:val="005911E4"/>
    <w:rsid w:val="005911F5"/>
    <w:rsid w:val="00591241"/>
    <w:rsid w:val="0059125B"/>
    <w:rsid w:val="005912B7"/>
    <w:rsid w:val="005912DE"/>
    <w:rsid w:val="005912E0"/>
    <w:rsid w:val="00591361"/>
    <w:rsid w:val="005913A1"/>
    <w:rsid w:val="00591440"/>
    <w:rsid w:val="005914B2"/>
    <w:rsid w:val="00591696"/>
    <w:rsid w:val="005916D4"/>
    <w:rsid w:val="005916FF"/>
    <w:rsid w:val="00591797"/>
    <w:rsid w:val="005917E6"/>
    <w:rsid w:val="0059181D"/>
    <w:rsid w:val="00591826"/>
    <w:rsid w:val="005918BB"/>
    <w:rsid w:val="005918C1"/>
    <w:rsid w:val="005918DF"/>
    <w:rsid w:val="0059193F"/>
    <w:rsid w:val="005919D5"/>
    <w:rsid w:val="00591A45"/>
    <w:rsid w:val="00591A4C"/>
    <w:rsid w:val="00591AFB"/>
    <w:rsid w:val="00591BBB"/>
    <w:rsid w:val="00591BEB"/>
    <w:rsid w:val="00591C80"/>
    <w:rsid w:val="00591CF1"/>
    <w:rsid w:val="00591D25"/>
    <w:rsid w:val="00591DA7"/>
    <w:rsid w:val="00591F1F"/>
    <w:rsid w:val="00591F20"/>
    <w:rsid w:val="00592134"/>
    <w:rsid w:val="00592153"/>
    <w:rsid w:val="00592192"/>
    <w:rsid w:val="005921AD"/>
    <w:rsid w:val="005921BD"/>
    <w:rsid w:val="00592234"/>
    <w:rsid w:val="00592258"/>
    <w:rsid w:val="005923DB"/>
    <w:rsid w:val="005923F1"/>
    <w:rsid w:val="0059242C"/>
    <w:rsid w:val="005924E1"/>
    <w:rsid w:val="00592519"/>
    <w:rsid w:val="0059253A"/>
    <w:rsid w:val="005926DB"/>
    <w:rsid w:val="005926F1"/>
    <w:rsid w:val="0059277D"/>
    <w:rsid w:val="005927E8"/>
    <w:rsid w:val="005927FD"/>
    <w:rsid w:val="00592805"/>
    <w:rsid w:val="0059286C"/>
    <w:rsid w:val="00592898"/>
    <w:rsid w:val="0059297D"/>
    <w:rsid w:val="005929DB"/>
    <w:rsid w:val="00592A64"/>
    <w:rsid w:val="00592A83"/>
    <w:rsid w:val="00592AAD"/>
    <w:rsid w:val="00592AD6"/>
    <w:rsid w:val="00592B2D"/>
    <w:rsid w:val="00592C09"/>
    <w:rsid w:val="00592C1B"/>
    <w:rsid w:val="00592C34"/>
    <w:rsid w:val="00592C47"/>
    <w:rsid w:val="00592C60"/>
    <w:rsid w:val="00592C73"/>
    <w:rsid w:val="00592C84"/>
    <w:rsid w:val="00592CF8"/>
    <w:rsid w:val="00592D0E"/>
    <w:rsid w:val="00592DF2"/>
    <w:rsid w:val="00592E72"/>
    <w:rsid w:val="00592EB7"/>
    <w:rsid w:val="00592F7F"/>
    <w:rsid w:val="00592F94"/>
    <w:rsid w:val="00593050"/>
    <w:rsid w:val="00593139"/>
    <w:rsid w:val="00593147"/>
    <w:rsid w:val="00593149"/>
    <w:rsid w:val="0059314A"/>
    <w:rsid w:val="005931A8"/>
    <w:rsid w:val="0059323F"/>
    <w:rsid w:val="00593271"/>
    <w:rsid w:val="005932A8"/>
    <w:rsid w:val="00593416"/>
    <w:rsid w:val="0059345E"/>
    <w:rsid w:val="005934FD"/>
    <w:rsid w:val="00593520"/>
    <w:rsid w:val="005935B0"/>
    <w:rsid w:val="00593603"/>
    <w:rsid w:val="00593604"/>
    <w:rsid w:val="00593613"/>
    <w:rsid w:val="005936AC"/>
    <w:rsid w:val="00593766"/>
    <w:rsid w:val="005937BC"/>
    <w:rsid w:val="005937D1"/>
    <w:rsid w:val="0059381A"/>
    <w:rsid w:val="0059388D"/>
    <w:rsid w:val="005938AD"/>
    <w:rsid w:val="005938E9"/>
    <w:rsid w:val="005939D8"/>
    <w:rsid w:val="00593A15"/>
    <w:rsid w:val="00593A68"/>
    <w:rsid w:val="00593B9E"/>
    <w:rsid w:val="00593BE9"/>
    <w:rsid w:val="00593C04"/>
    <w:rsid w:val="00593C14"/>
    <w:rsid w:val="00593D1B"/>
    <w:rsid w:val="00593DB9"/>
    <w:rsid w:val="00593DCE"/>
    <w:rsid w:val="00593DE0"/>
    <w:rsid w:val="00593E0F"/>
    <w:rsid w:val="00593E38"/>
    <w:rsid w:val="00593ED4"/>
    <w:rsid w:val="00593EF7"/>
    <w:rsid w:val="00594101"/>
    <w:rsid w:val="00594137"/>
    <w:rsid w:val="005941D4"/>
    <w:rsid w:val="0059429A"/>
    <w:rsid w:val="00594304"/>
    <w:rsid w:val="00594374"/>
    <w:rsid w:val="00594393"/>
    <w:rsid w:val="00594458"/>
    <w:rsid w:val="00594545"/>
    <w:rsid w:val="005945B2"/>
    <w:rsid w:val="005946D7"/>
    <w:rsid w:val="0059475A"/>
    <w:rsid w:val="00594880"/>
    <w:rsid w:val="00594892"/>
    <w:rsid w:val="005948D3"/>
    <w:rsid w:val="00594917"/>
    <w:rsid w:val="005949B7"/>
    <w:rsid w:val="00594ABF"/>
    <w:rsid w:val="00594B6D"/>
    <w:rsid w:val="00594BEC"/>
    <w:rsid w:val="00594C03"/>
    <w:rsid w:val="00594C34"/>
    <w:rsid w:val="00594C3C"/>
    <w:rsid w:val="00594C63"/>
    <w:rsid w:val="00594E31"/>
    <w:rsid w:val="00594E54"/>
    <w:rsid w:val="00594E83"/>
    <w:rsid w:val="00594F3A"/>
    <w:rsid w:val="00594FF2"/>
    <w:rsid w:val="0059500A"/>
    <w:rsid w:val="00595114"/>
    <w:rsid w:val="00595247"/>
    <w:rsid w:val="0059524B"/>
    <w:rsid w:val="00595293"/>
    <w:rsid w:val="00595297"/>
    <w:rsid w:val="005952AA"/>
    <w:rsid w:val="0059534F"/>
    <w:rsid w:val="005953C6"/>
    <w:rsid w:val="0059540D"/>
    <w:rsid w:val="005954E2"/>
    <w:rsid w:val="005954F7"/>
    <w:rsid w:val="00595519"/>
    <w:rsid w:val="00595552"/>
    <w:rsid w:val="005955BD"/>
    <w:rsid w:val="00595602"/>
    <w:rsid w:val="00595643"/>
    <w:rsid w:val="0059576B"/>
    <w:rsid w:val="00595807"/>
    <w:rsid w:val="0059580A"/>
    <w:rsid w:val="00595819"/>
    <w:rsid w:val="00595907"/>
    <w:rsid w:val="0059590D"/>
    <w:rsid w:val="0059594E"/>
    <w:rsid w:val="00595A72"/>
    <w:rsid w:val="00595AC0"/>
    <w:rsid w:val="00595B69"/>
    <w:rsid w:val="00595C49"/>
    <w:rsid w:val="00595C57"/>
    <w:rsid w:val="00595C87"/>
    <w:rsid w:val="00595CBA"/>
    <w:rsid w:val="00595D54"/>
    <w:rsid w:val="00595ECB"/>
    <w:rsid w:val="00595F14"/>
    <w:rsid w:val="00595F88"/>
    <w:rsid w:val="00596250"/>
    <w:rsid w:val="005962D9"/>
    <w:rsid w:val="005962DC"/>
    <w:rsid w:val="00596344"/>
    <w:rsid w:val="005963C0"/>
    <w:rsid w:val="00596478"/>
    <w:rsid w:val="005964F1"/>
    <w:rsid w:val="0059659B"/>
    <w:rsid w:val="00596612"/>
    <w:rsid w:val="005966C0"/>
    <w:rsid w:val="005966D5"/>
    <w:rsid w:val="005966DF"/>
    <w:rsid w:val="005966E8"/>
    <w:rsid w:val="0059671E"/>
    <w:rsid w:val="00596924"/>
    <w:rsid w:val="00596948"/>
    <w:rsid w:val="0059697D"/>
    <w:rsid w:val="00596983"/>
    <w:rsid w:val="005969D0"/>
    <w:rsid w:val="00596A3A"/>
    <w:rsid w:val="00596AA6"/>
    <w:rsid w:val="00596AF6"/>
    <w:rsid w:val="00596B14"/>
    <w:rsid w:val="00596BE7"/>
    <w:rsid w:val="00596C29"/>
    <w:rsid w:val="00596CBE"/>
    <w:rsid w:val="00596D02"/>
    <w:rsid w:val="00596D86"/>
    <w:rsid w:val="00596E2C"/>
    <w:rsid w:val="00596E66"/>
    <w:rsid w:val="00596EE0"/>
    <w:rsid w:val="00596F20"/>
    <w:rsid w:val="00596F79"/>
    <w:rsid w:val="00596F88"/>
    <w:rsid w:val="00596FF1"/>
    <w:rsid w:val="005970AB"/>
    <w:rsid w:val="00597135"/>
    <w:rsid w:val="0059713A"/>
    <w:rsid w:val="0059715C"/>
    <w:rsid w:val="00597175"/>
    <w:rsid w:val="0059727E"/>
    <w:rsid w:val="005972B0"/>
    <w:rsid w:val="005972F9"/>
    <w:rsid w:val="00597380"/>
    <w:rsid w:val="005973EB"/>
    <w:rsid w:val="00597487"/>
    <w:rsid w:val="0059753C"/>
    <w:rsid w:val="005976F4"/>
    <w:rsid w:val="00597750"/>
    <w:rsid w:val="0059777E"/>
    <w:rsid w:val="00597823"/>
    <w:rsid w:val="00597858"/>
    <w:rsid w:val="005978EE"/>
    <w:rsid w:val="00597922"/>
    <w:rsid w:val="005979DB"/>
    <w:rsid w:val="00597AE3"/>
    <w:rsid w:val="00597B91"/>
    <w:rsid w:val="00597C01"/>
    <w:rsid w:val="00597C4B"/>
    <w:rsid w:val="00597CF6"/>
    <w:rsid w:val="00597CF7"/>
    <w:rsid w:val="00597D3F"/>
    <w:rsid w:val="00597D94"/>
    <w:rsid w:val="00597E4F"/>
    <w:rsid w:val="00597F12"/>
    <w:rsid w:val="00597F24"/>
    <w:rsid w:val="00597F2A"/>
    <w:rsid w:val="005A0016"/>
    <w:rsid w:val="005A0019"/>
    <w:rsid w:val="005A001C"/>
    <w:rsid w:val="005A0088"/>
    <w:rsid w:val="005A009E"/>
    <w:rsid w:val="005A00D7"/>
    <w:rsid w:val="005A00E3"/>
    <w:rsid w:val="005A00F8"/>
    <w:rsid w:val="005A018C"/>
    <w:rsid w:val="005A020F"/>
    <w:rsid w:val="005A0373"/>
    <w:rsid w:val="005A0382"/>
    <w:rsid w:val="005A03BE"/>
    <w:rsid w:val="005A0487"/>
    <w:rsid w:val="005A049A"/>
    <w:rsid w:val="005A058C"/>
    <w:rsid w:val="005A05E3"/>
    <w:rsid w:val="005A069D"/>
    <w:rsid w:val="005A0776"/>
    <w:rsid w:val="005A082B"/>
    <w:rsid w:val="005A086D"/>
    <w:rsid w:val="005A08B0"/>
    <w:rsid w:val="005A08C0"/>
    <w:rsid w:val="005A09F9"/>
    <w:rsid w:val="005A0A92"/>
    <w:rsid w:val="005A0AC9"/>
    <w:rsid w:val="005A0C07"/>
    <w:rsid w:val="005A0C68"/>
    <w:rsid w:val="005A0C7D"/>
    <w:rsid w:val="005A0DB6"/>
    <w:rsid w:val="005A0E22"/>
    <w:rsid w:val="005A0E33"/>
    <w:rsid w:val="005A0F3F"/>
    <w:rsid w:val="005A0FA4"/>
    <w:rsid w:val="005A0FA6"/>
    <w:rsid w:val="005A1004"/>
    <w:rsid w:val="005A1040"/>
    <w:rsid w:val="005A114D"/>
    <w:rsid w:val="005A115A"/>
    <w:rsid w:val="005A124B"/>
    <w:rsid w:val="005A1325"/>
    <w:rsid w:val="005A13A6"/>
    <w:rsid w:val="005A13BD"/>
    <w:rsid w:val="005A1414"/>
    <w:rsid w:val="005A1462"/>
    <w:rsid w:val="005A14A1"/>
    <w:rsid w:val="005A14A2"/>
    <w:rsid w:val="005A1504"/>
    <w:rsid w:val="005A15E3"/>
    <w:rsid w:val="005A15E5"/>
    <w:rsid w:val="005A163A"/>
    <w:rsid w:val="005A1693"/>
    <w:rsid w:val="005A17D0"/>
    <w:rsid w:val="005A182F"/>
    <w:rsid w:val="005A18BE"/>
    <w:rsid w:val="005A18F6"/>
    <w:rsid w:val="005A191D"/>
    <w:rsid w:val="005A191F"/>
    <w:rsid w:val="005A19CC"/>
    <w:rsid w:val="005A1A0C"/>
    <w:rsid w:val="005A1A45"/>
    <w:rsid w:val="005A1A59"/>
    <w:rsid w:val="005A1AFB"/>
    <w:rsid w:val="005A1B1A"/>
    <w:rsid w:val="005A1B3B"/>
    <w:rsid w:val="005A1B72"/>
    <w:rsid w:val="005A1BF6"/>
    <w:rsid w:val="005A1CF1"/>
    <w:rsid w:val="005A1D3D"/>
    <w:rsid w:val="005A1D6E"/>
    <w:rsid w:val="005A1FD1"/>
    <w:rsid w:val="005A2017"/>
    <w:rsid w:val="005A201F"/>
    <w:rsid w:val="005A20AB"/>
    <w:rsid w:val="005A20AD"/>
    <w:rsid w:val="005A21A8"/>
    <w:rsid w:val="005A2280"/>
    <w:rsid w:val="005A244B"/>
    <w:rsid w:val="005A248B"/>
    <w:rsid w:val="005A24AB"/>
    <w:rsid w:val="005A253B"/>
    <w:rsid w:val="005A2560"/>
    <w:rsid w:val="005A25B1"/>
    <w:rsid w:val="005A2617"/>
    <w:rsid w:val="005A263A"/>
    <w:rsid w:val="005A26E0"/>
    <w:rsid w:val="005A26EF"/>
    <w:rsid w:val="005A2748"/>
    <w:rsid w:val="005A276F"/>
    <w:rsid w:val="005A28E8"/>
    <w:rsid w:val="005A2901"/>
    <w:rsid w:val="005A2A33"/>
    <w:rsid w:val="005A2B60"/>
    <w:rsid w:val="005A2BDB"/>
    <w:rsid w:val="005A2C0C"/>
    <w:rsid w:val="005A2D2C"/>
    <w:rsid w:val="005A2DA7"/>
    <w:rsid w:val="005A2E3A"/>
    <w:rsid w:val="005A2E3B"/>
    <w:rsid w:val="005A2F30"/>
    <w:rsid w:val="005A2FE1"/>
    <w:rsid w:val="005A2FEE"/>
    <w:rsid w:val="005A3027"/>
    <w:rsid w:val="005A308B"/>
    <w:rsid w:val="005A3180"/>
    <w:rsid w:val="005A3197"/>
    <w:rsid w:val="005A31CB"/>
    <w:rsid w:val="005A32CC"/>
    <w:rsid w:val="005A32E6"/>
    <w:rsid w:val="005A32ED"/>
    <w:rsid w:val="005A3301"/>
    <w:rsid w:val="005A3309"/>
    <w:rsid w:val="005A3364"/>
    <w:rsid w:val="005A343A"/>
    <w:rsid w:val="005A34C5"/>
    <w:rsid w:val="005A34E3"/>
    <w:rsid w:val="005A35BA"/>
    <w:rsid w:val="005A35C0"/>
    <w:rsid w:val="005A35CE"/>
    <w:rsid w:val="005A35D1"/>
    <w:rsid w:val="005A3638"/>
    <w:rsid w:val="005A363A"/>
    <w:rsid w:val="005A366D"/>
    <w:rsid w:val="005A3688"/>
    <w:rsid w:val="005A38DB"/>
    <w:rsid w:val="005A392B"/>
    <w:rsid w:val="005A3939"/>
    <w:rsid w:val="005A396A"/>
    <w:rsid w:val="005A39A4"/>
    <w:rsid w:val="005A3A01"/>
    <w:rsid w:val="005A3A4D"/>
    <w:rsid w:val="005A3A90"/>
    <w:rsid w:val="005A3B4C"/>
    <w:rsid w:val="005A3BC5"/>
    <w:rsid w:val="005A3BF8"/>
    <w:rsid w:val="005A3C42"/>
    <w:rsid w:val="005A3CA2"/>
    <w:rsid w:val="005A3CBB"/>
    <w:rsid w:val="005A3CE3"/>
    <w:rsid w:val="005A3D01"/>
    <w:rsid w:val="005A3D38"/>
    <w:rsid w:val="005A3E54"/>
    <w:rsid w:val="005A3E7D"/>
    <w:rsid w:val="005A3E85"/>
    <w:rsid w:val="005A3F44"/>
    <w:rsid w:val="005A3F74"/>
    <w:rsid w:val="005A4070"/>
    <w:rsid w:val="005A412C"/>
    <w:rsid w:val="005A420B"/>
    <w:rsid w:val="005A425C"/>
    <w:rsid w:val="005A42A4"/>
    <w:rsid w:val="005A42ED"/>
    <w:rsid w:val="005A4398"/>
    <w:rsid w:val="005A43EE"/>
    <w:rsid w:val="005A440E"/>
    <w:rsid w:val="005A441F"/>
    <w:rsid w:val="005A4457"/>
    <w:rsid w:val="005A4513"/>
    <w:rsid w:val="005A4518"/>
    <w:rsid w:val="005A4520"/>
    <w:rsid w:val="005A4542"/>
    <w:rsid w:val="005A460F"/>
    <w:rsid w:val="005A467B"/>
    <w:rsid w:val="005A46AC"/>
    <w:rsid w:val="005A4738"/>
    <w:rsid w:val="005A4742"/>
    <w:rsid w:val="005A4942"/>
    <w:rsid w:val="005A4975"/>
    <w:rsid w:val="005A497D"/>
    <w:rsid w:val="005A499D"/>
    <w:rsid w:val="005A499E"/>
    <w:rsid w:val="005A49ED"/>
    <w:rsid w:val="005A4A1F"/>
    <w:rsid w:val="005A4A93"/>
    <w:rsid w:val="005A4ABC"/>
    <w:rsid w:val="005A4AC4"/>
    <w:rsid w:val="005A4ADD"/>
    <w:rsid w:val="005A4C2A"/>
    <w:rsid w:val="005A4C49"/>
    <w:rsid w:val="005A4CBE"/>
    <w:rsid w:val="005A4E1D"/>
    <w:rsid w:val="005A4E76"/>
    <w:rsid w:val="005A4EFA"/>
    <w:rsid w:val="005A4FA2"/>
    <w:rsid w:val="005A5134"/>
    <w:rsid w:val="005A5166"/>
    <w:rsid w:val="005A51F2"/>
    <w:rsid w:val="005A5236"/>
    <w:rsid w:val="005A5291"/>
    <w:rsid w:val="005A5363"/>
    <w:rsid w:val="005A540B"/>
    <w:rsid w:val="005A5445"/>
    <w:rsid w:val="005A54BA"/>
    <w:rsid w:val="005A552B"/>
    <w:rsid w:val="005A5530"/>
    <w:rsid w:val="005A5581"/>
    <w:rsid w:val="005A5582"/>
    <w:rsid w:val="005A55DE"/>
    <w:rsid w:val="005A55ED"/>
    <w:rsid w:val="005A563F"/>
    <w:rsid w:val="005A572E"/>
    <w:rsid w:val="005A574E"/>
    <w:rsid w:val="005A5783"/>
    <w:rsid w:val="005A5854"/>
    <w:rsid w:val="005A585A"/>
    <w:rsid w:val="005A5860"/>
    <w:rsid w:val="005A5890"/>
    <w:rsid w:val="005A58F1"/>
    <w:rsid w:val="005A5958"/>
    <w:rsid w:val="005A597C"/>
    <w:rsid w:val="005A5A09"/>
    <w:rsid w:val="005A5A23"/>
    <w:rsid w:val="005A5A9A"/>
    <w:rsid w:val="005A5AFF"/>
    <w:rsid w:val="005A5B7A"/>
    <w:rsid w:val="005A5BEC"/>
    <w:rsid w:val="005A5C5E"/>
    <w:rsid w:val="005A5CE1"/>
    <w:rsid w:val="005A5E5B"/>
    <w:rsid w:val="005A5E8A"/>
    <w:rsid w:val="005A5ED9"/>
    <w:rsid w:val="005A5F21"/>
    <w:rsid w:val="005A5F33"/>
    <w:rsid w:val="005A5F7B"/>
    <w:rsid w:val="005A5FE0"/>
    <w:rsid w:val="005A608C"/>
    <w:rsid w:val="005A60BE"/>
    <w:rsid w:val="005A6119"/>
    <w:rsid w:val="005A615F"/>
    <w:rsid w:val="005A617B"/>
    <w:rsid w:val="005A63C7"/>
    <w:rsid w:val="005A642B"/>
    <w:rsid w:val="005A6492"/>
    <w:rsid w:val="005A64E8"/>
    <w:rsid w:val="005A662A"/>
    <w:rsid w:val="005A66AF"/>
    <w:rsid w:val="005A66F7"/>
    <w:rsid w:val="005A67FB"/>
    <w:rsid w:val="005A6904"/>
    <w:rsid w:val="005A691C"/>
    <w:rsid w:val="005A693B"/>
    <w:rsid w:val="005A6A08"/>
    <w:rsid w:val="005A6B37"/>
    <w:rsid w:val="005A6C3C"/>
    <w:rsid w:val="005A6C43"/>
    <w:rsid w:val="005A6CEC"/>
    <w:rsid w:val="005A6D25"/>
    <w:rsid w:val="005A6D7E"/>
    <w:rsid w:val="005A6DA6"/>
    <w:rsid w:val="005A6E2E"/>
    <w:rsid w:val="005A6ECF"/>
    <w:rsid w:val="005A6ED0"/>
    <w:rsid w:val="005A6EF3"/>
    <w:rsid w:val="005A7108"/>
    <w:rsid w:val="005A7148"/>
    <w:rsid w:val="005A71E4"/>
    <w:rsid w:val="005A7288"/>
    <w:rsid w:val="005A728F"/>
    <w:rsid w:val="005A72C1"/>
    <w:rsid w:val="005A7315"/>
    <w:rsid w:val="005A737E"/>
    <w:rsid w:val="005A73CF"/>
    <w:rsid w:val="005A7426"/>
    <w:rsid w:val="005A749E"/>
    <w:rsid w:val="005A7528"/>
    <w:rsid w:val="005A7550"/>
    <w:rsid w:val="005A7557"/>
    <w:rsid w:val="005A765E"/>
    <w:rsid w:val="005A7664"/>
    <w:rsid w:val="005A7698"/>
    <w:rsid w:val="005A76C9"/>
    <w:rsid w:val="005A76D7"/>
    <w:rsid w:val="005A76FE"/>
    <w:rsid w:val="005A77CC"/>
    <w:rsid w:val="005A77EF"/>
    <w:rsid w:val="005A7877"/>
    <w:rsid w:val="005A7887"/>
    <w:rsid w:val="005A78EB"/>
    <w:rsid w:val="005A790C"/>
    <w:rsid w:val="005A7915"/>
    <w:rsid w:val="005A79D4"/>
    <w:rsid w:val="005A79ED"/>
    <w:rsid w:val="005A7A42"/>
    <w:rsid w:val="005A7A95"/>
    <w:rsid w:val="005A7AEA"/>
    <w:rsid w:val="005A7BE1"/>
    <w:rsid w:val="005A7C11"/>
    <w:rsid w:val="005A7C50"/>
    <w:rsid w:val="005A7CD6"/>
    <w:rsid w:val="005A7CFD"/>
    <w:rsid w:val="005A7D14"/>
    <w:rsid w:val="005A7DC5"/>
    <w:rsid w:val="005A7DD3"/>
    <w:rsid w:val="005A7E32"/>
    <w:rsid w:val="005A7F61"/>
    <w:rsid w:val="005A7FCC"/>
    <w:rsid w:val="005B02F1"/>
    <w:rsid w:val="005B0404"/>
    <w:rsid w:val="005B0429"/>
    <w:rsid w:val="005B04CA"/>
    <w:rsid w:val="005B0507"/>
    <w:rsid w:val="005B0521"/>
    <w:rsid w:val="005B0558"/>
    <w:rsid w:val="005B066F"/>
    <w:rsid w:val="005B0679"/>
    <w:rsid w:val="005B0689"/>
    <w:rsid w:val="005B0713"/>
    <w:rsid w:val="005B077A"/>
    <w:rsid w:val="005B0781"/>
    <w:rsid w:val="005B085B"/>
    <w:rsid w:val="005B0907"/>
    <w:rsid w:val="005B091D"/>
    <w:rsid w:val="005B092E"/>
    <w:rsid w:val="005B09CB"/>
    <w:rsid w:val="005B0B67"/>
    <w:rsid w:val="005B0C32"/>
    <w:rsid w:val="005B0D56"/>
    <w:rsid w:val="005B0EBE"/>
    <w:rsid w:val="005B0EF2"/>
    <w:rsid w:val="005B0F6F"/>
    <w:rsid w:val="005B0F89"/>
    <w:rsid w:val="005B1032"/>
    <w:rsid w:val="005B104C"/>
    <w:rsid w:val="005B1058"/>
    <w:rsid w:val="005B1083"/>
    <w:rsid w:val="005B10E9"/>
    <w:rsid w:val="005B121D"/>
    <w:rsid w:val="005B1231"/>
    <w:rsid w:val="005B128D"/>
    <w:rsid w:val="005B136C"/>
    <w:rsid w:val="005B13BD"/>
    <w:rsid w:val="005B1562"/>
    <w:rsid w:val="005B157D"/>
    <w:rsid w:val="005B15DB"/>
    <w:rsid w:val="005B1657"/>
    <w:rsid w:val="005B176B"/>
    <w:rsid w:val="005B1773"/>
    <w:rsid w:val="005B1827"/>
    <w:rsid w:val="005B1841"/>
    <w:rsid w:val="005B18A3"/>
    <w:rsid w:val="005B18AB"/>
    <w:rsid w:val="005B1902"/>
    <w:rsid w:val="005B19A4"/>
    <w:rsid w:val="005B19D1"/>
    <w:rsid w:val="005B19EB"/>
    <w:rsid w:val="005B19FA"/>
    <w:rsid w:val="005B1A32"/>
    <w:rsid w:val="005B1A38"/>
    <w:rsid w:val="005B1B1C"/>
    <w:rsid w:val="005B1B32"/>
    <w:rsid w:val="005B1B5E"/>
    <w:rsid w:val="005B1BB6"/>
    <w:rsid w:val="005B1BCE"/>
    <w:rsid w:val="005B1C5A"/>
    <w:rsid w:val="005B1C79"/>
    <w:rsid w:val="005B1CB3"/>
    <w:rsid w:val="005B1CE8"/>
    <w:rsid w:val="005B1D26"/>
    <w:rsid w:val="005B1D61"/>
    <w:rsid w:val="005B1EC2"/>
    <w:rsid w:val="005B1F72"/>
    <w:rsid w:val="005B1F9C"/>
    <w:rsid w:val="005B1F9F"/>
    <w:rsid w:val="005B2000"/>
    <w:rsid w:val="005B20B0"/>
    <w:rsid w:val="005B20E1"/>
    <w:rsid w:val="005B21CE"/>
    <w:rsid w:val="005B22AC"/>
    <w:rsid w:val="005B22D7"/>
    <w:rsid w:val="005B22DB"/>
    <w:rsid w:val="005B231E"/>
    <w:rsid w:val="005B239B"/>
    <w:rsid w:val="005B23AD"/>
    <w:rsid w:val="005B249C"/>
    <w:rsid w:val="005B24C8"/>
    <w:rsid w:val="005B24D4"/>
    <w:rsid w:val="005B2552"/>
    <w:rsid w:val="005B264D"/>
    <w:rsid w:val="005B2706"/>
    <w:rsid w:val="005B2707"/>
    <w:rsid w:val="005B2759"/>
    <w:rsid w:val="005B27F9"/>
    <w:rsid w:val="005B27FD"/>
    <w:rsid w:val="005B28C2"/>
    <w:rsid w:val="005B2970"/>
    <w:rsid w:val="005B2A24"/>
    <w:rsid w:val="005B2B38"/>
    <w:rsid w:val="005B2B48"/>
    <w:rsid w:val="005B2BA4"/>
    <w:rsid w:val="005B2C70"/>
    <w:rsid w:val="005B2C88"/>
    <w:rsid w:val="005B2CF4"/>
    <w:rsid w:val="005B2E20"/>
    <w:rsid w:val="005B2EA1"/>
    <w:rsid w:val="005B2F0E"/>
    <w:rsid w:val="005B2FCA"/>
    <w:rsid w:val="005B2FFD"/>
    <w:rsid w:val="005B3076"/>
    <w:rsid w:val="005B30A2"/>
    <w:rsid w:val="005B30FC"/>
    <w:rsid w:val="005B31E3"/>
    <w:rsid w:val="005B31E7"/>
    <w:rsid w:val="005B31EC"/>
    <w:rsid w:val="005B31F1"/>
    <w:rsid w:val="005B32DC"/>
    <w:rsid w:val="005B32F5"/>
    <w:rsid w:val="005B33A4"/>
    <w:rsid w:val="005B33BA"/>
    <w:rsid w:val="005B33D4"/>
    <w:rsid w:val="005B33FB"/>
    <w:rsid w:val="005B3593"/>
    <w:rsid w:val="005B35AB"/>
    <w:rsid w:val="005B38D7"/>
    <w:rsid w:val="005B38FA"/>
    <w:rsid w:val="005B392A"/>
    <w:rsid w:val="005B3987"/>
    <w:rsid w:val="005B398B"/>
    <w:rsid w:val="005B39BB"/>
    <w:rsid w:val="005B39D4"/>
    <w:rsid w:val="005B39FF"/>
    <w:rsid w:val="005B3AE5"/>
    <w:rsid w:val="005B3B08"/>
    <w:rsid w:val="005B3B3C"/>
    <w:rsid w:val="005B3B85"/>
    <w:rsid w:val="005B3B8B"/>
    <w:rsid w:val="005B3B94"/>
    <w:rsid w:val="005B3BED"/>
    <w:rsid w:val="005B3C4F"/>
    <w:rsid w:val="005B3D03"/>
    <w:rsid w:val="005B3D4C"/>
    <w:rsid w:val="005B3D7A"/>
    <w:rsid w:val="005B3DAC"/>
    <w:rsid w:val="005B3DAE"/>
    <w:rsid w:val="005B3DBF"/>
    <w:rsid w:val="005B3E39"/>
    <w:rsid w:val="005B3E4C"/>
    <w:rsid w:val="005B3E55"/>
    <w:rsid w:val="005B3EA8"/>
    <w:rsid w:val="005B3EE0"/>
    <w:rsid w:val="005B3EFE"/>
    <w:rsid w:val="005B404B"/>
    <w:rsid w:val="005B41C9"/>
    <w:rsid w:val="005B41E8"/>
    <w:rsid w:val="005B4283"/>
    <w:rsid w:val="005B4404"/>
    <w:rsid w:val="005B4423"/>
    <w:rsid w:val="005B4436"/>
    <w:rsid w:val="005B443F"/>
    <w:rsid w:val="005B45E2"/>
    <w:rsid w:val="005B4696"/>
    <w:rsid w:val="005B46DA"/>
    <w:rsid w:val="005B472B"/>
    <w:rsid w:val="005B475C"/>
    <w:rsid w:val="005B4778"/>
    <w:rsid w:val="005B47DC"/>
    <w:rsid w:val="005B487A"/>
    <w:rsid w:val="005B489A"/>
    <w:rsid w:val="005B49DE"/>
    <w:rsid w:val="005B4A20"/>
    <w:rsid w:val="005B4A82"/>
    <w:rsid w:val="005B4AB2"/>
    <w:rsid w:val="005B4B78"/>
    <w:rsid w:val="005B4BBC"/>
    <w:rsid w:val="005B4BCC"/>
    <w:rsid w:val="005B4CB6"/>
    <w:rsid w:val="005B4CBC"/>
    <w:rsid w:val="005B4DE6"/>
    <w:rsid w:val="005B4E15"/>
    <w:rsid w:val="005B4E1F"/>
    <w:rsid w:val="005B4EA3"/>
    <w:rsid w:val="005B4ECF"/>
    <w:rsid w:val="005B4F01"/>
    <w:rsid w:val="005B4F5D"/>
    <w:rsid w:val="005B4FA3"/>
    <w:rsid w:val="005B50EF"/>
    <w:rsid w:val="005B5187"/>
    <w:rsid w:val="005B51EE"/>
    <w:rsid w:val="005B51F0"/>
    <w:rsid w:val="005B52C0"/>
    <w:rsid w:val="005B5316"/>
    <w:rsid w:val="005B53A1"/>
    <w:rsid w:val="005B54A9"/>
    <w:rsid w:val="005B555A"/>
    <w:rsid w:val="005B55A4"/>
    <w:rsid w:val="005B55B3"/>
    <w:rsid w:val="005B561E"/>
    <w:rsid w:val="005B573F"/>
    <w:rsid w:val="005B57C3"/>
    <w:rsid w:val="005B57EC"/>
    <w:rsid w:val="005B582E"/>
    <w:rsid w:val="005B588A"/>
    <w:rsid w:val="005B5891"/>
    <w:rsid w:val="005B5924"/>
    <w:rsid w:val="005B5BF1"/>
    <w:rsid w:val="005B5C5D"/>
    <w:rsid w:val="005B5C93"/>
    <w:rsid w:val="005B5CA8"/>
    <w:rsid w:val="005B5CBE"/>
    <w:rsid w:val="005B5D01"/>
    <w:rsid w:val="005B5D44"/>
    <w:rsid w:val="005B5D87"/>
    <w:rsid w:val="005B5E2E"/>
    <w:rsid w:val="005B5FA7"/>
    <w:rsid w:val="005B60CA"/>
    <w:rsid w:val="005B60E0"/>
    <w:rsid w:val="005B6117"/>
    <w:rsid w:val="005B6213"/>
    <w:rsid w:val="005B6269"/>
    <w:rsid w:val="005B626D"/>
    <w:rsid w:val="005B6333"/>
    <w:rsid w:val="005B63E7"/>
    <w:rsid w:val="005B6422"/>
    <w:rsid w:val="005B642F"/>
    <w:rsid w:val="005B643C"/>
    <w:rsid w:val="005B643E"/>
    <w:rsid w:val="005B6442"/>
    <w:rsid w:val="005B6467"/>
    <w:rsid w:val="005B6821"/>
    <w:rsid w:val="005B684A"/>
    <w:rsid w:val="005B685D"/>
    <w:rsid w:val="005B6924"/>
    <w:rsid w:val="005B6A3C"/>
    <w:rsid w:val="005B6AB8"/>
    <w:rsid w:val="005B6AC7"/>
    <w:rsid w:val="005B6B62"/>
    <w:rsid w:val="005B6BBC"/>
    <w:rsid w:val="005B6C8F"/>
    <w:rsid w:val="005B6CE4"/>
    <w:rsid w:val="005B6D5D"/>
    <w:rsid w:val="005B6D99"/>
    <w:rsid w:val="005B6DBA"/>
    <w:rsid w:val="005B6F03"/>
    <w:rsid w:val="005B6F45"/>
    <w:rsid w:val="005B6F69"/>
    <w:rsid w:val="005B6F72"/>
    <w:rsid w:val="005B7070"/>
    <w:rsid w:val="005B70A6"/>
    <w:rsid w:val="005B70D9"/>
    <w:rsid w:val="005B7113"/>
    <w:rsid w:val="005B715C"/>
    <w:rsid w:val="005B7178"/>
    <w:rsid w:val="005B71E6"/>
    <w:rsid w:val="005B72A7"/>
    <w:rsid w:val="005B7334"/>
    <w:rsid w:val="005B73BF"/>
    <w:rsid w:val="005B73CE"/>
    <w:rsid w:val="005B7444"/>
    <w:rsid w:val="005B746F"/>
    <w:rsid w:val="005B74B1"/>
    <w:rsid w:val="005B759A"/>
    <w:rsid w:val="005B759F"/>
    <w:rsid w:val="005B7618"/>
    <w:rsid w:val="005B761F"/>
    <w:rsid w:val="005B7623"/>
    <w:rsid w:val="005B7743"/>
    <w:rsid w:val="005B77C7"/>
    <w:rsid w:val="005B77CA"/>
    <w:rsid w:val="005B77F2"/>
    <w:rsid w:val="005B77F3"/>
    <w:rsid w:val="005B78C0"/>
    <w:rsid w:val="005B78C3"/>
    <w:rsid w:val="005B78D0"/>
    <w:rsid w:val="005B78E2"/>
    <w:rsid w:val="005B79DA"/>
    <w:rsid w:val="005B7A1E"/>
    <w:rsid w:val="005B7A5D"/>
    <w:rsid w:val="005B7B59"/>
    <w:rsid w:val="005B7B90"/>
    <w:rsid w:val="005B7B93"/>
    <w:rsid w:val="005B7BB8"/>
    <w:rsid w:val="005B7C4D"/>
    <w:rsid w:val="005B7CFF"/>
    <w:rsid w:val="005B7D94"/>
    <w:rsid w:val="005B7DF6"/>
    <w:rsid w:val="005B7E6E"/>
    <w:rsid w:val="005B7EC0"/>
    <w:rsid w:val="005B7FA9"/>
    <w:rsid w:val="005B7FDD"/>
    <w:rsid w:val="005C0051"/>
    <w:rsid w:val="005C006E"/>
    <w:rsid w:val="005C00B6"/>
    <w:rsid w:val="005C026A"/>
    <w:rsid w:val="005C0271"/>
    <w:rsid w:val="005C0301"/>
    <w:rsid w:val="005C0342"/>
    <w:rsid w:val="005C0360"/>
    <w:rsid w:val="005C0389"/>
    <w:rsid w:val="005C038B"/>
    <w:rsid w:val="005C03E4"/>
    <w:rsid w:val="005C06A0"/>
    <w:rsid w:val="005C06C7"/>
    <w:rsid w:val="005C06F4"/>
    <w:rsid w:val="005C0779"/>
    <w:rsid w:val="005C08C0"/>
    <w:rsid w:val="005C09BB"/>
    <w:rsid w:val="005C0A3A"/>
    <w:rsid w:val="005C0A5B"/>
    <w:rsid w:val="005C0AAA"/>
    <w:rsid w:val="005C0AFC"/>
    <w:rsid w:val="005C0C48"/>
    <w:rsid w:val="005C0CD0"/>
    <w:rsid w:val="005C0D0A"/>
    <w:rsid w:val="005C0D41"/>
    <w:rsid w:val="005C0D4D"/>
    <w:rsid w:val="005C0EFB"/>
    <w:rsid w:val="005C0F39"/>
    <w:rsid w:val="005C0F5A"/>
    <w:rsid w:val="005C0F6C"/>
    <w:rsid w:val="005C0F82"/>
    <w:rsid w:val="005C0FAE"/>
    <w:rsid w:val="005C0FC8"/>
    <w:rsid w:val="005C109E"/>
    <w:rsid w:val="005C10B6"/>
    <w:rsid w:val="005C10BA"/>
    <w:rsid w:val="005C1122"/>
    <w:rsid w:val="005C11BB"/>
    <w:rsid w:val="005C139C"/>
    <w:rsid w:val="005C13E2"/>
    <w:rsid w:val="005C14B1"/>
    <w:rsid w:val="005C14CE"/>
    <w:rsid w:val="005C14D7"/>
    <w:rsid w:val="005C153D"/>
    <w:rsid w:val="005C1565"/>
    <w:rsid w:val="005C156B"/>
    <w:rsid w:val="005C1604"/>
    <w:rsid w:val="005C1647"/>
    <w:rsid w:val="005C173A"/>
    <w:rsid w:val="005C1783"/>
    <w:rsid w:val="005C1834"/>
    <w:rsid w:val="005C1857"/>
    <w:rsid w:val="005C18D0"/>
    <w:rsid w:val="005C1946"/>
    <w:rsid w:val="005C1A66"/>
    <w:rsid w:val="005C1A9A"/>
    <w:rsid w:val="005C1AA7"/>
    <w:rsid w:val="005C1AE4"/>
    <w:rsid w:val="005C1B0A"/>
    <w:rsid w:val="005C1B43"/>
    <w:rsid w:val="005C1CEC"/>
    <w:rsid w:val="005C1DA1"/>
    <w:rsid w:val="005C1DA7"/>
    <w:rsid w:val="005C1DBB"/>
    <w:rsid w:val="005C1DC3"/>
    <w:rsid w:val="005C1E90"/>
    <w:rsid w:val="005C1E9A"/>
    <w:rsid w:val="005C1EA0"/>
    <w:rsid w:val="005C1F8C"/>
    <w:rsid w:val="005C1F97"/>
    <w:rsid w:val="005C2052"/>
    <w:rsid w:val="005C20AF"/>
    <w:rsid w:val="005C21BC"/>
    <w:rsid w:val="005C21BD"/>
    <w:rsid w:val="005C22CE"/>
    <w:rsid w:val="005C231A"/>
    <w:rsid w:val="005C2342"/>
    <w:rsid w:val="005C2365"/>
    <w:rsid w:val="005C23CD"/>
    <w:rsid w:val="005C24B5"/>
    <w:rsid w:val="005C254B"/>
    <w:rsid w:val="005C2587"/>
    <w:rsid w:val="005C25E6"/>
    <w:rsid w:val="005C265E"/>
    <w:rsid w:val="005C2696"/>
    <w:rsid w:val="005C26A2"/>
    <w:rsid w:val="005C294A"/>
    <w:rsid w:val="005C297B"/>
    <w:rsid w:val="005C2996"/>
    <w:rsid w:val="005C2BC5"/>
    <w:rsid w:val="005C2CB7"/>
    <w:rsid w:val="005C2D35"/>
    <w:rsid w:val="005C2D3D"/>
    <w:rsid w:val="005C2D7A"/>
    <w:rsid w:val="005C2D84"/>
    <w:rsid w:val="005C2DE3"/>
    <w:rsid w:val="005C2F7F"/>
    <w:rsid w:val="005C3067"/>
    <w:rsid w:val="005C309A"/>
    <w:rsid w:val="005C309B"/>
    <w:rsid w:val="005C30B5"/>
    <w:rsid w:val="005C3151"/>
    <w:rsid w:val="005C31DD"/>
    <w:rsid w:val="005C3259"/>
    <w:rsid w:val="005C32BA"/>
    <w:rsid w:val="005C3387"/>
    <w:rsid w:val="005C33C4"/>
    <w:rsid w:val="005C3474"/>
    <w:rsid w:val="005C355F"/>
    <w:rsid w:val="005C356E"/>
    <w:rsid w:val="005C3637"/>
    <w:rsid w:val="005C36A2"/>
    <w:rsid w:val="005C3724"/>
    <w:rsid w:val="005C372C"/>
    <w:rsid w:val="005C3761"/>
    <w:rsid w:val="005C377B"/>
    <w:rsid w:val="005C3834"/>
    <w:rsid w:val="005C3839"/>
    <w:rsid w:val="005C38F6"/>
    <w:rsid w:val="005C3949"/>
    <w:rsid w:val="005C3965"/>
    <w:rsid w:val="005C39B9"/>
    <w:rsid w:val="005C39E8"/>
    <w:rsid w:val="005C3A08"/>
    <w:rsid w:val="005C3A3A"/>
    <w:rsid w:val="005C3AC1"/>
    <w:rsid w:val="005C3AD1"/>
    <w:rsid w:val="005C3B1A"/>
    <w:rsid w:val="005C3B21"/>
    <w:rsid w:val="005C3B61"/>
    <w:rsid w:val="005C3BB7"/>
    <w:rsid w:val="005C3C3C"/>
    <w:rsid w:val="005C3C75"/>
    <w:rsid w:val="005C3CE4"/>
    <w:rsid w:val="005C3D14"/>
    <w:rsid w:val="005C3D86"/>
    <w:rsid w:val="005C3DCF"/>
    <w:rsid w:val="005C3DF8"/>
    <w:rsid w:val="005C3EBD"/>
    <w:rsid w:val="005C3FD2"/>
    <w:rsid w:val="005C4013"/>
    <w:rsid w:val="005C4054"/>
    <w:rsid w:val="005C40BE"/>
    <w:rsid w:val="005C4140"/>
    <w:rsid w:val="005C4159"/>
    <w:rsid w:val="005C41B3"/>
    <w:rsid w:val="005C430E"/>
    <w:rsid w:val="005C4329"/>
    <w:rsid w:val="005C436F"/>
    <w:rsid w:val="005C43A3"/>
    <w:rsid w:val="005C445F"/>
    <w:rsid w:val="005C4498"/>
    <w:rsid w:val="005C44EB"/>
    <w:rsid w:val="005C4646"/>
    <w:rsid w:val="005C46E0"/>
    <w:rsid w:val="005C4715"/>
    <w:rsid w:val="005C4717"/>
    <w:rsid w:val="005C4751"/>
    <w:rsid w:val="005C47C8"/>
    <w:rsid w:val="005C4834"/>
    <w:rsid w:val="005C4840"/>
    <w:rsid w:val="005C4859"/>
    <w:rsid w:val="005C485A"/>
    <w:rsid w:val="005C49CB"/>
    <w:rsid w:val="005C4A4F"/>
    <w:rsid w:val="005C4A98"/>
    <w:rsid w:val="005C4BC8"/>
    <w:rsid w:val="005C4BF1"/>
    <w:rsid w:val="005C4C65"/>
    <w:rsid w:val="005C4C8A"/>
    <w:rsid w:val="005C4C8D"/>
    <w:rsid w:val="005C4D3F"/>
    <w:rsid w:val="005C4D69"/>
    <w:rsid w:val="005C4E14"/>
    <w:rsid w:val="005C4E68"/>
    <w:rsid w:val="005C4EFD"/>
    <w:rsid w:val="005C505C"/>
    <w:rsid w:val="005C50EF"/>
    <w:rsid w:val="005C50F9"/>
    <w:rsid w:val="005C511C"/>
    <w:rsid w:val="005C5125"/>
    <w:rsid w:val="005C516C"/>
    <w:rsid w:val="005C51FB"/>
    <w:rsid w:val="005C524A"/>
    <w:rsid w:val="005C5333"/>
    <w:rsid w:val="005C5387"/>
    <w:rsid w:val="005C538E"/>
    <w:rsid w:val="005C53ED"/>
    <w:rsid w:val="005C5447"/>
    <w:rsid w:val="005C5472"/>
    <w:rsid w:val="005C54A9"/>
    <w:rsid w:val="005C54B6"/>
    <w:rsid w:val="005C5546"/>
    <w:rsid w:val="005C55AF"/>
    <w:rsid w:val="005C561E"/>
    <w:rsid w:val="005C5653"/>
    <w:rsid w:val="005C5657"/>
    <w:rsid w:val="005C56AA"/>
    <w:rsid w:val="005C56EE"/>
    <w:rsid w:val="005C5771"/>
    <w:rsid w:val="005C57D0"/>
    <w:rsid w:val="005C5898"/>
    <w:rsid w:val="005C58EB"/>
    <w:rsid w:val="005C59E8"/>
    <w:rsid w:val="005C5A21"/>
    <w:rsid w:val="005C5A30"/>
    <w:rsid w:val="005C5B34"/>
    <w:rsid w:val="005C5B43"/>
    <w:rsid w:val="005C5BC4"/>
    <w:rsid w:val="005C5CA3"/>
    <w:rsid w:val="005C5CFD"/>
    <w:rsid w:val="005C5D39"/>
    <w:rsid w:val="005C5D73"/>
    <w:rsid w:val="005C60AC"/>
    <w:rsid w:val="005C60EE"/>
    <w:rsid w:val="005C6111"/>
    <w:rsid w:val="005C6190"/>
    <w:rsid w:val="005C6228"/>
    <w:rsid w:val="005C6234"/>
    <w:rsid w:val="005C6260"/>
    <w:rsid w:val="005C6354"/>
    <w:rsid w:val="005C6359"/>
    <w:rsid w:val="005C6378"/>
    <w:rsid w:val="005C63F2"/>
    <w:rsid w:val="005C6421"/>
    <w:rsid w:val="005C64CD"/>
    <w:rsid w:val="005C64DE"/>
    <w:rsid w:val="005C65C4"/>
    <w:rsid w:val="005C65DE"/>
    <w:rsid w:val="005C6625"/>
    <w:rsid w:val="005C6668"/>
    <w:rsid w:val="005C67F0"/>
    <w:rsid w:val="005C684D"/>
    <w:rsid w:val="005C6902"/>
    <w:rsid w:val="005C6960"/>
    <w:rsid w:val="005C69F2"/>
    <w:rsid w:val="005C6AE2"/>
    <w:rsid w:val="005C6B10"/>
    <w:rsid w:val="005C6B70"/>
    <w:rsid w:val="005C6BBC"/>
    <w:rsid w:val="005C6BC7"/>
    <w:rsid w:val="005C6C42"/>
    <w:rsid w:val="005C6CD5"/>
    <w:rsid w:val="005C6CE1"/>
    <w:rsid w:val="005C6D50"/>
    <w:rsid w:val="005C6E09"/>
    <w:rsid w:val="005C6EED"/>
    <w:rsid w:val="005C6F0C"/>
    <w:rsid w:val="005C6FC2"/>
    <w:rsid w:val="005C6FD8"/>
    <w:rsid w:val="005C6FF8"/>
    <w:rsid w:val="005C71CB"/>
    <w:rsid w:val="005C7215"/>
    <w:rsid w:val="005C7396"/>
    <w:rsid w:val="005C73C9"/>
    <w:rsid w:val="005C742B"/>
    <w:rsid w:val="005C7471"/>
    <w:rsid w:val="005C752D"/>
    <w:rsid w:val="005C75A9"/>
    <w:rsid w:val="005C76A4"/>
    <w:rsid w:val="005C7700"/>
    <w:rsid w:val="005C7707"/>
    <w:rsid w:val="005C774A"/>
    <w:rsid w:val="005C778A"/>
    <w:rsid w:val="005C779F"/>
    <w:rsid w:val="005C7811"/>
    <w:rsid w:val="005C7868"/>
    <w:rsid w:val="005C7907"/>
    <w:rsid w:val="005C7935"/>
    <w:rsid w:val="005C7937"/>
    <w:rsid w:val="005C798C"/>
    <w:rsid w:val="005C79E9"/>
    <w:rsid w:val="005C79F6"/>
    <w:rsid w:val="005C7B19"/>
    <w:rsid w:val="005C7B47"/>
    <w:rsid w:val="005C7B5A"/>
    <w:rsid w:val="005C7BBD"/>
    <w:rsid w:val="005C7C46"/>
    <w:rsid w:val="005C7C87"/>
    <w:rsid w:val="005C7CE7"/>
    <w:rsid w:val="005C7D4B"/>
    <w:rsid w:val="005C7D4C"/>
    <w:rsid w:val="005C7DD8"/>
    <w:rsid w:val="005C7DEF"/>
    <w:rsid w:val="005C7E30"/>
    <w:rsid w:val="005C7E42"/>
    <w:rsid w:val="005C7E5E"/>
    <w:rsid w:val="005C7E87"/>
    <w:rsid w:val="005C7EA7"/>
    <w:rsid w:val="005C7EAB"/>
    <w:rsid w:val="005C7F51"/>
    <w:rsid w:val="005C7F7C"/>
    <w:rsid w:val="005D000C"/>
    <w:rsid w:val="005D000E"/>
    <w:rsid w:val="005D00F9"/>
    <w:rsid w:val="005D010D"/>
    <w:rsid w:val="005D0121"/>
    <w:rsid w:val="005D0205"/>
    <w:rsid w:val="005D0224"/>
    <w:rsid w:val="005D0265"/>
    <w:rsid w:val="005D02CD"/>
    <w:rsid w:val="005D02E1"/>
    <w:rsid w:val="005D02E7"/>
    <w:rsid w:val="005D02EE"/>
    <w:rsid w:val="005D0475"/>
    <w:rsid w:val="005D04B5"/>
    <w:rsid w:val="005D04D8"/>
    <w:rsid w:val="005D052B"/>
    <w:rsid w:val="005D075D"/>
    <w:rsid w:val="005D07F6"/>
    <w:rsid w:val="005D0817"/>
    <w:rsid w:val="005D0836"/>
    <w:rsid w:val="005D0864"/>
    <w:rsid w:val="005D08C8"/>
    <w:rsid w:val="005D097D"/>
    <w:rsid w:val="005D0A90"/>
    <w:rsid w:val="005D0A94"/>
    <w:rsid w:val="005D0B30"/>
    <w:rsid w:val="005D0B64"/>
    <w:rsid w:val="005D0C1E"/>
    <w:rsid w:val="005D0C60"/>
    <w:rsid w:val="005D0C7E"/>
    <w:rsid w:val="005D0D8E"/>
    <w:rsid w:val="005D0DB2"/>
    <w:rsid w:val="005D0E94"/>
    <w:rsid w:val="005D0EA4"/>
    <w:rsid w:val="005D0F32"/>
    <w:rsid w:val="005D0F41"/>
    <w:rsid w:val="005D0F43"/>
    <w:rsid w:val="005D0F5D"/>
    <w:rsid w:val="005D1008"/>
    <w:rsid w:val="005D1041"/>
    <w:rsid w:val="005D104D"/>
    <w:rsid w:val="005D1097"/>
    <w:rsid w:val="005D10A3"/>
    <w:rsid w:val="005D10F5"/>
    <w:rsid w:val="005D110E"/>
    <w:rsid w:val="005D118A"/>
    <w:rsid w:val="005D1211"/>
    <w:rsid w:val="005D1292"/>
    <w:rsid w:val="005D12F7"/>
    <w:rsid w:val="005D1310"/>
    <w:rsid w:val="005D1313"/>
    <w:rsid w:val="005D13F7"/>
    <w:rsid w:val="005D1408"/>
    <w:rsid w:val="005D1541"/>
    <w:rsid w:val="005D158E"/>
    <w:rsid w:val="005D159F"/>
    <w:rsid w:val="005D15B7"/>
    <w:rsid w:val="005D15DF"/>
    <w:rsid w:val="005D165B"/>
    <w:rsid w:val="005D1662"/>
    <w:rsid w:val="005D1711"/>
    <w:rsid w:val="005D1747"/>
    <w:rsid w:val="005D1791"/>
    <w:rsid w:val="005D17A4"/>
    <w:rsid w:val="005D189C"/>
    <w:rsid w:val="005D1902"/>
    <w:rsid w:val="005D1922"/>
    <w:rsid w:val="005D1939"/>
    <w:rsid w:val="005D1A81"/>
    <w:rsid w:val="005D1AF0"/>
    <w:rsid w:val="005D1B51"/>
    <w:rsid w:val="005D1B7C"/>
    <w:rsid w:val="005D1CC0"/>
    <w:rsid w:val="005D1CF6"/>
    <w:rsid w:val="005D1D2C"/>
    <w:rsid w:val="005D1D8C"/>
    <w:rsid w:val="005D1E69"/>
    <w:rsid w:val="005D1E8C"/>
    <w:rsid w:val="005D1F1B"/>
    <w:rsid w:val="005D1F60"/>
    <w:rsid w:val="005D1F82"/>
    <w:rsid w:val="005D1FA5"/>
    <w:rsid w:val="005D2019"/>
    <w:rsid w:val="005D2023"/>
    <w:rsid w:val="005D20BF"/>
    <w:rsid w:val="005D2138"/>
    <w:rsid w:val="005D2142"/>
    <w:rsid w:val="005D2177"/>
    <w:rsid w:val="005D21CA"/>
    <w:rsid w:val="005D2243"/>
    <w:rsid w:val="005D2413"/>
    <w:rsid w:val="005D241F"/>
    <w:rsid w:val="005D243E"/>
    <w:rsid w:val="005D24DE"/>
    <w:rsid w:val="005D25C2"/>
    <w:rsid w:val="005D261D"/>
    <w:rsid w:val="005D262E"/>
    <w:rsid w:val="005D265D"/>
    <w:rsid w:val="005D279B"/>
    <w:rsid w:val="005D2804"/>
    <w:rsid w:val="005D28F4"/>
    <w:rsid w:val="005D29D4"/>
    <w:rsid w:val="005D29E6"/>
    <w:rsid w:val="005D2A39"/>
    <w:rsid w:val="005D2A3D"/>
    <w:rsid w:val="005D2A73"/>
    <w:rsid w:val="005D2B6E"/>
    <w:rsid w:val="005D2B7B"/>
    <w:rsid w:val="005D2BDD"/>
    <w:rsid w:val="005D2C0E"/>
    <w:rsid w:val="005D2CCF"/>
    <w:rsid w:val="005D2CDA"/>
    <w:rsid w:val="005D2D1C"/>
    <w:rsid w:val="005D2D4E"/>
    <w:rsid w:val="005D2DFB"/>
    <w:rsid w:val="005D2F27"/>
    <w:rsid w:val="005D2F35"/>
    <w:rsid w:val="005D30F3"/>
    <w:rsid w:val="005D30F5"/>
    <w:rsid w:val="005D3111"/>
    <w:rsid w:val="005D314A"/>
    <w:rsid w:val="005D3166"/>
    <w:rsid w:val="005D3192"/>
    <w:rsid w:val="005D31A1"/>
    <w:rsid w:val="005D31DF"/>
    <w:rsid w:val="005D3243"/>
    <w:rsid w:val="005D3258"/>
    <w:rsid w:val="005D3282"/>
    <w:rsid w:val="005D329E"/>
    <w:rsid w:val="005D3389"/>
    <w:rsid w:val="005D33A4"/>
    <w:rsid w:val="005D34E0"/>
    <w:rsid w:val="005D3565"/>
    <w:rsid w:val="005D35EF"/>
    <w:rsid w:val="005D3636"/>
    <w:rsid w:val="005D3650"/>
    <w:rsid w:val="005D367E"/>
    <w:rsid w:val="005D379D"/>
    <w:rsid w:val="005D384A"/>
    <w:rsid w:val="005D3864"/>
    <w:rsid w:val="005D386B"/>
    <w:rsid w:val="005D38F0"/>
    <w:rsid w:val="005D39D7"/>
    <w:rsid w:val="005D39E7"/>
    <w:rsid w:val="005D39EE"/>
    <w:rsid w:val="005D3ADB"/>
    <w:rsid w:val="005D3B05"/>
    <w:rsid w:val="005D3B2F"/>
    <w:rsid w:val="005D3B3B"/>
    <w:rsid w:val="005D3BFD"/>
    <w:rsid w:val="005D3C22"/>
    <w:rsid w:val="005D3C82"/>
    <w:rsid w:val="005D3CB9"/>
    <w:rsid w:val="005D3CDA"/>
    <w:rsid w:val="005D3DD1"/>
    <w:rsid w:val="005D3E4A"/>
    <w:rsid w:val="005D3E68"/>
    <w:rsid w:val="005D3E7A"/>
    <w:rsid w:val="005D3F1B"/>
    <w:rsid w:val="005D3F46"/>
    <w:rsid w:val="005D3F99"/>
    <w:rsid w:val="005D4099"/>
    <w:rsid w:val="005D4124"/>
    <w:rsid w:val="005D413C"/>
    <w:rsid w:val="005D4181"/>
    <w:rsid w:val="005D41A2"/>
    <w:rsid w:val="005D422E"/>
    <w:rsid w:val="005D4259"/>
    <w:rsid w:val="005D428B"/>
    <w:rsid w:val="005D4290"/>
    <w:rsid w:val="005D4310"/>
    <w:rsid w:val="005D434B"/>
    <w:rsid w:val="005D435F"/>
    <w:rsid w:val="005D43BE"/>
    <w:rsid w:val="005D43F9"/>
    <w:rsid w:val="005D4453"/>
    <w:rsid w:val="005D44BC"/>
    <w:rsid w:val="005D450C"/>
    <w:rsid w:val="005D45B6"/>
    <w:rsid w:val="005D4617"/>
    <w:rsid w:val="005D4667"/>
    <w:rsid w:val="005D46AE"/>
    <w:rsid w:val="005D471A"/>
    <w:rsid w:val="005D476A"/>
    <w:rsid w:val="005D488B"/>
    <w:rsid w:val="005D4947"/>
    <w:rsid w:val="005D4959"/>
    <w:rsid w:val="005D4A27"/>
    <w:rsid w:val="005D4A64"/>
    <w:rsid w:val="005D4AD3"/>
    <w:rsid w:val="005D4B2D"/>
    <w:rsid w:val="005D4B34"/>
    <w:rsid w:val="005D4C07"/>
    <w:rsid w:val="005D4CAD"/>
    <w:rsid w:val="005D4D3A"/>
    <w:rsid w:val="005D4D57"/>
    <w:rsid w:val="005D4E67"/>
    <w:rsid w:val="005D4E86"/>
    <w:rsid w:val="005D4EC9"/>
    <w:rsid w:val="005D4ECC"/>
    <w:rsid w:val="005D4EDE"/>
    <w:rsid w:val="005D4F0F"/>
    <w:rsid w:val="005D4F4D"/>
    <w:rsid w:val="005D4F52"/>
    <w:rsid w:val="005D4F54"/>
    <w:rsid w:val="005D4F5F"/>
    <w:rsid w:val="005D4F6E"/>
    <w:rsid w:val="005D4F73"/>
    <w:rsid w:val="005D4FCB"/>
    <w:rsid w:val="005D5001"/>
    <w:rsid w:val="005D50EB"/>
    <w:rsid w:val="005D51DF"/>
    <w:rsid w:val="005D52DC"/>
    <w:rsid w:val="005D53D8"/>
    <w:rsid w:val="005D53F2"/>
    <w:rsid w:val="005D5400"/>
    <w:rsid w:val="005D54D0"/>
    <w:rsid w:val="005D557A"/>
    <w:rsid w:val="005D562A"/>
    <w:rsid w:val="005D56C6"/>
    <w:rsid w:val="005D5713"/>
    <w:rsid w:val="005D5717"/>
    <w:rsid w:val="005D5805"/>
    <w:rsid w:val="005D584F"/>
    <w:rsid w:val="005D5952"/>
    <w:rsid w:val="005D59FF"/>
    <w:rsid w:val="005D5A26"/>
    <w:rsid w:val="005D5ADE"/>
    <w:rsid w:val="005D5B21"/>
    <w:rsid w:val="005D5B9B"/>
    <w:rsid w:val="005D5BB4"/>
    <w:rsid w:val="005D5C3A"/>
    <w:rsid w:val="005D5C56"/>
    <w:rsid w:val="005D5D12"/>
    <w:rsid w:val="005D5F1B"/>
    <w:rsid w:val="005D5FAB"/>
    <w:rsid w:val="005D60D0"/>
    <w:rsid w:val="005D615A"/>
    <w:rsid w:val="005D6183"/>
    <w:rsid w:val="005D6276"/>
    <w:rsid w:val="005D6289"/>
    <w:rsid w:val="005D63C5"/>
    <w:rsid w:val="005D63F3"/>
    <w:rsid w:val="005D63FC"/>
    <w:rsid w:val="005D65E3"/>
    <w:rsid w:val="005D6734"/>
    <w:rsid w:val="005D677F"/>
    <w:rsid w:val="005D6851"/>
    <w:rsid w:val="005D6876"/>
    <w:rsid w:val="005D6919"/>
    <w:rsid w:val="005D69FC"/>
    <w:rsid w:val="005D6A10"/>
    <w:rsid w:val="005D6ABD"/>
    <w:rsid w:val="005D6AD8"/>
    <w:rsid w:val="005D6B6B"/>
    <w:rsid w:val="005D6B90"/>
    <w:rsid w:val="005D6C3F"/>
    <w:rsid w:val="005D6CA1"/>
    <w:rsid w:val="005D6CB4"/>
    <w:rsid w:val="005D6D06"/>
    <w:rsid w:val="005D6DA9"/>
    <w:rsid w:val="005D6DC4"/>
    <w:rsid w:val="005D6E06"/>
    <w:rsid w:val="005D6E0E"/>
    <w:rsid w:val="005D6E98"/>
    <w:rsid w:val="005D6EA5"/>
    <w:rsid w:val="005D6EFF"/>
    <w:rsid w:val="005D6F1D"/>
    <w:rsid w:val="005D6F75"/>
    <w:rsid w:val="005D6F81"/>
    <w:rsid w:val="005D6FD0"/>
    <w:rsid w:val="005D6FF3"/>
    <w:rsid w:val="005D70BE"/>
    <w:rsid w:val="005D7139"/>
    <w:rsid w:val="005D7180"/>
    <w:rsid w:val="005D71E0"/>
    <w:rsid w:val="005D72AA"/>
    <w:rsid w:val="005D72BE"/>
    <w:rsid w:val="005D72E7"/>
    <w:rsid w:val="005D72F3"/>
    <w:rsid w:val="005D734A"/>
    <w:rsid w:val="005D734F"/>
    <w:rsid w:val="005D73E3"/>
    <w:rsid w:val="005D7417"/>
    <w:rsid w:val="005D74C5"/>
    <w:rsid w:val="005D751F"/>
    <w:rsid w:val="005D7598"/>
    <w:rsid w:val="005D75E8"/>
    <w:rsid w:val="005D7682"/>
    <w:rsid w:val="005D7751"/>
    <w:rsid w:val="005D77B2"/>
    <w:rsid w:val="005D7892"/>
    <w:rsid w:val="005D794B"/>
    <w:rsid w:val="005D797D"/>
    <w:rsid w:val="005D7982"/>
    <w:rsid w:val="005D798A"/>
    <w:rsid w:val="005D7A00"/>
    <w:rsid w:val="005D7A38"/>
    <w:rsid w:val="005D7AC1"/>
    <w:rsid w:val="005D7AC7"/>
    <w:rsid w:val="005D7B10"/>
    <w:rsid w:val="005D7B3B"/>
    <w:rsid w:val="005D7B51"/>
    <w:rsid w:val="005D7CDC"/>
    <w:rsid w:val="005D7EFB"/>
    <w:rsid w:val="005D7F6A"/>
    <w:rsid w:val="005E0053"/>
    <w:rsid w:val="005E0082"/>
    <w:rsid w:val="005E00CA"/>
    <w:rsid w:val="005E010F"/>
    <w:rsid w:val="005E021F"/>
    <w:rsid w:val="005E0273"/>
    <w:rsid w:val="005E032E"/>
    <w:rsid w:val="005E035C"/>
    <w:rsid w:val="005E0399"/>
    <w:rsid w:val="005E04E6"/>
    <w:rsid w:val="005E04F7"/>
    <w:rsid w:val="005E05DF"/>
    <w:rsid w:val="005E05E5"/>
    <w:rsid w:val="005E06EA"/>
    <w:rsid w:val="005E0707"/>
    <w:rsid w:val="005E0757"/>
    <w:rsid w:val="005E0778"/>
    <w:rsid w:val="005E077F"/>
    <w:rsid w:val="005E079A"/>
    <w:rsid w:val="005E07B3"/>
    <w:rsid w:val="005E07B8"/>
    <w:rsid w:val="005E090D"/>
    <w:rsid w:val="005E0BD7"/>
    <w:rsid w:val="005E0C45"/>
    <w:rsid w:val="005E0C69"/>
    <w:rsid w:val="005E0D22"/>
    <w:rsid w:val="005E0D6E"/>
    <w:rsid w:val="005E0DA5"/>
    <w:rsid w:val="005E0DC3"/>
    <w:rsid w:val="005E0E01"/>
    <w:rsid w:val="005E0E16"/>
    <w:rsid w:val="005E0E2B"/>
    <w:rsid w:val="005E0E54"/>
    <w:rsid w:val="005E0E94"/>
    <w:rsid w:val="005E0EA4"/>
    <w:rsid w:val="005E0F2B"/>
    <w:rsid w:val="005E0F69"/>
    <w:rsid w:val="005E0FAA"/>
    <w:rsid w:val="005E103F"/>
    <w:rsid w:val="005E1146"/>
    <w:rsid w:val="005E11B2"/>
    <w:rsid w:val="005E1231"/>
    <w:rsid w:val="005E1265"/>
    <w:rsid w:val="005E1338"/>
    <w:rsid w:val="005E1356"/>
    <w:rsid w:val="005E13A4"/>
    <w:rsid w:val="005E13FC"/>
    <w:rsid w:val="005E157D"/>
    <w:rsid w:val="005E1580"/>
    <w:rsid w:val="005E15A2"/>
    <w:rsid w:val="005E1601"/>
    <w:rsid w:val="005E1638"/>
    <w:rsid w:val="005E1676"/>
    <w:rsid w:val="005E16B9"/>
    <w:rsid w:val="005E17B7"/>
    <w:rsid w:val="005E198B"/>
    <w:rsid w:val="005E1A1A"/>
    <w:rsid w:val="005E1AE9"/>
    <w:rsid w:val="005E1B8C"/>
    <w:rsid w:val="005E1BCA"/>
    <w:rsid w:val="005E1C1E"/>
    <w:rsid w:val="005E1C82"/>
    <w:rsid w:val="005E1CAE"/>
    <w:rsid w:val="005E1CD0"/>
    <w:rsid w:val="005E1D24"/>
    <w:rsid w:val="005E1E32"/>
    <w:rsid w:val="005E1E53"/>
    <w:rsid w:val="005E1E7A"/>
    <w:rsid w:val="005E1EB2"/>
    <w:rsid w:val="005E1EB9"/>
    <w:rsid w:val="005E1F47"/>
    <w:rsid w:val="005E1F5D"/>
    <w:rsid w:val="005E1FF6"/>
    <w:rsid w:val="005E2010"/>
    <w:rsid w:val="005E201A"/>
    <w:rsid w:val="005E2050"/>
    <w:rsid w:val="005E20C5"/>
    <w:rsid w:val="005E20E7"/>
    <w:rsid w:val="005E210C"/>
    <w:rsid w:val="005E2194"/>
    <w:rsid w:val="005E2278"/>
    <w:rsid w:val="005E235A"/>
    <w:rsid w:val="005E2382"/>
    <w:rsid w:val="005E2392"/>
    <w:rsid w:val="005E23C2"/>
    <w:rsid w:val="005E2464"/>
    <w:rsid w:val="005E24D1"/>
    <w:rsid w:val="005E25CA"/>
    <w:rsid w:val="005E2630"/>
    <w:rsid w:val="005E265A"/>
    <w:rsid w:val="005E26AC"/>
    <w:rsid w:val="005E26F7"/>
    <w:rsid w:val="005E2775"/>
    <w:rsid w:val="005E277E"/>
    <w:rsid w:val="005E27E4"/>
    <w:rsid w:val="005E27ED"/>
    <w:rsid w:val="005E27F7"/>
    <w:rsid w:val="005E28B1"/>
    <w:rsid w:val="005E297D"/>
    <w:rsid w:val="005E29C2"/>
    <w:rsid w:val="005E2A0F"/>
    <w:rsid w:val="005E2A28"/>
    <w:rsid w:val="005E2A50"/>
    <w:rsid w:val="005E2A8C"/>
    <w:rsid w:val="005E2B01"/>
    <w:rsid w:val="005E2BA2"/>
    <w:rsid w:val="005E2C03"/>
    <w:rsid w:val="005E2C7E"/>
    <w:rsid w:val="005E2CAE"/>
    <w:rsid w:val="005E2CF8"/>
    <w:rsid w:val="005E2D98"/>
    <w:rsid w:val="005E2DAC"/>
    <w:rsid w:val="005E2E05"/>
    <w:rsid w:val="005E2E0F"/>
    <w:rsid w:val="005E2E6A"/>
    <w:rsid w:val="005E2ED2"/>
    <w:rsid w:val="005E2F21"/>
    <w:rsid w:val="005E3165"/>
    <w:rsid w:val="005E316D"/>
    <w:rsid w:val="005E31E6"/>
    <w:rsid w:val="005E320E"/>
    <w:rsid w:val="005E3298"/>
    <w:rsid w:val="005E32FE"/>
    <w:rsid w:val="005E3364"/>
    <w:rsid w:val="005E336F"/>
    <w:rsid w:val="005E33C9"/>
    <w:rsid w:val="005E3439"/>
    <w:rsid w:val="005E343C"/>
    <w:rsid w:val="005E351C"/>
    <w:rsid w:val="005E3540"/>
    <w:rsid w:val="005E35B7"/>
    <w:rsid w:val="005E35BE"/>
    <w:rsid w:val="005E35D0"/>
    <w:rsid w:val="005E35E9"/>
    <w:rsid w:val="005E3625"/>
    <w:rsid w:val="005E377B"/>
    <w:rsid w:val="005E3929"/>
    <w:rsid w:val="005E394B"/>
    <w:rsid w:val="005E3971"/>
    <w:rsid w:val="005E3A0E"/>
    <w:rsid w:val="005E3A65"/>
    <w:rsid w:val="005E3A88"/>
    <w:rsid w:val="005E3AC6"/>
    <w:rsid w:val="005E3D33"/>
    <w:rsid w:val="005E3D85"/>
    <w:rsid w:val="005E3E14"/>
    <w:rsid w:val="005E3EFD"/>
    <w:rsid w:val="005E4033"/>
    <w:rsid w:val="005E406A"/>
    <w:rsid w:val="005E4080"/>
    <w:rsid w:val="005E40DF"/>
    <w:rsid w:val="005E4179"/>
    <w:rsid w:val="005E41CD"/>
    <w:rsid w:val="005E41FB"/>
    <w:rsid w:val="005E4231"/>
    <w:rsid w:val="005E4289"/>
    <w:rsid w:val="005E438A"/>
    <w:rsid w:val="005E441E"/>
    <w:rsid w:val="005E4428"/>
    <w:rsid w:val="005E44A5"/>
    <w:rsid w:val="005E456E"/>
    <w:rsid w:val="005E4685"/>
    <w:rsid w:val="005E46BB"/>
    <w:rsid w:val="005E46CF"/>
    <w:rsid w:val="005E470E"/>
    <w:rsid w:val="005E4732"/>
    <w:rsid w:val="005E474E"/>
    <w:rsid w:val="005E47FD"/>
    <w:rsid w:val="005E485C"/>
    <w:rsid w:val="005E499F"/>
    <w:rsid w:val="005E4B15"/>
    <w:rsid w:val="005E4BC9"/>
    <w:rsid w:val="005E4C62"/>
    <w:rsid w:val="005E4C64"/>
    <w:rsid w:val="005E4CB0"/>
    <w:rsid w:val="005E4D14"/>
    <w:rsid w:val="005E4D52"/>
    <w:rsid w:val="005E4D75"/>
    <w:rsid w:val="005E4DB7"/>
    <w:rsid w:val="005E4DFC"/>
    <w:rsid w:val="005E4E2F"/>
    <w:rsid w:val="005E4E62"/>
    <w:rsid w:val="005E4E75"/>
    <w:rsid w:val="005E4ED8"/>
    <w:rsid w:val="005E4F18"/>
    <w:rsid w:val="005E4F43"/>
    <w:rsid w:val="005E4FBB"/>
    <w:rsid w:val="005E5002"/>
    <w:rsid w:val="005E5005"/>
    <w:rsid w:val="005E5072"/>
    <w:rsid w:val="005E5073"/>
    <w:rsid w:val="005E50B1"/>
    <w:rsid w:val="005E516E"/>
    <w:rsid w:val="005E52A0"/>
    <w:rsid w:val="005E5318"/>
    <w:rsid w:val="005E534E"/>
    <w:rsid w:val="005E5387"/>
    <w:rsid w:val="005E5444"/>
    <w:rsid w:val="005E544A"/>
    <w:rsid w:val="005E54E3"/>
    <w:rsid w:val="005E553E"/>
    <w:rsid w:val="005E55B9"/>
    <w:rsid w:val="005E56F0"/>
    <w:rsid w:val="005E56FD"/>
    <w:rsid w:val="005E5720"/>
    <w:rsid w:val="005E5786"/>
    <w:rsid w:val="005E57ED"/>
    <w:rsid w:val="005E57FE"/>
    <w:rsid w:val="005E580E"/>
    <w:rsid w:val="005E588D"/>
    <w:rsid w:val="005E58AC"/>
    <w:rsid w:val="005E5904"/>
    <w:rsid w:val="005E592A"/>
    <w:rsid w:val="005E5A6E"/>
    <w:rsid w:val="005E5ACA"/>
    <w:rsid w:val="005E5ADB"/>
    <w:rsid w:val="005E5B27"/>
    <w:rsid w:val="005E5B4B"/>
    <w:rsid w:val="005E5BB9"/>
    <w:rsid w:val="005E5BDB"/>
    <w:rsid w:val="005E5BEF"/>
    <w:rsid w:val="005E5BFC"/>
    <w:rsid w:val="005E5C28"/>
    <w:rsid w:val="005E5C52"/>
    <w:rsid w:val="005E5C64"/>
    <w:rsid w:val="005E5CDA"/>
    <w:rsid w:val="005E5D5A"/>
    <w:rsid w:val="005E5E4A"/>
    <w:rsid w:val="005E5E4C"/>
    <w:rsid w:val="005E5E6C"/>
    <w:rsid w:val="005E5F0C"/>
    <w:rsid w:val="005E5F37"/>
    <w:rsid w:val="005E601C"/>
    <w:rsid w:val="005E6161"/>
    <w:rsid w:val="005E6215"/>
    <w:rsid w:val="005E62EF"/>
    <w:rsid w:val="005E6335"/>
    <w:rsid w:val="005E64DC"/>
    <w:rsid w:val="005E65A7"/>
    <w:rsid w:val="005E666F"/>
    <w:rsid w:val="005E673B"/>
    <w:rsid w:val="005E6776"/>
    <w:rsid w:val="005E67CE"/>
    <w:rsid w:val="005E67EE"/>
    <w:rsid w:val="005E6870"/>
    <w:rsid w:val="005E68F6"/>
    <w:rsid w:val="005E6A0B"/>
    <w:rsid w:val="005E6A4B"/>
    <w:rsid w:val="005E6AC6"/>
    <w:rsid w:val="005E6AFA"/>
    <w:rsid w:val="005E6B54"/>
    <w:rsid w:val="005E6C48"/>
    <w:rsid w:val="005E6C4B"/>
    <w:rsid w:val="005E6CE4"/>
    <w:rsid w:val="005E6D5D"/>
    <w:rsid w:val="005E6D69"/>
    <w:rsid w:val="005E6DFB"/>
    <w:rsid w:val="005E6E05"/>
    <w:rsid w:val="005E6E18"/>
    <w:rsid w:val="005E6E1F"/>
    <w:rsid w:val="005E6E70"/>
    <w:rsid w:val="005E6E8D"/>
    <w:rsid w:val="005E6E9C"/>
    <w:rsid w:val="005E6F22"/>
    <w:rsid w:val="005E6F3A"/>
    <w:rsid w:val="005E6F84"/>
    <w:rsid w:val="005E6F86"/>
    <w:rsid w:val="005E6F9A"/>
    <w:rsid w:val="005E6FB1"/>
    <w:rsid w:val="005E707B"/>
    <w:rsid w:val="005E70B6"/>
    <w:rsid w:val="005E70C3"/>
    <w:rsid w:val="005E718F"/>
    <w:rsid w:val="005E719A"/>
    <w:rsid w:val="005E7291"/>
    <w:rsid w:val="005E7344"/>
    <w:rsid w:val="005E734D"/>
    <w:rsid w:val="005E7415"/>
    <w:rsid w:val="005E74AA"/>
    <w:rsid w:val="005E758C"/>
    <w:rsid w:val="005E75E8"/>
    <w:rsid w:val="005E7611"/>
    <w:rsid w:val="005E7661"/>
    <w:rsid w:val="005E7670"/>
    <w:rsid w:val="005E7802"/>
    <w:rsid w:val="005E7820"/>
    <w:rsid w:val="005E7882"/>
    <w:rsid w:val="005E78FF"/>
    <w:rsid w:val="005E7901"/>
    <w:rsid w:val="005E793D"/>
    <w:rsid w:val="005E799B"/>
    <w:rsid w:val="005E79AF"/>
    <w:rsid w:val="005E7A08"/>
    <w:rsid w:val="005E7A51"/>
    <w:rsid w:val="005E7A6C"/>
    <w:rsid w:val="005E7B02"/>
    <w:rsid w:val="005E7B15"/>
    <w:rsid w:val="005E7C2E"/>
    <w:rsid w:val="005E7D0C"/>
    <w:rsid w:val="005E7D53"/>
    <w:rsid w:val="005E7E63"/>
    <w:rsid w:val="005E7E8E"/>
    <w:rsid w:val="005E7FC4"/>
    <w:rsid w:val="005F0086"/>
    <w:rsid w:val="005F009A"/>
    <w:rsid w:val="005F009C"/>
    <w:rsid w:val="005F0235"/>
    <w:rsid w:val="005F0282"/>
    <w:rsid w:val="005F0322"/>
    <w:rsid w:val="005F03BD"/>
    <w:rsid w:val="005F0404"/>
    <w:rsid w:val="005F051A"/>
    <w:rsid w:val="005F05E2"/>
    <w:rsid w:val="005F05E7"/>
    <w:rsid w:val="005F05FE"/>
    <w:rsid w:val="005F070B"/>
    <w:rsid w:val="005F083F"/>
    <w:rsid w:val="005F08E8"/>
    <w:rsid w:val="005F098F"/>
    <w:rsid w:val="005F09C4"/>
    <w:rsid w:val="005F0A2C"/>
    <w:rsid w:val="005F0AD5"/>
    <w:rsid w:val="005F0AD6"/>
    <w:rsid w:val="005F0B0C"/>
    <w:rsid w:val="005F0B11"/>
    <w:rsid w:val="005F0B27"/>
    <w:rsid w:val="005F0B6C"/>
    <w:rsid w:val="005F0CBA"/>
    <w:rsid w:val="005F0CD0"/>
    <w:rsid w:val="005F0D95"/>
    <w:rsid w:val="005F0EA0"/>
    <w:rsid w:val="005F0EB2"/>
    <w:rsid w:val="005F0EDA"/>
    <w:rsid w:val="005F0F01"/>
    <w:rsid w:val="005F0F2F"/>
    <w:rsid w:val="005F0F91"/>
    <w:rsid w:val="005F0F9E"/>
    <w:rsid w:val="005F0FE7"/>
    <w:rsid w:val="005F0FF2"/>
    <w:rsid w:val="005F1085"/>
    <w:rsid w:val="005F1104"/>
    <w:rsid w:val="005F112C"/>
    <w:rsid w:val="005F1176"/>
    <w:rsid w:val="005F123B"/>
    <w:rsid w:val="005F1266"/>
    <w:rsid w:val="005F126F"/>
    <w:rsid w:val="005F1282"/>
    <w:rsid w:val="005F132B"/>
    <w:rsid w:val="005F134F"/>
    <w:rsid w:val="005F13C8"/>
    <w:rsid w:val="005F1474"/>
    <w:rsid w:val="005F147D"/>
    <w:rsid w:val="005F148A"/>
    <w:rsid w:val="005F1584"/>
    <w:rsid w:val="005F1615"/>
    <w:rsid w:val="005F1886"/>
    <w:rsid w:val="005F1A25"/>
    <w:rsid w:val="005F1AE0"/>
    <w:rsid w:val="005F1B76"/>
    <w:rsid w:val="005F1B8F"/>
    <w:rsid w:val="005F1BF3"/>
    <w:rsid w:val="005F1C15"/>
    <w:rsid w:val="005F1C5D"/>
    <w:rsid w:val="005F1D71"/>
    <w:rsid w:val="005F1D7A"/>
    <w:rsid w:val="005F1DFD"/>
    <w:rsid w:val="005F1E92"/>
    <w:rsid w:val="005F1EAD"/>
    <w:rsid w:val="005F1EE4"/>
    <w:rsid w:val="005F1EEA"/>
    <w:rsid w:val="005F1EF9"/>
    <w:rsid w:val="005F1EFD"/>
    <w:rsid w:val="005F1F28"/>
    <w:rsid w:val="005F1F6D"/>
    <w:rsid w:val="005F204A"/>
    <w:rsid w:val="005F2053"/>
    <w:rsid w:val="005F2101"/>
    <w:rsid w:val="005F2143"/>
    <w:rsid w:val="005F2259"/>
    <w:rsid w:val="005F22A8"/>
    <w:rsid w:val="005F22F1"/>
    <w:rsid w:val="005F22F6"/>
    <w:rsid w:val="005F2349"/>
    <w:rsid w:val="005F23CC"/>
    <w:rsid w:val="005F23E3"/>
    <w:rsid w:val="005F245E"/>
    <w:rsid w:val="005F250F"/>
    <w:rsid w:val="005F2522"/>
    <w:rsid w:val="005F25EB"/>
    <w:rsid w:val="005F264E"/>
    <w:rsid w:val="005F26EE"/>
    <w:rsid w:val="005F273C"/>
    <w:rsid w:val="005F2770"/>
    <w:rsid w:val="005F2799"/>
    <w:rsid w:val="005F27A5"/>
    <w:rsid w:val="005F27DC"/>
    <w:rsid w:val="005F28C4"/>
    <w:rsid w:val="005F2907"/>
    <w:rsid w:val="005F298F"/>
    <w:rsid w:val="005F29DF"/>
    <w:rsid w:val="005F2A32"/>
    <w:rsid w:val="005F2AC1"/>
    <w:rsid w:val="005F2B6D"/>
    <w:rsid w:val="005F2C1A"/>
    <w:rsid w:val="005F2CD3"/>
    <w:rsid w:val="005F2D34"/>
    <w:rsid w:val="005F2D63"/>
    <w:rsid w:val="005F2D8F"/>
    <w:rsid w:val="005F2E3B"/>
    <w:rsid w:val="005F2E5B"/>
    <w:rsid w:val="005F2E8A"/>
    <w:rsid w:val="005F2ED1"/>
    <w:rsid w:val="005F2EF1"/>
    <w:rsid w:val="005F2F08"/>
    <w:rsid w:val="005F2F24"/>
    <w:rsid w:val="005F2F49"/>
    <w:rsid w:val="005F301B"/>
    <w:rsid w:val="005F3062"/>
    <w:rsid w:val="005F3076"/>
    <w:rsid w:val="005F30D7"/>
    <w:rsid w:val="005F316A"/>
    <w:rsid w:val="005F3190"/>
    <w:rsid w:val="005F319F"/>
    <w:rsid w:val="005F31CF"/>
    <w:rsid w:val="005F3263"/>
    <w:rsid w:val="005F3306"/>
    <w:rsid w:val="005F33A0"/>
    <w:rsid w:val="005F3401"/>
    <w:rsid w:val="005F3470"/>
    <w:rsid w:val="005F35C7"/>
    <w:rsid w:val="005F3606"/>
    <w:rsid w:val="005F3678"/>
    <w:rsid w:val="005F3727"/>
    <w:rsid w:val="005F3774"/>
    <w:rsid w:val="005F37BD"/>
    <w:rsid w:val="005F38A5"/>
    <w:rsid w:val="005F38BF"/>
    <w:rsid w:val="005F38CE"/>
    <w:rsid w:val="005F39DB"/>
    <w:rsid w:val="005F3A9C"/>
    <w:rsid w:val="005F3B53"/>
    <w:rsid w:val="005F3B55"/>
    <w:rsid w:val="005F3B78"/>
    <w:rsid w:val="005F3BCA"/>
    <w:rsid w:val="005F3C4C"/>
    <w:rsid w:val="005F3C53"/>
    <w:rsid w:val="005F3CC2"/>
    <w:rsid w:val="005F3D57"/>
    <w:rsid w:val="005F3E76"/>
    <w:rsid w:val="005F3EBB"/>
    <w:rsid w:val="005F3F03"/>
    <w:rsid w:val="005F3F29"/>
    <w:rsid w:val="005F3F34"/>
    <w:rsid w:val="005F3FB9"/>
    <w:rsid w:val="005F3FCF"/>
    <w:rsid w:val="005F403D"/>
    <w:rsid w:val="005F40D8"/>
    <w:rsid w:val="005F4175"/>
    <w:rsid w:val="005F419C"/>
    <w:rsid w:val="005F41A8"/>
    <w:rsid w:val="005F41D7"/>
    <w:rsid w:val="005F423F"/>
    <w:rsid w:val="005F42CE"/>
    <w:rsid w:val="005F42D7"/>
    <w:rsid w:val="005F42DB"/>
    <w:rsid w:val="005F42E5"/>
    <w:rsid w:val="005F42EC"/>
    <w:rsid w:val="005F4331"/>
    <w:rsid w:val="005F451E"/>
    <w:rsid w:val="005F4573"/>
    <w:rsid w:val="005F45C9"/>
    <w:rsid w:val="005F464A"/>
    <w:rsid w:val="005F4652"/>
    <w:rsid w:val="005F4653"/>
    <w:rsid w:val="005F46C7"/>
    <w:rsid w:val="005F47A7"/>
    <w:rsid w:val="005F4809"/>
    <w:rsid w:val="005F483B"/>
    <w:rsid w:val="005F4893"/>
    <w:rsid w:val="005F48A4"/>
    <w:rsid w:val="005F48EB"/>
    <w:rsid w:val="005F4940"/>
    <w:rsid w:val="005F4990"/>
    <w:rsid w:val="005F4A9E"/>
    <w:rsid w:val="005F4DAB"/>
    <w:rsid w:val="005F4E4F"/>
    <w:rsid w:val="005F4E7B"/>
    <w:rsid w:val="005F4F2D"/>
    <w:rsid w:val="005F4F4F"/>
    <w:rsid w:val="005F507C"/>
    <w:rsid w:val="005F50D5"/>
    <w:rsid w:val="005F50E7"/>
    <w:rsid w:val="005F5117"/>
    <w:rsid w:val="005F5126"/>
    <w:rsid w:val="005F5150"/>
    <w:rsid w:val="005F515C"/>
    <w:rsid w:val="005F5187"/>
    <w:rsid w:val="005F51BA"/>
    <w:rsid w:val="005F51D2"/>
    <w:rsid w:val="005F5275"/>
    <w:rsid w:val="005F527C"/>
    <w:rsid w:val="005F5297"/>
    <w:rsid w:val="005F52BB"/>
    <w:rsid w:val="005F52D1"/>
    <w:rsid w:val="005F53C9"/>
    <w:rsid w:val="005F541A"/>
    <w:rsid w:val="005F5420"/>
    <w:rsid w:val="005F5425"/>
    <w:rsid w:val="005F5499"/>
    <w:rsid w:val="005F555D"/>
    <w:rsid w:val="005F556B"/>
    <w:rsid w:val="005F5632"/>
    <w:rsid w:val="005F570E"/>
    <w:rsid w:val="005F5718"/>
    <w:rsid w:val="005F575B"/>
    <w:rsid w:val="005F577C"/>
    <w:rsid w:val="005F57A2"/>
    <w:rsid w:val="005F57D1"/>
    <w:rsid w:val="005F57E7"/>
    <w:rsid w:val="005F57FF"/>
    <w:rsid w:val="005F5887"/>
    <w:rsid w:val="005F58A3"/>
    <w:rsid w:val="005F58C9"/>
    <w:rsid w:val="005F58F7"/>
    <w:rsid w:val="005F5962"/>
    <w:rsid w:val="005F5A31"/>
    <w:rsid w:val="005F5A9E"/>
    <w:rsid w:val="005F5B3E"/>
    <w:rsid w:val="005F5B90"/>
    <w:rsid w:val="005F5B9E"/>
    <w:rsid w:val="005F5BF8"/>
    <w:rsid w:val="005F5C3B"/>
    <w:rsid w:val="005F5C7A"/>
    <w:rsid w:val="005F5CEA"/>
    <w:rsid w:val="005F5D63"/>
    <w:rsid w:val="005F5D6D"/>
    <w:rsid w:val="005F5DD8"/>
    <w:rsid w:val="005F5E0F"/>
    <w:rsid w:val="005F5E58"/>
    <w:rsid w:val="005F5F6A"/>
    <w:rsid w:val="005F5FAD"/>
    <w:rsid w:val="005F601B"/>
    <w:rsid w:val="005F6059"/>
    <w:rsid w:val="005F60D7"/>
    <w:rsid w:val="005F60EF"/>
    <w:rsid w:val="005F6170"/>
    <w:rsid w:val="005F61CE"/>
    <w:rsid w:val="005F623F"/>
    <w:rsid w:val="005F62E9"/>
    <w:rsid w:val="005F6313"/>
    <w:rsid w:val="005F6463"/>
    <w:rsid w:val="005F64A7"/>
    <w:rsid w:val="005F64F3"/>
    <w:rsid w:val="005F65FB"/>
    <w:rsid w:val="005F6606"/>
    <w:rsid w:val="005F66A3"/>
    <w:rsid w:val="005F66CF"/>
    <w:rsid w:val="005F66DE"/>
    <w:rsid w:val="005F67FC"/>
    <w:rsid w:val="005F6881"/>
    <w:rsid w:val="005F68AC"/>
    <w:rsid w:val="005F68B6"/>
    <w:rsid w:val="005F6952"/>
    <w:rsid w:val="005F69BD"/>
    <w:rsid w:val="005F6AC6"/>
    <w:rsid w:val="005F6AF4"/>
    <w:rsid w:val="005F6B78"/>
    <w:rsid w:val="005F6BF8"/>
    <w:rsid w:val="005F6CC0"/>
    <w:rsid w:val="005F6DBF"/>
    <w:rsid w:val="005F6E36"/>
    <w:rsid w:val="005F6F72"/>
    <w:rsid w:val="005F7057"/>
    <w:rsid w:val="005F7121"/>
    <w:rsid w:val="005F71A1"/>
    <w:rsid w:val="005F71DA"/>
    <w:rsid w:val="005F7210"/>
    <w:rsid w:val="005F72D6"/>
    <w:rsid w:val="005F730F"/>
    <w:rsid w:val="005F7313"/>
    <w:rsid w:val="005F73B9"/>
    <w:rsid w:val="005F7432"/>
    <w:rsid w:val="005F7449"/>
    <w:rsid w:val="005F7458"/>
    <w:rsid w:val="005F7573"/>
    <w:rsid w:val="005F7633"/>
    <w:rsid w:val="005F7673"/>
    <w:rsid w:val="005F76CF"/>
    <w:rsid w:val="005F776A"/>
    <w:rsid w:val="005F7788"/>
    <w:rsid w:val="005F779F"/>
    <w:rsid w:val="005F7820"/>
    <w:rsid w:val="005F7822"/>
    <w:rsid w:val="005F78E7"/>
    <w:rsid w:val="005F7911"/>
    <w:rsid w:val="005F7919"/>
    <w:rsid w:val="005F795D"/>
    <w:rsid w:val="005F799C"/>
    <w:rsid w:val="005F7B75"/>
    <w:rsid w:val="005F7B7C"/>
    <w:rsid w:val="005F7C3E"/>
    <w:rsid w:val="005F7C9C"/>
    <w:rsid w:val="005F7CD2"/>
    <w:rsid w:val="005F7CF1"/>
    <w:rsid w:val="005F7D02"/>
    <w:rsid w:val="005F7D0B"/>
    <w:rsid w:val="005F7E85"/>
    <w:rsid w:val="005F7EBC"/>
    <w:rsid w:val="005F7EF6"/>
    <w:rsid w:val="005F7FFA"/>
    <w:rsid w:val="005FF127"/>
    <w:rsid w:val="00600059"/>
    <w:rsid w:val="006000B3"/>
    <w:rsid w:val="00600103"/>
    <w:rsid w:val="00600196"/>
    <w:rsid w:val="00600232"/>
    <w:rsid w:val="0060023D"/>
    <w:rsid w:val="00600260"/>
    <w:rsid w:val="00600264"/>
    <w:rsid w:val="00600274"/>
    <w:rsid w:val="006002D7"/>
    <w:rsid w:val="00600340"/>
    <w:rsid w:val="00600357"/>
    <w:rsid w:val="0060038B"/>
    <w:rsid w:val="0060039B"/>
    <w:rsid w:val="006003FC"/>
    <w:rsid w:val="00600440"/>
    <w:rsid w:val="006004C6"/>
    <w:rsid w:val="006005A9"/>
    <w:rsid w:val="006005C2"/>
    <w:rsid w:val="0060070F"/>
    <w:rsid w:val="0060079E"/>
    <w:rsid w:val="00600848"/>
    <w:rsid w:val="0060084C"/>
    <w:rsid w:val="00600860"/>
    <w:rsid w:val="00600872"/>
    <w:rsid w:val="00600877"/>
    <w:rsid w:val="0060089E"/>
    <w:rsid w:val="006008BA"/>
    <w:rsid w:val="006008E4"/>
    <w:rsid w:val="00600907"/>
    <w:rsid w:val="0060090B"/>
    <w:rsid w:val="006009DD"/>
    <w:rsid w:val="006009DE"/>
    <w:rsid w:val="006009F7"/>
    <w:rsid w:val="00600A27"/>
    <w:rsid w:val="00600A5B"/>
    <w:rsid w:val="00600A86"/>
    <w:rsid w:val="00600B43"/>
    <w:rsid w:val="00600B7A"/>
    <w:rsid w:val="00600BFF"/>
    <w:rsid w:val="00600CBD"/>
    <w:rsid w:val="00600D7A"/>
    <w:rsid w:val="00600DE9"/>
    <w:rsid w:val="00600E21"/>
    <w:rsid w:val="00600E25"/>
    <w:rsid w:val="00600E95"/>
    <w:rsid w:val="00600F14"/>
    <w:rsid w:val="00600F1D"/>
    <w:rsid w:val="00600FC8"/>
    <w:rsid w:val="006010EF"/>
    <w:rsid w:val="0060113D"/>
    <w:rsid w:val="00601178"/>
    <w:rsid w:val="006011BB"/>
    <w:rsid w:val="006011BE"/>
    <w:rsid w:val="0060129E"/>
    <w:rsid w:val="0060129F"/>
    <w:rsid w:val="0060131B"/>
    <w:rsid w:val="0060138D"/>
    <w:rsid w:val="00601395"/>
    <w:rsid w:val="00601433"/>
    <w:rsid w:val="00601439"/>
    <w:rsid w:val="00601463"/>
    <w:rsid w:val="006014E6"/>
    <w:rsid w:val="00601535"/>
    <w:rsid w:val="0060159B"/>
    <w:rsid w:val="006015BE"/>
    <w:rsid w:val="00601623"/>
    <w:rsid w:val="0060163B"/>
    <w:rsid w:val="0060167B"/>
    <w:rsid w:val="006016AC"/>
    <w:rsid w:val="006016B8"/>
    <w:rsid w:val="006016E3"/>
    <w:rsid w:val="0060176B"/>
    <w:rsid w:val="00601792"/>
    <w:rsid w:val="006017DA"/>
    <w:rsid w:val="0060180B"/>
    <w:rsid w:val="00601817"/>
    <w:rsid w:val="00601838"/>
    <w:rsid w:val="00601846"/>
    <w:rsid w:val="0060185D"/>
    <w:rsid w:val="0060195A"/>
    <w:rsid w:val="00601975"/>
    <w:rsid w:val="00601A2F"/>
    <w:rsid w:val="00601ABC"/>
    <w:rsid w:val="00601AE7"/>
    <w:rsid w:val="00601C0E"/>
    <w:rsid w:val="00601C24"/>
    <w:rsid w:val="00601D1B"/>
    <w:rsid w:val="00601D24"/>
    <w:rsid w:val="00601DA6"/>
    <w:rsid w:val="00601DDD"/>
    <w:rsid w:val="00601E0E"/>
    <w:rsid w:val="00601E24"/>
    <w:rsid w:val="00601E26"/>
    <w:rsid w:val="00601E2E"/>
    <w:rsid w:val="00601E4F"/>
    <w:rsid w:val="00601ECC"/>
    <w:rsid w:val="00601F4A"/>
    <w:rsid w:val="00601F74"/>
    <w:rsid w:val="00601FBA"/>
    <w:rsid w:val="00602051"/>
    <w:rsid w:val="0060205B"/>
    <w:rsid w:val="00602088"/>
    <w:rsid w:val="0060208E"/>
    <w:rsid w:val="006020D6"/>
    <w:rsid w:val="00602219"/>
    <w:rsid w:val="00602229"/>
    <w:rsid w:val="0060227C"/>
    <w:rsid w:val="006023BD"/>
    <w:rsid w:val="00602440"/>
    <w:rsid w:val="006024C0"/>
    <w:rsid w:val="00602576"/>
    <w:rsid w:val="006025E6"/>
    <w:rsid w:val="0060264F"/>
    <w:rsid w:val="00602699"/>
    <w:rsid w:val="006027CB"/>
    <w:rsid w:val="00602865"/>
    <w:rsid w:val="0060295C"/>
    <w:rsid w:val="00602A1B"/>
    <w:rsid w:val="00602A3E"/>
    <w:rsid w:val="00602B01"/>
    <w:rsid w:val="00602B99"/>
    <w:rsid w:val="00602BBE"/>
    <w:rsid w:val="00602C80"/>
    <w:rsid w:val="00602CBC"/>
    <w:rsid w:val="00602D44"/>
    <w:rsid w:val="00602E7B"/>
    <w:rsid w:val="00602EE7"/>
    <w:rsid w:val="00603081"/>
    <w:rsid w:val="00603097"/>
    <w:rsid w:val="00603131"/>
    <w:rsid w:val="006031D8"/>
    <w:rsid w:val="00603276"/>
    <w:rsid w:val="006032AA"/>
    <w:rsid w:val="006033A0"/>
    <w:rsid w:val="006033B6"/>
    <w:rsid w:val="006033BA"/>
    <w:rsid w:val="0060342E"/>
    <w:rsid w:val="0060343E"/>
    <w:rsid w:val="0060355C"/>
    <w:rsid w:val="00603563"/>
    <w:rsid w:val="0060358C"/>
    <w:rsid w:val="0060371B"/>
    <w:rsid w:val="0060374F"/>
    <w:rsid w:val="006038E1"/>
    <w:rsid w:val="0060397A"/>
    <w:rsid w:val="00603A83"/>
    <w:rsid w:val="00603B00"/>
    <w:rsid w:val="00603B36"/>
    <w:rsid w:val="00603B74"/>
    <w:rsid w:val="00603C6D"/>
    <w:rsid w:val="00603CF2"/>
    <w:rsid w:val="00603D79"/>
    <w:rsid w:val="00603DA7"/>
    <w:rsid w:val="00603DA8"/>
    <w:rsid w:val="00603DD6"/>
    <w:rsid w:val="00603DE2"/>
    <w:rsid w:val="00603E05"/>
    <w:rsid w:val="00603E9A"/>
    <w:rsid w:val="00603F0E"/>
    <w:rsid w:val="00603F90"/>
    <w:rsid w:val="00604095"/>
    <w:rsid w:val="006040BC"/>
    <w:rsid w:val="00604101"/>
    <w:rsid w:val="00604118"/>
    <w:rsid w:val="00604121"/>
    <w:rsid w:val="00604173"/>
    <w:rsid w:val="006042BD"/>
    <w:rsid w:val="006042D6"/>
    <w:rsid w:val="0060432E"/>
    <w:rsid w:val="006043E3"/>
    <w:rsid w:val="006044A1"/>
    <w:rsid w:val="006044C7"/>
    <w:rsid w:val="006044D5"/>
    <w:rsid w:val="00604615"/>
    <w:rsid w:val="00604777"/>
    <w:rsid w:val="006047D9"/>
    <w:rsid w:val="00604801"/>
    <w:rsid w:val="0060487D"/>
    <w:rsid w:val="006048C9"/>
    <w:rsid w:val="0060493F"/>
    <w:rsid w:val="00604981"/>
    <w:rsid w:val="0060498E"/>
    <w:rsid w:val="00604A2E"/>
    <w:rsid w:val="00604A31"/>
    <w:rsid w:val="00604AED"/>
    <w:rsid w:val="00604AFB"/>
    <w:rsid w:val="00604B15"/>
    <w:rsid w:val="00604B29"/>
    <w:rsid w:val="00604B6E"/>
    <w:rsid w:val="00604BE4"/>
    <w:rsid w:val="00604BFE"/>
    <w:rsid w:val="00604C09"/>
    <w:rsid w:val="00604C4A"/>
    <w:rsid w:val="00604C58"/>
    <w:rsid w:val="00604C81"/>
    <w:rsid w:val="00604CAB"/>
    <w:rsid w:val="00604D81"/>
    <w:rsid w:val="00604DD9"/>
    <w:rsid w:val="006050F5"/>
    <w:rsid w:val="00605120"/>
    <w:rsid w:val="0060519C"/>
    <w:rsid w:val="00605215"/>
    <w:rsid w:val="00605241"/>
    <w:rsid w:val="00605281"/>
    <w:rsid w:val="006052FA"/>
    <w:rsid w:val="0060534B"/>
    <w:rsid w:val="00605473"/>
    <w:rsid w:val="0060547B"/>
    <w:rsid w:val="006054DD"/>
    <w:rsid w:val="00605542"/>
    <w:rsid w:val="006055AA"/>
    <w:rsid w:val="0060560F"/>
    <w:rsid w:val="00605668"/>
    <w:rsid w:val="006056DD"/>
    <w:rsid w:val="00605796"/>
    <w:rsid w:val="006057AF"/>
    <w:rsid w:val="006057F8"/>
    <w:rsid w:val="00605850"/>
    <w:rsid w:val="006058CD"/>
    <w:rsid w:val="0060596E"/>
    <w:rsid w:val="00605A17"/>
    <w:rsid w:val="00605A1E"/>
    <w:rsid w:val="00605A71"/>
    <w:rsid w:val="00605ADC"/>
    <w:rsid w:val="00605B32"/>
    <w:rsid w:val="00605B93"/>
    <w:rsid w:val="00605BA0"/>
    <w:rsid w:val="00605C28"/>
    <w:rsid w:val="00605C4B"/>
    <w:rsid w:val="00605C5D"/>
    <w:rsid w:val="00605D3F"/>
    <w:rsid w:val="00605E15"/>
    <w:rsid w:val="00605E5E"/>
    <w:rsid w:val="00605EA2"/>
    <w:rsid w:val="00605ED5"/>
    <w:rsid w:val="00605EFA"/>
    <w:rsid w:val="00605F07"/>
    <w:rsid w:val="00605FF1"/>
    <w:rsid w:val="0060604D"/>
    <w:rsid w:val="0060607B"/>
    <w:rsid w:val="006060BC"/>
    <w:rsid w:val="006060C4"/>
    <w:rsid w:val="00606125"/>
    <w:rsid w:val="0060619C"/>
    <w:rsid w:val="006061CC"/>
    <w:rsid w:val="006062D6"/>
    <w:rsid w:val="006062E8"/>
    <w:rsid w:val="00606307"/>
    <w:rsid w:val="0060636B"/>
    <w:rsid w:val="0060639A"/>
    <w:rsid w:val="006063A3"/>
    <w:rsid w:val="0060643D"/>
    <w:rsid w:val="0060643E"/>
    <w:rsid w:val="00606485"/>
    <w:rsid w:val="006064E7"/>
    <w:rsid w:val="006064EA"/>
    <w:rsid w:val="0060654B"/>
    <w:rsid w:val="00606555"/>
    <w:rsid w:val="00606581"/>
    <w:rsid w:val="006065A1"/>
    <w:rsid w:val="006065CA"/>
    <w:rsid w:val="006065F3"/>
    <w:rsid w:val="00606617"/>
    <w:rsid w:val="00606633"/>
    <w:rsid w:val="00606661"/>
    <w:rsid w:val="006066B3"/>
    <w:rsid w:val="0060677F"/>
    <w:rsid w:val="006067F2"/>
    <w:rsid w:val="006069B5"/>
    <w:rsid w:val="00606A23"/>
    <w:rsid w:val="00606A50"/>
    <w:rsid w:val="00606A55"/>
    <w:rsid w:val="00606AA3"/>
    <w:rsid w:val="00606BBC"/>
    <w:rsid w:val="00606C8F"/>
    <w:rsid w:val="00606D11"/>
    <w:rsid w:val="00606E2E"/>
    <w:rsid w:val="006070D0"/>
    <w:rsid w:val="0060718A"/>
    <w:rsid w:val="006071F6"/>
    <w:rsid w:val="00607219"/>
    <w:rsid w:val="0060726B"/>
    <w:rsid w:val="006072E7"/>
    <w:rsid w:val="00607361"/>
    <w:rsid w:val="0060736B"/>
    <w:rsid w:val="00607376"/>
    <w:rsid w:val="006073CC"/>
    <w:rsid w:val="00607445"/>
    <w:rsid w:val="00607476"/>
    <w:rsid w:val="006074D0"/>
    <w:rsid w:val="006074ED"/>
    <w:rsid w:val="00607505"/>
    <w:rsid w:val="00607517"/>
    <w:rsid w:val="0060756C"/>
    <w:rsid w:val="00607578"/>
    <w:rsid w:val="0060764F"/>
    <w:rsid w:val="00607653"/>
    <w:rsid w:val="00607701"/>
    <w:rsid w:val="006077DC"/>
    <w:rsid w:val="00607819"/>
    <w:rsid w:val="006078DA"/>
    <w:rsid w:val="006078F0"/>
    <w:rsid w:val="0060794A"/>
    <w:rsid w:val="00607987"/>
    <w:rsid w:val="00607ADD"/>
    <w:rsid w:val="00607B45"/>
    <w:rsid w:val="00607B6D"/>
    <w:rsid w:val="00607B87"/>
    <w:rsid w:val="00607B9D"/>
    <w:rsid w:val="00607BA1"/>
    <w:rsid w:val="00607BD9"/>
    <w:rsid w:val="00607C04"/>
    <w:rsid w:val="00607C2C"/>
    <w:rsid w:val="00607C32"/>
    <w:rsid w:val="00607CFE"/>
    <w:rsid w:val="00607DD6"/>
    <w:rsid w:val="00607EA8"/>
    <w:rsid w:val="00607FBC"/>
    <w:rsid w:val="0061005B"/>
    <w:rsid w:val="006100BD"/>
    <w:rsid w:val="006100C0"/>
    <w:rsid w:val="006100E6"/>
    <w:rsid w:val="006100EB"/>
    <w:rsid w:val="00610191"/>
    <w:rsid w:val="0061024B"/>
    <w:rsid w:val="006102C1"/>
    <w:rsid w:val="00610349"/>
    <w:rsid w:val="00610369"/>
    <w:rsid w:val="006103B2"/>
    <w:rsid w:val="006103B7"/>
    <w:rsid w:val="0061041F"/>
    <w:rsid w:val="0061043F"/>
    <w:rsid w:val="00610475"/>
    <w:rsid w:val="00610485"/>
    <w:rsid w:val="006104D5"/>
    <w:rsid w:val="006104E5"/>
    <w:rsid w:val="00610537"/>
    <w:rsid w:val="0061059B"/>
    <w:rsid w:val="006105E3"/>
    <w:rsid w:val="0061060C"/>
    <w:rsid w:val="006107B4"/>
    <w:rsid w:val="006107E6"/>
    <w:rsid w:val="006107E8"/>
    <w:rsid w:val="00610870"/>
    <w:rsid w:val="006108EF"/>
    <w:rsid w:val="006109A1"/>
    <w:rsid w:val="00610AA2"/>
    <w:rsid w:val="00610B83"/>
    <w:rsid w:val="00610B9B"/>
    <w:rsid w:val="00610CBA"/>
    <w:rsid w:val="00610D4A"/>
    <w:rsid w:val="00610DEA"/>
    <w:rsid w:val="00610DF0"/>
    <w:rsid w:val="00610E01"/>
    <w:rsid w:val="00610E8C"/>
    <w:rsid w:val="00610EDE"/>
    <w:rsid w:val="00610F23"/>
    <w:rsid w:val="00610FF4"/>
    <w:rsid w:val="0061109E"/>
    <w:rsid w:val="00611110"/>
    <w:rsid w:val="006111A9"/>
    <w:rsid w:val="006111BB"/>
    <w:rsid w:val="006111EC"/>
    <w:rsid w:val="006112B9"/>
    <w:rsid w:val="0061136C"/>
    <w:rsid w:val="0061139C"/>
    <w:rsid w:val="0061147E"/>
    <w:rsid w:val="006114BB"/>
    <w:rsid w:val="006114C9"/>
    <w:rsid w:val="006114EF"/>
    <w:rsid w:val="00611597"/>
    <w:rsid w:val="006115E4"/>
    <w:rsid w:val="00611605"/>
    <w:rsid w:val="00611630"/>
    <w:rsid w:val="006117C1"/>
    <w:rsid w:val="00611862"/>
    <w:rsid w:val="00611895"/>
    <w:rsid w:val="00611964"/>
    <w:rsid w:val="006119B6"/>
    <w:rsid w:val="006119F6"/>
    <w:rsid w:val="00611A01"/>
    <w:rsid w:val="00611A48"/>
    <w:rsid w:val="00611A5E"/>
    <w:rsid w:val="00611A86"/>
    <w:rsid w:val="00611B98"/>
    <w:rsid w:val="00611BC6"/>
    <w:rsid w:val="00611BE8"/>
    <w:rsid w:val="00611C22"/>
    <w:rsid w:val="00611C3C"/>
    <w:rsid w:val="00611C64"/>
    <w:rsid w:val="00611D13"/>
    <w:rsid w:val="00611D3F"/>
    <w:rsid w:val="00611D65"/>
    <w:rsid w:val="00611F59"/>
    <w:rsid w:val="00611F95"/>
    <w:rsid w:val="00611FC1"/>
    <w:rsid w:val="00611FDC"/>
    <w:rsid w:val="00611FF7"/>
    <w:rsid w:val="0061206E"/>
    <w:rsid w:val="006120D8"/>
    <w:rsid w:val="0061213D"/>
    <w:rsid w:val="0061217D"/>
    <w:rsid w:val="006122B7"/>
    <w:rsid w:val="006122D9"/>
    <w:rsid w:val="00612393"/>
    <w:rsid w:val="00612407"/>
    <w:rsid w:val="00612440"/>
    <w:rsid w:val="006124E1"/>
    <w:rsid w:val="00612568"/>
    <w:rsid w:val="006125AF"/>
    <w:rsid w:val="006125BD"/>
    <w:rsid w:val="006125E2"/>
    <w:rsid w:val="00612610"/>
    <w:rsid w:val="00612614"/>
    <w:rsid w:val="006127AF"/>
    <w:rsid w:val="00612820"/>
    <w:rsid w:val="0061284A"/>
    <w:rsid w:val="00612872"/>
    <w:rsid w:val="006128A1"/>
    <w:rsid w:val="00612986"/>
    <w:rsid w:val="006129FC"/>
    <w:rsid w:val="00612AC5"/>
    <w:rsid w:val="00612ADC"/>
    <w:rsid w:val="00612AE8"/>
    <w:rsid w:val="00612BEA"/>
    <w:rsid w:val="00612C49"/>
    <w:rsid w:val="00612CA2"/>
    <w:rsid w:val="00612CCF"/>
    <w:rsid w:val="00612CE0"/>
    <w:rsid w:val="00612D31"/>
    <w:rsid w:val="00612DD5"/>
    <w:rsid w:val="00612DF0"/>
    <w:rsid w:val="00612DF9"/>
    <w:rsid w:val="00612E20"/>
    <w:rsid w:val="00612E35"/>
    <w:rsid w:val="00612EB1"/>
    <w:rsid w:val="00612EC5"/>
    <w:rsid w:val="00612F37"/>
    <w:rsid w:val="00612F9A"/>
    <w:rsid w:val="00612FD6"/>
    <w:rsid w:val="00613008"/>
    <w:rsid w:val="00613096"/>
    <w:rsid w:val="00613134"/>
    <w:rsid w:val="0061314D"/>
    <w:rsid w:val="00613195"/>
    <w:rsid w:val="006131DF"/>
    <w:rsid w:val="0061325A"/>
    <w:rsid w:val="0061334F"/>
    <w:rsid w:val="006133BD"/>
    <w:rsid w:val="006133FF"/>
    <w:rsid w:val="00613453"/>
    <w:rsid w:val="006134FB"/>
    <w:rsid w:val="00613521"/>
    <w:rsid w:val="006135AB"/>
    <w:rsid w:val="006135EF"/>
    <w:rsid w:val="0061362B"/>
    <w:rsid w:val="0061362E"/>
    <w:rsid w:val="00613630"/>
    <w:rsid w:val="0061368D"/>
    <w:rsid w:val="006136D4"/>
    <w:rsid w:val="00613755"/>
    <w:rsid w:val="006137B7"/>
    <w:rsid w:val="006137D0"/>
    <w:rsid w:val="00613841"/>
    <w:rsid w:val="0061385F"/>
    <w:rsid w:val="00613891"/>
    <w:rsid w:val="006138D0"/>
    <w:rsid w:val="006138D7"/>
    <w:rsid w:val="006138FE"/>
    <w:rsid w:val="00613903"/>
    <w:rsid w:val="0061397F"/>
    <w:rsid w:val="006139DE"/>
    <w:rsid w:val="00613A99"/>
    <w:rsid w:val="00613ACB"/>
    <w:rsid w:val="00613ADD"/>
    <w:rsid w:val="00613B69"/>
    <w:rsid w:val="00613B80"/>
    <w:rsid w:val="00613BA0"/>
    <w:rsid w:val="00613BB3"/>
    <w:rsid w:val="00613C46"/>
    <w:rsid w:val="00613D20"/>
    <w:rsid w:val="00613D48"/>
    <w:rsid w:val="00613E4A"/>
    <w:rsid w:val="00613E9D"/>
    <w:rsid w:val="00613EA6"/>
    <w:rsid w:val="00613F7E"/>
    <w:rsid w:val="00614002"/>
    <w:rsid w:val="0061401C"/>
    <w:rsid w:val="00614049"/>
    <w:rsid w:val="0061409E"/>
    <w:rsid w:val="006140CA"/>
    <w:rsid w:val="00614198"/>
    <w:rsid w:val="006141CC"/>
    <w:rsid w:val="006141FA"/>
    <w:rsid w:val="006142D9"/>
    <w:rsid w:val="00614314"/>
    <w:rsid w:val="0061431B"/>
    <w:rsid w:val="0061447C"/>
    <w:rsid w:val="00614507"/>
    <w:rsid w:val="0061451E"/>
    <w:rsid w:val="0061457F"/>
    <w:rsid w:val="006145D6"/>
    <w:rsid w:val="00614611"/>
    <w:rsid w:val="00614669"/>
    <w:rsid w:val="00614765"/>
    <w:rsid w:val="006147A1"/>
    <w:rsid w:val="0061486A"/>
    <w:rsid w:val="00614884"/>
    <w:rsid w:val="0061488F"/>
    <w:rsid w:val="006148BD"/>
    <w:rsid w:val="006148F5"/>
    <w:rsid w:val="00614954"/>
    <w:rsid w:val="00614960"/>
    <w:rsid w:val="00614983"/>
    <w:rsid w:val="00614A9C"/>
    <w:rsid w:val="00614ABB"/>
    <w:rsid w:val="00614ABD"/>
    <w:rsid w:val="00614AEA"/>
    <w:rsid w:val="00614BD3"/>
    <w:rsid w:val="00614BDD"/>
    <w:rsid w:val="00614C0D"/>
    <w:rsid w:val="00614C30"/>
    <w:rsid w:val="00614C6C"/>
    <w:rsid w:val="00614C83"/>
    <w:rsid w:val="00614CC8"/>
    <w:rsid w:val="00614CF6"/>
    <w:rsid w:val="00614D25"/>
    <w:rsid w:val="00614DBA"/>
    <w:rsid w:val="00614DDE"/>
    <w:rsid w:val="00614E3A"/>
    <w:rsid w:val="00614E7F"/>
    <w:rsid w:val="00614EAB"/>
    <w:rsid w:val="00614FA7"/>
    <w:rsid w:val="0061504A"/>
    <w:rsid w:val="00615089"/>
    <w:rsid w:val="00615093"/>
    <w:rsid w:val="0061514A"/>
    <w:rsid w:val="00615227"/>
    <w:rsid w:val="00615296"/>
    <w:rsid w:val="006152DF"/>
    <w:rsid w:val="006153C3"/>
    <w:rsid w:val="006153C8"/>
    <w:rsid w:val="006153EA"/>
    <w:rsid w:val="006154B2"/>
    <w:rsid w:val="00615562"/>
    <w:rsid w:val="0061558E"/>
    <w:rsid w:val="006155A9"/>
    <w:rsid w:val="006155B7"/>
    <w:rsid w:val="006155E9"/>
    <w:rsid w:val="00615624"/>
    <w:rsid w:val="00615651"/>
    <w:rsid w:val="006156C0"/>
    <w:rsid w:val="00615711"/>
    <w:rsid w:val="0061571C"/>
    <w:rsid w:val="00615797"/>
    <w:rsid w:val="00615810"/>
    <w:rsid w:val="0061588B"/>
    <w:rsid w:val="006158A6"/>
    <w:rsid w:val="006158AB"/>
    <w:rsid w:val="006158B5"/>
    <w:rsid w:val="006158C5"/>
    <w:rsid w:val="00615A1B"/>
    <w:rsid w:val="00615A1D"/>
    <w:rsid w:val="00615A3A"/>
    <w:rsid w:val="00615B05"/>
    <w:rsid w:val="00615CCF"/>
    <w:rsid w:val="00615E23"/>
    <w:rsid w:val="00615E4E"/>
    <w:rsid w:val="00615E52"/>
    <w:rsid w:val="0061603D"/>
    <w:rsid w:val="00616075"/>
    <w:rsid w:val="006160AE"/>
    <w:rsid w:val="006160C5"/>
    <w:rsid w:val="006160ED"/>
    <w:rsid w:val="00616175"/>
    <w:rsid w:val="006161AB"/>
    <w:rsid w:val="006161CD"/>
    <w:rsid w:val="006161E0"/>
    <w:rsid w:val="00616202"/>
    <w:rsid w:val="00616270"/>
    <w:rsid w:val="006164E7"/>
    <w:rsid w:val="0061653C"/>
    <w:rsid w:val="006165F9"/>
    <w:rsid w:val="00616639"/>
    <w:rsid w:val="0061669D"/>
    <w:rsid w:val="006166F3"/>
    <w:rsid w:val="0061670C"/>
    <w:rsid w:val="00616765"/>
    <w:rsid w:val="00616770"/>
    <w:rsid w:val="00616801"/>
    <w:rsid w:val="0061682C"/>
    <w:rsid w:val="006168DE"/>
    <w:rsid w:val="006168E3"/>
    <w:rsid w:val="00616923"/>
    <w:rsid w:val="006169F5"/>
    <w:rsid w:val="00616BB3"/>
    <w:rsid w:val="00616C6C"/>
    <w:rsid w:val="00616D7B"/>
    <w:rsid w:val="00616D89"/>
    <w:rsid w:val="00616F93"/>
    <w:rsid w:val="00616FCC"/>
    <w:rsid w:val="00616FE4"/>
    <w:rsid w:val="0061704C"/>
    <w:rsid w:val="00617097"/>
    <w:rsid w:val="006170D6"/>
    <w:rsid w:val="00617184"/>
    <w:rsid w:val="006171BF"/>
    <w:rsid w:val="0061725F"/>
    <w:rsid w:val="0061728C"/>
    <w:rsid w:val="0061728F"/>
    <w:rsid w:val="0061731E"/>
    <w:rsid w:val="00617399"/>
    <w:rsid w:val="0061741D"/>
    <w:rsid w:val="00617431"/>
    <w:rsid w:val="00617458"/>
    <w:rsid w:val="006174C4"/>
    <w:rsid w:val="00617505"/>
    <w:rsid w:val="006176A3"/>
    <w:rsid w:val="00617760"/>
    <w:rsid w:val="006177AE"/>
    <w:rsid w:val="006178B9"/>
    <w:rsid w:val="006178EE"/>
    <w:rsid w:val="0061791F"/>
    <w:rsid w:val="0061793C"/>
    <w:rsid w:val="00617A28"/>
    <w:rsid w:val="00617A66"/>
    <w:rsid w:val="00617B04"/>
    <w:rsid w:val="00617BD1"/>
    <w:rsid w:val="00617C14"/>
    <w:rsid w:val="00617CAB"/>
    <w:rsid w:val="00617D5B"/>
    <w:rsid w:val="00617DFB"/>
    <w:rsid w:val="00617EE4"/>
    <w:rsid w:val="00617F0C"/>
    <w:rsid w:val="00617FBB"/>
    <w:rsid w:val="00620001"/>
    <w:rsid w:val="0062005A"/>
    <w:rsid w:val="0062005E"/>
    <w:rsid w:val="0062008C"/>
    <w:rsid w:val="006200EA"/>
    <w:rsid w:val="006200F6"/>
    <w:rsid w:val="006201E4"/>
    <w:rsid w:val="006201F6"/>
    <w:rsid w:val="006202CC"/>
    <w:rsid w:val="006202F4"/>
    <w:rsid w:val="00620303"/>
    <w:rsid w:val="0062033E"/>
    <w:rsid w:val="00620363"/>
    <w:rsid w:val="0062039F"/>
    <w:rsid w:val="006203B8"/>
    <w:rsid w:val="00620420"/>
    <w:rsid w:val="006204A4"/>
    <w:rsid w:val="006204C3"/>
    <w:rsid w:val="006204E1"/>
    <w:rsid w:val="006204EE"/>
    <w:rsid w:val="0062050D"/>
    <w:rsid w:val="00620561"/>
    <w:rsid w:val="0062064C"/>
    <w:rsid w:val="00620658"/>
    <w:rsid w:val="0062077C"/>
    <w:rsid w:val="006207BF"/>
    <w:rsid w:val="00620817"/>
    <w:rsid w:val="00620976"/>
    <w:rsid w:val="00620A50"/>
    <w:rsid w:val="00620A83"/>
    <w:rsid w:val="00620BDE"/>
    <w:rsid w:val="00620C55"/>
    <w:rsid w:val="00620D05"/>
    <w:rsid w:val="00620D3F"/>
    <w:rsid w:val="00620D52"/>
    <w:rsid w:val="00620E69"/>
    <w:rsid w:val="00620E95"/>
    <w:rsid w:val="00620EEF"/>
    <w:rsid w:val="00621025"/>
    <w:rsid w:val="006210A5"/>
    <w:rsid w:val="00621110"/>
    <w:rsid w:val="0062113A"/>
    <w:rsid w:val="00621174"/>
    <w:rsid w:val="00621182"/>
    <w:rsid w:val="006211ED"/>
    <w:rsid w:val="006211F6"/>
    <w:rsid w:val="0062125E"/>
    <w:rsid w:val="0062128D"/>
    <w:rsid w:val="0062129C"/>
    <w:rsid w:val="00621382"/>
    <w:rsid w:val="00621391"/>
    <w:rsid w:val="0062139F"/>
    <w:rsid w:val="006213F0"/>
    <w:rsid w:val="00621433"/>
    <w:rsid w:val="0062149A"/>
    <w:rsid w:val="006214E4"/>
    <w:rsid w:val="00621506"/>
    <w:rsid w:val="0062151B"/>
    <w:rsid w:val="006216B7"/>
    <w:rsid w:val="006216FB"/>
    <w:rsid w:val="006216FE"/>
    <w:rsid w:val="0062178F"/>
    <w:rsid w:val="00621813"/>
    <w:rsid w:val="0062187A"/>
    <w:rsid w:val="00621884"/>
    <w:rsid w:val="0062192A"/>
    <w:rsid w:val="0062196D"/>
    <w:rsid w:val="0062199E"/>
    <w:rsid w:val="00621A09"/>
    <w:rsid w:val="00621A29"/>
    <w:rsid w:val="00621A44"/>
    <w:rsid w:val="00621A7F"/>
    <w:rsid w:val="00621A88"/>
    <w:rsid w:val="00621B96"/>
    <w:rsid w:val="00621BA1"/>
    <w:rsid w:val="00621BD8"/>
    <w:rsid w:val="00621CC1"/>
    <w:rsid w:val="00621CDA"/>
    <w:rsid w:val="00621CDE"/>
    <w:rsid w:val="00621D34"/>
    <w:rsid w:val="00621D5D"/>
    <w:rsid w:val="00621D83"/>
    <w:rsid w:val="00621E2E"/>
    <w:rsid w:val="00621E3E"/>
    <w:rsid w:val="00621E56"/>
    <w:rsid w:val="00621E5C"/>
    <w:rsid w:val="00621E9C"/>
    <w:rsid w:val="00621EDD"/>
    <w:rsid w:val="00621F1D"/>
    <w:rsid w:val="00621F3D"/>
    <w:rsid w:val="00621FB3"/>
    <w:rsid w:val="006220CE"/>
    <w:rsid w:val="0062218A"/>
    <w:rsid w:val="0062218C"/>
    <w:rsid w:val="006222D6"/>
    <w:rsid w:val="006222F7"/>
    <w:rsid w:val="0062230B"/>
    <w:rsid w:val="0062234B"/>
    <w:rsid w:val="0062236A"/>
    <w:rsid w:val="006223D8"/>
    <w:rsid w:val="00622477"/>
    <w:rsid w:val="00622505"/>
    <w:rsid w:val="00622512"/>
    <w:rsid w:val="00622586"/>
    <w:rsid w:val="0062258D"/>
    <w:rsid w:val="006225E7"/>
    <w:rsid w:val="00622647"/>
    <w:rsid w:val="00622693"/>
    <w:rsid w:val="0062275D"/>
    <w:rsid w:val="00622807"/>
    <w:rsid w:val="00622810"/>
    <w:rsid w:val="006228CA"/>
    <w:rsid w:val="00622931"/>
    <w:rsid w:val="00622936"/>
    <w:rsid w:val="00622998"/>
    <w:rsid w:val="00622999"/>
    <w:rsid w:val="006229CB"/>
    <w:rsid w:val="00622A45"/>
    <w:rsid w:val="00622B95"/>
    <w:rsid w:val="00622BAB"/>
    <w:rsid w:val="00622C0A"/>
    <w:rsid w:val="00622C8F"/>
    <w:rsid w:val="00622CBE"/>
    <w:rsid w:val="00622DD2"/>
    <w:rsid w:val="00622E21"/>
    <w:rsid w:val="00622E62"/>
    <w:rsid w:val="00622EA0"/>
    <w:rsid w:val="00622F4D"/>
    <w:rsid w:val="00622F51"/>
    <w:rsid w:val="00622F6B"/>
    <w:rsid w:val="00622FCE"/>
    <w:rsid w:val="00622FEA"/>
    <w:rsid w:val="00623023"/>
    <w:rsid w:val="0062302F"/>
    <w:rsid w:val="0062305F"/>
    <w:rsid w:val="00623078"/>
    <w:rsid w:val="00623103"/>
    <w:rsid w:val="00623111"/>
    <w:rsid w:val="0062315E"/>
    <w:rsid w:val="00623232"/>
    <w:rsid w:val="0062329C"/>
    <w:rsid w:val="0062335B"/>
    <w:rsid w:val="00623375"/>
    <w:rsid w:val="0062337B"/>
    <w:rsid w:val="006233DC"/>
    <w:rsid w:val="00623402"/>
    <w:rsid w:val="0062340A"/>
    <w:rsid w:val="00623427"/>
    <w:rsid w:val="00623448"/>
    <w:rsid w:val="00623518"/>
    <w:rsid w:val="00623565"/>
    <w:rsid w:val="00623570"/>
    <w:rsid w:val="006235E4"/>
    <w:rsid w:val="0062363B"/>
    <w:rsid w:val="006236AA"/>
    <w:rsid w:val="00623752"/>
    <w:rsid w:val="00623789"/>
    <w:rsid w:val="006237A6"/>
    <w:rsid w:val="006237B0"/>
    <w:rsid w:val="00623847"/>
    <w:rsid w:val="0062389C"/>
    <w:rsid w:val="00623942"/>
    <w:rsid w:val="006239FC"/>
    <w:rsid w:val="00623A37"/>
    <w:rsid w:val="00623A3B"/>
    <w:rsid w:val="00623A72"/>
    <w:rsid w:val="00623AB8"/>
    <w:rsid w:val="00623AF2"/>
    <w:rsid w:val="00623B07"/>
    <w:rsid w:val="00623B96"/>
    <w:rsid w:val="00623BBA"/>
    <w:rsid w:val="00623BD7"/>
    <w:rsid w:val="00623C7B"/>
    <w:rsid w:val="00623CDF"/>
    <w:rsid w:val="00623CE3"/>
    <w:rsid w:val="00623CFE"/>
    <w:rsid w:val="00623DC9"/>
    <w:rsid w:val="00623DF9"/>
    <w:rsid w:val="00623E1B"/>
    <w:rsid w:val="00623E82"/>
    <w:rsid w:val="00623EBC"/>
    <w:rsid w:val="00623F07"/>
    <w:rsid w:val="00623F2D"/>
    <w:rsid w:val="00623F77"/>
    <w:rsid w:val="00623FC2"/>
    <w:rsid w:val="00623FEC"/>
    <w:rsid w:val="00623FED"/>
    <w:rsid w:val="0062402C"/>
    <w:rsid w:val="00624209"/>
    <w:rsid w:val="00624241"/>
    <w:rsid w:val="0062427D"/>
    <w:rsid w:val="0062437C"/>
    <w:rsid w:val="006243D0"/>
    <w:rsid w:val="006244AD"/>
    <w:rsid w:val="00624527"/>
    <w:rsid w:val="0062456B"/>
    <w:rsid w:val="00624595"/>
    <w:rsid w:val="00624627"/>
    <w:rsid w:val="0062462F"/>
    <w:rsid w:val="006246DD"/>
    <w:rsid w:val="00624744"/>
    <w:rsid w:val="00624770"/>
    <w:rsid w:val="006247AF"/>
    <w:rsid w:val="006247D4"/>
    <w:rsid w:val="0062485F"/>
    <w:rsid w:val="0062487B"/>
    <w:rsid w:val="0062498E"/>
    <w:rsid w:val="00624A57"/>
    <w:rsid w:val="00624B04"/>
    <w:rsid w:val="00624B8B"/>
    <w:rsid w:val="00624BC5"/>
    <w:rsid w:val="00624BEA"/>
    <w:rsid w:val="00624C32"/>
    <w:rsid w:val="00624C9F"/>
    <w:rsid w:val="00624D51"/>
    <w:rsid w:val="00624D52"/>
    <w:rsid w:val="00624DDF"/>
    <w:rsid w:val="00624E83"/>
    <w:rsid w:val="00624EA8"/>
    <w:rsid w:val="00624EE5"/>
    <w:rsid w:val="00624F57"/>
    <w:rsid w:val="00624F8E"/>
    <w:rsid w:val="00625102"/>
    <w:rsid w:val="0062517C"/>
    <w:rsid w:val="006251F6"/>
    <w:rsid w:val="0062527B"/>
    <w:rsid w:val="006252C7"/>
    <w:rsid w:val="006252D5"/>
    <w:rsid w:val="006252E1"/>
    <w:rsid w:val="006252F1"/>
    <w:rsid w:val="006253AF"/>
    <w:rsid w:val="006253C8"/>
    <w:rsid w:val="006253DC"/>
    <w:rsid w:val="006253FE"/>
    <w:rsid w:val="006254E2"/>
    <w:rsid w:val="006254EC"/>
    <w:rsid w:val="00625515"/>
    <w:rsid w:val="00625543"/>
    <w:rsid w:val="00625583"/>
    <w:rsid w:val="00625593"/>
    <w:rsid w:val="006255BE"/>
    <w:rsid w:val="006255DF"/>
    <w:rsid w:val="0062575F"/>
    <w:rsid w:val="00625762"/>
    <w:rsid w:val="00625834"/>
    <w:rsid w:val="006258B0"/>
    <w:rsid w:val="00625A04"/>
    <w:rsid w:val="00625A5D"/>
    <w:rsid w:val="00625AA2"/>
    <w:rsid w:val="00625C15"/>
    <w:rsid w:val="00625C80"/>
    <w:rsid w:val="00625D6D"/>
    <w:rsid w:val="00625DDB"/>
    <w:rsid w:val="00625DDC"/>
    <w:rsid w:val="00625DF8"/>
    <w:rsid w:val="00625ED2"/>
    <w:rsid w:val="00625F72"/>
    <w:rsid w:val="006260C9"/>
    <w:rsid w:val="0062610B"/>
    <w:rsid w:val="00626256"/>
    <w:rsid w:val="006262A5"/>
    <w:rsid w:val="006262BA"/>
    <w:rsid w:val="0062639A"/>
    <w:rsid w:val="006263A9"/>
    <w:rsid w:val="006263C6"/>
    <w:rsid w:val="0062641B"/>
    <w:rsid w:val="00626431"/>
    <w:rsid w:val="00626495"/>
    <w:rsid w:val="006264C6"/>
    <w:rsid w:val="006264D2"/>
    <w:rsid w:val="0062651F"/>
    <w:rsid w:val="0062653B"/>
    <w:rsid w:val="0062655F"/>
    <w:rsid w:val="0062656F"/>
    <w:rsid w:val="00626594"/>
    <w:rsid w:val="00626602"/>
    <w:rsid w:val="0062669F"/>
    <w:rsid w:val="006266FB"/>
    <w:rsid w:val="00626716"/>
    <w:rsid w:val="0062677D"/>
    <w:rsid w:val="0062678A"/>
    <w:rsid w:val="00626834"/>
    <w:rsid w:val="006268C9"/>
    <w:rsid w:val="006268D0"/>
    <w:rsid w:val="00626902"/>
    <w:rsid w:val="00626A00"/>
    <w:rsid w:val="00626AD3"/>
    <w:rsid w:val="00626AF1"/>
    <w:rsid w:val="00626B5E"/>
    <w:rsid w:val="00626CE0"/>
    <w:rsid w:val="00626D23"/>
    <w:rsid w:val="00626D44"/>
    <w:rsid w:val="00626E04"/>
    <w:rsid w:val="00626E70"/>
    <w:rsid w:val="00626F2D"/>
    <w:rsid w:val="00626FA0"/>
    <w:rsid w:val="00627060"/>
    <w:rsid w:val="0062717F"/>
    <w:rsid w:val="006271D8"/>
    <w:rsid w:val="00627390"/>
    <w:rsid w:val="006273A5"/>
    <w:rsid w:val="0062743B"/>
    <w:rsid w:val="006274B5"/>
    <w:rsid w:val="006274F3"/>
    <w:rsid w:val="00627567"/>
    <w:rsid w:val="0062760B"/>
    <w:rsid w:val="0062773A"/>
    <w:rsid w:val="00627816"/>
    <w:rsid w:val="0062785E"/>
    <w:rsid w:val="006278A0"/>
    <w:rsid w:val="006278CC"/>
    <w:rsid w:val="0062794C"/>
    <w:rsid w:val="00627965"/>
    <w:rsid w:val="0062796D"/>
    <w:rsid w:val="00627A8A"/>
    <w:rsid w:val="00627A96"/>
    <w:rsid w:val="00627A97"/>
    <w:rsid w:val="00627ACF"/>
    <w:rsid w:val="00627B03"/>
    <w:rsid w:val="00627B86"/>
    <w:rsid w:val="00627BF2"/>
    <w:rsid w:val="00627C34"/>
    <w:rsid w:val="00627E88"/>
    <w:rsid w:val="00627EE8"/>
    <w:rsid w:val="00630017"/>
    <w:rsid w:val="00630050"/>
    <w:rsid w:val="00630059"/>
    <w:rsid w:val="00630061"/>
    <w:rsid w:val="006300AC"/>
    <w:rsid w:val="006300E0"/>
    <w:rsid w:val="0063010D"/>
    <w:rsid w:val="00630110"/>
    <w:rsid w:val="0063019C"/>
    <w:rsid w:val="006301B1"/>
    <w:rsid w:val="006301DF"/>
    <w:rsid w:val="00630226"/>
    <w:rsid w:val="0063029E"/>
    <w:rsid w:val="0063034B"/>
    <w:rsid w:val="0063035A"/>
    <w:rsid w:val="006303A8"/>
    <w:rsid w:val="0063042B"/>
    <w:rsid w:val="006304B3"/>
    <w:rsid w:val="00630511"/>
    <w:rsid w:val="00630543"/>
    <w:rsid w:val="00630590"/>
    <w:rsid w:val="00630594"/>
    <w:rsid w:val="006305D7"/>
    <w:rsid w:val="00630670"/>
    <w:rsid w:val="00630686"/>
    <w:rsid w:val="006307D1"/>
    <w:rsid w:val="006307D8"/>
    <w:rsid w:val="006307F8"/>
    <w:rsid w:val="00630805"/>
    <w:rsid w:val="0063086E"/>
    <w:rsid w:val="00630957"/>
    <w:rsid w:val="006309F1"/>
    <w:rsid w:val="00630A0D"/>
    <w:rsid w:val="00630A6D"/>
    <w:rsid w:val="00630BD6"/>
    <w:rsid w:val="00630BEC"/>
    <w:rsid w:val="00630CA0"/>
    <w:rsid w:val="00630CEF"/>
    <w:rsid w:val="00630CF2"/>
    <w:rsid w:val="00630D19"/>
    <w:rsid w:val="00630E2A"/>
    <w:rsid w:val="00630E7F"/>
    <w:rsid w:val="00630E9B"/>
    <w:rsid w:val="00630F71"/>
    <w:rsid w:val="00630FBE"/>
    <w:rsid w:val="00630FD2"/>
    <w:rsid w:val="00631019"/>
    <w:rsid w:val="00631268"/>
    <w:rsid w:val="006312A8"/>
    <w:rsid w:val="00631359"/>
    <w:rsid w:val="006313D3"/>
    <w:rsid w:val="006314BC"/>
    <w:rsid w:val="00631529"/>
    <w:rsid w:val="00631563"/>
    <w:rsid w:val="00631592"/>
    <w:rsid w:val="0063162C"/>
    <w:rsid w:val="00631917"/>
    <w:rsid w:val="0063197D"/>
    <w:rsid w:val="006319A0"/>
    <w:rsid w:val="00631A44"/>
    <w:rsid w:val="00631AEC"/>
    <w:rsid w:val="00631B24"/>
    <w:rsid w:val="00631B86"/>
    <w:rsid w:val="00631C12"/>
    <w:rsid w:val="00631D1E"/>
    <w:rsid w:val="00631D69"/>
    <w:rsid w:val="00631EFD"/>
    <w:rsid w:val="00631F0B"/>
    <w:rsid w:val="00631F8E"/>
    <w:rsid w:val="00631F92"/>
    <w:rsid w:val="00631F95"/>
    <w:rsid w:val="00631F9A"/>
    <w:rsid w:val="00631FCD"/>
    <w:rsid w:val="00632003"/>
    <w:rsid w:val="0063200E"/>
    <w:rsid w:val="0063201D"/>
    <w:rsid w:val="006320D2"/>
    <w:rsid w:val="00632117"/>
    <w:rsid w:val="00632161"/>
    <w:rsid w:val="0063218A"/>
    <w:rsid w:val="0063223C"/>
    <w:rsid w:val="006322AC"/>
    <w:rsid w:val="00632300"/>
    <w:rsid w:val="0063235E"/>
    <w:rsid w:val="006323AA"/>
    <w:rsid w:val="006323DC"/>
    <w:rsid w:val="006323EF"/>
    <w:rsid w:val="0063240A"/>
    <w:rsid w:val="00632412"/>
    <w:rsid w:val="0063243B"/>
    <w:rsid w:val="00632467"/>
    <w:rsid w:val="006324AC"/>
    <w:rsid w:val="006324D7"/>
    <w:rsid w:val="006325FD"/>
    <w:rsid w:val="006326C1"/>
    <w:rsid w:val="0063278F"/>
    <w:rsid w:val="00632834"/>
    <w:rsid w:val="00632A76"/>
    <w:rsid w:val="00632AC5"/>
    <w:rsid w:val="00632B99"/>
    <w:rsid w:val="00632C07"/>
    <w:rsid w:val="00632CD5"/>
    <w:rsid w:val="00632D31"/>
    <w:rsid w:val="00632DAF"/>
    <w:rsid w:val="00632E0F"/>
    <w:rsid w:val="00632EA5"/>
    <w:rsid w:val="00632EAC"/>
    <w:rsid w:val="00632EC2"/>
    <w:rsid w:val="00632F81"/>
    <w:rsid w:val="00632F87"/>
    <w:rsid w:val="00632FCE"/>
    <w:rsid w:val="00632FD8"/>
    <w:rsid w:val="00633007"/>
    <w:rsid w:val="00633043"/>
    <w:rsid w:val="00633070"/>
    <w:rsid w:val="00633087"/>
    <w:rsid w:val="006330D4"/>
    <w:rsid w:val="006331A2"/>
    <w:rsid w:val="006331ED"/>
    <w:rsid w:val="00633212"/>
    <w:rsid w:val="0063326C"/>
    <w:rsid w:val="00633270"/>
    <w:rsid w:val="0063330E"/>
    <w:rsid w:val="006333DD"/>
    <w:rsid w:val="00633440"/>
    <w:rsid w:val="00633462"/>
    <w:rsid w:val="0063351A"/>
    <w:rsid w:val="0063354C"/>
    <w:rsid w:val="006335B7"/>
    <w:rsid w:val="00633621"/>
    <w:rsid w:val="00633667"/>
    <w:rsid w:val="006337DA"/>
    <w:rsid w:val="0063381D"/>
    <w:rsid w:val="0063385C"/>
    <w:rsid w:val="006338A6"/>
    <w:rsid w:val="00633911"/>
    <w:rsid w:val="00633989"/>
    <w:rsid w:val="006339FF"/>
    <w:rsid w:val="00633A5A"/>
    <w:rsid w:val="00633A8E"/>
    <w:rsid w:val="00633ACE"/>
    <w:rsid w:val="00633B5E"/>
    <w:rsid w:val="00633B8D"/>
    <w:rsid w:val="00633BA1"/>
    <w:rsid w:val="00633BB3"/>
    <w:rsid w:val="00633C5D"/>
    <w:rsid w:val="00633C71"/>
    <w:rsid w:val="00633CBE"/>
    <w:rsid w:val="00633D5A"/>
    <w:rsid w:val="00633DC5"/>
    <w:rsid w:val="00633DD7"/>
    <w:rsid w:val="00633E31"/>
    <w:rsid w:val="00633EBD"/>
    <w:rsid w:val="00633F94"/>
    <w:rsid w:val="00634007"/>
    <w:rsid w:val="00634016"/>
    <w:rsid w:val="00634100"/>
    <w:rsid w:val="0063411F"/>
    <w:rsid w:val="006341C6"/>
    <w:rsid w:val="0063434E"/>
    <w:rsid w:val="00634353"/>
    <w:rsid w:val="00634386"/>
    <w:rsid w:val="00634482"/>
    <w:rsid w:val="00634582"/>
    <w:rsid w:val="006345B3"/>
    <w:rsid w:val="0063460A"/>
    <w:rsid w:val="0063466D"/>
    <w:rsid w:val="006346D0"/>
    <w:rsid w:val="0063470C"/>
    <w:rsid w:val="0063472C"/>
    <w:rsid w:val="00634851"/>
    <w:rsid w:val="00634859"/>
    <w:rsid w:val="0063488C"/>
    <w:rsid w:val="00634982"/>
    <w:rsid w:val="00634A39"/>
    <w:rsid w:val="00634AA3"/>
    <w:rsid w:val="00634BCC"/>
    <w:rsid w:val="00634C17"/>
    <w:rsid w:val="00634D69"/>
    <w:rsid w:val="00634DD6"/>
    <w:rsid w:val="00634DD8"/>
    <w:rsid w:val="00634E49"/>
    <w:rsid w:val="00634E5A"/>
    <w:rsid w:val="00634EE2"/>
    <w:rsid w:val="00634F47"/>
    <w:rsid w:val="00634F9C"/>
    <w:rsid w:val="00634FC2"/>
    <w:rsid w:val="0063513B"/>
    <w:rsid w:val="00635167"/>
    <w:rsid w:val="00635180"/>
    <w:rsid w:val="006351A5"/>
    <w:rsid w:val="006351C2"/>
    <w:rsid w:val="006351DA"/>
    <w:rsid w:val="006351E3"/>
    <w:rsid w:val="006352D0"/>
    <w:rsid w:val="006352E8"/>
    <w:rsid w:val="0063539F"/>
    <w:rsid w:val="006353FD"/>
    <w:rsid w:val="00635475"/>
    <w:rsid w:val="006354E8"/>
    <w:rsid w:val="0063560B"/>
    <w:rsid w:val="00635638"/>
    <w:rsid w:val="00635774"/>
    <w:rsid w:val="0063582F"/>
    <w:rsid w:val="00635869"/>
    <w:rsid w:val="0063586A"/>
    <w:rsid w:val="00635883"/>
    <w:rsid w:val="006358D4"/>
    <w:rsid w:val="006358E3"/>
    <w:rsid w:val="00635933"/>
    <w:rsid w:val="0063596A"/>
    <w:rsid w:val="006359EC"/>
    <w:rsid w:val="00635A00"/>
    <w:rsid w:val="00635A84"/>
    <w:rsid w:val="00635ABA"/>
    <w:rsid w:val="00635AC9"/>
    <w:rsid w:val="00635B28"/>
    <w:rsid w:val="00635B46"/>
    <w:rsid w:val="00635C64"/>
    <w:rsid w:val="00635C9D"/>
    <w:rsid w:val="00635D13"/>
    <w:rsid w:val="00635E66"/>
    <w:rsid w:val="00635E7F"/>
    <w:rsid w:val="00635F3B"/>
    <w:rsid w:val="00635FA8"/>
    <w:rsid w:val="00635FFB"/>
    <w:rsid w:val="00635FFE"/>
    <w:rsid w:val="00636055"/>
    <w:rsid w:val="0063606D"/>
    <w:rsid w:val="006360B7"/>
    <w:rsid w:val="00636134"/>
    <w:rsid w:val="0063616A"/>
    <w:rsid w:val="0063617A"/>
    <w:rsid w:val="00636191"/>
    <w:rsid w:val="006361B8"/>
    <w:rsid w:val="00636246"/>
    <w:rsid w:val="006362DA"/>
    <w:rsid w:val="0063630E"/>
    <w:rsid w:val="0063633B"/>
    <w:rsid w:val="0063634D"/>
    <w:rsid w:val="00636379"/>
    <w:rsid w:val="0063646B"/>
    <w:rsid w:val="006364D0"/>
    <w:rsid w:val="0063652C"/>
    <w:rsid w:val="00636580"/>
    <w:rsid w:val="0063666F"/>
    <w:rsid w:val="00636684"/>
    <w:rsid w:val="00636693"/>
    <w:rsid w:val="0063671B"/>
    <w:rsid w:val="006367F4"/>
    <w:rsid w:val="00636854"/>
    <w:rsid w:val="0063689A"/>
    <w:rsid w:val="006368C6"/>
    <w:rsid w:val="0063694D"/>
    <w:rsid w:val="006369C5"/>
    <w:rsid w:val="006369DB"/>
    <w:rsid w:val="00636AD5"/>
    <w:rsid w:val="00636B6B"/>
    <w:rsid w:val="00636C11"/>
    <w:rsid w:val="00636C66"/>
    <w:rsid w:val="00636CBB"/>
    <w:rsid w:val="00636CDA"/>
    <w:rsid w:val="00636CEF"/>
    <w:rsid w:val="00636D2C"/>
    <w:rsid w:val="00636D8B"/>
    <w:rsid w:val="00636DD2"/>
    <w:rsid w:val="00636DEA"/>
    <w:rsid w:val="00636E20"/>
    <w:rsid w:val="00636FB4"/>
    <w:rsid w:val="00636FE8"/>
    <w:rsid w:val="0063707C"/>
    <w:rsid w:val="006370A1"/>
    <w:rsid w:val="00637125"/>
    <w:rsid w:val="006371B6"/>
    <w:rsid w:val="0063722E"/>
    <w:rsid w:val="00637230"/>
    <w:rsid w:val="00637260"/>
    <w:rsid w:val="0063727D"/>
    <w:rsid w:val="0063729D"/>
    <w:rsid w:val="006372E0"/>
    <w:rsid w:val="00637493"/>
    <w:rsid w:val="006374E1"/>
    <w:rsid w:val="006375F9"/>
    <w:rsid w:val="00637629"/>
    <w:rsid w:val="00637666"/>
    <w:rsid w:val="006376AC"/>
    <w:rsid w:val="00637730"/>
    <w:rsid w:val="006378B8"/>
    <w:rsid w:val="006379C7"/>
    <w:rsid w:val="006379D0"/>
    <w:rsid w:val="00637A11"/>
    <w:rsid w:val="00637A19"/>
    <w:rsid w:val="00637A4F"/>
    <w:rsid w:val="00637A5E"/>
    <w:rsid w:val="00637AAB"/>
    <w:rsid w:val="00637B37"/>
    <w:rsid w:val="00637BE0"/>
    <w:rsid w:val="00637BFA"/>
    <w:rsid w:val="00637D3A"/>
    <w:rsid w:val="00637DBA"/>
    <w:rsid w:val="00637F05"/>
    <w:rsid w:val="00637F27"/>
    <w:rsid w:val="00640003"/>
    <w:rsid w:val="00640023"/>
    <w:rsid w:val="0064004C"/>
    <w:rsid w:val="00640059"/>
    <w:rsid w:val="00640064"/>
    <w:rsid w:val="00640099"/>
    <w:rsid w:val="006401B3"/>
    <w:rsid w:val="0064022F"/>
    <w:rsid w:val="0064024E"/>
    <w:rsid w:val="00640256"/>
    <w:rsid w:val="006402D6"/>
    <w:rsid w:val="006403A7"/>
    <w:rsid w:val="006403F8"/>
    <w:rsid w:val="006404AC"/>
    <w:rsid w:val="0064058D"/>
    <w:rsid w:val="00640625"/>
    <w:rsid w:val="0064062F"/>
    <w:rsid w:val="006406B9"/>
    <w:rsid w:val="0064070A"/>
    <w:rsid w:val="0064079B"/>
    <w:rsid w:val="0064083E"/>
    <w:rsid w:val="00640885"/>
    <w:rsid w:val="0064092D"/>
    <w:rsid w:val="0064095B"/>
    <w:rsid w:val="00640995"/>
    <w:rsid w:val="00640A0B"/>
    <w:rsid w:val="00640A61"/>
    <w:rsid w:val="00640AD3"/>
    <w:rsid w:val="00640B02"/>
    <w:rsid w:val="00640BAD"/>
    <w:rsid w:val="00640C6F"/>
    <w:rsid w:val="00640C9B"/>
    <w:rsid w:val="00640CB6"/>
    <w:rsid w:val="00640D51"/>
    <w:rsid w:val="00640D85"/>
    <w:rsid w:val="00640D93"/>
    <w:rsid w:val="00640DAF"/>
    <w:rsid w:val="00640DB9"/>
    <w:rsid w:val="00640DCB"/>
    <w:rsid w:val="00640E14"/>
    <w:rsid w:val="00640EFF"/>
    <w:rsid w:val="00640F24"/>
    <w:rsid w:val="00640F25"/>
    <w:rsid w:val="00640FF7"/>
    <w:rsid w:val="0064108D"/>
    <w:rsid w:val="006410B6"/>
    <w:rsid w:val="006410FF"/>
    <w:rsid w:val="00641167"/>
    <w:rsid w:val="0064122F"/>
    <w:rsid w:val="00641318"/>
    <w:rsid w:val="00641374"/>
    <w:rsid w:val="006413FB"/>
    <w:rsid w:val="00641403"/>
    <w:rsid w:val="00641434"/>
    <w:rsid w:val="006414BC"/>
    <w:rsid w:val="006414E6"/>
    <w:rsid w:val="00641725"/>
    <w:rsid w:val="0064176A"/>
    <w:rsid w:val="00641886"/>
    <w:rsid w:val="0064189F"/>
    <w:rsid w:val="00641920"/>
    <w:rsid w:val="0064193E"/>
    <w:rsid w:val="0064194D"/>
    <w:rsid w:val="00641A09"/>
    <w:rsid w:val="00641A69"/>
    <w:rsid w:val="00641A75"/>
    <w:rsid w:val="00641A90"/>
    <w:rsid w:val="00641AE0"/>
    <w:rsid w:val="00641C22"/>
    <w:rsid w:val="00641C23"/>
    <w:rsid w:val="00641C54"/>
    <w:rsid w:val="00641C7B"/>
    <w:rsid w:val="00641CAB"/>
    <w:rsid w:val="00641CAC"/>
    <w:rsid w:val="00641CB7"/>
    <w:rsid w:val="00641CCD"/>
    <w:rsid w:val="00641D23"/>
    <w:rsid w:val="00641D98"/>
    <w:rsid w:val="00641E2E"/>
    <w:rsid w:val="00641E67"/>
    <w:rsid w:val="00641EED"/>
    <w:rsid w:val="00641F07"/>
    <w:rsid w:val="00641F0F"/>
    <w:rsid w:val="00641F8C"/>
    <w:rsid w:val="00641FF6"/>
    <w:rsid w:val="0064204F"/>
    <w:rsid w:val="00642251"/>
    <w:rsid w:val="006422DC"/>
    <w:rsid w:val="00642302"/>
    <w:rsid w:val="00642435"/>
    <w:rsid w:val="0064248B"/>
    <w:rsid w:val="0064253F"/>
    <w:rsid w:val="006425A8"/>
    <w:rsid w:val="006426CD"/>
    <w:rsid w:val="00642713"/>
    <w:rsid w:val="0064275E"/>
    <w:rsid w:val="0064279A"/>
    <w:rsid w:val="006427B8"/>
    <w:rsid w:val="0064282A"/>
    <w:rsid w:val="0064287A"/>
    <w:rsid w:val="006428AB"/>
    <w:rsid w:val="0064293C"/>
    <w:rsid w:val="00642987"/>
    <w:rsid w:val="00642992"/>
    <w:rsid w:val="006429FC"/>
    <w:rsid w:val="00642A21"/>
    <w:rsid w:val="00642A33"/>
    <w:rsid w:val="00642A5A"/>
    <w:rsid w:val="00642B26"/>
    <w:rsid w:val="00642B5B"/>
    <w:rsid w:val="00642B8C"/>
    <w:rsid w:val="00642BD8"/>
    <w:rsid w:val="00642BF0"/>
    <w:rsid w:val="00642BF5"/>
    <w:rsid w:val="00642C33"/>
    <w:rsid w:val="00642C52"/>
    <w:rsid w:val="00642C69"/>
    <w:rsid w:val="00642CBD"/>
    <w:rsid w:val="00642D94"/>
    <w:rsid w:val="00642E32"/>
    <w:rsid w:val="00642F86"/>
    <w:rsid w:val="00643037"/>
    <w:rsid w:val="00643081"/>
    <w:rsid w:val="006430A3"/>
    <w:rsid w:val="00643122"/>
    <w:rsid w:val="00643160"/>
    <w:rsid w:val="00643162"/>
    <w:rsid w:val="006431DB"/>
    <w:rsid w:val="006431F2"/>
    <w:rsid w:val="006431F5"/>
    <w:rsid w:val="0064324C"/>
    <w:rsid w:val="0064333B"/>
    <w:rsid w:val="0064334B"/>
    <w:rsid w:val="00643376"/>
    <w:rsid w:val="006435BD"/>
    <w:rsid w:val="00643630"/>
    <w:rsid w:val="0064364F"/>
    <w:rsid w:val="00643689"/>
    <w:rsid w:val="006436FE"/>
    <w:rsid w:val="00643783"/>
    <w:rsid w:val="006437A4"/>
    <w:rsid w:val="0064386A"/>
    <w:rsid w:val="006438F6"/>
    <w:rsid w:val="00643924"/>
    <w:rsid w:val="0064397D"/>
    <w:rsid w:val="006439C8"/>
    <w:rsid w:val="00643A70"/>
    <w:rsid w:val="00643ACE"/>
    <w:rsid w:val="00643AE0"/>
    <w:rsid w:val="00643AEB"/>
    <w:rsid w:val="00643BAE"/>
    <w:rsid w:val="00643BE9"/>
    <w:rsid w:val="00643C00"/>
    <w:rsid w:val="00643CB4"/>
    <w:rsid w:val="00643CB7"/>
    <w:rsid w:val="00643D2B"/>
    <w:rsid w:val="00643D40"/>
    <w:rsid w:val="00643DB7"/>
    <w:rsid w:val="00643DFE"/>
    <w:rsid w:val="00643E6C"/>
    <w:rsid w:val="00643E88"/>
    <w:rsid w:val="00644083"/>
    <w:rsid w:val="0064408D"/>
    <w:rsid w:val="006440A5"/>
    <w:rsid w:val="0064416E"/>
    <w:rsid w:val="006441F6"/>
    <w:rsid w:val="0064423E"/>
    <w:rsid w:val="0064426E"/>
    <w:rsid w:val="006443E7"/>
    <w:rsid w:val="006443F8"/>
    <w:rsid w:val="00644400"/>
    <w:rsid w:val="00644490"/>
    <w:rsid w:val="00644519"/>
    <w:rsid w:val="00644542"/>
    <w:rsid w:val="0064456A"/>
    <w:rsid w:val="00644594"/>
    <w:rsid w:val="00644604"/>
    <w:rsid w:val="006446CD"/>
    <w:rsid w:val="00644770"/>
    <w:rsid w:val="00644772"/>
    <w:rsid w:val="0064479A"/>
    <w:rsid w:val="006447D9"/>
    <w:rsid w:val="0064497C"/>
    <w:rsid w:val="00644984"/>
    <w:rsid w:val="006449EC"/>
    <w:rsid w:val="00644A4D"/>
    <w:rsid w:val="00644A5A"/>
    <w:rsid w:val="00644B3D"/>
    <w:rsid w:val="00644B56"/>
    <w:rsid w:val="00644B97"/>
    <w:rsid w:val="00644CD6"/>
    <w:rsid w:val="00644CDB"/>
    <w:rsid w:val="00644D02"/>
    <w:rsid w:val="00644D75"/>
    <w:rsid w:val="00644D9D"/>
    <w:rsid w:val="00644E5A"/>
    <w:rsid w:val="00644E5E"/>
    <w:rsid w:val="00644E86"/>
    <w:rsid w:val="00644EA1"/>
    <w:rsid w:val="00644EDB"/>
    <w:rsid w:val="00644EE8"/>
    <w:rsid w:val="00644F70"/>
    <w:rsid w:val="00644FFD"/>
    <w:rsid w:val="00645029"/>
    <w:rsid w:val="00645032"/>
    <w:rsid w:val="0064503B"/>
    <w:rsid w:val="006450BD"/>
    <w:rsid w:val="00645159"/>
    <w:rsid w:val="006451DE"/>
    <w:rsid w:val="00645278"/>
    <w:rsid w:val="006453B2"/>
    <w:rsid w:val="0064548C"/>
    <w:rsid w:val="00645582"/>
    <w:rsid w:val="00645597"/>
    <w:rsid w:val="0064565E"/>
    <w:rsid w:val="00645675"/>
    <w:rsid w:val="006456A0"/>
    <w:rsid w:val="006456B1"/>
    <w:rsid w:val="006456B2"/>
    <w:rsid w:val="006457A8"/>
    <w:rsid w:val="006457D9"/>
    <w:rsid w:val="00645800"/>
    <w:rsid w:val="00645814"/>
    <w:rsid w:val="0064586B"/>
    <w:rsid w:val="006458E1"/>
    <w:rsid w:val="00645901"/>
    <w:rsid w:val="006459D0"/>
    <w:rsid w:val="006459F9"/>
    <w:rsid w:val="00645A0F"/>
    <w:rsid w:val="00645A43"/>
    <w:rsid w:val="00645AAF"/>
    <w:rsid w:val="00645AE1"/>
    <w:rsid w:val="00645AEF"/>
    <w:rsid w:val="00645B51"/>
    <w:rsid w:val="00645C5C"/>
    <w:rsid w:val="00645C86"/>
    <w:rsid w:val="00645CE5"/>
    <w:rsid w:val="00645DB9"/>
    <w:rsid w:val="00645E9E"/>
    <w:rsid w:val="00645F1B"/>
    <w:rsid w:val="00645F34"/>
    <w:rsid w:val="00645F41"/>
    <w:rsid w:val="00645FCB"/>
    <w:rsid w:val="0064607A"/>
    <w:rsid w:val="006460D4"/>
    <w:rsid w:val="00646117"/>
    <w:rsid w:val="0064615D"/>
    <w:rsid w:val="00646207"/>
    <w:rsid w:val="00646249"/>
    <w:rsid w:val="006462ED"/>
    <w:rsid w:val="0064659A"/>
    <w:rsid w:val="00646615"/>
    <w:rsid w:val="00646696"/>
    <w:rsid w:val="006466C9"/>
    <w:rsid w:val="006466E2"/>
    <w:rsid w:val="00646766"/>
    <w:rsid w:val="006467C8"/>
    <w:rsid w:val="0064682E"/>
    <w:rsid w:val="00646841"/>
    <w:rsid w:val="0064694F"/>
    <w:rsid w:val="00646A67"/>
    <w:rsid w:val="00646BA5"/>
    <w:rsid w:val="00646BB1"/>
    <w:rsid w:val="00646CCA"/>
    <w:rsid w:val="00646DEA"/>
    <w:rsid w:val="00646E6C"/>
    <w:rsid w:val="00646ED3"/>
    <w:rsid w:val="00646EDD"/>
    <w:rsid w:val="00646FAC"/>
    <w:rsid w:val="00646FB5"/>
    <w:rsid w:val="00646FF1"/>
    <w:rsid w:val="0064700E"/>
    <w:rsid w:val="0064704F"/>
    <w:rsid w:val="00647059"/>
    <w:rsid w:val="0064707D"/>
    <w:rsid w:val="006470A6"/>
    <w:rsid w:val="00647131"/>
    <w:rsid w:val="00647134"/>
    <w:rsid w:val="00647274"/>
    <w:rsid w:val="006472D4"/>
    <w:rsid w:val="00647327"/>
    <w:rsid w:val="0064734A"/>
    <w:rsid w:val="00647374"/>
    <w:rsid w:val="006473C6"/>
    <w:rsid w:val="006473CF"/>
    <w:rsid w:val="006474B7"/>
    <w:rsid w:val="006474EC"/>
    <w:rsid w:val="00647561"/>
    <w:rsid w:val="0064761C"/>
    <w:rsid w:val="0064768B"/>
    <w:rsid w:val="006476A9"/>
    <w:rsid w:val="0064773E"/>
    <w:rsid w:val="006477AF"/>
    <w:rsid w:val="0064781F"/>
    <w:rsid w:val="006478C7"/>
    <w:rsid w:val="00647968"/>
    <w:rsid w:val="0064796E"/>
    <w:rsid w:val="006479AE"/>
    <w:rsid w:val="00647A14"/>
    <w:rsid w:val="00647AF6"/>
    <w:rsid w:val="00647BB5"/>
    <w:rsid w:val="00647BDB"/>
    <w:rsid w:val="00647C3B"/>
    <w:rsid w:val="00647CB2"/>
    <w:rsid w:val="00647CB3"/>
    <w:rsid w:val="00647CBD"/>
    <w:rsid w:val="00647D8B"/>
    <w:rsid w:val="00647DE3"/>
    <w:rsid w:val="00647DE5"/>
    <w:rsid w:val="00647E0D"/>
    <w:rsid w:val="00647EAB"/>
    <w:rsid w:val="00647EF6"/>
    <w:rsid w:val="00647F5D"/>
    <w:rsid w:val="00647F65"/>
    <w:rsid w:val="00647F68"/>
    <w:rsid w:val="00647F96"/>
    <w:rsid w:val="0065001F"/>
    <w:rsid w:val="00650063"/>
    <w:rsid w:val="0065006C"/>
    <w:rsid w:val="006500D2"/>
    <w:rsid w:val="006501A4"/>
    <w:rsid w:val="006501C5"/>
    <w:rsid w:val="006501F1"/>
    <w:rsid w:val="00650217"/>
    <w:rsid w:val="0065025D"/>
    <w:rsid w:val="0065027E"/>
    <w:rsid w:val="006502ED"/>
    <w:rsid w:val="00650345"/>
    <w:rsid w:val="006503A7"/>
    <w:rsid w:val="006503CD"/>
    <w:rsid w:val="006503DF"/>
    <w:rsid w:val="00650454"/>
    <w:rsid w:val="00650487"/>
    <w:rsid w:val="0065051D"/>
    <w:rsid w:val="00650625"/>
    <w:rsid w:val="006506FF"/>
    <w:rsid w:val="0065078D"/>
    <w:rsid w:val="006507A5"/>
    <w:rsid w:val="006507F9"/>
    <w:rsid w:val="00650875"/>
    <w:rsid w:val="00650880"/>
    <w:rsid w:val="00650959"/>
    <w:rsid w:val="0065098D"/>
    <w:rsid w:val="00650A17"/>
    <w:rsid w:val="00650A8F"/>
    <w:rsid w:val="00650AA5"/>
    <w:rsid w:val="00650BA4"/>
    <w:rsid w:val="00650C2E"/>
    <w:rsid w:val="00650C30"/>
    <w:rsid w:val="00650C5C"/>
    <w:rsid w:val="00650DAB"/>
    <w:rsid w:val="00650DF8"/>
    <w:rsid w:val="00650E28"/>
    <w:rsid w:val="00650FB1"/>
    <w:rsid w:val="00651018"/>
    <w:rsid w:val="0065105B"/>
    <w:rsid w:val="0065108D"/>
    <w:rsid w:val="00651105"/>
    <w:rsid w:val="0065117A"/>
    <w:rsid w:val="006511D9"/>
    <w:rsid w:val="0065123B"/>
    <w:rsid w:val="00651298"/>
    <w:rsid w:val="006512A0"/>
    <w:rsid w:val="006512A5"/>
    <w:rsid w:val="006512A9"/>
    <w:rsid w:val="006514CA"/>
    <w:rsid w:val="00651525"/>
    <w:rsid w:val="0065164C"/>
    <w:rsid w:val="0065167C"/>
    <w:rsid w:val="0065168E"/>
    <w:rsid w:val="00651741"/>
    <w:rsid w:val="006517A4"/>
    <w:rsid w:val="0065182A"/>
    <w:rsid w:val="00651861"/>
    <w:rsid w:val="006518F0"/>
    <w:rsid w:val="00651921"/>
    <w:rsid w:val="0065193B"/>
    <w:rsid w:val="0065196F"/>
    <w:rsid w:val="00651AEC"/>
    <w:rsid w:val="00651B9D"/>
    <w:rsid w:val="00651CD9"/>
    <w:rsid w:val="00651D0E"/>
    <w:rsid w:val="00651DA5"/>
    <w:rsid w:val="00651DB1"/>
    <w:rsid w:val="00651E13"/>
    <w:rsid w:val="00651EBB"/>
    <w:rsid w:val="00651F03"/>
    <w:rsid w:val="00651F17"/>
    <w:rsid w:val="00651F34"/>
    <w:rsid w:val="00651F69"/>
    <w:rsid w:val="00651F73"/>
    <w:rsid w:val="0065204B"/>
    <w:rsid w:val="00652127"/>
    <w:rsid w:val="00652250"/>
    <w:rsid w:val="00652309"/>
    <w:rsid w:val="006523EB"/>
    <w:rsid w:val="006523F0"/>
    <w:rsid w:val="00652429"/>
    <w:rsid w:val="0065243C"/>
    <w:rsid w:val="00652471"/>
    <w:rsid w:val="00652496"/>
    <w:rsid w:val="006524E1"/>
    <w:rsid w:val="006524EC"/>
    <w:rsid w:val="00652504"/>
    <w:rsid w:val="006526B1"/>
    <w:rsid w:val="0065271E"/>
    <w:rsid w:val="006528FE"/>
    <w:rsid w:val="00652994"/>
    <w:rsid w:val="0065299F"/>
    <w:rsid w:val="00652A0B"/>
    <w:rsid w:val="00652B9E"/>
    <w:rsid w:val="00652BAB"/>
    <w:rsid w:val="00652C89"/>
    <w:rsid w:val="00652D22"/>
    <w:rsid w:val="00652F0E"/>
    <w:rsid w:val="00652F6F"/>
    <w:rsid w:val="00653001"/>
    <w:rsid w:val="00653034"/>
    <w:rsid w:val="0065313B"/>
    <w:rsid w:val="00653197"/>
    <w:rsid w:val="006532AA"/>
    <w:rsid w:val="006532F6"/>
    <w:rsid w:val="0065330E"/>
    <w:rsid w:val="00653426"/>
    <w:rsid w:val="0065347C"/>
    <w:rsid w:val="00653517"/>
    <w:rsid w:val="00653564"/>
    <w:rsid w:val="006535D8"/>
    <w:rsid w:val="006536AE"/>
    <w:rsid w:val="00653842"/>
    <w:rsid w:val="0065392A"/>
    <w:rsid w:val="0065395F"/>
    <w:rsid w:val="0065396E"/>
    <w:rsid w:val="00653986"/>
    <w:rsid w:val="006539A4"/>
    <w:rsid w:val="006539AE"/>
    <w:rsid w:val="006539F3"/>
    <w:rsid w:val="00653A9F"/>
    <w:rsid w:val="00653AD7"/>
    <w:rsid w:val="00653B24"/>
    <w:rsid w:val="00653B2A"/>
    <w:rsid w:val="00653B4C"/>
    <w:rsid w:val="00653B8A"/>
    <w:rsid w:val="00653BDC"/>
    <w:rsid w:val="00653BE0"/>
    <w:rsid w:val="00653C7D"/>
    <w:rsid w:val="00653CF8"/>
    <w:rsid w:val="00653D54"/>
    <w:rsid w:val="00653D8E"/>
    <w:rsid w:val="00653D98"/>
    <w:rsid w:val="00653DAB"/>
    <w:rsid w:val="00653DC2"/>
    <w:rsid w:val="00653DE3"/>
    <w:rsid w:val="00653E7D"/>
    <w:rsid w:val="00653E94"/>
    <w:rsid w:val="00653EA8"/>
    <w:rsid w:val="00653FCF"/>
    <w:rsid w:val="00654095"/>
    <w:rsid w:val="00654101"/>
    <w:rsid w:val="00654193"/>
    <w:rsid w:val="0065439C"/>
    <w:rsid w:val="006543AE"/>
    <w:rsid w:val="00654486"/>
    <w:rsid w:val="006545A9"/>
    <w:rsid w:val="006545F5"/>
    <w:rsid w:val="006545F9"/>
    <w:rsid w:val="00654661"/>
    <w:rsid w:val="00654686"/>
    <w:rsid w:val="0065474E"/>
    <w:rsid w:val="00654752"/>
    <w:rsid w:val="00654810"/>
    <w:rsid w:val="006548C5"/>
    <w:rsid w:val="00654912"/>
    <w:rsid w:val="00654918"/>
    <w:rsid w:val="0065498E"/>
    <w:rsid w:val="006549F0"/>
    <w:rsid w:val="00654A9F"/>
    <w:rsid w:val="00654B1E"/>
    <w:rsid w:val="00654B81"/>
    <w:rsid w:val="00654C52"/>
    <w:rsid w:val="00654C68"/>
    <w:rsid w:val="00654CEC"/>
    <w:rsid w:val="00654D00"/>
    <w:rsid w:val="00654D5C"/>
    <w:rsid w:val="00654E4E"/>
    <w:rsid w:val="00654EAF"/>
    <w:rsid w:val="00654EE0"/>
    <w:rsid w:val="00654F86"/>
    <w:rsid w:val="00654FBD"/>
    <w:rsid w:val="00654FC7"/>
    <w:rsid w:val="0065502F"/>
    <w:rsid w:val="00655051"/>
    <w:rsid w:val="00655099"/>
    <w:rsid w:val="0065519F"/>
    <w:rsid w:val="006551B1"/>
    <w:rsid w:val="00655220"/>
    <w:rsid w:val="00655223"/>
    <w:rsid w:val="0065523D"/>
    <w:rsid w:val="00655289"/>
    <w:rsid w:val="00655296"/>
    <w:rsid w:val="006552B2"/>
    <w:rsid w:val="006554C9"/>
    <w:rsid w:val="0065551C"/>
    <w:rsid w:val="00655566"/>
    <w:rsid w:val="006555BF"/>
    <w:rsid w:val="006555EC"/>
    <w:rsid w:val="006556EB"/>
    <w:rsid w:val="006557AF"/>
    <w:rsid w:val="006557C0"/>
    <w:rsid w:val="006557E5"/>
    <w:rsid w:val="0065589B"/>
    <w:rsid w:val="00655920"/>
    <w:rsid w:val="00655A13"/>
    <w:rsid w:val="00655A4F"/>
    <w:rsid w:val="00655AA2"/>
    <w:rsid w:val="00655AB1"/>
    <w:rsid w:val="00655B27"/>
    <w:rsid w:val="00655C9F"/>
    <w:rsid w:val="00655D77"/>
    <w:rsid w:val="00655EBF"/>
    <w:rsid w:val="00655F0B"/>
    <w:rsid w:val="00655F12"/>
    <w:rsid w:val="00655FB7"/>
    <w:rsid w:val="00656017"/>
    <w:rsid w:val="0065602E"/>
    <w:rsid w:val="00656059"/>
    <w:rsid w:val="0065605F"/>
    <w:rsid w:val="00656096"/>
    <w:rsid w:val="006560A9"/>
    <w:rsid w:val="00656123"/>
    <w:rsid w:val="00656127"/>
    <w:rsid w:val="0065618B"/>
    <w:rsid w:val="006561A0"/>
    <w:rsid w:val="006562CC"/>
    <w:rsid w:val="006562D4"/>
    <w:rsid w:val="00656368"/>
    <w:rsid w:val="006563D1"/>
    <w:rsid w:val="006563DF"/>
    <w:rsid w:val="00656457"/>
    <w:rsid w:val="0065653F"/>
    <w:rsid w:val="00656545"/>
    <w:rsid w:val="00656597"/>
    <w:rsid w:val="006565B7"/>
    <w:rsid w:val="006565C1"/>
    <w:rsid w:val="0065660F"/>
    <w:rsid w:val="006566A7"/>
    <w:rsid w:val="006566DB"/>
    <w:rsid w:val="0065672B"/>
    <w:rsid w:val="0065673F"/>
    <w:rsid w:val="00656884"/>
    <w:rsid w:val="0065688E"/>
    <w:rsid w:val="00656891"/>
    <w:rsid w:val="006568A9"/>
    <w:rsid w:val="006568AB"/>
    <w:rsid w:val="006568CA"/>
    <w:rsid w:val="00656A4D"/>
    <w:rsid w:val="00656B54"/>
    <w:rsid w:val="00656B8E"/>
    <w:rsid w:val="00656B91"/>
    <w:rsid w:val="00656BEF"/>
    <w:rsid w:val="00656C2F"/>
    <w:rsid w:val="00656C39"/>
    <w:rsid w:val="00656CE5"/>
    <w:rsid w:val="00656D0F"/>
    <w:rsid w:val="00656DBE"/>
    <w:rsid w:val="00656EB9"/>
    <w:rsid w:val="00656ECD"/>
    <w:rsid w:val="00656EDD"/>
    <w:rsid w:val="00656F1D"/>
    <w:rsid w:val="00656F4C"/>
    <w:rsid w:val="00656F53"/>
    <w:rsid w:val="00656FA3"/>
    <w:rsid w:val="00657003"/>
    <w:rsid w:val="0065706C"/>
    <w:rsid w:val="006570D8"/>
    <w:rsid w:val="0065716A"/>
    <w:rsid w:val="00657179"/>
    <w:rsid w:val="0065718D"/>
    <w:rsid w:val="00657226"/>
    <w:rsid w:val="006573A1"/>
    <w:rsid w:val="00657481"/>
    <w:rsid w:val="006574F1"/>
    <w:rsid w:val="00657528"/>
    <w:rsid w:val="0065756D"/>
    <w:rsid w:val="006576B1"/>
    <w:rsid w:val="0065771D"/>
    <w:rsid w:val="006577B4"/>
    <w:rsid w:val="006577C9"/>
    <w:rsid w:val="00657818"/>
    <w:rsid w:val="006578F8"/>
    <w:rsid w:val="00657905"/>
    <w:rsid w:val="00657A28"/>
    <w:rsid w:val="00657AAF"/>
    <w:rsid w:val="00657AD0"/>
    <w:rsid w:val="00657AF6"/>
    <w:rsid w:val="00657C12"/>
    <w:rsid w:val="00657DE6"/>
    <w:rsid w:val="00657E1B"/>
    <w:rsid w:val="00657E8F"/>
    <w:rsid w:val="00657F4D"/>
    <w:rsid w:val="00657F56"/>
    <w:rsid w:val="00657FB3"/>
    <w:rsid w:val="00657FDE"/>
    <w:rsid w:val="00660054"/>
    <w:rsid w:val="0066005A"/>
    <w:rsid w:val="00660064"/>
    <w:rsid w:val="006600AA"/>
    <w:rsid w:val="006600F8"/>
    <w:rsid w:val="00660148"/>
    <w:rsid w:val="006601AC"/>
    <w:rsid w:val="006602D6"/>
    <w:rsid w:val="006602F8"/>
    <w:rsid w:val="006602FF"/>
    <w:rsid w:val="0066030B"/>
    <w:rsid w:val="00660311"/>
    <w:rsid w:val="00660373"/>
    <w:rsid w:val="00660388"/>
    <w:rsid w:val="006603D8"/>
    <w:rsid w:val="00660411"/>
    <w:rsid w:val="0066043F"/>
    <w:rsid w:val="00660467"/>
    <w:rsid w:val="006604FE"/>
    <w:rsid w:val="0066057E"/>
    <w:rsid w:val="00660598"/>
    <w:rsid w:val="006605C5"/>
    <w:rsid w:val="00660615"/>
    <w:rsid w:val="0066072D"/>
    <w:rsid w:val="006607A8"/>
    <w:rsid w:val="00660833"/>
    <w:rsid w:val="00660842"/>
    <w:rsid w:val="00660869"/>
    <w:rsid w:val="006609F4"/>
    <w:rsid w:val="00660A0F"/>
    <w:rsid w:val="00660A29"/>
    <w:rsid w:val="00660A5F"/>
    <w:rsid w:val="00660AE3"/>
    <w:rsid w:val="00660B41"/>
    <w:rsid w:val="00660BD3"/>
    <w:rsid w:val="00660BD8"/>
    <w:rsid w:val="00660C02"/>
    <w:rsid w:val="00660C23"/>
    <w:rsid w:val="00660C6F"/>
    <w:rsid w:val="00660CBE"/>
    <w:rsid w:val="00660CC7"/>
    <w:rsid w:val="00660CD9"/>
    <w:rsid w:val="00660CF4"/>
    <w:rsid w:val="00660D94"/>
    <w:rsid w:val="00660DB8"/>
    <w:rsid w:val="00660E48"/>
    <w:rsid w:val="00660F47"/>
    <w:rsid w:val="00660F5E"/>
    <w:rsid w:val="0066103C"/>
    <w:rsid w:val="00661057"/>
    <w:rsid w:val="0066119C"/>
    <w:rsid w:val="0066121A"/>
    <w:rsid w:val="0066123C"/>
    <w:rsid w:val="0066127A"/>
    <w:rsid w:val="00661318"/>
    <w:rsid w:val="0066131A"/>
    <w:rsid w:val="0066131F"/>
    <w:rsid w:val="0066132C"/>
    <w:rsid w:val="00661370"/>
    <w:rsid w:val="006613EB"/>
    <w:rsid w:val="00661489"/>
    <w:rsid w:val="006614CF"/>
    <w:rsid w:val="006614EF"/>
    <w:rsid w:val="006615DE"/>
    <w:rsid w:val="00661606"/>
    <w:rsid w:val="00661659"/>
    <w:rsid w:val="006616C1"/>
    <w:rsid w:val="006616E2"/>
    <w:rsid w:val="006616F5"/>
    <w:rsid w:val="006617BE"/>
    <w:rsid w:val="006618A6"/>
    <w:rsid w:val="00661917"/>
    <w:rsid w:val="0066193B"/>
    <w:rsid w:val="00661970"/>
    <w:rsid w:val="00661983"/>
    <w:rsid w:val="00661A0D"/>
    <w:rsid w:val="00661A9B"/>
    <w:rsid w:val="00661ABD"/>
    <w:rsid w:val="00661AE9"/>
    <w:rsid w:val="00661B09"/>
    <w:rsid w:val="00661C09"/>
    <w:rsid w:val="00661C0B"/>
    <w:rsid w:val="00661DB5"/>
    <w:rsid w:val="00661EB1"/>
    <w:rsid w:val="00661EB6"/>
    <w:rsid w:val="00661FD3"/>
    <w:rsid w:val="00662072"/>
    <w:rsid w:val="0066208E"/>
    <w:rsid w:val="006620D9"/>
    <w:rsid w:val="00662118"/>
    <w:rsid w:val="00662148"/>
    <w:rsid w:val="0066219A"/>
    <w:rsid w:val="00662250"/>
    <w:rsid w:val="006622ED"/>
    <w:rsid w:val="006622F1"/>
    <w:rsid w:val="00662318"/>
    <w:rsid w:val="0066231B"/>
    <w:rsid w:val="0066231F"/>
    <w:rsid w:val="0066238D"/>
    <w:rsid w:val="0066240D"/>
    <w:rsid w:val="00662456"/>
    <w:rsid w:val="0066247A"/>
    <w:rsid w:val="00662487"/>
    <w:rsid w:val="00662551"/>
    <w:rsid w:val="006625C8"/>
    <w:rsid w:val="00662679"/>
    <w:rsid w:val="006626E2"/>
    <w:rsid w:val="00662784"/>
    <w:rsid w:val="0066286D"/>
    <w:rsid w:val="0066288B"/>
    <w:rsid w:val="0066290B"/>
    <w:rsid w:val="0066295F"/>
    <w:rsid w:val="0066296C"/>
    <w:rsid w:val="00662975"/>
    <w:rsid w:val="00662A28"/>
    <w:rsid w:val="00662ABF"/>
    <w:rsid w:val="00662B12"/>
    <w:rsid w:val="00662B47"/>
    <w:rsid w:val="00662B4C"/>
    <w:rsid w:val="00662BD1"/>
    <w:rsid w:val="00662BFB"/>
    <w:rsid w:val="00662C7B"/>
    <w:rsid w:val="00662CA8"/>
    <w:rsid w:val="00662CEA"/>
    <w:rsid w:val="00662DDE"/>
    <w:rsid w:val="00662E26"/>
    <w:rsid w:val="00662E4C"/>
    <w:rsid w:val="00662EA1"/>
    <w:rsid w:val="00662F13"/>
    <w:rsid w:val="00662F27"/>
    <w:rsid w:val="00662F4B"/>
    <w:rsid w:val="00662FC9"/>
    <w:rsid w:val="00663082"/>
    <w:rsid w:val="0066309B"/>
    <w:rsid w:val="00663113"/>
    <w:rsid w:val="00663121"/>
    <w:rsid w:val="0066318F"/>
    <w:rsid w:val="006631AB"/>
    <w:rsid w:val="006631F6"/>
    <w:rsid w:val="00663351"/>
    <w:rsid w:val="00663383"/>
    <w:rsid w:val="006634EC"/>
    <w:rsid w:val="006635C1"/>
    <w:rsid w:val="006635D6"/>
    <w:rsid w:val="00663671"/>
    <w:rsid w:val="0066367D"/>
    <w:rsid w:val="00663696"/>
    <w:rsid w:val="0066369E"/>
    <w:rsid w:val="006636E1"/>
    <w:rsid w:val="006637E1"/>
    <w:rsid w:val="00663908"/>
    <w:rsid w:val="0066390D"/>
    <w:rsid w:val="00663A07"/>
    <w:rsid w:val="00663A87"/>
    <w:rsid w:val="00663AA4"/>
    <w:rsid w:val="00663B3C"/>
    <w:rsid w:val="00663C05"/>
    <w:rsid w:val="00663C65"/>
    <w:rsid w:val="00663C9B"/>
    <w:rsid w:val="00663CDE"/>
    <w:rsid w:val="00663E21"/>
    <w:rsid w:val="00663EBF"/>
    <w:rsid w:val="00663EC2"/>
    <w:rsid w:val="00663F3B"/>
    <w:rsid w:val="00663FDA"/>
    <w:rsid w:val="00664009"/>
    <w:rsid w:val="0066404E"/>
    <w:rsid w:val="00664059"/>
    <w:rsid w:val="00664080"/>
    <w:rsid w:val="006640AE"/>
    <w:rsid w:val="006640CB"/>
    <w:rsid w:val="006640CC"/>
    <w:rsid w:val="006640F2"/>
    <w:rsid w:val="00664206"/>
    <w:rsid w:val="0066437F"/>
    <w:rsid w:val="00664432"/>
    <w:rsid w:val="006644B5"/>
    <w:rsid w:val="006644E1"/>
    <w:rsid w:val="006644F5"/>
    <w:rsid w:val="0066457A"/>
    <w:rsid w:val="006645C3"/>
    <w:rsid w:val="006645FC"/>
    <w:rsid w:val="006646C1"/>
    <w:rsid w:val="006647AE"/>
    <w:rsid w:val="006647BF"/>
    <w:rsid w:val="00664805"/>
    <w:rsid w:val="00664839"/>
    <w:rsid w:val="00664893"/>
    <w:rsid w:val="00664975"/>
    <w:rsid w:val="006649C0"/>
    <w:rsid w:val="00664A5C"/>
    <w:rsid w:val="00664B13"/>
    <w:rsid w:val="00664B2F"/>
    <w:rsid w:val="00664C4B"/>
    <w:rsid w:val="00664CA3"/>
    <w:rsid w:val="00664E81"/>
    <w:rsid w:val="00664F17"/>
    <w:rsid w:val="00665082"/>
    <w:rsid w:val="006650A5"/>
    <w:rsid w:val="006650B1"/>
    <w:rsid w:val="0066525B"/>
    <w:rsid w:val="0066529E"/>
    <w:rsid w:val="006652E0"/>
    <w:rsid w:val="00665374"/>
    <w:rsid w:val="006653A6"/>
    <w:rsid w:val="006653D2"/>
    <w:rsid w:val="0066554C"/>
    <w:rsid w:val="00665561"/>
    <w:rsid w:val="00665590"/>
    <w:rsid w:val="006655B6"/>
    <w:rsid w:val="006655E8"/>
    <w:rsid w:val="00665656"/>
    <w:rsid w:val="0066567E"/>
    <w:rsid w:val="00665682"/>
    <w:rsid w:val="00665749"/>
    <w:rsid w:val="00665770"/>
    <w:rsid w:val="006657AC"/>
    <w:rsid w:val="0066587F"/>
    <w:rsid w:val="00665924"/>
    <w:rsid w:val="00665941"/>
    <w:rsid w:val="0066599A"/>
    <w:rsid w:val="00665B04"/>
    <w:rsid w:val="00665B50"/>
    <w:rsid w:val="00665B65"/>
    <w:rsid w:val="00665B9F"/>
    <w:rsid w:val="00665BB4"/>
    <w:rsid w:val="00665BFC"/>
    <w:rsid w:val="00665C0F"/>
    <w:rsid w:val="00665C1D"/>
    <w:rsid w:val="00665C34"/>
    <w:rsid w:val="00665CD2"/>
    <w:rsid w:val="00665CE3"/>
    <w:rsid w:val="00665D1B"/>
    <w:rsid w:val="00665E09"/>
    <w:rsid w:val="00665F63"/>
    <w:rsid w:val="00665F7D"/>
    <w:rsid w:val="00665F8D"/>
    <w:rsid w:val="00665F91"/>
    <w:rsid w:val="00665FAA"/>
    <w:rsid w:val="00665FC9"/>
    <w:rsid w:val="00666039"/>
    <w:rsid w:val="006660D5"/>
    <w:rsid w:val="00666104"/>
    <w:rsid w:val="0066615F"/>
    <w:rsid w:val="006661A1"/>
    <w:rsid w:val="00666237"/>
    <w:rsid w:val="006662CB"/>
    <w:rsid w:val="00666360"/>
    <w:rsid w:val="00666371"/>
    <w:rsid w:val="00666392"/>
    <w:rsid w:val="006663E4"/>
    <w:rsid w:val="00666458"/>
    <w:rsid w:val="006664AF"/>
    <w:rsid w:val="00666549"/>
    <w:rsid w:val="006665B6"/>
    <w:rsid w:val="006665F7"/>
    <w:rsid w:val="0066668D"/>
    <w:rsid w:val="006666BB"/>
    <w:rsid w:val="006666DA"/>
    <w:rsid w:val="006666FA"/>
    <w:rsid w:val="00666763"/>
    <w:rsid w:val="006667E1"/>
    <w:rsid w:val="00666882"/>
    <w:rsid w:val="006668CE"/>
    <w:rsid w:val="006668F1"/>
    <w:rsid w:val="00666956"/>
    <w:rsid w:val="00666A56"/>
    <w:rsid w:val="00666AEF"/>
    <w:rsid w:val="00666B39"/>
    <w:rsid w:val="00666CDB"/>
    <w:rsid w:val="00666DBE"/>
    <w:rsid w:val="00666E03"/>
    <w:rsid w:val="00666E86"/>
    <w:rsid w:val="00666ED5"/>
    <w:rsid w:val="00666EED"/>
    <w:rsid w:val="00666F56"/>
    <w:rsid w:val="00666FC2"/>
    <w:rsid w:val="00666FCC"/>
    <w:rsid w:val="00666FFF"/>
    <w:rsid w:val="0066700E"/>
    <w:rsid w:val="00667150"/>
    <w:rsid w:val="00667158"/>
    <w:rsid w:val="00667160"/>
    <w:rsid w:val="006671CE"/>
    <w:rsid w:val="006671D5"/>
    <w:rsid w:val="006671EB"/>
    <w:rsid w:val="006672BF"/>
    <w:rsid w:val="00667438"/>
    <w:rsid w:val="0066743A"/>
    <w:rsid w:val="006674D1"/>
    <w:rsid w:val="006675DA"/>
    <w:rsid w:val="00667601"/>
    <w:rsid w:val="006676B2"/>
    <w:rsid w:val="0066777A"/>
    <w:rsid w:val="006677AC"/>
    <w:rsid w:val="006677AE"/>
    <w:rsid w:val="006677EA"/>
    <w:rsid w:val="006678A5"/>
    <w:rsid w:val="00667941"/>
    <w:rsid w:val="006679A0"/>
    <w:rsid w:val="00667A42"/>
    <w:rsid w:val="00667A47"/>
    <w:rsid w:val="00667AA0"/>
    <w:rsid w:val="00667AF2"/>
    <w:rsid w:val="00667B29"/>
    <w:rsid w:val="00667B75"/>
    <w:rsid w:val="00667C2E"/>
    <w:rsid w:val="00667C6F"/>
    <w:rsid w:val="00667C76"/>
    <w:rsid w:val="00667CD0"/>
    <w:rsid w:val="00667CD9"/>
    <w:rsid w:val="00667CE9"/>
    <w:rsid w:val="00667D2B"/>
    <w:rsid w:val="00667E54"/>
    <w:rsid w:val="00667F1E"/>
    <w:rsid w:val="00667F34"/>
    <w:rsid w:val="0067002A"/>
    <w:rsid w:val="00670036"/>
    <w:rsid w:val="006700D4"/>
    <w:rsid w:val="0067011A"/>
    <w:rsid w:val="006702BE"/>
    <w:rsid w:val="00670317"/>
    <w:rsid w:val="00670343"/>
    <w:rsid w:val="006703E8"/>
    <w:rsid w:val="00670408"/>
    <w:rsid w:val="00670426"/>
    <w:rsid w:val="006704EB"/>
    <w:rsid w:val="006704EC"/>
    <w:rsid w:val="006704FF"/>
    <w:rsid w:val="00670520"/>
    <w:rsid w:val="0067053E"/>
    <w:rsid w:val="00670560"/>
    <w:rsid w:val="006705A3"/>
    <w:rsid w:val="006705B5"/>
    <w:rsid w:val="006705C3"/>
    <w:rsid w:val="0067060C"/>
    <w:rsid w:val="00670678"/>
    <w:rsid w:val="006706AF"/>
    <w:rsid w:val="006707A3"/>
    <w:rsid w:val="006707A8"/>
    <w:rsid w:val="006707D9"/>
    <w:rsid w:val="00670818"/>
    <w:rsid w:val="00670820"/>
    <w:rsid w:val="00670934"/>
    <w:rsid w:val="006709C9"/>
    <w:rsid w:val="00670A8C"/>
    <w:rsid w:val="00670B19"/>
    <w:rsid w:val="00670B70"/>
    <w:rsid w:val="00670BAE"/>
    <w:rsid w:val="00670BE9"/>
    <w:rsid w:val="00670BED"/>
    <w:rsid w:val="00670C00"/>
    <w:rsid w:val="00670C12"/>
    <w:rsid w:val="00670C80"/>
    <w:rsid w:val="00670D28"/>
    <w:rsid w:val="00670D7E"/>
    <w:rsid w:val="00670DE6"/>
    <w:rsid w:val="00670E4E"/>
    <w:rsid w:val="00670F2F"/>
    <w:rsid w:val="00670FB5"/>
    <w:rsid w:val="006710F8"/>
    <w:rsid w:val="0067122F"/>
    <w:rsid w:val="006712DD"/>
    <w:rsid w:val="00671322"/>
    <w:rsid w:val="006713C7"/>
    <w:rsid w:val="00671466"/>
    <w:rsid w:val="006714D9"/>
    <w:rsid w:val="00671547"/>
    <w:rsid w:val="006715DB"/>
    <w:rsid w:val="006715EF"/>
    <w:rsid w:val="006715FC"/>
    <w:rsid w:val="00671676"/>
    <w:rsid w:val="00671728"/>
    <w:rsid w:val="0067176F"/>
    <w:rsid w:val="006717BB"/>
    <w:rsid w:val="0067184A"/>
    <w:rsid w:val="00671925"/>
    <w:rsid w:val="0067198B"/>
    <w:rsid w:val="00671A87"/>
    <w:rsid w:val="00671B72"/>
    <w:rsid w:val="00671B8A"/>
    <w:rsid w:val="00671BB3"/>
    <w:rsid w:val="00671BD3"/>
    <w:rsid w:val="00671DF6"/>
    <w:rsid w:val="00671E4D"/>
    <w:rsid w:val="00671E78"/>
    <w:rsid w:val="00671EA9"/>
    <w:rsid w:val="00671EE4"/>
    <w:rsid w:val="00672085"/>
    <w:rsid w:val="00672145"/>
    <w:rsid w:val="0067226E"/>
    <w:rsid w:val="00672289"/>
    <w:rsid w:val="00672308"/>
    <w:rsid w:val="0067231B"/>
    <w:rsid w:val="00672389"/>
    <w:rsid w:val="0067239B"/>
    <w:rsid w:val="006723CA"/>
    <w:rsid w:val="00672435"/>
    <w:rsid w:val="006724CF"/>
    <w:rsid w:val="00672508"/>
    <w:rsid w:val="0067250B"/>
    <w:rsid w:val="00672510"/>
    <w:rsid w:val="0067252F"/>
    <w:rsid w:val="006725CF"/>
    <w:rsid w:val="00672638"/>
    <w:rsid w:val="006726A3"/>
    <w:rsid w:val="0067270F"/>
    <w:rsid w:val="006727AB"/>
    <w:rsid w:val="006728B3"/>
    <w:rsid w:val="00672933"/>
    <w:rsid w:val="0067296F"/>
    <w:rsid w:val="00672976"/>
    <w:rsid w:val="0067298F"/>
    <w:rsid w:val="006729A2"/>
    <w:rsid w:val="00672A13"/>
    <w:rsid w:val="00672AD1"/>
    <w:rsid w:val="00672B8E"/>
    <w:rsid w:val="00672BB5"/>
    <w:rsid w:val="00672C7D"/>
    <w:rsid w:val="00672D4E"/>
    <w:rsid w:val="00672DB5"/>
    <w:rsid w:val="00672DE1"/>
    <w:rsid w:val="00672E05"/>
    <w:rsid w:val="00672E26"/>
    <w:rsid w:val="00672EC1"/>
    <w:rsid w:val="00672F0A"/>
    <w:rsid w:val="00672F0B"/>
    <w:rsid w:val="00672F2A"/>
    <w:rsid w:val="00672F8D"/>
    <w:rsid w:val="00672FD2"/>
    <w:rsid w:val="00673014"/>
    <w:rsid w:val="006730D7"/>
    <w:rsid w:val="00673143"/>
    <w:rsid w:val="0067319F"/>
    <w:rsid w:val="006731C4"/>
    <w:rsid w:val="006731E1"/>
    <w:rsid w:val="006732C4"/>
    <w:rsid w:val="0067332E"/>
    <w:rsid w:val="006733CD"/>
    <w:rsid w:val="006733E4"/>
    <w:rsid w:val="00673435"/>
    <w:rsid w:val="00673454"/>
    <w:rsid w:val="0067346A"/>
    <w:rsid w:val="00673477"/>
    <w:rsid w:val="00673564"/>
    <w:rsid w:val="00673656"/>
    <w:rsid w:val="006736F1"/>
    <w:rsid w:val="0067385C"/>
    <w:rsid w:val="0067387C"/>
    <w:rsid w:val="00673906"/>
    <w:rsid w:val="00673949"/>
    <w:rsid w:val="006739B3"/>
    <w:rsid w:val="006739E6"/>
    <w:rsid w:val="00673B00"/>
    <w:rsid w:val="00673D43"/>
    <w:rsid w:val="00673D87"/>
    <w:rsid w:val="00673E92"/>
    <w:rsid w:val="00673F2D"/>
    <w:rsid w:val="00674078"/>
    <w:rsid w:val="0067408A"/>
    <w:rsid w:val="00674156"/>
    <w:rsid w:val="0067415C"/>
    <w:rsid w:val="00674213"/>
    <w:rsid w:val="0067423C"/>
    <w:rsid w:val="00674273"/>
    <w:rsid w:val="0067431F"/>
    <w:rsid w:val="006743B5"/>
    <w:rsid w:val="006743C6"/>
    <w:rsid w:val="00674442"/>
    <w:rsid w:val="0067445F"/>
    <w:rsid w:val="006744A6"/>
    <w:rsid w:val="00674502"/>
    <w:rsid w:val="00674518"/>
    <w:rsid w:val="0067451B"/>
    <w:rsid w:val="00674523"/>
    <w:rsid w:val="006745EA"/>
    <w:rsid w:val="0067467E"/>
    <w:rsid w:val="00674738"/>
    <w:rsid w:val="00674743"/>
    <w:rsid w:val="0067478B"/>
    <w:rsid w:val="006747C6"/>
    <w:rsid w:val="00674822"/>
    <w:rsid w:val="006748BB"/>
    <w:rsid w:val="006748DE"/>
    <w:rsid w:val="00674910"/>
    <w:rsid w:val="00674933"/>
    <w:rsid w:val="0067493C"/>
    <w:rsid w:val="0067495E"/>
    <w:rsid w:val="0067497E"/>
    <w:rsid w:val="00674980"/>
    <w:rsid w:val="006749B2"/>
    <w:rsid w:val="006749C3"/>
    <w:rsid w:val="00674A00"/>
    <w:rsid w:val="00674A42"/>
    <w:rsid w:val="00674A72"/>
    <w:rsid w:val="00674B5F"/>
    <w:rsid w:val="00674B87"/>
    <w:rsid w:val="00674C4D"/>
    <w:rsid w:val="00674C58"/>
    <w:rsid w:val="00674C77"/>
    <w:rsid w:val="00674C9C"/>
    <w:rsid w:val="00674CC3"/>
    <w:rsid w:val="00674D84"/>
    <w:rsid w:val="00674D8D"/>
    <w:rsid w:val="00674D9D"/>
    <w:rsid w:val="00674DF1"/>
    <w:rsid w:val="00674DFC"/>
    <w:rsid w:val="00674E71"/>
    <w:rsid w:val="00674EEC"/>
    <w:rsid w:val="00674F3F"/>
    <w:rsid w:val="006750B5"/>
    <w:rsid w:val="0067513D"/>
    <w:rsid w:val="00675168"/>
    <w:rsid w:val="00675194"/>
    <w:rsid w:val="006751C5"/>
    <w:rsid w:val="006751E3"/>
    <w:rsid w:val="00675275"/>
    <w:rsid w:val="006752BC"/>
    <w:rsid w:val="00675312"/>
    <w:rsid w:val="00675373"/>
    <w:rsid w:val="00675392"/>
    <w:rsid w:val="006753E8"/>
    <w:rsid w:val="006753EB"/>
    <w:rsid w:val="00675428"/>
    <w:rsid w:val="00675442"/>
    <w:rsid w:val="00675454"/>
    <w:rsid w:val="00675516"/>
    <w:rsid w:val="00675567"/>
    <w:rsid w:val="00675572"/>
    <w:rsid w:val="0067557D"/>
    <w:rsid w:val="006755F9"/>
    <w:rsid w:val="00675611"/>
    <w:rsid w:val="00675621"/>
    <w:rsid w:val="0067565F"/>
    <w:rsid w:val="0067568B"/>
    <w:rsid w:val="006756A6"/>
    <w:rsid w:val="006756C6"/>
    <w:rsid w:val="00675773"/>
    <w:rsid w:val="006757CB"/>
    <w:rsid w:val="00675809"/>
    <w:rsid w:val="00675921"/>
    <w:rsid w:val="00675986"/>
    <w:rsid w:val="006759A2"/>
    <w:rsid w:val="006759D0"/>
    <w:rsid w:val="00675A5C"/>
    <w:rsid w:val="00675A5E"/>
    <w:rsid w:val="00675ADD"/>
    <w:rsid w:val="00675B77"/>
    <w:rsid w:val="00675BEC"/>
    <w:rsid w:val="00675C16"/>
    <w:rsid w:val="00675C64"/>
    <w:rsid w:val="00675C7D"/>
    <w:rsid w:val="00675CA7"/>
    <w:rsid w:val="00675CFF"/>
    <w:rsid w:val="00675D08"/>
    <w:rsid w:val="00675D79"/>
    <w:rsid w:val="00675D86"/>
    <w:rsid w:val="00675D87"/>
    <w:rsid w:val="00675DE7"/>
    <w:rsid w:val="00675DF3"/>
    <w:rsid w:val="00675E3B"/>
    <w:rsid w:val="00675E7B"/>
    <w:rsid w:val="00675F07"/>
    <w:rsid w:val="00675F69"/>
    <w:rsid w:val="00675F6C"/>
    <w:rsid w:val="00675F77"/>
    <w:rsid w:val="00675FF2"/>
    <w:rsid w:val="00676014"/>
    <w:rsid w:val="00676039"/>
    <w:rsid w:val="0067606D"/>
    <w:rsid w:val="006760C0"/>
    <w:rsid w:val="006760F0"/>
    <w:rsid w:val="0067622A"/>
    <w:rsid w:val="00676246"/>
    <w:rsid w:val="006762D5"/>
    <w:rsid w:val="00676313"/>
    <w:rsid w:val="00676382"/>
    <w:rsid w:val="00676384"/>
    <w:rsid w:val="00676469"/>
    <w:rsid w:val="00676483"/>
    <w:rsid w:val="00676496"/>
    <w:rsid w:val="006764E2"/>
    <w:rsid w:val="00676592"/>
    <w:rsid w:val="006765AE"/>
    <w:rsid w:val="006765D1"/>
    <w:rsid w:val="00676620"/>
    <w:rsid w:val="0067662F"/>
    <w:rsid w:val="0067672A"/>
    <w:rsid w:val="006767B1"/>
    <w:rsid w:val="00676843"/>
    <w:rsid w:val="0067688C"/>
    <w:rsid w:val="006768D5"/>
    <w:rsid w:val="006768FB"/>
    <w:rsid w:val="0067692A"/>
    <w:rsid w:val="00676933"/>
    <w:rsid w:val="00676A3E"/>
    <w:rsid w:val="00676CDD"/>
    <w:rsid w:val="00676D5F"/>
    <w:rsid w:val="00676D6E"/>
    <w:rsid w:val="00676D9A"/>
    <w:rsid w:val="00676D9E"/>
    <w:rsid w:val="00676DB4"/>
    <w:rsid w:val="00676DD2"/>
    <w:rsid w:val="00676E9F"/>
    <w:rsid w:val="00676EA9"/>
    <w:rsid w:val="00676EB9"/>
    <w:rsid w:val="00676EF4"/>
    <w:rsid w:val="00676F3A"/>
    <w:rsid w:val="00676FA7"/>
    <w:rsid w:val="00676FF6"/>
    <w:rsid w:val="006771DA"/>
    <w:rsid w:val="0067720C"/>
    <w:rsid w:val="006772ED"/>
    <w:rsid w:val="00677355"/>
    <w:rsid w:val="00677385"/>
    <w:rsid w:val="006773D1"/>
    <w:rsid w:val="0067742B"/>
    <w:rsid w:val="00677476"/>
    <w:rsid w:val="00677509"/>
    <w:rsid w:val="0067760E"/>
    <w:rsid w:val="00677674"/>
    <w:rsid w:val="006776DF"/>
    <w:rsid w:val="006776F2"/>
    <w:rsid w:val="00677705"/>
    <w:rsid w:val="0067770A"/>
    <w:rsid w:val="006777AD"/>
    <w:rsid w:val="006778B4"/>
    <w:rsid w:val="00677927"/>
    <w:rsid w:val="00677948"/>
    <w:rsid w:val="00677A5A"/>
    <w:rsid w:val="00677AC1"/>
    <w:rsid w:val="00677ACB"/>
    <w:rsid w:val="00677AD2"/>
    <w:rsid w:val="00677B62"/>
    <w:rsid w:val="00677CFB"/>
    <w:rsid w:val="00677D2B"/>
    <w:rsid w:val="00677D93"/>
    <w:rsid w:val="00677EC3"/>
    <w:rsid w:val="00677F3B"/>
    <w:rsid w:val="00677F64"/>
    <w:rsid w:val="00677F92"/>
    <w:rsid w:val="00680036"/>
    <w:rsid w:val="00680069"/>
    <w:rsid w:val="00680117"/>
    <w:rsid w:val="0068018B"/>
    <w:rsid w:val="006801D6"/>
    <w:rsid w:val="0068027B"/>
    <w:rsid w:val="006802B1"/>
    <w:rsid w:val="006802BB"/>
    <w:rsid w:val="006802C7"/>
    <w:rsid w:val="006802F3"/>
    <w:rsid w:val="00680310"/>
    <w:rsid w:val="00680349"/>
    <w:rsid w:val="00680356"/>
    <w:rsid w:val="00680385"/>
    <w:rsid w:val="006803D9"/>
    <w:rsid w:val="006803DC"/>
    <w:rsid w:val="006803FE"/>
    <w:rsid w:val="00680454"/>
    <w:rsid w:val="006804F4"/>
    <w:rsid w:val="00680606"/>
    <w:rsid w:val="00680609"/>
    <w:rsid w:val="00680673"/>
    <w:rsid w:val="00680788"/>
    <w:rsid w:val="00680896"/>
    <w:rsid w:val="006808EE"/>
    <w:rsid w:val="006808F0"/>
    <w:rsid w:val="00680918"/>
    <w:rsid w:val="00680977"/>
    <w:rsid w:val="00680988"/>
    <w:rsid w:val="00680A84"/>
    <w:rsid w:val="00680ADE"/>
    <w:rsid w:val="00680B79"/>
    <w:rsid w:val="00680B9E"/>
    <w:rsid w:val="00680BDA"/>
    <w:rsid w:val="00680C2E"/>
    <w:rsid w:val="00680C96"/>
    <w:rsid w:val="00680D61"/>
    <w:rsid w:val="00680D7E"/>
    <w:rsid w:val="00680EED"/>
    <w:rsid w:val="00680EFF"/>
    <w:rsid w:val="00680F2F"/>
    <w:rsid w:val="00680FF6"/>
    <w:rsid w:val="00681064"/>
    <w:rsid w:val="0068108F"/>
    <w:rsid w:val="006810FE"/>
    <w:rsid w:val="0068111F"/>
    <w:rsid w:val="0068112B"/>
    <w:rsid w:val="00681164"/>
    <w:rsid w:val="00681200"/>
    <w:rsid w:val="00681201"/>
    <w:rsid w:val="006812B2"/>
    <w:rsid w:val="00681335"/>
    <w:rsid w:val="0068134A"/>
    <w:rsid w:val="00681351"/>
    <w:rsid w:val="00681360"/>
    <w:rsid w:val="006813AD"/>
    <w:rsid w:val="0068140A"/>
    <w:rsid w:val="00681444"/>
    <w:rsid w:val="0068156D"/>
    <w:rsid w:val="0068166A"/>
    <w:rsid w:val="0068167C"/>
    <w:rsid w:val="006816A8"/>
    <w:rsid w:val="006816CF"/>
    <w:rsid w:val="006817ED"/>
    <w:rsid w:val="006818F8"/>
    <w:rsid w:val="00681956"/>
    <w:rsid w:val="0068197D"/>
    <w:rsid w:val="00681ADB"/>
    <w:rsid w:val="00681ADD"/>
    <w:rsid w:val="00681C28"/>
    <w:rsid w:val="00681C3B"/>
    <w:rsid w:val="00681C66"/>
    <w:rsid w:val="00681D7B"/>
    <w:rsid w:val="00681E66"/>
    <w:rsid w:val="00681EB7"/>
    <w:rsid w:val="00681EF7"/>
    <w:rsid w:val="00681F83"/>
    <w:rsid w:val="00681FC5"/>
    <w:rsid w:val="00681FDF"/>
    <w:rsid w:val="00681FEB"/>
    <w:rsid w:val="00682141"/>
    <w:rsid w:val="00682144"/>
    <w:rsid w:val="006821C0"/>
    <w:rsid w:val="006821E2"/>
    <w:rsid w:val="0068221E"/>
    <w:rsid w:val="0068224B"/>
    <w:rsid w:val="00682269"/>
    <w:rsid w:val="0068226B"/>
    <w:rsid w:val="0068228B"/>
    <w:rsid w:val="00682290"/>
    <w:rsid w:val="00682304"/>
    <w:rsid w:val="00682328"/>
    <w:rsid w:val="0068234C"/>
    <w:rsid w:val="00682412"/>
    <w:rsid w:val="0068250F"/>
    <w:rsid w:val="00682520"/>
    <w:rsid w:val="006825D7"/>
    <w:rsid w:val="006826A1"/>
    <w:rsid w:val="006826AC"/>
    <w:rsid w:val="006826C9"/>
    <w:rsid w:val="006826FE"/>
    <w:rsid w:val="00682705"/>
    <w:rsid w:val="00682737"/>
    <w:rsid w:val="00682758"/>
    <w:rsid w:val="0068277B"/>
    <w:rsid w:val="00682792"/>
    <w:rsid w:val="006829B8"/>
    <w:rsid w:val="006829D1"/>
    <w:rsid w:val="00682A4D"/>
    <w:rsid w:val="00682A84"/>
    <w:rsid w:val="00682AC0"/>
    <w:rsid w:val="00682AC1"/>
    <w:rsid w:val="00682AC7"/>
    <w:rsid w:val="00682B3B"/>
    <w:rsid w:val="00682BA8"/>
    <w:rsid w:val="00682BCD"/>
    <w:rsid w:val="00682BE1"/>
    <w:rsid w:val="00682C3C"/>
    <w:rsid w:val="00682CA4"/>
    <w:rsid w:val="00682CEE"/>
    <w:rsid w:val="00682D3E"/>
    <w:rsid w:val="00682E16"/>
    <w:rsid w:val="00682EF2"/>
    <w:rsid w:val="00682F04"/>
    <w:rsid w:val="00682F63"/>
    <w:rsid w:val="00683052"/>
    <w:rsid w:val="00683077"/>
    <w:rsid w:val="006830CA"/>
    <w:rsid w:val="0068312D"/>
    <w:rsid w:val="00683142"/>
    <w:rsid w:val="006831B0"/>
    <w:rsid w:val="006831E9"/>
    <w:rsid w:val="006831EE"/>
    <w:rsid w:val="00683230"/>
    <w:rsid w:val="00683239"/>
    <w:rsid w:val="00683240"/>
    <w:rsid w:val="00683266"/>
    <w:rsid w:val="0068327C"/>
    <w:rsid w:val="006832E3"/>
    <w:rsid w:val="00683313"/>
    <w:rsid w:val="006833F3"/>
    <w:rsid w:val="0068348B"/>
    <w:rsid w:val="006834C4"/>
    <w:rsid w:val="006834C8"/>
    <w:rsid w:val="006834F2"/>
    <w:rsid w:val="006835B4"/>
    <w:rsid w:val="00683621"/>
    <w:rsid w:val="00683640"/>
    <w:rsid w:val="00683645"/>
    <w:rsid w:val="0068368E"/>
    <w:rsid w:val="006836D5"/>
    <w:rsid w:val="006836E5"/>
    <w:rsid w:val="00683818"/>
    <w:rsid w:val="006838D4"/>
    <w:rsid w:val="00683986"/>
    <w:rsid w:val="006839D2"/>
    <w:rsid w:val="00683AF1"/>
    <w:rsid w:val="00683B38"/>
    <w:rsid w:val="00683C82"/>
    <w:rsid w:val="00683C9E"/>
    <w:rsid w:val="00683D6F"/>
    <w:rsid w:val="00683D72"/>
    <w:rsid w:val="00683E16"/>
    <w:rsid w:val="00683E9A"/>
    <w:rsid w:val="00683EA4"/>
    <w:rsid w:val="00683EAE"/>
    <w:rsid w:val="00683EF2"/>
    <w:rsid w:val="00683F0C"/>
    <w:rsid w:val="00683F32"/>
    <w:rsid w:val="00683F98"/>
    <w:rsid w:val="00683FD1"/>
    <w:rsid w:val="00684021"/>
    <w:rsid w:val="0068402F"/>
    <w:rsid w:val="00684049"/>
    <w:rsid w:val="00684083"/>
    <w:rsid w:val="0068409E"/>
    <w:rsid w:val="0068412C"/>
    <w:rsid w:val="006841A3"/>
    <w:rsid w:val="0068420C"/>
    <w:rsid w:val="00684240"/>
    <w:rsid w:val="00684259"/>
    <w:rsid w:val="006842AF"/>
    <w:rsid w:val="006842B8"/>
    <w:rsid w:val="006842D3"/>
    <w:rsid w:val="00684315"/>
    <w:rsid w:val="00684328"/>
    <w:rsid w:val="0068432F"/>
    <w:rsid w:val="00684444"/>
    <w:rsid w:val="00684524"/>
    <w:rsid w:val="00684528"/>
    <w:rsid w:val="006845AE"/>
    <w:rsid w:val="0068464E"/>
    <w:rsid w:val="00684765"/>
    <w:rsid w:val="00684768"/>
    <w:rsid w:val="006847A0"/>
    <w:rsid w:val="006847E8"/>
    <w:rsid w:val="00684811"/>
    <w:rsid w:val="00684856"/>
    <w:rsid w:val="006848A6"/>
    <w:rsid w:val="006848CD"/>
    <w:rsid w:val="00684925"/>
    <w:rsid w:val="00684940"/>
    <w:rsid w:val="00684998"/>
    <w:rsid w:val="00684A43"/>
    <w:rsid w:val="00684B3B"/>
    <w:rsid w:val="00684C0D"/>
    <w:rsid w:val="00684C5B"/>
    <w:rsid w:val="00684C68"/>
    <w:rsid w:val="00684C88"/>
    <w:rsid w:val="00684CAB"/>
    <w:rsid w:val="00684E0C"/>
    <w:rsid w:val="00684E18"/>
    <w:rsid w:val="00684E51"/>
    <w:rsid w:val="00684E93"/>
    <w:rsid w:val="00684FD7"/>
    <w:rsid w:val="0068509C"/>
    <w:rsid w:val="006850B5"/>
    <w:rsid w:val="0068515F"/>
    <w:rsid w:val="0068523A"/>
    <w:rsid w:val="0068528B"/>
    <w:rsid w:val="00685328"/>
    <w:rsid w:val="00685382"/>
    <w:rsid w:val="006853B4"/>
    <w:rsid w:val="006853E6"/>
    <w:rsid w:val="0068540B"/>
    <w:rsid w:val="00685473"/>
    <w:rsid w:val="006854D4"/>
    <w:rsid w:val="006854FB"/>
    <w:rsid w:val="0068553E"/>
    <w:rsid w:val="006856A3"/>
    <w:rsid w:val="006856D2"/>
    <w:rsid w:val="006857B8"/>
    <w:rsid w:val="00685875"/>
    <w:rsid w:val="0068588F"/>
    <w:rsid w:val="006858F8"/>
    <w:rsid w:val="00685978"/>
    <w:rsid w:val="0068598A"/>
    <w:rsid w:val="00685ACD"/>
    <w:rsid w:val="00685C40"/>
    <w:rsid w:val="00685C6C"/>
    <w:rsid w:val="00685CB4"/>
    <w:rsid w:val="00685DF2"/>
    <w:rsid w:val="00685EB9"/>
    <w:rsid w:val="00685EE9"/>
    <w:rsid w:val="00685FB7"/>
    <w:rsid w:val="00685FBC"/>
    <w:rsid w:val="0068600E"/>
    <w:rsid w:val="00686107"/>
    <w:rsid w:val="0068610B"/>
    <w:rsid w:val="00686236"/>
    <w:rsid w:val="00686248"/>
    <w:rsid w:val="006862FA"/>
    <w:rsid w:val="0068630F"/>
    <w:rsid w:val="0068631B"/>
    <w:rsid w:val="00686342"/>
    <w:rsid w:val="0068640E"/>
    <w:rsid w:val="00686439"/>
    <w:rsid w:val="006864F4"/>
    <w:rsid w:val="00686504"/>
    <w:rsid w:val="00686517"/>
    <w:rsid w:val="00686543"/>
    <w:rsid w:val="006865A7"/>
    <w:rsid w:val="006865F1"/>
    <w:rsid w:val="00686801"/>
    <w:rsid w:val="0068681C"/>
    <w:rsid w:val="006868BD"/>
    <w:rsid w:val="006869D5"/>
    <w:rsid w:val="00686A3A"/>
    <w:rsid w:val="00686A4D"/>
    <w:rsid w:val="00686AF8"/>
    <w:rsid w:val="00686B59"/>
    <w:rsid w:val="00686B8E"/>
    <w:rsid w:val="00686C47"/>
    <w:rsid w:val="00686C91"/>
    <w:rsid w:val="00686CC4"/>
    <w:rsid w:val="00686D0C"/>
    <w:rsid w:val="00686ED3"/>
    <w:rsid w:val="00686F2C"/>
    <w:rsid w:val="00686FAB"/>
    <w:rsid w:val="00686FD5"/>
    <w:rsid w:val="00686FF9"/>
    <w:rsid w:val="0068702D"/>
    <w:rsid w:val="00687125"/>
    <w:rsid w:val="0068712C"/>
    <w:rsid w:val="00687291"/>
    <w:rsid w:val="006872B3"/>
    <w:rsid w:val="006872ED"/>
    <w:rsid w:val="00687351"/>
    <w:rsid w:val="006873D9"/>
    <w:rsid w:val="00687423"/>
    <w:rsid w:val="006874B1"/>
    <w:rsid w:val="00687543"/>
    <w:rsid w:val="00687549"/>
    <w:rsid w:val="006875B1"/>
    <w:rsid w:val="006875B4"/>
    <w:rsid w:val="0068768F"/>
    <w:rsid w:val="006876CF"/>
    <w:rsid w:val="00687708"/>
    <w:rsid w:val="0068771A"/>
    <w:rsid w:val="0068777F"/>
    <w:rsid w:val="0068781C"/>
    <w:rsid w:val="006878D3"/>
    <w:rsid w:val="0068797E"/>
    <w:rsid w:val="006879FA"/>
    <w:rsid w:val="006879FD"/>
    <w:rsid w:val="00687A29"/>
    <w:rsid w:val="00687A82"/>
    <w:rsid w:val="00687A8E"/>
    <w:rsid w:val="00687AFE"/>
    <w:rsid w:val="00687B21"/>
    <w:rsid w:val="00687B6B"/>
    <w:rsid w:val="00687B78"/>
    <w:rsid w:val="00687BD8"/>
    <w:rsid w:val="00687C31"/>
    <w:rsid w:val="00687CA5"/>
    <w:rsid w:val="00687CC8"/>
    <w:rsid w:val="00687D3B"/>
    <w:rsid w:val="00687D69"/>
    <w:rsid w:val="00687D89"/>
    <w:rsid w:val="00687E14"/>
    <w:rsid w:val="00687E19"/>
    <w:rsid w:val="00687E5A"/>
    <w:rsid w:val="00687E8A"/>
    <w:rsid w:val="00687F0F"/>
    <w:rsid w:val="00687FDC"/>
    <w:rsid w:val="00687FEB"/>
    <w:rsid w:val="00687FF3"/>
    <w:rsid w:val="00690062"/>
    <w:rsid w:val="00690090"/>
    <w:rsid w:val="006900C6"/>
    <w:rsid w:val="0069018C"/>
    <w:rsid w:val="006901E9"/>
    <w:rsid w:val="0069024F"/>
    <w:rsid w:val="00690266"/>
    <w:rsid w:val="00690281"/>
    <w:rsid w:val="006902D2"/>
    <w:rsid w:val="006902F6"/>
    <w:rsid w:val="00690305"/>
    <w:rsid w:val="00690354"/>
    <w:rsid w:val="00690356"/>
    <w:rsid w:val="00690366"/>
    <w:rsid w:val="0069039B"/>
    <w:rsid w:val="0069039C"/>
    <w:rsid w:val="0069044E"/>
    <w:rsid w:val="00690474"/>
    <w:rsid w:val="00690518"/>
    <w:rsid w:val="00690541"/>
    <w:rsid w:val="0069058A"/>
    <w:rsid w:val="0069061B"/>
    <w:rsid w:val="00690633"/>
    <w:rsid w:val="00690636"/>
    <w:rsid w:val="00690643"/>
    <w:rsid w:val="00690690"/>
    <w:rsid w:val="00690734"/>
    <w:rsid w:val="00690785"/>
    <w:rsid w:val="0069079E"/>
    <w:rsid w:val="00690835"/>
    <w:rsid w:val="00690844"/>
    <w:rsid w:val="00690955"/>
    <w:rsid w:val="006909E9"/>
    <w:rsid w:val="00690A3C"/>
    <w:rsid w:val="00690AAF"/>
    <w:rsid w:val="00690ADB"/>
    <w:rsid w:val="00690B04"/>
    <w:rsid w:val="00690C94"/>
    <w:rsid w:val="00690CAF"/>
    <w:rsid w:val="00690CC7"/>
    <w:rsid w:val="00690D6E"/>
    <w:rsid w:val="00690DA3"/>
    <w:rsid w:val="00690DB4"/>
    <w:rsid w:val="00690E16"/>
    <w:rsid w:val="00690E94"/>
    <w:rsid w:val="00690EB6"/>
    <w:rsid w:val="0069102B"/>
    <w:rsid w:val="00691145"/>
    <w:rsid w:val="0069123A"/>
    <w:rsid w:val="006912D2"/>
    <w:rsid w:val="0069139D"/>
    <w:rsid w:val="006913BB"/>
    <w:rsid w:val="006913BC"/>
    <w:rsid w:val="00691477"/>
    <w:rsid w:val="006914B7"/>
    <w:rsid w:val="006914CD"/>
    <w:rsid w:val="006915DF"/>
    <w:rsid w:val="006917DE"/>
    <w:rsid w:val="006917ED"/>
    <w:rsid w:val="00691843"/>
    <w:rsid w:val="0069186A"/>
    <w:rsid w:val="0069186F"/>
    <w:rsid w:val="006918FE"/>
    <w:rsid w:val="00691926"/>
    <w:rsid w:val="0069196C"/>
    <w:rsid w:val="00691995"/>
    <w:rsid w:val="00691999"/>
    <w:rsid w:val="00691A6B"/>
    <w:rsid w:val="00691AEC"/>
    <w:rsid w:val="00691BE2"/>
    <w:rsid w:val="00691C55"/>
    <w:rsid w:val="00691C5C"/>
    <w:rsid w:val="00691C99"/>
    <w:rsid w:val="00691CD4"/>
    <w:rsid w:val="00691D26"/>
    <w:rsid w:val="00691D2C"/>
    <w:rsid w:val="00691D3A"/>
    <w:rsid w:val="00691D4B"/>
    <w:rsid w:val="00691D68"/>
    <w:rsid w:val="00691DB1"/>
    <w:rsid w:val="00691DB9"/>
    <w:rsid w:val="00691DD6"/>
    <w:rsid w:val="00691E08"/>
    <w:rsid w:val="00691E5B"/>
    <w:rsid w:val="00691EA3"/>
    <w:rsid w:val="00691EB4"/>
    <w:rsid w:val="00691F30"/>
    <w:rsid w:val="00691F63"/>
    <w:rsid w:val="00691F76"/>
    <w:rsid w:val="00691FB4"/>
    <w:rsid w:val="00692028"/>
    <w:rsid w:val="00692046"/>
    <w:rsid w:val="0069204A"/>
    <w:rsid w:val="0069208D"/>
    <w:rsid w:val="00692223"/>
    <w:rsid w:val="0069227D"/>
    <w:rsid w:val="006922A1"/>
    <w:rsid w:val="006923C1"/>
    <w:rsid w:val="00692437"/>
    <w:rsid w:val="0069258D"/>
    <w:rsid w:val="006925A5"/>
    <w:rsid w:val="0069267E"/>
    <w:rsid w:val="006926E2"/>
    <w:rsid w:val="00692710"/>
    <w:rsid w:val="00692781"/>
    <w:rsid w:val="0069286B"/>
    <w:rsid w:val="006928A1"/>
    <w:rsid w:val="006928B9"/>
    <w:rsid w:val="00692945"/>
    <w:rsid w:val="00692954"/>
    <w:rsid w:val="0069299C"/>
    <w:rsid w:val="006929CA"/>
    <w:rsid w:val="006929E7"/>
    <w:rsid w:val="00692A35"/>
    <w:rsid w:val="00692AD6"/>
    <w:rsid w:val="00692AEA"/>
    <w:rsid w:val="00692BF4"/>
    <w:rsid w:val="00692C6F"/>
    <w:rsid w:val="00692C8A"/>
    <w:rsid w:val="00692D42"/>
    <w:rsid w:val="00692D8C"/>
    <w:rsid w:val="00692E4D"/>
    <w:rsid w:val="00692E5D"/>
    <w:rsid w:val="00692EEC"/>
    <w:rsid w:val="00692F53"/>
    <w:rsid w:val="00692F77"/>
    <w:rsid w:val="0069302D"/>
    <w:rsid w:val="006930A8"/>
    <w:rsid w:val="00693101"/>
    <w:rsid w:val="006931A6"/>
    <w:rsid w:val="006931E0"/>
    <w:rsid w:val="006932C4"/>
    <w:rsid w:val="006932D0"/>
    <w:rsid w:val="00693469"/>
    <w:rsid w:val="006934F1"/>
    <w:rsid w:val="0069356C"/>
    <w:rsid w:val="0069359C"/>
    <w:rsid w:val="006935C4"/>
    <w:rsid w:val="0069364C"/>
    <w:rsid w:val="0069374A"/>
    <w:rsid w:val="006937DB"/>
    <w:rsid w:val="00693818"/>
    <w:rsid w:val="00693866"/>
    <w:rsid w:val="0069387B"/>
    <w:rsid w:val="006938BA"/>
    <w:rsid w:val="006939D4"/>
    <w:rsid w:val="00693A83"/>
    <w:rsid w:val="00693AF7"/>
    <w:rsid w:val="00693B69"/>
    <w:rsid w:val="00693C0D"/>
    <w:rsid w:val="00693CC3"/>
    <w:rsid w:val="00693D64"/>
    <w:rsid w:val="00693D75"/>
    <w:rsid w:val="00693D82"/>
    <w:rsid w:val="00693DF8"/>
    <w:rsid w:val="00693E05"/>
    <w:rsid w:val="00693E41"/>
    <w:rsid w:val="00693E9B"/>
    <w:rsid w:val="00693F33"/>
    <w:rsid w:val="00693F36"/>
    <w:rsid w:val="00694008"/>
    <w:rsid w:val="00694011"/>
    <w:rsid w:val="00694049"/>
    <w:rsid w:val="006940C5"/>
    <w:rsid w:val="006941F3"/>
    <w:rsid w:val="0069441C"/>
    <w:rsid w:val="0069446D"/>
    <w:rsid w:val="006944B3"/>
    <w:rsid w:val="006945DE"/>
    <w:rsid w:val="00694745"/>
    <w:rsid w:val="0069474F"/>
    <w:rsid w:val="00694764"/>
    <w:rsid w:val="00694772"/>
    <w:rsid w:val="0069478F"/>
    <w:rsid w:val="006947FE"/>
    <w:rsid w:val="00694801"/>
    <w:rsid w:val="00694852"/>
    <w:rsid w:val="006948E3"/>
    <w:rsid w:val="0069492F"/>
    <w:rsid w:val="006949A8"/>
    <w:rsid w:val="006949FF"/>
    <w:rsid w:val="00694A00"/>
    <w:rsid w:val="00694A02"/>
    <w:rsid w:val="00694A41"/>
    <w:rsid w:val="00694A5F"/>
    <w:rsid w:val="00694AA7"/>
    <w:rsid w:val="00694ABD"/>
    <w:rsid w:val="00694AFA"/>
    <w:rsid w:val="00694B2F"/>
    <w:rsid w:val="00694BC2"/>
    <w:rsid w:val="00694C63"/>
    <w:rsid w:val="00694C69"/>
    <w:rsid w:val="00694C93"/>
    <w:rsid w:val="00694CC6"/>
    <w:rsid w:val="00694D10"/>
    <w:rsid w:val="00694D55"/>
    <w:rsid w:val="00694D87"/>
    <w:rsid w:val="00694DC7"/>
    <w:rsid w:val="00694F2D"/>
    <w:rsid w:val="00694F90"/>
    <w:rsid w:val="00694FA9"/>
    <w:rsid w:val="00695016"/>
    <w:rsid w:val="00695099"/>
    <w:rsid w:val="0069512F"/>
    <w:rsid w:val="0069513E"/>
    <w:rsid w:val="0069516B"/>
    <w:rsid w:val="0069518B"/>
    <w:rsid w:val="006953C7"/>
    <w:rsid w:val="006953E9"/>
    <w:rsid w:val="0069540E"/>
    <w:rsid w:val="006954B0"/>
    <w:rsid w:val="00695553"/>
    <w:rsid w:val="006955D9"/>
    <w:rsid w:val="0069561C"/>
    <w:rsid w:val="00695707"/>
    <w:rsid w:val="00695854"/>
    <w:rsid w:val="00695860"/>
    <w:rsid w:val="006958B3"/>
    <w:rsid w:val="006958F2"/>
    <w:rsid w:val="0069592F"/>
    <w:rsid w:val="00695950"/>
    <w:rsid w:val="006959C0"/>
    <w:rsid w:val="00695A19"/>
    <w:rsid w:val="00695B0E"/>
    <w:rsid w:val="00695B2D"/>
    <w:rsid w:val="00695B32"/>
    <w:rsid w:val="00695B63"/>
    <w:rsid w:val="00695CAB"/>
    <w:rsid w:val="00695CC3"/>
    <w:rsid w:val="00695CC5"/>
    <w:rsid w:val="00695D66"/>
    <w:rsid w:val="00695D95"/>
    <w:rsid w:val="00695E62"/>
    <w:rsid w:val="00695F1D"/>
    <w:rsid w:val="00695F2F"/>
    <w:rsid w:val="0069602D"/>
    <w:rsid w:val="00696041"/>
    <w:rsid w:val="00696094"/>
    <w:rsid w:val="0069613A"/>
    <w:rsid w:val="006961AB"/>
    <w:rsid w:val="006961CD"/>
    <w:rsid w:val="00696271"/>
    <w:rsid w:val="00696351"/>
    <w:rsid w:val="00696367"/>
    <w:rsid w:val="00696386"/>
    <w:rsid w:val="0069638A"/>
    <w:rsid w:val="006963B5"/>
    <w:rsid w:val="006963D5"/>
    <w:rsid w:val="006963EB"/>
    <w:rsid w:val="0069642C"/>
    <w:rsid w:val="00696434"/>
    <w:rsid w:val="00696472"/>
    <w:rsid w:val="006964DE"/>
    <w:rsid w:val="0069651B"/>
    <w:rsid w:val="006965A2"/>
    <w:rsid w:val="0069664B"/>
    <w:rsid w:val="00696680"/>
    <w:rsid w:val="00696712"/>
    <w:rsid w:val="00696762"/>
    <w:rsid w:val="00696876"/>
    <w:rsid w:val="0069687B"/>
    <w:rsid w:val="00696892"/>
    <w:rsid w:val="006968B9"/>
    <w:rsid w:val="006968E9"/>
    <w:rsid w:val="006968F4"/>
    <w:rsid w:val="00696974"/>
    <w:rsid w:val="00696A14"/>
    <w:rsid w:val="00696A2C"/>
    <w:rsid w:val="00696B8D"/>
    <w:rsid w:val="00696BA0"/>
    <w:rsid w:val="00696BD5"/>
    <w:rsid w:val="00696CAD"/>
    <w:rsid w:val="00696CD5"/>
    <w:rsid w:val="00696D27"/>
    <w:rsid w:val="00696D38"/>
    <w:rsid w:val="00696E56"/>
    <w:rsid w:val="00696EC2"/>
    <w:rsid w:val="00696EEB"/>
    <w:rsid w:val="00696F90"/>
    <w:rsid w:val="00696F95"/>
    <w:rsid w:val="00696FD5"/>
    <w:rsid w:val="00696FFF"/>
    <w:rsid w:val="0069706F"/>
    <w:rsid w:val="00697090"/>
    <w:rsid w:val="00697111"/>
    <w:rsid w:val="0069713D"/>
    <w:rsid w:val="00697211"/>
    <w:rsid w:val="00697243"/>
    <w:rsid w:val="0069735F"/>
    <w:rsid w:val="006975D0"/>
    <w:rsid w:val="0069768B"/>
    <w:rsid w:val="006976AD"/>
    <w:rsid w:val="006976E6"/>
    <w:rsid w:val="00697708"/>
    <w:rsid w:val="00697728"/>
    <w:rsid w:val="00697768"/>
    <w:rsid w:val="00697771"/>
    <w:rsid w:val="006977C0"/>
    <w:rsid w:val="006977F0"/>
    <w:rsid w:val="0069781A"/>
    <w:rsid w:val="0069783B"/>
    <w:rsid w:val="006978A9"/>
    <w:rsid w:val="00697973"/>
    <w:rsid w:val="00697A23"/>
    <w:rsid w:val="00697AA2"/>
    <w:rsid w:val="00697B52"/>
    <w:rsid w:val="00697B82"/>
    <w:rsid w:val="00697BA7"/>
    <w:rsid w:val="00697C00"/>
    <w:rsid w:val="00697CCC"/>
    <w:rsid w:val="00697D26"/>
    <w:rsid w:val="00697D5B"/>
    <w:rsid w:val="00697D84"/>
    <w:rsid w:val="00697F34"/>
    <w:rsid w:val="00697F9E"/>
    <w:rsid w:val="00697FE7"/>
    <w:rsid w:val="006A000E"/>
    <w:rsid w:val="006A0056"/>
    <w:rsid w:val="006A00D7"/>
    <w:rsid w:val="006A01ED"/>
    <w:rsid w:val="006A0279"/>
    <w:rsid w:val="006A02C6"/>
    <w:rsid w:val="006A02CF"/>
    <w:rsid w:val="006A03C8"/>
    <w:rsid w:val="006A03CB"/>
    <w:rsid w:val="006A03D3"/>
    <w:rsid w:val="006A0406"/>
    <w:rsid w:val="006A0483"/>
    <w:rsid w:val="006A04DA"/>
    <w:rsid w:val="006A04F4"/>
    <w:rsid w:val="006A0524"/>
    <w:rsid w:val="006A0539"/>
    <w:rsid w:val="006A0594"/>
    <w:rsid w:val="006A0607"/>
    <w:rsid w:val="006A0608"/>
    <w:rsid w:val="006A0658"/>
    <w:rsid w:val="006A0680"/>
    <w:rsid w:val="006A0783"/>
    <w:rsid w:val="006A0870"/>
    <w:rsid w:val="006A08C5"/>
    <w:rsid w:val="006A08DE"/>
    <w:rsid w:val="006A0963"/>
    <w:rsid w:val="006A0971"/>
    <w:rsid w:val="006A09B2"/>
    <w:rsid w:val="006A0AD1"/>
    <w:rsid w:val="006A0AF2"/>
    <w:rsid w:val="006A0B06"/>
    <w:rsid w:val="006A0B0C"/>
    <w:rsid w:val="006A0C2F"/>
    <w:rsid w:val="006A0C53"/>
    <w:rsid w:val="006A0C6F"/>
    <w:rsid w:val="006A0CC8"/>
    <w:rsid w:val="006A0DC3"/>
    <w:rsid w:val="006A0F0C"/>
    <w:rsid w:val="006A0F38"/>
    <w:rsid w:val="006A0FC8"/>
    <w:rsid w:val="006A10ED"/>
    <w:rsid w:val="006A111D"/>
    <w:rsid w:val="006A1291"/>
    <w:rsid w:val="006A1349"/>
    <w:rsid w:val="006A136C"/>
    <w:rsid w:val="006A1380"/>
    <w:rsid w:val="006A1421"/>
    <w:rsid w:val="006A1451"/>
    <w:rsid w:val="006A14C4"/>
    <w:rsid w:val="006A14D2"/>
    <w:rsid w:val="006A1520"/>
    <w:rsid w:val="006A1534"/>
    <w:rsid w:val="006A1588"/>
    <w:rsid w:val="006A159A"/>
    <w:rsid w:val="006A1603"/>
    <w:rsid w:val="006A1608"/>
    <w:rsid w:val="006A1676"/>
    <w:rsid w:val="006A16A5"/>
    <w:rsid w:val="006A16B7"/>
    <w:rsid w:val="006A16C0"/>
    <w:rsid w:val="006A1796"/>
    <w:rsid w:val="006A1804"/>
    <w:rsid w:val="006A1819"/>
    <w:rsid w:val="006A187D"/>
    <w:rsid w:val="006A18C5"/>
    <w:rsid w:val="006A1927"/>
    <w:rsid w:val="006A1A06"/>
    <w:rsid w:val="006A1A71"/>
    <w:rsid w:val="006A1B09"/>
    <w:rsid w:val="006A1B4C"/>
    <w:rsid w:val="006A1B99"/>
    <w:rsid w:val="006A1C52"/>
    <w:rsid w:val="006A1D17"/>
    <w:rsid w:val="006A1D75"/>
    <w:rsid w:val="006A1DD9"/>
    <w:rsid w:val="006A1EC3"/>
    <w:rsid w:val="006A1F74"/>
    <w:rsid w:val="006A1FB8"/>
    <w:rsid w:val="006A1FC0"/>
    <w:rsid w:val="006A212F"/>
    <w:rsid w:val="006A215E"/>
    <w:rsid w:val="006A2182"/>
    <w:rsid w:val="006A21BF"/>
    <w:rsid w:val="006A21C7"/>
    <w:rsid w:val="006A227A"/>
    <w:rsid w:val="006A238A"/>
    <w:rsid w:val="006A23BD"/>
    <w:rsid w:val="006A2409"/>
    <w:rsid w:val="006A245E"/>
    <w:rsid w:val="006A248D"/>
    <w:rsid w:val="006A249C"/>
    <w:rsid w:val="006A24AB"/>
    <w:rsid w:val="006A2515"/>
    <w:rsid w:val="006A2615"/>
    <w:rsid w:val="006A268A"/>
    <w:rsid w:val="006A27CE"/>
    <w:rsid w:val="006A27CF"/>
    <w:rsid w:val="006A27F6"/>
    <w:rsid w:val="006A28AA"/>
    <w:rsid w:val="006A28CF"/>
    <w:rsid w:val="006A290A"/>
    <w:rsid w:val="006A298A"/>
    <w:rsid w:val="006A2B0A"/>
    <w:rsid w:val="006A2B0D"/>
    <w:rsid w:val="006A2B5E"/>
    <w:rsid w:val="006A2BDB"/>
    <w:rsid w:val="006A2CBA"/>
    <w:rsid w:val="006A2CCB"/>
    <w:rsid w:val="006A2CD0"/>
    <w:rsid w:val="006A2CF1"/>
    <w:rsid w:val="006A2D97"/>
    <w:rsid w:val="006A2DCA"/>
    <w:rsid w:val="006A2DE2"/>
    <w:rsid w:val="006A2DE6"/>
    <w:rsid w:val="006A2DF9"/>
    <w:rsid w:val="006A2FAE"/>
    <w:rsid w:val="006A2FC0"/>
    <w:rsid w:val="006A2FEE"/>
    <w:rsid w:val="006A3022"/>
    <w:rsid w:val="006A3052"/>
    <w:rsid w:val="006A3067"/>
    <w:rsid w:val="006A3079"/>
    <w:rsid w:val="006A3140"/>
    <w:rsid w:val="006A31BE"/>
    <w:rsid w:val="006A3265"/>
    <w:rsid w:val="006A3311"/>
    <w:rsid w:val="006A3379"/>
    <w:rsid w:val="006A33A9"/>
    <w:rsid w:val="006A343D"/>
    <w:rsid w:val="006A348B"/>
    <w:rsid w:val="006A34AC"/>
    <w:rsid w:val="006A367C"/>
    <w:rsid w:val="006A36CD"/>
    <w:rsid w:val="006A3714"/>
    <w:rsid w:val="006A37AB"/>
    <w:rsid w:val="006A3852"/>
    <w:rsid w:val="006A385E"/>
    <w:rsid w:val="006A3868"/>
    <w:rsid w:val="006A386D"/>
    <w:rsid w:val="006A3871"/>
    <w:rsid w:val="006A38CB"/>
    <w:rsid w:val="006A3957"/>
    <w:rsid w:val="006A3963"/>
    <w:rsid w:val="006A3C94"/>
    <w:rsid w:val="006A3D0C"/>
    <w:rsid w:val="006A3DC9"/>
    <w:rsid w:val="006A3E21"/>
    <w:rsid w:val="006A3E6C"/>
    <w:rsid w:val="006A3E94"/>
    <w:rsid w:val="006A3F5B"/>
    <w:rsid w:val="006A405E"/>
    <w:rsid w:val="006A4217"/>
    <w:rsid w:val="006A4233"/>
    <w:rsid w:val="006A439D"/>
    <w:rsid w:val="006A445A"/>
    <w:rsid w:val="006A448E"/>
    <w:rsid w:val="006A449E"/>
    <w:rsid w:val="006A451A"/>
    <w:rsid w:val="006A458E"/>
    <w:rsid w:val="006A46B2"/>
    <w:rsid w:val="006A46CC"/>
    <w:rsid w:val="006A48EB"/>
    <w:rsid w:val="006A496B"/>
    <w:rsid w:val="006A497D"/>
    <w:rsid w:val="006A4A05"/>
    <w:rsid w:val="006A4A52"/>
    <w:rsid w:val="006A4AA7"/>
    <w:rsid w:val="006A4AF0"/>
    <w:rsid w:val="006A4C1E"/>
    <w:rsid w:val="006A4C74"/>
    <w:rsid w:val="006A4CB6"/>
    <w:rsid w:val="006A4CEF"/>
    <w:rsid w:val="006A4D3E"/>
    <w:rsid w:val="006A4DD2"/>
    <w:rsid w:val="006A4F91"/>
    <w:rsid w:val="006A4FAC"/>
    <w:rsid w:val="006A4FC0"/>
    <w:rsid w:val="006A4FCC"/>
    <w:rsid w:val="006A5052"/>
    <w:rsid w:val="006A508A"/>
    <w:rsid w:val="006A5148"/>
    <w:rsid w:val="006A5195"/>
    <w:rsid w:val="006A5300"/>
    <w:rsid w:val="006A5394"/>
    <w:rsid w:val="006A53CF"/>
    <w:rsid w:val="006A5407"/>
    <w:rsid w:val="006A5408"/>
    <w:rsid w:val="006A541F"/>
    <w:rsid w:val="006A542B"/>
    <w:rsid w:val="006A54A7"/>
    <w:rsid w:val="006A55B1"/>
    <w:rsid w:val="006A5630"/>
    <w:rsid w:val="006A566F"/>
    <w:rsid w:val="006A5800"/>
    <w:rsid w:val="006A58E4"/>
    <w:rsid w:val="006A58F3"/>
    <w:rsid w:val="006A5910"/>
    <w:rsid w:val="006A594B"/>
    <w:rsid w:val="006A59E0"/>
    <w:rsid w:val="006A5C29"/>
    <w:rsid w:val="006A5C53"/>
    <w:rsid w:val="006A5CC3"/>
    <w:rsid w:val="006A5D12"/>
    <w:rsid w:val="006A5DD7"/>
    <w:rsid w:val="006A5E67"/>
    <w:rsid w:val="006A5E95"/>
    <w:rsid w:val="006A5FA2"/>
    <w:rsid w:val="006A6022"/>
    <w:rsid w:val="006A602F"/>
    <w:rsid w:val="006A6033"/>
    <w:rsid w:val="006A606C"/>
    <w:rsid w:val="006A60B4"/>
    <w:rsid w:val="006A60FC"/>
    <w:rsid w:val="006A6226"/>
    <w:rsid w:val="006A626D"/>
    <w:rsid w:val="006A62CB"/>
    <w:rsid w:val="006A62CE"/>
    <w:rsid w:val="006A6396"/>
    <w:rsid w:val="006A63F4"/>
    <w:rsid w:val="006A642C"/>
    <w:rsid w:val="006A644B"/>
    <w:rsid w:val="006A6459"/>
    <w:rsid w:val="006A647E"/>
    <w:rsid w:val="006A6513"/>
    <w:rsid w:val="006A6570"/>
    <w:rsid w:val="006A668A"/>
    <w:rsid w:val="006A66BF"/>
    <w:rsid w:val="006A67F9"/>
    <w:rsid w:val="006A681F"/>
    <w:rsid w:val="006A68A4"/>
    <w:rsid w:val="006A6929"/>
    <w:rsid w:val="006A6A88"/>
    <w:rsid w:val="006A6A8A"/>
    <w:rsid w:val="006A6C22"/>
    <w:rsid w:val="006A6D6F"/>
    <w:rsid w:val="006A6E59"/>
    <w:rsid w:val="006A6EB7"/>
    <w:rsid w:val="006A6F1C"/>
    <w:rsid w:val="006A6FC0"/>
    <w:rsid w:val="006A7004"/>
    <w:rsid w:val="006A7035"/>
    <w:rsid w:val="006A703A"/>
    <w:rsid w:val="006A7152"/>
    <w:rsid w:val="006A7229"/>
    <w:rsid w:val="006A723B"/>
    <w:rsid w:val="006A7345"/>
    <w:rsid w:val="006A7368"/>
    <w:rsid w:val="006A7425"/>
    <w:rsid w:val="006A7457"/>
    <w:rsid w:val="006A7492"/>
    <w:rsid w:val="006A74E4"/>
    <w:rsid w:val="006A75AE"/>
    <w:rsid w:val="006A75FD"/>
    <w:rsid w:val="006A7606"/>
    <w:rsid w:val="006A763B"/>
    <w:rsid w:val="006A7648"/>
    <w:rsid w:val="006A76A3"/>
    <w:rsid w:val="006A76E7"/>
    <w:rsid w:val="006A7795"/>
    <w:rsid w:val="006A77B5"/>
    <w:rsid w:val="006A787F"/>
    <w:rsid w:val="006A78F6"/>
    <w:rsid w:val="006A7902"/>
    <w:rsid w:val="006A79D3"/>
    <w:rsid w:val="006A7A41"/>
    <w:rsid w:val="006A7A53"/>
    <w:rsid w:val="006A7AA1"/>
    <w:rsid w:val="006A7ABB"/>
    <w:rsid w:val="006A7AC0"/>
    <w:rsid w:val="006A7AD6"/>
    <w:rsid w:val="006A7B02"/>
    <w:rsid w:val="006A7C83"/>
    <w:rsid w:val="006A7CC9"/>
    <w:rsid w:val="006A7CDF"/>
    <w:rsid w:val="006A7D1A"/>
    <w:rsid w:val="006A7D96"/>
    <w:rsid w:val="006A7DBE"/>
    <w:rsid w:val="006A7DC1"/>
    <w:rsid w:val="006A7DF4"/>
    <w:rsid w:val="006A7E0E"/>
    <w:rsid w:val="006A7FBC"/>
    <w:rsid w:val="006B018A"/>
    <w:rsid w:val="006B01AF"/>
    <w:rsid w:val="006B022C"/>
    <w:rsid w:val="006B02A5"/>
    <w:rsid w:val="006B0341"/>
    <w:rsid w:val="006B035E"/>
    <w:rsid w:val="006B03FC"/>
    <w:rsid w:val="006B0468"/>
    <w:rsid w:val="006B0557"/>
    <w:rsid w:val="006B0591"/>
    <w:rsid w:val="006B0594"/>
    <w:rsid w:val="006B067F"/>
    <w:rsid w:val="006B06EF"/>
    <w:rsid w:val="006B0707"/>
    <w:rsid w:val="006B078A"/>
    <w:rsid w:val="006B07DC"/>
    <w:rsid w:val="006B08A1"/>
    <w:rsid w:val="006B09A3"/>
    <w:rsid w:val="006B0A37"/>
    <w:rsid w:val="006B0B83"/>
    <w:rsid w:val="006B0D8E"/>
    <w:rsid w:val="006B0DB3"/>
    <w:rsid w:val="006B0E04"/>
    <w:rsid w:val="006B0E10"/>
    <w:rsid w:val="006B0FFB"/>
    <w:rsid w:val="006B108F"/>
    <w:rsid w:val="006B1099"/>
    <w:rsid w:val="006B11A2"/>
    <w:rsid w:val="006B1262"/>
    <w:rsid w:val="006B1296"/>
    <w:rsid w:val="006B1383"/>
    <w:rsid w:val="006B1394"/>
    <w:rsid w:val="006B1399"/>
    <w:rsid w:val="006B1430"/>
    <w:rsid w:val="006B148A"/>
    <w:rsid w:val="006B153D"/>
    <w:rsid w:val="006B1566"/>
    <w:rsid w:val="006B1570"/>
    <w:rsid w:val="006B15C0"/>
    <w:rsid w:val="006B1634"/>
    <w:rsid w:val="006B1652"/>
    <w:rsid w:val="006B167A"/>
    <w:rsid w:val="006B16BD"/>
    <w:rsid w:val="006B170E"/>
    <w:rsid w:val="006B1792"/>
    <w:rsid w:val="006B183C"/>
    <w:rsid w:val="006B18D9"/>
    <w:rsid w:val="006B1928"/>
    <w:rsid w:val="006B193F"/>
    <w:rsid w:val="006B1A17"/>
    <w:rsid w:val="006B1A6B"/>
    <w:rsid w:val="006B1B5D"/>
    <w:rsid w:val="006B1B74"/>
    <w:rsid w:val="006B1B85"/>
    <w:rsid w:val="006B1CA9"/>
    <w:rsid w:val="006B1CF4"/>
    <w:rsid w:val="006B1CF5"/>
    <w:rsid w:val="006B1D07"/>
    <w:rsid w:val="006B1D76"/>
    <w:rsid w:val="006B1D82"/>
    <w:rsid w:val="006B1DF1"/>
    <w:rsid w:val="006B1F19"/>
    <w:rsid w:val="006B1F67"/>
    <w:rsid w:val="006B1F98"/>
    <w:rsid w:val="006B1FA1"/>
    <w:rsid w:val="006B1FCE"/>
    <w:rsid w:val="006B1FD2"/>
    <w:rsid w:val="006B1FD4"/>
    <w:rsid w:val="006B20EB"/>
    <w:rsid w:val="006B20EC"/>
    <w:rsid w:val="006B21A3"/>
    <w:rsid w:val="006B2200"/>
    <w:rsid w:val="006B230F"/>
    <w:rsid w:val="006B2596"/>
    <w:rsid w:val="006B25AC"/>
    <w:rsid w:val="006B25B0"/>
    <w:rsid w:val="006B25CB"/>
    <w:rsid w:val="006B2670"/>
    <w:rsid w:val="006B26A2"/>
    <w:rsid w:val="006B26F6"/>
    <w:rsid w:val="006B278E"/>
    <w:rsid w:val="006B28A1"/>
    <w:rsid w:val="006B28D3"/>
    <w:rsid w:val="006B2906"/>
    <w:rsid w:val="006B2928"/>
    <w:rsid w:val="006B2942"/>
    <w:rsid w:val="006B2954"/>
    <w:rsid w:val="006B29C3"/>
    <w:rsid w:val="006B2A49"/>
    <w:rsid w:val="006B2B39"/>
    <w:rsid w:val="006B2B60"/>
    <w:rsid w:val="006B2BDB"/>
    <w:rsid w:val="006B2D37"/>
    <w:rsid w:val="006B2D73"/>
    <w:rsid w:val="006B2F21"/>
    <w:rsid w:val="006B2FD7"/>
    <w:rsid w:val="006B3024"/>
    <w:rsid w:val="006B30EA"/>
    <w:rsid w:val="006B311A"/>
    <w:rsid w:val="006B3127"/>
    <w:rsid w:val="006B316E"/>
    <w:rsid w:val="006B3387"/>
    <w:rsid w:val="006B33A2"/>
    <w:rsid w:val="006B33F1"/>
    <w:rsid w:val="006B342A"/>
    <w:rsid w:val="006B3484"/>
    <w:rsid w:val="006B3514"/>
    <w:rsid w:val="006B3560"/>
    <w:rsid w:val="006B3574"/>
    <w:rsid w:val="006B3702"/>
    <w:rsid w:val="006B3708"/>
    <w:rsid w:val="006B372D"/>
    <w:rsid w:val="006B3764"/>
    <w:rsid w:val="006B378D"/>
    <w:rsid w:val="006B3794"/>
    <w:rsid w:val="006B387B"/>
    <w:rsid w:val="006B3886"/>
    <w:rsid w:val="006B39AF"/>
    <w:rsid w:val="006B3A0D"/>
    <w:rsid w:val="006B3A5E"/>
    <w:rsid w:val="006B3AC1"/>
    <w:rsid w:val="006B3B26"/>
    <w:rsid w:val="006B3CF9"/>
    <w:rsid w:val="006B3D0B"/>
    <w:rsid w:val="006B3DB8"/>
    <w:rsid w:val="006B3DDC"/>
    <w:rsid w:val="006B3DE9"/>
    <w:rsid w:val="006B3E4C"/>
    <w:rsid w:val="006B3E52"/>
    <w:rsid w:val="006B3E5B"/>
    <w:rsid w:val="006B3EF3"/>
    <w:rsid w:val="006B3F04"/>
    <w:rsid w:val="006B3F1D"/>
    <w:rsid w:val="006B3F26"/>
    <w:rsid w:val="006B3FE4"/>
    <w:rsid w:val="006B402C"/>
    <w:rsid w:val="006B4060"/>
    <w:rsid w:val="006B41C2"/>
    <w:rsid w:val="006B41FE"/>
    <w:rsid w:val="006B4287"/>
    <w:rsid w:val="006B4339"/>
    <w:rsid w:val="006B4350"/>
    <w:rsid w:val="006B43E4"/>
    <w:rsid w:val="006B4408"/>
    <w:rsid w:val="006B441C"/>
    <w:rsid w:val="006B450D"/>
    <w:rsid w:val="006B4550"/>
    <w:rsid w:val="006B45F0"/>
    <w:rsid w:val="006B463D"/>
    <w:rsid w:val="006B4750"/>
    <w:rsid w:val="006B47DA"/>
    <w:rsid w:val="006B47E9"/>
    <w:rsid w:val="006B47F3"/>
    <w:rsid w:val="006B4825"/>
    <w:rsid w:val="006B4998"/>
    <w:rsid w:val="006B49A7"/>
    <w:rsid w:val="006B4A14"/>
    <w:rsid w:val="006B4A4B"/>
    <w:rsid w:val="006B4B32"/>
    <w:rsid w:val="006B4B3B"/>
    <w:rsid w:val="006B4BB0"/>
    <w:rsid w:val="006B4BB8"/>
    <w:rsid w:val="006B4BC4"/>
    <w:rsid w:val="006B4BF7"/>
    <w:rsid w:val="006B4C0E"/>
    <w:rsid w:val="006B4C6C"/>
    <w:rsid w:val="006B4CF2"/>
    <w:rsid w:val="006B4D67"/>
    <w:rsid w:val="006B4D9F"/>
    <w:rsid w:val="006B4DEA"/>
    <w:rsid w:val="006B4E14"/>
    <w:rsid w:val="006B4E19"/>
    <w:rsid w:val="006B4EDB"/>
    <w:rsid w:val="006B4F97"/>
    <w:rsid w:val="006B4F9C"/>
    <w:rsid w:val="006B5002"/>
    <w:rsid w:val="006B5060"/>
    <w:rsid w:val="006B5160"/>
    <w:rsid w:val="006B51C4"/>
    <w:rsid w:val="006B520B"/>
    <w:rsid w:val="006B521B"/>
    <w:rsid w:val="006B5369"/>
    <w:rsid w:val="006B539D"/>
    <w:rsid w:val="006B53A4"/>
    <w:rsid w:val="006B53F9"/>
    <w:rsid w:val="006B54E8"/>
    <w:rsid w:val="006B550E"/>
    <w:rsid w:val="006B553B"/>
    <w:rsid w:val="006B554F"/>
    <w:rsid w:val="006B5676"/>
    <w:rsid w:val="006B570B"/>
    <w:rsid w:val="006B5744"/>
    <w:rsid w:val="006B57A4"/>
    <w:rsid w:val="006B581A"/>
    <w:rsid w:val="006B5841"/>
    <w:rsid w:val="006B58F7"/>
    <w:rsid w:val="006B5920"/>
    <w:rsid w:val="006B59AD"/>
    <w:rsid w:val="006B5A85"/>
    <w:rsid w:val="006B5B20"/>
    <w:rsid w:val="006B5B45"/>
    <w:rsid w:val="006B5B8B"/>
    <w:rsid w:val="006B5BDF"/>
    <w:rsid w:val="006B5BE3"/>
    <w:rsid w:val="006B5CA0"/>
    <w:rsid w:val="006B5D58"/>
    <w:rsid w:val="006B5D7B"/>
    <w:rsid w:val="006B5DEE"/>
    <w:rsid w:val="006B5F07"/>
    <w:rsid w:val="006B5FB3"/>
    <w:rsid w:val="006B602D"/>
    <w:rsid w:val="006B60A4"/>
    <w:rsid w:val="006B60F2"/>
    <w:rsid w:val="006B623F"/>
    <w:rsid w:val="006B62B1"/>
    <w:rsid w:val="006B62C7"/>
    <w:rsid w:val="006B62E2"/>
    <w:rsid w:val="006B63A0"/>
    <w:rsid w:val="006B63EF"/>
    <w:rsid w:val="006B63F9"/>
    <w:rsid w:val="006B64ED"/>
    <w:rsid w:val="006B6608"/>
    <w:rsid w:val="006B677F"/>
    <w:rsid w:val="006B6794"/>
    <w:rsid w:val="006B67A2"/>
    <w:rsid w:val="006B684C"/>
    <w:rsid w:val="006B684D"/>
    <w:rsid w:val="006B692C"/>
    <w:rsid w:val="006B6977"/>
    <w:rsid w:val="006B6AE5"/>
    <w:rsid w:val="006B6B28"/>
    <w:rsid w:val="006B6C57"/>
    <w:rsid w:val="006B6CED"/>
    <w:rsid w:val="006B6D25"/>
    <w:rsid w:val="006B6E22"/>
    <w:rsid w:val="006B6EE0"/>
    <w:rsid w:val="006B6F35"/>
    <w:rsid w:val="006B6F3F"/>
    <w:rsid w:val="006B702E"/>
    <w:rsid w:val="006B708F"/>
    <w:rsid w:val="006B7109"/>
    <w:rsid w:val="006B7153"/>
    <w:rsid w:val="006B7177"/>
    <w:rsid w:val="006B71AB"/>
    <w:rsid w:val="006B72EA"/>
    <w:rsid w:val="006B731E"/>
    <w:rsid w:val="006B741A"/>
    <w:rsid w:val="006B743E"/>
    <w:rsid w:val="006B7462"/>
    <w:rsid w:val="006B74C4"/>
    <w:rsid w:val="006B7589"/>
    <w:rsid w:val="006B760A"/>
    <w:rsid w:val="006B765D"/>
    <w:rsid w:val="006B766F"/>
    <w:rsid w:val="006B767F"/>
    <w:rsid w:val="006B7691"/>
    <w:rsid w:val="006B76CB"/>
    <w:rsid w:val="006B7805"/>
    <w:rsid w:val="006B7870"/>
    <w:rsid w:val="006B7890"/>
    <w:rsid w:val="006B79F9"/>
    <w:rsid w:val="006B7B25"/>
    <w:rsid w:val="006B7B4D"/>
    <w:rsid w:val="006B7BE4"/>
    <w:rsid w:val="006B7C08"/>
    <w:rsid w:val="006B7C53"/>
    <w:rsid w:val="006B7D99"/>
    <w:rsid w:val="006B7EAF"/>
    <w:rsid w:val="006B7F2D"/>
    <w:rsid w:val="006B7FC8"/>
    <w:rsid w:val="006C0109"/>
    <w:rsid w:val="006C0138"/>
    <w:rsid w:val="006C0185"/>
    <w:rsid w:val="006C0197"/>
    <w:rsid w:val="006C0204"/>
    <w:rsid w:val="006C0348"/>
    <w:rsid w:val="006C0368"/>
    <w:rsid w:val="006C03C0"/>
    <w:rsid w:val="006C0482"/>
    <w:rsid w:val="006C04CE"/>
    <w:rsid w:val="006C04E2"/>
    <w:rsid w:val="006C0502"/>
    <w:rsid w:val="006C0510"/>
    <w:rsid w:val="006C058B"/>
    <w:rsid w:val="006C05BC"/>
    <w:rsid w:val="006C060C"/>
    <w:rsid w:val="006C0625"/>
    <w:rsid w:val="006C06B5"/>
    <w:rsid w:val="006C0770"/>
    <w:rsid w:val="006C0776"/>
    <w:rsid w:val="006C077B"/>
    <w:rsid w:val="006C07BD"/>
    <w:rsid w:val="006C07EC"/>
    <w:rsid w:val="006C07F1"/>
    <w:rsid w:val="006C07F9"/>
    <w:rsid w:val="006C0836"/>
    <w:rsid w:val="006C088F"/>
    <w:rsid w:val="006C089F"/>
    <w:rsid w:val="006C0916"/>
    <w:rsid w:val="006C097D"/>
    <w:rsid w:val="006C0A14"/>
    <w:rsid w:val="006C0C7E"/>
    <w:rsid w:val="006C0D03"/>
    <w:rsid w:val="006C0D0F"/>
    <w:rsid w:val="006C0D97"/>
    <w:rsid w:val="006C0DB3"/>
    <w:rsid w:val="006C0E37"/>
    <w:rsid w:val="006C0E53"/>
    <w:rsid w:val="006C0EAA"/>
    <w:rsid w:val="006C0F13"/>
    <w:rsid w:val="006C0F5B"/>
    <w:rsid w:val="006C103B"/>
    <w:rsid w:val="006C1046"/>
    <w:rsid w:val="006C118F"/>
    <w:rsid w:val="006C11E5"/>
    <w:rsid w:val="006C132F"/>
    <w:rsid w:val="006C1367"/>
    <w:rsid w:val="006C1373"/>
    <w:rsid w:val="006C13F3"/>
    <w:rsid w:val="006C143C"/>
    <w:rsid w:val="006C14BE"/>
    <w:rsid w:val="006C14D1"/>
    <w:rsid w:val="006C14D5"/>
    <w:rsid w:val="006C1542"/>
    <w:rsid w:val="006C1565"/>
    <w:rsid w:val="006C156F"/>
    <w:rsid w:val="006C159C"/>
    <w:rsid w:val="006C16B0"/>
    <w:rsid w:val="006C16B8"/>
    <w:rsid w:val="006C177F"/>
    <w:rsid w:val="006C1900"/>
    <w:rsid w:val="006C1993"/>
    <w:rsid w:val="006C19D7"/>
    <w:rsid w:val="006C19E8"/>
    <w:rsid w:val="006C1A2A"/>
    <w:rsid w:val="006C1A66"/>
    <w:rsid w:val="006C1AE3"/>
    <w:rsid w:val="006C1B2A"/>
    <w:rsid w:val="006C1BC1"/>
    <w:rsid w:val="006C1C4D"/>
    <w:rsid w:val="006C1C82"/>
    <w:rsid w:val="006C1C9B"/>
    <w:rsid w:val="006C1DB6"/>
    <w:rsid w:val="006C1DC8"/>
    <w:rsid w:val="006C1E2E"/>
    <w:rsid w:val="006C1E56"/>
    <w:rsid w:val="006C1F5B"/>
    <w:rsid w:val="006C1FE8"/>
    <w:rsid w:val="006C200F"/>
    <w:rsid w:val="006C2073"/>
    <w:rsid w:val="006C214C"/>
    <w:rsid w:val="006C219B"/>
    <w:rsid w:val="006C21E5"/>
    <w:rsid w:val="006C230D"/>
    <w:rsid w:val="006C23E4"/>
    <w:rsid w:val="006C2526"/>
    <w:rsid w:val="006C2536"/>
    <w:rsid w:val="006C25AE"/>
    <w:rsid w:val="006C27F3"/>
    <w:rsid w:val="006C2810"/>
    <w:rsid w:val="006C28A4"/>
    <w:rsid w:val="006C29A7"/>
    <w:rsid w:val="006C29C7"/>
    <w:rsid w:val="006C2A19"/>
    <w:rsid w:val="006C2AA6"/>
    <w:rsid w:val="006C2AC2"/>
    <w:rsid w:val="006C2AE4"/>
    <w:rsid w:val="006C2B03"/>
    <w:rsid w:val="006C2B5C"/>
    <w:rsid w:val="006C2B70"/>
    <w:rsid w:val="006C2B7F"/>
    <w:rsid w:val="006C2C72"/>
    <w:rsid w:val="006C2CC8"/>
    <w:rsid w:val="006C2CF2"/>
    <w:rsid w:val="006C2D24"/>
    <w:rsid w:val="006C2D8C"/>
    <w:rsid w:val="006C2DD3"/>
    <w:rsid w:val="006C2E33"/>
    <w:rsid w:val="006C2E4F"/>
    <w:rsid w:val="006C2E85"/>
    <w:rsid w:val="006C2F96"/>
    <w:rsid w:val="006C2FBF"/>
    <w:rsid w:val="006C2FD4"/>
    <w:rsid w:val="006C3076"/>
    <w:rsid w:val="006C30A7"/>
    <w:rsid w:val="006C314C"/>
    <w:rsid w:val="006C3295"/>
    <w:rsid w:val="006C32AA"/>
    <w:rsid w:val="006C32CC"/>
    <w:rsid w:val="006C32E5"/>
    <w:rsid w:val="006C33A8"/>
    <w:rsid w:val="006C341F"/>
    <w:rsid w:val="006C347C"/>
    <w:rsid w:val="006C34FE"/>
    <w:rsid w:val="006C3544"/>
    <w:rsid w:val="006C35BD"/>
    <w:rsid w:val="006C36FF"/>
    <w:rsid w:val="006C37D0"/>
    <w:rsid w:val="006C37F3"/>
    <w:rsid w:val="006C380E"/>
    <w:rsid w:val="006C385C"/>
    <w:rsid w:val="006C3899"/>
    <w:rsid w:val="006C389F"/>
    <w:rsid w:val="006C38A0"/>
    <w:rsid w:val="006C3924"/>
    <w:rsid w:val="006C39D7"/>
    <w:rsid w:val="006C3A2E"/>
    <w:rsid w:val="006C3AE9"/>
    <w:rsid w:val="006C3B04"/>
    <w:rsid w:val="006C3BC3"/>
    <w:rsid w:val="006C3C34"/>
    <w:rsid w:val="006C3DBE"/>
    <w:rsid w:val="006C3DC5"/>
    <w:rsid w:val="006C3EAF"/>
    <w:rsid w:val="006C3ECF"/>
    <w:rsid w:val="006C3EE8"/>
    <w:rsid w:val="006C3F25"/>
    <w:rsid w:val="006C3F32"/>
    <w:rsid w:val="006C4007"/>
    <w:rsid w:val="006C4012"/>
    <w:rsid w:val="006C4041"/>
    <w:rsid w:val="006C410B"/>
    <w:rsid w:val="006C419A"/>
    <w:rsid w:val="006C4204"/>
    <w:rsid w:val="006C4266"/>
    <w:rsid w:val="006C42F7"/>
    <w:rsid w:val="006C4349"/>
    <w:rsid w:val="006C440A"/>
    <w:rsid w:val="006C440F"/>
    <w:rsid w:val="006C4449"/>
    <w:rsid w:val="006C44B7"/>
    <w:rsid w:val="006C44EC"/>
    <w:rsid w:val="006C4501"/>
    <w:rsid w:val="006C450C"/>
    <w:rsid w:val="006C45DD"/>
    <w:rsid w:val="006C4648"/>
    <w:rsid w:val="006C4662"/>
    <w:rsid w:val="006C4710"/>
    <w:rsid w:val="006C47C6"/>
    <w:rsid w:val="006C47EC"/>
    <w:rsid w:val="006C48BF"/>
    <w:rsid w:val="006C48E6"/>
    <w:rsid w:val="006C494B"/>
    <w:rsid w:val="006C4994"/>
    <w:rsid w:val="006C49A5"/>
    <w:rsid w:val="006C49B8"/>
    <w:rsid w:val="006C49C9"/>
    <w:rsid w:val="006C4A88"/>
    <w:rsid w:val="006C4AB5"/>
    <w:rsid w:val="006C4AB9"/>
    <w:rsid w:val="006C4AC0"/>
    <w:rsid w:val="006C4B4D"/>
    <w:rsid w:val="006C4BD4"/>
    <w:rsid w:val="006C4E19"/>
    <w:rsid w:val="006C4E4D"/>
    <w:rsid w:val="006C4E57"/>
    <w:rsid w:val="006C4ECB"/>
    <w:rsid w:val="006C4F01"/>
    <w:rsid w:val="006C4F44"/>
    <w:rsid w:val="006C4F8D"/>
    <w:rsid w:val="006C4FA7"/>
    <w:rsid w:val="006C4FB2"/>
    <w:rsid w:val="006C4FBE"/>
    <w:rsid w:val="006C4FD9"/>
    <w:rsid w:val="006C4FDE"/>
    <w:rsid w:val="006C5012"/>
    <w:rsid w:val="006C502C"/>
    <w:rsid w:val="006C50E9"/>
    <w:rsid w:val="006C513E"/>
    <w:rsid w:val="006C5190"/>
    <w:rsid w:val="006C5247"/>
    <w:rsid w:val="006C5301"/>
    <w:rsid w:val="006C5385"/>
    <w:rsid w:val="006C53EB"/>
    <w:rsid w:val="006C5411"/>
    <w:rsid w:val="006C552E"/>
    <w:rsid w:val="006C5554"/>
    <w:rsid w:val="006C5704"/>
    <w:rsid w:val="006C570D"/>
    <w:rsid w:val="006C5793"/>
    <w:rsid w:val="006C57E4"/>
    <w:rsid w:val="006C5857"/>
    <w:rsid w:val="006C5893"/>
    <w:rsid w:val="006C599B"/>
    <w:rsid w:val="006C5A20"/>
    <w:rsid w:val="006C5A96"/>
    <w:rsid w:val="006C5A98"/>
    <w:rsid w:val="006C5AE7"/>
    <w:rsid w:val="006C5B0B"/>
    <w:rsid w:val="006C5BFE"/>
    <w:rsid w:val="006C5C71"/>
    <w:rsid w:val="006C5C86"/>
    <w:rsid w:val="006C5CBE"/>
    <w:rsid w:val="006C5CD3"/>
    <w:rsid w:val="006C5D0A"/>
    <w:rsid w:val="006C5D2F"/>
    <w:rsid w:val="006C5D85"/>
    <w:rsid w:val="006C5D90"/>
    <w:rsid w:val="006C5F08"/>
    <w:rsid w:val="006C6000"/>
    <w:rsid w:val="006C6054"/>
    <w:rsid w:val="006C6119"/>
    <w:rsid w:val="006C612E"/>
    <w:rsid w:val="006C6148"/>
    <w:rsid w:val="006C6200"/>
    <w:rsid w:val="006C6204"/>
    <w:rsid w:val="006C627C"/>
    <w:rsid w:val="006C63F2"/>
    <w:rsid w:val="006C6416"/>
    <w:rsid w:val="006C6418"/>
    <w:rsid w:val="006C643A"/>
    <w:rsid w:val="006C643C"/>
    <w:rsid w:val="006C6457"/>
    <w:rsid w:val="006C64DD"/>
    <w:rsid w:val="006C6613"/>
    <w:rsid w:val="006C6651"/>
    <w:rsid w:val="006C6665"/>
    <w:rsid w:val="006C66BC"/>
    <w:rsid w:val="006C66D2"/>
    <w:rsid w:val="006C6722"/>
    <w:rsid w:val="006C6738"/>
    <w:rsid w:val="006C67A4"/>
    <w:rsid w:val="006C67D9"/>
    <w:rsid w:val="006C6857"/>
    <w:rsid w:val="006C68B8"/>
    <w:rsid w:val="006C68E5"/>
    <w:rsid w:val="006C68F6"/>
    <w:rsid w:val="006C692F"/>
    <w:rsid w:val="006C69FA"/>
    <w:rsid w:val="006C6A6B"/>
    <w:rsid w:val="006C6AAA"/>
    <w:rsid w:val="006C6AF1"/>
    <w:rsid w:val="006C6B71"/>
    <w:rsid w:val="006C6C2C"/>
    <w:rsid w:val="006C6C50"/>
    <w:rsid w:val="006C6C8D"/>
    <w:rsid w:val="006C6D32"/>
    <w:rsid w:val="006C6DE3"/>
    <w:rsid w:val="006C6DFF"/>
    <w:rsid w:val="006C6E68"/>
    <w:rsid w:val="006C6F8B"/>
    <w:rsid w:val="006C6FBA"/>
    <w:rsid w:val="006C6FDB"/>
    <w:rsid w:val="006C6FE4"/>
    <w:rsid w:val="006C7057"/>
    <w:rsid w:val="006C7171"/>
    <w:rsid w:val="006C71A1"/>
    <w:rsid w:val="006C7282"/>
    <w:rsid w:val="006C730F"/>
    <w:rsid w:val="006C73A3"/>
    <w:rsid w:val="006C73EE"/>
    <w:rsid w:val="006C7527"/>
    <w:rsid w:val="006C7529"/>
    <w:rsid w:val="006C7530"/>
    <w:rsid w:val="006C7562"/>
    <w:rsid w:val="006C757D"/>
    <w:rsid w:val="006C7601"/>
    <w:rsid w:val="006C763C"/>
    <w:rsid w:val="006C76E5"/>
    <w:rsid w:val="006C76F4"/>
    <w:rsid w:val="006C7734"/>
    <w:rsid w:val="006C773F"/>
    <w:rsid w:val="006C778B"/>
    <w:rsid w:val="006C78AA"/>
    <w:rsid w:val="006C78C0"/>
    <w:rsid w:val="006C791B"/>
    <w:rsid w:val="006C7A3F"/>
    <w:rsid w:val="006C7A66"/>
    <w:rsid w:val="006C7AB9"/>
    <w:rsid w:val="006C7AF5"/>
    <w:rsid w:val="006C7B1E"/>
    <w:rsid w:val="006C7B84"/>
    <w:rsid w:val="006C7C52"/>
    <w:rsid w:val="006C7CB1"/>
    <w:rsid w:val="006C7D74"/>
    <w:rsid w:val="006C7DAD"/>
    <w:rsid w:val="006C7E23"/>
    <w:rsid w:val="006C7ECD"/>
    <w:rsid w:val="006C7F41"/>
    <w:rsid w:val="006C7FA8"/>
    <w:rsid w:val="006D0055"/>
    <w:rsid w:val="006D00B8"/>
    <w:rsid w:val="006D0165"/>
    <w:rsid w:val="006D01A5"/>
    <w:rsid w:val="006D025D"/>
    <w:rsid w:val="006D0261"/>
    <w:rsid w:val="006D0290"/>
    <w:rsid w:val="006D02CF"/>
    <w:rsid w:val="006D0327"/>
    <w:rsid w:val="006D0362"/>
    <w:rsid w:val="006D0374"/>
    <w:rsid w:val="006D0378"/>
    <w:rsid w:val="006D0481"/>
    <w:rsid w:val="006D05B3"/>
    <w:rsid w:val="006D05C8"/>
    <w:rsid w:val="006D05C9"/>
    <w:rsid w:val="006D05E7"/>
    <w:rsid w:val="006D06F0"/>
    <w:rsid w:val="006D0730"/>
    <w:rsid w:val="006D073C"/>
    <w:rsid w:val="006D0820"/>
    <w:rsid w:val="006D083E"/>
    <w:rsid w:val="006D088F"/>
    <w:rsid w:val="006D08AE"/>
    <w:rsid w:val="006D0904"/>
    <w:rsid w:val="006D0925"/>
    <w:rsid w:val="006D0942"/>
    <w:rsid w:val="006D09D3"/>
    <w:rsid w:val="006D0A15"/>
    <w:rsid w:val="006D0A86"/>
    <w:rsid w:val="006D0A9E"/>
    <w:rsid w:val="006D0BE3"/>
    <w:rsid w:val="006D0BF2"/>
    <w:rsid w:val="006D0C59"/>
    <w:rsid w:val="006D0C7E"/>
    <w:rsid w:val="006D0CCD"/>
    <w:rsid w:val="006D0D64"/>
    <w:rsid w:val="006D0E34"/>
    <w:rsid w:val="006D0EB7"/>
    <w:rsid w:val="006D0EF1"/>
    <w:rsid w:val="006D0F7A"/>
    <w:rsid w:val="006D0F8C"/>
    <w:rsid w:val="006D0F90"/>
    <w:rsid w:val="006D0F9A"/>
    <w:rsid w:val="006D0FBB"/>
    <w:rsid w:val="006D0FE7"/>
    <w:rsid w:val="006D1022"/>
    <w:rsid w:val="006D1192"/>
    <w:rsid w:val="006D126A"/>
    <w:rsid w:val="006D12BC"/>
    <w:rsid w:val="006D139A"/>
    <w:rsid w:val="006D13C9"/>
    <w:rsid w:val="006D1461"/>
    <w:rsid w:val="006D1495"/>
    <w:rsid w:val="006D14A6"/>
    <w:rsid w:val="006D14B1"/>
    <w:rsid w:val="006D14F8"/>
    <w:rsid w:val="006D1506"/>
    <w:rsid w:val="006D15C1"/>
    <w:rsid w:val="006D1623"/>
    <w:rsid w:val="006D1663"/>
    <w:rsid w:val="006D1682"/>
    <w:rsid w:val="006D16B4"/>
    <w:rsid w:val="006D16E0"/>
    <w:rsid w:val="006D175C"/>
    <w:rsid w:val="006D1787"/>
    <w:rsid w:val="006D1827"/>
    <w:rsid w:val="006D188C"/>
    <w:rsid w:val="006D1896"/>
    <w:rsid w:val="006D18B6"/>
    <w:rsid w:val="006D1930"/>
    <w:rsid w:val="006D1963"/>
    <w:rsid w:val="006D198B"/>
    <w:rsid w:val="006D1B74"/>
    <w:rsid w:val="006D1BBE"/>
    <w:rsid w:val="006D1D22"/>
    <w:rsid w:val="006D1DE3"/>
    <w:rsid w:val="006D1E08"/>
    <w:rsid w:val="006D1EAF"/>
    <w:rsid w:val="006D1EB0"/>
    <w:rsid w:val="006D1EC7"/>
    <w:rsid w:val="006D1EFA"/>
    <w:rsid w:val="006D1F18"/>
    <w:rsid w:val="006D1F3D"/>
    <w:rsid w:val="006D2003"/>
    <w:rsid w:val="006D209D"/>
    <w:rsid w:val="006D2144"/>
    <w:rsid w:val="006D21A1"/>
    <w:rsid w:val="006D223B"/>
    <w:rsid w:val="006D2306"/>
    <w:rsid w:val="006D230C"/>
    <w:rsid w:val="006D2348"/>
    <w:rsid w:val="006D23C9"/>
    <w:rsid w:val="006D23F5"/>
    <w:rsid w:val="006D244D"/>
    <w:rsid w:val="006D2486"/>
    <w:rsid w:val="006D248A"/>
    <w:rsid w:val="006D2518"/>
    <w:rsid w:val="006D2526"/>
    <w:rsid w:val="006D2562"/>
    <w:rsid w:val="006D25DE"/>
    <w:rsid w:val="006D262F"/>
    <w:rsid w:val="006D2648"/>
    <w:rsid w:val="006D26EE"/>
    <w:rsid w:val="006D2730"/>
    <w:rsid w:val="006D275F"/>
    <w:rsid w:val="006D278F"/>
    <w:rsid w:val="006D27C6"/>
    <w:rsid w:val="006D28AA"/>
    <w:rsid w:val="006D28AC"/>
    <w:rsid w:val="006D2925"/>
    <w:rsid w:val="006D2948"/>
    <w:rsid w:val="006D2A06"/>
    <w:rsid w:val="006D2AAE"/>
    <w:rsid w:val="006D2AB8"/>
    <w:rsid w:val="006D2B59"/>
    <w:rsid w:val="006D2BC7"/>
    <w:rsid w:val="006D2C12"/>
    <w:rsid w:val="006D2C3A"/>
    <w:rsid w:val="006D2C47"/>
    <w:rsid w:val="006D2D1A"/>
    <w:rsid w:val="006D2D81"/>
    <w:rsid w:val="006D2D95"/>
    <w:rsid w:val="006D2DD7"/>
    <w:rsid w:val="006D2DDF"/>
    <w:rsid w:val="006D2DE5"/>
    <w:rsid w:val="006D2E57"/>
    <w:rsid w:val="006D2E65"/>
    <w:rsid w:val="006D2F42"/>
    <w:rsid w:val="006D2FA3"/>
    <w:rsid w:val="006D2FAA"/>
    <w:rsid w:val="006D3007"/>
    <w:rsid w:val="006D3044"/>
    <w:rsid w:val="006D30AF"/>
    <w:rsid w:val="006D30C7"/>
    <w:rsid w:val="006D3133"/>
    <w:rsid w:val="006D3157"/>
    <w:rsid w:val="006D3191"/>
    <w:rsid w:val="006D328B"/>
    <w:rsid w:val="006D328F"/>
    <w:rsid w:val="006D32FD"/>
    <w:rsid w:val="006D3320"/>
    <w:rsid w:val="006D338F"/>
    <w:rsid w:val="006D33D9"/>
    <w:rsid w:val="006D3457"/>
    <w:rsid w:val="006D34FD"/>
    <w:rsid w:val="006D3570"/>
    <w:rsid w:val="006D35E2"/>
    <w:rsid w:val="006D361C"/>
    <w:rsid w:val="006D3638"/>
    <w:rsid w:val="006D36CA"/>
    <w:rsid w:val="006D36E9"/>
    <w:rsid w:val="006D3704"/>
    <w:rsid w:val="006D379B"/>
    <w:rsid w:val="006D37A7"/>
    <w:rsid w:val="006D37AB"/>
    <w:rsid w:val="006D385A"/>
    <w:rsid w:val="006D38ED"/>
    <w:rsid w:val="006D38FD"/>
    <w:rsid w:val="006D392B"/>
    <w:rsid w:val="006D3937"/>
    <w:rsid w:val="006D39CA"/>
    <w:rsid w:val="006D3A39"/>
    <w:rsid w:val="006D3A90"/>
    <w:rsid w:val="006D3ADB"/>
    <w:rsid w:val="006D3B71"/>
    <w:rsid w:val="006D3B87"/>
    <w:rsid w:val="006D3BBF"/>
    <w:rsid w:val="006D3C78"/>
    <w:rsid w:val="006D3C8B"/>
    <w:rsid w:val="006D3CAE"/>
    <w:rsid w:val="006D3D64"/>
    <w:rsid w:val="006D3E49"/>
    <w:rsid w:val="006D3F64"/>
    <w:rsid w:val="006D3FC5"/>
    <w:rsid w:val="006D402E"/>
    <w:rsid w:val="006D4035"/>
    <w:rsid w:val="006D404A"/>
    <w:rsid w:val="006D40AA"/>
    <w:rsid w:val="006D410A"/>
    <w:rsid w:val="006D4183"/>
    <w:rsid w:val="006D41B2"/>
    <w:rsid w:val="006D41C4"/>
    <w:rsid w:val="006D4237"/>
    <w:rsid w:val="006D43BC"/>
    <w:rsid w:val="006D43CA"/>
    <w:rsid w:val="006D4404"/>
    <w:rsid w:val="006D459A"/>
    <w:rsid w:val="006D45B5"/>
    <w:rsid w:val="006D462B"/>
    <w:rsid w:val="006D465F"/>
    <w:rsid w:val="006D46E8"/>
    <w:rsid w:val="006D46FC"/>
    <w:rsid w:val="006D46FD"/>
    <w:rsid w:val="006D4706"/>
    <w:rsid w:val="006D4712"/>
    <w:rsid w:val="006D47D4"/>
    <w:rsid w:val="006D4830"/>
    <w:rsid w:val="006D4857"/>
    <w:rsid w:val="006D4882"/>
    <w:rsid w:val="006D4930"/>
    <w:rsid w:val="006D49B6"/>
    <w:rsid w:val="006D49DB"/>
    <w:rsid w:val="006D4A5F"/>
    <w:rsid w:val="006D4AC4"/>
    <w:rsid w:val="006D4B1B"/>
    <w:rsid w:val="006D4B58"/>
    <w:rsid w:val="006D4B78"/>
    <w:rsid w:val="006D4BF3"/>
    <w:rsid w:val="006D4C1B"/>
    <w:rsid w:val="006D4C1C"/>
    <w:rsid w:val="006D4CA7"/>
    <w:rsid w:val="006D4CBD"/>
    <w:rsid w:val="006D4D07"/>
    <w:rsid w:val="006D4D1C"/>
    <w:rsid w:val="006D4D84"/>
    <w:rsid w:val="006D4EEF"/>
    <w:rsid w:val="006D4F8A"/>
    <w:rsid w:val="006D5051"/>
    <w:rsid w:val="006D5078"/>
    <w:rsid w:val="006D50AE"/>
    <w:rsid w:val="006D50BA"/>
    <w:rsid w:val="006D514A"/>
    <w:rsid w:val="006D5263"/>
    <w:rsid w:val="006D5294"/>
    <w:rsid w:val="006D538F"/>
    <w:rsid w:val="006D5400"/>
    <w:rsid w:val="006D5428"/>
    <w:rsid w:val="006D551A"/>
    <w:rsid w:val="006D556D"/>
    <w:rsid w:val="006D55EA"/>
    <w:rsid w:val="006D564C"/>
    <w:rsid w:val="006D565A"/>
    <w:rsid w:val="006D5661"/>
    <w:rsid w:val="006D568F"/>
    <w:rsid w:val="006D574A"/>
    <w:rsid w:val="006D57D1"/>
    <w:rsid w:val="006D5813"/>
    <w:rsid w:val="006D58D1"/>
    <w:rsid w:val="006D58E3"/>
    <w:rsid w:val="006D58F5"/>
    <w:rsid w:val="006D59EF"/>
    <w:rsid w:val="006D5B14"/>
    <w:rsid w:val="006D5B21"/>
    <w:rsid w:val="006D5B6D"/>
    <w:rsid w:val="006D5BA4"/>
    <w:rsid w:val="006D5BCF"/>
    <w:rsid w:val="006D5C41"/>
    <w:rsid w:val="006D5CA0"/>
    <w:rsid w:val="006D5CD8"/>
    <w:rsid w:val="006D5D30"/>
    <w:rsid w:val="006D5E42"/>
    <w:rsid w:val="006D5E86"/>
    <w:rsid w:val="006D5E9E"/>
    <w:rsid w:val="006D5EAF"/>
    <w:rsid w:val="006D5EDE"/>
    <w:rsid w:val="006D5F3F"/>
    <w:rsid w:val="006D60FD"/>
    <w:rsid w:val="006D6106"/>
    <w:rsid w:val="006D6107"/>
    <w:rsid w:val="006D6159"/>
    <w:rsid w:val="006D6168"/>
    <w:rsid w:val="006D6197"/>
    <w:rsid w:val="006D6286"/>
    <w:rsid w:val="006D63A6"/>
    <w:rsid w:val="006D63E3"/>
    <w:rsid w:val="006D6565"/>
    <w:rsid w:val="006D6593"/>
    <w:rsid w:val="006D65BC"/>
    <w:rsid w:val="006D65C6"/>
    <w:rsid w:val="006D6730"/>
    <w:rsid w:val="006D6750"/>
    <w:rsid w:val="006D679B"/>
    <w:rsid w:val="006D67AF"/>
    <w:rsid w:val="006D67CE"/>
    <w:rsid w:val="006D685F"/>
    <w:rsid w:val="006D6909"/>
    <w:rsid w:val="006D696F"/>
    <w:rsid w:val="006D6B09"/>
    <w:rsid w:val="006D6B9C"/>
    <w:rsid w:val="006D6BDC"/>
    <w:rsid w:val="006D6C13"/>
    <w:rsid w:val="006D6C30"/>
    <w:rsid w:val="006D6C60"/>
    <w:rsid w:val="006D6CAD"/>
    <w:rsid w:val="006D6CB0"/>
    <w:rsid w:val="006D6D3C"/>
    <w:rsid w:val="006D6E17"/>
    <w:rsid w:val="006D6E1A"/>
    <w:rsid w:val="006D6EA4"/>
    <w:rsid w:val="006D6F12"/>
    <w:rsid w:val="006D6F32"/>
    <w:rsid w:val="006D7022"/>
    <w:rsid w:val="006D70B0"/>
    <w:rsid w:val="006D7141"/>
    <w:rsid w:val="006D7173"/>
    <w:rsid w:val="006D71E3"/>
    <w:rsid w:val="006D72B5"/>
    <w:rsid w:val="006D72EE"/>
    <w:rsid w:val="006D72F6"/>
    <w:rsid w:val="006D7358"/>
    <w:rsid w:val="006D73C4"/>
    <w:rsid w:val="006D7467"/>
    <w:rsid w:val="006D7484"/>
    <w:rsid w:val="006D74FA"/>
    <w:rsid w:val="006D7528"/>
    <w:rsid w:val="006D7531"/>
    <w:rsid w:val="006D75A8"/>
    <w:rsid w:val="006D75BE"/>
    <w:rsid w:val="006D75F2"/>
    <w:rsid w:val="006D764E"/>
    <w:rsid w:val="006D76FE"/>
    <w:rsid w:val="006D7712"/>
    <w:rsid w:val="006D777D"/>
    <w:rsid w:val="006D77E3"/>
    <w:rsid w:val="006D7819"/>
    <w:rsid w:val="006D78AD"/>
    <w:rsid w:val="006D796E"/>
    <w:rsid w:val="006D7A3A"/>
    <w:rsid w:val="006D7AEA"/>
    <w:rsid w:val="006D7B78"/>
    <w:rsid w:val="006D7B81"/>
    <w:rsid w:val="006D7B84"/>
    <w:rsid w:val="006D7BB5"/>
    <w:rsid w:val="006D7C80"/>
    <w:rsid w:val="006D7D2A"/>
    <w:rsid w:val="006D7D63"/>
    <w:rsid w:val="006D7DAD"/>
    <w:rsid w:val="006D7F10"/>
    <w:rsid w:val="006D7F1B"/>
    <w:rsid w:val="006D7F2A"/>
    <w:rsid w:val="006D7F8E"/>
    <w:rsid w:val="006D7FA6"/>
    <w:rsid w:val="006E013E"/>
    <w:rsid w:val="006E0164"/>
    <w:rsid w:val="006E0167"/>
    <w:rsid w:val="006E01FD"/>
    <w:rsid w:val="006E0252"/>
    <w:rsid w:val="006E0320"/>
    <w:rsid w:val="006E03D8"/>
    <w:rsid w:val="006E03F9"/>
    <w:rsid w:val="006E04B5"/>
    <w:rsid w:val="006E04D8"/>
    <w:rsid w:val="006E052C"/>
    <w:rsid w:val="006E05DF"/>
    <w:rsid w:val="006E0690"/>
    <w:rsid w:val="006E06DB"/>
    <w:rsid w:val="006E072E"/>
    <w:rsid w:val="006E073F"/>
    <w:rsid w:val="006E0786"/>
    <w:rsid w:val="006E07DE"/>
    <w:rsid w:val="006E0937"/>
    <w:rsid w:val="006E094F"/>
    <w:rsid w:val="006E09DC"/>
    <w:rsid w:val="006E0A3C"/>
    <w:rsid w:val="006E0A3F"/>
    <w:rsid w:val="006E0AA0"/>
    <w:rsid w:val="006E0AC7"/>
    <w:rsid w:val="006E0B0F"/>
    <w:rsid w:val="006E0B43"/>
    <w:rsid w:val="006E0C53"/>
    <w:rsid w:val="006E0D14"/>
    <w:rsid w:val="006E0D55"/>
    <w:rsid w:val="006E0DF5"/>
    <w:rsid w:val="006E0E1D"/>
    <w:rsid w:val="006E0E44"/>
    <w:rsid w:val="006E0E79"/>
    <w:rsid w:val="006E0E99"/>
    <w:rsid w:val="006E0F18"/>
    <w:rsid w:val="006E0FB0"/>
    <w:rsid w:val="006E1078"/>
    <w:rsid w:val="006E111A"/>
    <w:rsid w:val="006E1179"/>
    <w:rsid w:val="006E121A"/>
    <w:rsid w:val="006E129B"/>
    <w:rsid w:val="006E13D8"/>
    <w:rsid w:val="006E1463"/>
    <w:rsid w:val="006E1476"/>
    <w:rsid w:val="006E1504"/>
    <w:rsid w:val="006E1529"/>
    <w:rsid w:val="006E159A"/>
    <w:rsid w:val="006E1684"/>
    <w:rsid w:val="006E16BC"/>
    <w:rsid w:val="006E1718"/>
    <w:rsid w:val="006E1766"/>
    <w:rsid w:val="006E1800"/>
    <w:rsid w:val="006E1803"/>
    <w:rsid w:val="006E1868"/>
    <w:rsid w:val="006E18BC"/>
    <w:rsid w:val="006E18E3"/>
    <w:rsid w:val="006E18F9"/>
    <w:rsid w:val="006E1903"/>
    <w:rsid w:val="006E1A96"/>
    <w:rsid w:val="006E1AC3"/>
    <w:rsid w:val="006E1B20"/>
    <w:rsid w:val="006E1B29"/>
    <w:rsid w:val="006E1B92"/>
    <w:rsid w:val="006E1CDC"/>
    <w:rsid w:val="006E1CE4"/>
    <w:rsid w:val="006E1E25"/>
    <w:rsid w:val="006E1EA6"/>
    <w:rsid w:val="006E1EA9"/>
    <w:rsid w:val="006E1ED1"/>
    <w:rsid w:val="006E1F3F"/>
    <w:rsid w:val="006E1FA1"/>
    <w:rsid w:val="006E1FE2"/>
    <w:rsid w:val="006E2082"/>
    <w:rsid w:val="006E2125"/>
    <w:rsid w:val="006E2256"/>
    <w:rsid w:val="006E230B"/>
    <w:rsid w:val="006E2314"/>
    <w:rsid w:val="006E234F"/>
    <w:rsid w:val="006E2376"/>
    <w:rsid w:val="006E238B"/>
    <w:rsid w:val="006E238D"/>
    <w:rsid w:val="006E24A9"/>
    <w:rsid w:val="006E24E2"/>
    <w:rsid w:val="006E24EA"/>
    <w:rsid w:val="006E2555"/>
    <w:rsid w:val="006E2558"/>
    <w:rsid w:val="006E260E"/>
    <w:rsid w:val="006E2772"/>
    <w:rsid w:val="006E278C"/>
    <w:rsid w:val="006E286F"/>
    <w:rsid w:val="006E28E1"/>
    <w:rsid w:val="006E291E"/>
    <w:rsid w:val="006E2974"/>
    <w:rsid w:val="006E29B8"/>
    <w:rsid w:val="006E2A93"/>
    <w:rsid w:val="006E2AC8"/>
    <w:rsid w:val="006E2B52"/>
    <w:rsid w:val="006E2B6B"/>
    <w:rsid w:val="006E2C25"/>
    <w:rsid w:val="006E2CBA"/>
    <w:rsid w:val="006E2CC8"/>
    <w:rsid w:val="006E2CCF"/>
    <w:rsid w:val="006E2D59"/>
    <w:rsid w:val="006E2D78"/>
    <w:rsid w:val="006E2DC2"/>
    <w:rsid w:val="006E2E14"/>
    <w:rsid w:val="006E2E40"/>
    <w:rsid w:val="006E2FFC"/>
    <w:rsid w:val="006E2FFE"/>
    <w:rsid w:val="006E30D5"/>
    <w:rsid w:val="006E30E5"/>
    <w:rsid w:val="006E315C"/>
    <w:rsid w:val="006E31E2"/>
    <w:rsid w:val="006E3249"/>
    <w:rsid w:val="006E335E"/>
    <w:rsid w:val="006E3433"/>
    <w:rsid w:val="006E349A"/>
    <w:rsid w:val="006E35C1"/>
    <w:rsid w:val="006E3678"/>
    <w:rsid w:val="006E36C9"/>
    <w:rsid w:val="006E36CD"/>
    <w:rsid w:val="006E36E6"/>
    <w:rsid w:val="006E3732"/>
    <w:rsid w:val="006E3782"/>
    <w:rsid w:val="006E37C7"/>
    <w:rsid w:val="006E3939"/>
    <w:rsid w:val="006E3A4E"/>
    <w:rsid w:val="006E3A6E"/>
    <w:rsid w:val="006E3B4D"/>
    <w:rsid w:val="006E3B80"/>
    <w:rsid w:val="006E3B98"/>
    <w:rsid w:val="006E3BCD"/>
    <w:rsid w:val="006E3BD1"/>
    <w:rsid w:val="006E3BE0"/>
    <w:rsid w:val="006E3C0C"/>
    <w:rsid w:val="006E3D6E"/>
    <w:rsid w:val="006E3DCE"/>
    <w:rsid w:val="006E3DDA"/>
    <w:rsid w:val="006E3DEE"/>
    <w:rsid w:val="006E3E00"/>
    <w:rsid w:val="006E3E0C"/>
    <w:rsid w:val="006E3E4B"/>
    <w:rsid w:val="006E3EB3"/>
    <w:rsid w:val="006E3EC0"/>
    <w:rsid w:val="006E3F0F"/>
    <w:rsid w:val="006E3FD9"/>
    <w:rsid w:val="006E4014"/>
    <w:rsid w:val="006E4068"/>
    <w:rsid w:val="006E4084"/>
    <w:rsid w:val="006E4116"/>
    <w:rsid w:val="006E413D"/>
    <w:rsid w:val="006E4171"/>
    <w:rsid w:val="006E4180"/>
    <w:rsid w:val="006E41C8"/>
    <w:rsid w:val="006E41F1"/>
    <w:rsid w:val="006E4209"/>
    <w:rsid w:val="006E421A"/>
    <w:rsid w:val="006E4260"/>
    <w:rsid w:val="006E42FD"/>
    <w:rsid w:val="006E439B"/>
    <w:rsid w:val="006E4544"/>
    <w:rsid w:val="006E457E"/>
    <w:rsid w:val="006E4586"/>
    <w:rsid w:val="006E45D2"/>
    <w:rsid w:val="006E467F"/>
    <w:rsid w:val="006E473B"/>
    <w:rsid w:val="006E4891"/>
    <w:rsid w:val="006E4937"/>
    <w:rsid w:val="006E495F"/>
    <w:rsid w:val="006E4983"/>
    <w:rsid w:val="006E4B3C"/>
    <w:rsid w:val="006E4B92"/>
    <w:rsid w:val="006E4BDF"/>
    <w:rsid w:val="006E4C40"/>
    <w:rsid w:val="006E4C7A"/>
    <w:rsid w:val="006E4C8C"/>
    <w:rsid w:val="006E4CFE"/>
    <w:rsid w:val="006E4D3F"/>
    <w:rsid w:val="006E4E05"/>
    <w:rsid w:val="006E4E39"/>
    <w:rsid w:val="006E4EC1"/>
    <w:rsid w:val="006E4F23"/>
    <w:rsid w:val="006E4F36"/>
    <w:rsid w:val="006E4F43"/>
    <w:rsid w:val="006E4F6D"/>
    <w:rsid w:val="006E4F9E"/>
    <w:rsid w:val="006E504E"/>
    <w:rsid w:val="006E5052"/>
    <w:rsid w:val="006E5149"/>
    <w:rsid w:val="006E51B3"/>
    <w:rsid w:val="006E5256"/>
    <w:rsid w:val="006E5307"/>
    <w:rsid w:val="006E53CC"/>
    <w:rsid w:val="006E5430"/>
    <w:rsid w:val="006E5481"/>
    <w:rsid w:val="006E54B5"/>
    <w:rsid w:val="006E54CA"/>
    <w:rsid w:val="006E5533"/>
    <w:rsid w:val="006E5590"/>
    <w:rsid w:val="006E559F"/>
    <w:rsid w:val="006E566E"/>
    <w:rsid w:val="006E572E"/>
    <w:rsid w:val="006E5763"/>
    <w:rsid w:val="006E57C8"/>
    <w:rsid w:val="006E5863"/>
    <w:rsid w:val="006E59C1"/>
    <w:rsid w:val="006E5A19"/>
    <w:rsid w:val="006E5A6C"/>
    <w:rsid w:val="006E5A88"/>
    <w:rsid w:val="006E5ABC"/>
    <w:rsid w:val="006E5B37"/>
    <w:rsid w:val="006E5B97"/>
    <w:rsid w:val="006E5BA9"/>
    <w:rsid w:val="006E5D2B"/>
    <w:rsid w:val="006E5E37"/>
    <w:rsid w:val="006E5E6B"/>
    <w:rsid w:val="006E5F2F"/>
    <w:rsid w:val="006E5F36"/>
    <w:rsid w:val="006E5FD7"/>
    <w:rsid w:val="006E6032"/>
    <w:rsid w:val="006E6093"/>
    <w:rsid w:val="006E61F1"/>
    <w:rsid w:val="006E6234"/>
    <w:rsid w:val="006E6289"/>
    <w:rsid w:val="006E6311"/>
    <w:rsid w:val="006E635D"/>
    <w:rsid w:val="006E63AA"/>
    <w:rsid w:val="006E63D1"/>
    <w:rsid w:val="006E6469"/>
    <w:rsid w:val="006E64B3"/>
    <w:rsid w:val="006E65CD"/>
    <w:rsid w:val="006E65FA"/>
    <w:rsid w:val="006E6650"/>
    <w:rsid w:val="006E674A"/>
    <w:rsid w:val="006E6760"/>
    <w:rsid w:val="006E679D"/>
    <w:rsid w:val="006E67A8"/>
    <w:rsid w:val="006E67F4"/>
    <w:rsid w:val="006E6871"/>
    <w:rsid w:val="006E69D1"/>
    <w:rsid w:val="006E6A1D"/>
    <w:rsid w:val="006E6A47"/>
    <w:rsid w:val="006E6A5F"/>
    <w:rsid w:val="006E6AA5"/>
    <w:rsid w:val="006E6AE1"/>
    <w:rsid w:val="006E6AFD"/>
    <w:rsid w:val="006E6B02"/>
    <w:rsid w:val="006E6B24"/>
    <w:rsid w:val="006E6BB7"/>
    <w:rsid w:val="006E6C29"/>
    <w:rsid w:val="006E6E27"/>
    <w:rsid w:val="006E6E64"/>
    <w:rsid w:val="006E6F6A"/>
    <w:rsid w:val="006E6FB3"/>
    <w:rsid w:val="006E7015"/>
    <w:rsid w:val="006E70D1"/>
    <w:rsid w:val="006E70F5"/>
    <w:rsid w:val="006E7130"/>
    <w:rsid w:val="006E714F"/>
    <w:rsid w:val="006E7194"/>
    <w:rsid w:val="006E71A8"/>
    <w:rsid w:val="006E736E"/>
    <w:rsid w:val="006E7407"/>
    <w:rsid w:val="006E741F"/>
    <w:rsid w:val="006E7421"/>
    <w:rsid w:val="006E74C6"/>
    <w:rsid w:val="006E74F6"/>
    <w:rsid w:val="006E7556"/>
    <w:rsid w:val="006E7563"/>
    <w:rsid w:val="006E75E3"/>
    <w:rsid w:val="006E75E7"/>
    <w:rsid w:val="006E762E"/>
    <w:rsid w:val="006E7665"/>
    <w:rsid w:val="006E76A0"/>
    <w:rsid w:val="006E76DF"/>
    <w:rsid w:val="006E772A"/>
    <w:rsid w:val="006E7745"/>
    <w:rsid w:val="006E77A5"/>
    <w:rsid w:val="006E7874"/>
    <w:rsid w:val="006E7876"/>
    <w:rsid w:val="006E78F6"/>
    <w:rsid w:val="006E7A53"/>
    <w:rsid w:val="006E7B10"/>
    <w:rsid w:val="006E7B44"/>
    <w:rsid w:val="006E7B5D"/>
    <w:rsid w:val="006E7B62"/>
    <w:rsid w:val="006E7BC4"/>
    <w:rsid w:val="006E7C0D"/>
    <w:rsid w:val="006E7C3B"/>
    <w:rsid w:val="006E7CBC"/>
    <w:rsid w:val="006E7CBD"/>
    <w:rsid w:val="006E7D36"/>
    <w:rsid w:val="006E7D3D"/>
    <w:rsid w:val="006E7D76"/>
    <w:rsid w:val="006E7DA7"/>
    <w:rsid w:val="006E7E4E"/>
    <w:rsid w:val="006E7FC1"/>
    <w:rsid w:val="006F0052"/>
    <w:rsid w:val="006F0058"/>
    <w:rsid w:val="006F0064"/>
    <w:rsid w:val="006F00AC"/>
    <w:rsid w:val="006F0177"/>
    <w:rsid w:val="006F01C8"/>
    <w:rsid w:val="006F01E9"/>
    <w:rsid w:val="006F0238"/>
    <w:rsid w:val="006F0322"/>
    <w:rsid w:val="006F0423"/>
    <w:rsid w:val="006F04D0"/>
    <w:rsid w:val="006F0529"/>
    <w:rsid w:val="006F05D7"/>
    <w:rsid w:val="006F07F0"/>
    <w:rsid w:val="006F08D5"/>
    <w:rsid w:val="006F0918"/>
    <w:rsid w:val="006F095C"/>
    <w:rsid w:val="006F0963"/>
    <w:rsid w:val="006F0A61"/>
    <w:rsid w:val="006F0ACA"/>
    <w:rsid w:val="006F0ACE"/>
    <w:rsid w:val="006F0AEE"/>
    <w:rsid w:val="006F0B2D"/>
    <w:rsid w:val="006F0B4E"/>
    <w:rsid w:val="006F0BA1"/>
    <w:rsid w:val="006F0BF9"/>
    <w:rsid w:val="006F0C83"/>
    <w:rsid w:val="006F0C85"/>
    <w:rsid w:val="006F0D20"/>
    <w:rsid w:val="006F0DF2"/>
    <w:rsid w:val="006F0E12"/>
    <w:rsid w:val="006F0F63"/>
    <w:rsid w:val="006F10FE"/>
    <w:rsid w:val="006F11CD"/>
    <w:rsid w:val="006F11DE"/>
    <w:rsid w:val="006F11E1"/>
    <w:rsid w:val="006F1301"/>
    <w:rsid w:val="006F138E"/>
    <w:rsid w:val="006F139A"/>
    <w:rsid w:val="006F13AA"/>
    <w:rsid w:val="006F1485"/>
    <w:rsid w:val="006F150A"/>
    <w:rsid w:val="006F1567"/>
    <w:rsid w:val="006F1589"/>
    <w:rsid w:val="006F15F5"/>
    <w:rsid w:val="006F1608"/>
    <w:rsid w:val="006F1672"/>
    <w:rsid w:val="006F1700"/>
    <w:rsid w:val="006F1718"/>
    <w:rsid w:val="006F1783"/>
    <w:rsid w:val="006F18B2"/>
    <w:rsid w:val="006F18BF"/>
    <w:rsid w:val="006F18EB"/>
    <w:rsid w:val="006F1923"/>
    <w:rsid w:val="006F1938"/>
    <w:rsid w:val="006F19D7"/>
    <w:rsid w:val="006F1A0D"/>
    <w:rsid w:val="006F1AB6"/>
    <w:rsid w:val="006F1AE2"/>
    <w:rsid w:val="006F1B0F"/>
    <w:rsid w:val="006F1B7A"/>
    <w:rsid w:val="006F1B8A"/>
    <w:rsid w:val="006F1BAB"/>
    <w:rsid w:val="006F1BC9"/>
    <w:rsid w:val="006F1C19"/>
    <w:rsid w:val="006F1C34"/>
    <w:rsid w:val="006F1C64"/>
    <w:rsid w:val="006F1C6E"/>
    <w:rsid w:val="006F1CB3"/>
    <w:rsid w:val="006F1CF6"/>
    <w:rsid w:val="006F1D23"/>
    <w:rsid w:val="006F1DF6"/>
    <w:rsid w:val="006F1F0A"/>
    <w:rsid w:val="006F1F52"/>
    <w:rsid w:val="006F1F65"/>
    <w:rsid w:val="006F1F70"/>
    <w:rsid w:val="006F1F89"/>
    <w:rsid w:val="006F1F8E"/>
    <w:rsid w:val="006F2091"/>
    <w:rsid w:val="006F20A9"/>
    <w:rsid w:val="006F20D2"/>
    <w:rsid w:val="006F2106"/>
    <w:rsid w:val="006F21C5"/>
    <w:rsid w:val="006F2265"/>
    <w:rsid w:val="006F2290"/>
    <w:rsid w:val="006F22C7"/>
    <w:rsid w:val="006F231D"/>
    <w:rsid w:val="006F23B0"/>
    <w:rsid w:val="006F2410"/>
    <w:rsid w:val="006F2431"/>
    <w:rsid w:val="006F24C3"/>
    <w:rsid w:val="006F2502"/>
    <w:rsid w:val="006F25C5"/>
    <w:rsid w:val="006F25F0"/>
    <w:rsid w:val="006F261C"/>
    <w:rsid w:val="006F2633"/>
    <w:rsid w:val="006F266F"/>
    <w:rsid w:val="006F26D3"/>
    <w:rsid w:val="006F26D5"/>
    <w:rsid w:val="006F275A"/>
    <w:rsid w:val="006F27F2"/>
    <w:rsid w:val="006F2832"/>
    <w:rsid w:val="006F2887"/>
    <w:rsid w:val="006F288F"/>
    <w:rsid w:val="006F28B8"/>
    <w:rsid w:val="006F28C6"/>
    <w:rsid w:val="006F28EB"/>
    <w:rsid w:val="006F29E5"/>
    <w:rsid w:val="006F2A02"/>
    <w:rsid w:val="006F2B4A"/>
    <w:rsid w:val="006F2C00"/>
    <w:rsid w:val="006F2D39"/>
    <w:rsid w:val="006F2D4F"/>
    <w:rsid w:val="006F2D87"/>
    <w:rsid w:val="006F2DAF"/>
    <w:rsid w:val="006F2E26"/>
    <w:rsid w:val="006F2E32"/>
    <w:rsid w:val="006F2E40"/>
    <w:rsid w:val="006F2EE5"/>
    <w:rsid w:val="006F2F4E"/>
    <w:rsid w:val="006F2FD4"/>
    <w:rsid w:val="006F2FF3"/>
    <w:rsid w:val="006F300B"/>
    <w:rsid w:val="006F3058"/>
    <w:rsid w:val="006F30C7"/>
    <w:rsid w:val="006F3101"/>
    <w:rsid w:val="006F3142"/>
    <w:rsid w:val="006F3195"/>
    <w:rsid w:val="006F31A1"/>
    <w:rsid w:val="006F3250"/>
    <w:rsid w:val="006F330C"/>
    <w:rsid w:val="006F336C"/>
    <w:rsid w:val="006F3384"/>
    <w:rsid w:val="006F33BD"/>
    <w:rsid w:val="006F3408"/>
    <w:rsid w:val="006F347D"/>
    <w:rsid w:val="006F3496"/>
    <w:rsid w:val="006F34BD"/>
    <w:rsid w:val="006F3578"/>
    <w:rsid w:val="006F359F"/>
    <w:rsid w:val="006F3628"/>
    <w:rsid w:val="006F3683"/>
    <w:rsid w:val="006F36A3"/>
    <w:rsid w:val="006F36DD"/>
    <w:rsid w:val="006F3700"/>
    <w:rsid w:val="006F379C"/>
    <w:rsid w:val="006F38AA"/>
    <w:rsid w:val="006F38D4"/>
    <w:rsid w:val="006F38E1"/>
    <w:rsid w:val="006F39EA"/>
    <w:rsid w:val="006F3A02"/>
    <w:rsid w:val="006F3A4E"/>
    <w:rsid w:val="006F3A69"/>
    <w:rsid w:val="006F3A90"/>
    <w:rsid w:val="006F3B15"/>
    <w:rsid w:val="006F3BD9"/>
    <w:rsid w:val="006F3BE4"/>
    <w:rsid w:val="006F3C3C"/>
    <w:rsid w:val="006F3D0C"/>
    <w:rsid w:val="006F3E47"/>
    <w:rsid w:val="006F3E99"/>
    <w:rsid w:val="006F3EC9"/>
    <w:rsid w:val="006F3EDF"/>
    <w:rsid w:val="006F3F8D"/>
    <w:rsid w:val="006F4083"/>
    <w:rsid w:val="006F4096"/>
    <w:rsid w:val="006F40AE"/>
    <w:rsid w:val="006F40F0"/>
    <w:rsid w:val="006F4162"/>
    <w:rsid w:val="006F4166"/>
    <w:rsid w:val="006F41C1"/>
    <w:rsid w:val="006F41CD"/>
    <w:rsid w:val="006F41D6"/>
    <w:rsid w:val="006F4297"/>
    <w:rsid w:val="006F42B9"/>
    <w:rsid w:val="006F42C4"/>
    <w:rsid w:val="006F4308"/>
    <w:rsid w:val="006F4325"/>
    <w:rsid w:val="006F432C"/>
    <w:rsid w:val="006F433D"/>
    <w:rsid w:val="006F4349"/>
    <w:rsid w:val="006F435B"/>
    <w:rsid w:val="006F43DA"/>
    <w:rsid w:val="006F440D"/>
    <w:rsid w:val="006F4475"/>
    <w:rsid w:val="006F44BA"/>
    <w:rsid w:val="006F44E6"/>
    <w:rsid w:val="006F450D"/>
    <w:rsid w:val="006F4588"/>
    <w:rsid w:val="006F4605"/>
    <w:rsid w:val="006F4621"/>
    <w:rsid w:val="006F467A"/>
    <w:rsid w:val="006F46D1"/>
    <w:rsid w:val="006F473C"/>
    <w:rsid w:val="006F475A"/>
    <w:rsid w:val="006F4767"/>
    <w:rsid w:val="006F478C"/>
    <w:rsid w:val="006F48DE"/>
    <w:rsid w:val="006F4911"/>
    <w:rsid w:val="006F499F"/>
    <w:rsid w:val="006F4A21"/>
    <w:rsid w:val="006F4B89"/>
    <w:rsid w:val="006F4C00"/>
    <w:rsid w:val="006F4C34"/>
    <w:rsid w:val="006F4C51"/>
    <w:rsid w:val="006F4C94"/>
    <w:rsid w:val="006F4DA3"/>
    <w:rsid w:val="006F4DE9"/>
    <w:rsid w:val="006F4DFF"/>
    <w:rsid w:val="006F4E3C"/>
    <w:rsid w:val="006F4E6A"/>
    <w:rsid w:val="006F4E7F"/>
    <w:rsid w:val="006F4EDD"/>
    <w:rsid w:val="006F4F28"/>
    <w:rsid w:val="006F4F5A"/>
    <w:rsid w:val="006F4FD5"/>
    <w:rsid w:val="006F502D"/>
    <w:rsid w:val="006F5036"/>
    <w:rsid w:val="006F50CD"/>
    <w:rsid w:val="006F511A"/>
    <w:rsid w:val="006F5194"/>
    <w:rsid w:val="006F5231"/>
    <w:rsid w:val="006F538F"/>
    <w:rsid w:val="006F5393"/>
    <w:rsid w:val="006F53DD"/>
    <w:rsid w:val="006F5499"/>
    <w:rsid w:val="006F54C3"/>
    <w:rsid w:val="006F54C6"/>
    <w:rsid w:val="006F54DE"/>
    <w:rsid w:val="006F5512"/>
    <w:rsid w:val="006F55DE"/>
    <w:rsid w:val="006F55FC"/>
    <w:rsid w:val="006F560C"/>
    <w:rsid w:val="006F563A"/>
    <w:rsid w:val="006F573C"/>
    <w:rsid w:val="006F5742"/>
    <w:rsid w:val="006F57CC"/>
    <w:rsid w:val="006F5803"/>
    <w:rsid w:val="006F5843"/>
    <w:rsid w:val="006F58D0"/>
    <w:rsid w:val="006F597A"/>
    <w:rsid w:val="006F5AEF"/>
    <w:rsid w:val="006F5BDF"/>
    <w:rsid w:val="006F5C04"/>
    <w:rsid w:val="006F5C30"/>
    <w:rsid w:val="006F5C3E"/>
    <w:rsid w:val="006F5C51"/>
    <w:rsid w:val="006F5C6B"/>
    <w:rsid w:val="006F5D1B"/>
    <w:rsid w:val="006F5DD2"/>
    <w:rsid w:val="006F5E0F"/>
    <w:rsid w:val="006F5E3F"/>
    <w:rsid w:val="006F5E52"/>
    <w:rsid w:val="006F5E68"/>
    <w:rsid w:val="006F5E78"/>
    <w:rsid w:val="006F5E89"/>
    <w:rsid w:val="006F5F0C"/>
    <w:rsid w:val="006F5FE3"/>
    <w:rsid w:val="006F6082"/>
    <w:rsid w:val="006F60A7"/>
    <w:rsid w:val="006F60D1"/>
    <w:rsid w:val="006F6217"/>
    <w:rsid w:val="006F62BC"/>
    <w:rsid w:val="006F6368"/>
    <w:rsid w:val="006F6455"/>
    <w:rsid w:val="006F64F7"/>
    <w:rsid w:val="006F6504"/>
    <w:rsid w:val="006F659D"/>
    <w:rsid w:val="006F65CC"/>
    <w:rsid w:val="006F6602"/>
    <w:rsid w:val="006F6650"/>
    <w:rsid w:val="006F6866"/>
    <w:rsid w:val="006F6A26"/>
    <w:rsid w:val="006F6A47"/>
    <w:rsid w:val="006F6A54"/>
    <w:rsid w:val="006F6A98"/>
    <w:rsid w:val="006F6B77"/>
    <w:rsid w:val="006F6B96"/>
    <w:rsid w:val="006F6C43"/>
    <w:rsid w:val="006F6CB0"/>
    <w:rsid w:val="006F6D59"/>
    <w:rsid w:val="006F6E60"/>
    <w:rsid w:val="006F6EA2"/>
    <w:rsid w:val="006F7039"/>
    <w:rsid w:val="006F7049"/>
    <w:rsid w:val="006F70AC"/>
    <w:rsid w:val="006F70E4"/>
    <w:rsid w:val="006F716C"/>
    <w:rsid w:val="006F7182"/>
    <w:rsid w:val="006F7198"/>
    <w:rsid w:val="006F719B"/>
    <w:rsid w:val="006F71FE"/>
    <w:rsid w:val="006F721C"/>
    <w:rsid w:val="006F72EB"/>
    <w:rsid w:val="006F73A1"/>
    <w:rsid w:val="006F73D5"/>
    <w:rsid w:val="006F73E9"/>
    <w:rsid w:val="006F7533"/>
    <w:rsid w:val="006F759D"/>
    <w:rsid w:val="006F75EF"/>
    <w:rsid w:val="006F7674"/>
    <w:rsid w:val="006F76B0"/>
    <w:rsid w:val="006F7709"/>
    <w:rsid w:val="006F7715"/>
    <w:rsid w:val="006F77DF"/>
    <w:rsid w:val="006F782D"/>
    <w:rsid w:val="006F78C9"/>
    <w:rsid w:val="006F78D4"/>
    <w:rsid w:val="006F7924"/>
    <w:rsid w:val="006F7996"/>
    <w:rsid w:val="006F7A34"/>
    <w:rsid w:val="006F7A54"/>
    <w:rsid w:val="006F7B4E"/>
    <w:rsid w:val="006F7BA3"/>
    <w:rsid w:val="006F7BF6"/>
    <w:rsid w:val="006F7C86"/>
    <w:rsid w:val="006F7CBB"/>
    <w:rsid w:val="006F7CF4"/>
    <w:rsid w:val="006F7D70"/>
    <w:rsid w:val="006F7DBC"/>
    <w:rsid w:val="006F7E53"/>
    <w:rsid w:val="006F7E7D"/>
    <w:rsid w:val="006F7EA6"/>
    <w:rsid w:val="006F7EB4"/>
    <w:rsid w:val="006F7F2C"/>
    <w:rsid w:val="006F7F69"/>
    <w:rsid w:val="006F7F9E"/>
    <w:rsid w:val="006F7FA5"/>
    <w:rsid w:val="006F7FF7"/>
    <w:rsid w:val="00700039"/>
    <w:rsid w:val="0070014D"/>
    <w:rsid w:val="00700198"/>
    <w:rsid w:val="007001C2"/>
    <w:rsid w:val="00700326"/>
    <w:rsid w:val="00700444"/>
    <w:rsid w:val="007004D3"/>
    <w:rsid w:val="00700588"/>
    <w:rsid w:val="0070058E"/>
    <w:rsid w:val="0070058F"/>
    <w:rsid w:val="007005CF"/>
    <w:rsid w:val="00700669"/>
    <w:rsid w:val="007006BA"/>
    <w:rsid w:val="007006EE"/>
    <w:rsid w:val="0070071A"/>
    <w:rsid w:val="0070078F"/>
    <w:rsid w:val="007007CE"/>
    <w:rsid w:val="00700838"/>
    <w:rsid w:val="00700973"/>
    <w:rsid w:val="0070097B"/>
    <w:rsid w:val="007009C6"/>
    <w:rsid w:val="007009ED"/>
    <w:rsid w:val="00700A06"/>
    <w:rsid w:val="00700A29"/>
    <w:rsid w:val="00700A56"/>
    <w:rsid w:val="00700ABE"/>
    <w:rsid w:val="00700BB1"/>
    <w:rsid w:val="00700C35"/>
    <w:rsid w:val="00700D0F"/>
    <w:rsid w:val="00700D57"/>
    <w:rsid w:val="00700DF6"/>
    <w:rsid w:val="00700E13"/>
    <w:rsid w:val="00700E30"/>
    <w:rsid w:val="00700E8C"/>
    <w:rsid w:val="00700E8D"/>
    <w:rsid w:val="00700EE0"/>
    <w:rsid w:val="00700F3D"/>
    <w:rsid w:val="00701018"/>
    <w:rsid w:val="0070105C"/>
    <w:rsid w:val="007010F9"/>
    <w:rsid w:val="00701190"/>
    <w:rsid w:val="007012D3"/>
    <w:rsid w:val="007012F4"/>
    <w:rsid w:val="00701329"/>
    <w:rsid w:val="007013ED"/>
    <w:rsid w:val="007013FD"/>
    <w:rsid w:val="00701409"/>
    <w:rsid w:val="00701461"/>
    <w:rsid w:val="007014A0"/>
    <w:rsid w:val="0070151B"/>
    <w:rsid w:val="00701647"/>
    <w:rsid w:val="00701903"/>
    <w:rsid w:val="00701915"/>
    <w:rsid w:val="00701997"/>
    <w:rsid w:val="007019DB"/>
    <w:rsid w:val="00701A63"/>
    <w:rsid w:val="00701B3E"/>
    <w:rsid w:val="00701B4E"/>
    <w:rsid w:val="00701C3B"/>
    <w:rsid w:val="00701C8A"/>
    <w:rsid w:val="00701E7E"/>
    <w:rsid w:val="00701E8C"/>
    <w:rsid w:val="00701E96"/>
    <w:rsid w:val="00701EB7"/>
    <w:rsid w:val="00701FC6"/>
    <w:rsid w:val="00701FD4"/>
    <w:rsid w:val="007020CE"/>
    <w:rsid w:val="00702108"/>
    <w:rsid w:val="00702168"/>
    <w:rsid w:val="0070218F"/>
    <w:rsid w:val="007021D8"/>
    <w:rsid w:val="00702297"/>
    <w:rsid w:val="00702305"/>
    <w:rsid w:val="00702311"/>
    <w:rsid w:val="00702399"/>
    <w:rsid w:val="00702450"/>
    <w:rsid w:val="00702451"/>
    <w:rsid w:val="00702466"/>
    <w:rsid w:val="007024E3"/>
    <w:rsid w:val="007024F8"/>
    <w:rsid w:val="0070252E"/>
    <w:rsid w:val="00702562"/>
    <w:rsid w:val="007025B6"/>
    <w:rsid w:val="007025D8"/>
    <w:rsid w:val="007025FF"/>
    <w:rsid w:val="00702638"/>
    <w:rsid w:val="007026C6"/>
    <w:rsid w:val="007026EA"/>
    <w:rsid w:val="00702702"/>
    <w:rsid w:val="007027BD"/>
    <w:rsid w:val="00702894"/>
    <w:rsid w:val="0070289F"/>
    <w:rsid w:val="007029A5"/>
    <w:rsid w:val="00702A4C"/>
    <w:rsid w:val="00702A50"/>
    <w:rsid w:val="00702A5B"/>
    <w:rsid w:val="00702A9B"/>
    <w:rsid w:val="00702B1D"/>
    <w:rsid w:val="00702B54"/>
    <w:rsid w:val="00702B77"/>
    <w:rsid w:val="00702BB2"/>
    <w:rsid w:val="00702C2F"/>
    <w:rsid w:val="00702C3D"/>
    <w:rsid w:val="00702CA0"/>
    <w:rsid w:val="00702D37"/>
    <w:rsid w:val="00702D68"/>
    <w:rsid w:val="00702EA9"/>
    <w:rsid w:val="00702FAA"/>
    <w:rsid w:val="00702FCC"/>
    <w:rsid w:val="00702FF4"/>
    <w:rsid w:val="00703010"/>
    <w:rsid w:val="00703097"/>
    <w:rsid w:val="00703212"/>
    <w:rsid w:val="00703213"/>
    <w:rsid w:val="00703251"/>
    <w:rsid w:val="00703268"/>
    <w:rsid w:val="00703376"/>
    <w:rsid w:val="00703399"/>
    <w:rsid w:val="007033A6"/>
    <w:rsid w:val="007033AF"/>
    <w:rsid w:val="007033D8"/>
    <w:rsid w:val="007033F3"/>
    <w:rsid w:val="0070346A"/>
    <w:rsid w:val="0070358B"/>
    <w:rsid w:val="007035C3"/>
    <w:rsid w:val="007035ED"/>
    <w:rsid w:val="0070361B"/>
    <w:rsid w:val="007036BD"/>
    <w:rsid w:val="007036E7"/>
    <w:rsid w:val="0070374E"/>
    <w:rsid w:val="007037A8"/>
    <w:rsid w:val="007037DA"/>
    <w:rsid w:val="00703955"/>
    <w:rsid w:val="0070396A"/>
    <w:rsid w:val="00703975"/>
    <w:rsid w:val="007039A9"/>
    <w:rsid w:val="007039B0"/>
    <w:rsid w:val="007039FC"/>
    <w:rsid w:val="00703A0E"/>
    <w:rsid w:val="00703A13"/>
    <w:rsid w:val="00703A8D"/>
    <w:rsid w:val="00703BCE"/>
    <w:rsid w:val="00703BE5"/>
    <w:rsid w:val="00703C12"/>
    <w:rsid w:val="00703C67"/>
    <w:rsid w:val="00703D33"/>
    <w:rsid w:val="00703D6A"/>
    <w:rsid w:val="00703D8B"/>
    <w:rsid w:val="00703E60"/>
    <w:rsid w:val="00703ECA"/>
    <w:rsid w:val="00703EE0"/>
    <w:rsid w:val="00703FC0"/>
    <w:rsid w:val="0070404C"/>
    <w:rsid w:val="0070409C"/>
    <w:rsid w:val="007040E3"/>
    <w:rsid w:val="00704148"/>
    <w:rsid w:val="0070414B"/>
    <w:rsid w:val="00704157"/>
    <w:rsid w:val="00704269"/>
    <w:rsid w:val="0070429E"/>
    <w:rsid w:val="007042BD"/>
    <w:rsid w:val="00704363"/>
    <w:rsid w:val="00704421"/>
    <w:rsid w:val="007044F2"/>
    <w:rsid w:val="007044F8"/>
    <w:rsid w:val="0070468F"/>
    <w:rsid w:val="007046D4"/>
    <w:rsid w:val="007046DE"/>
    <w:rsid w:val="00704733"/>
    <w:rsid w:val="00704736"/>
    <w:rsid w:val="00704749"/>
    <w:rsid w:val="0070474A"/>
    <w:rsid w:val="0070474E"/>
    <w:rsid w:val="0070478D"/>
    <w:rsid w:val="007047B4"/>
    <w:rsid w:val="007047CD"/>
    <w:rsid w:val="00704855"/>
    <w:rsid w:val="0070485A"/>
    <w:rsid w:val="007048D1"/>
    <w:rsid w:val="00704A1A"/>
    <w:rsid w:val="00704A4B"/>
    <w:rsid w:val="00704B3E"/>
    <w:rsid w:val="00704BAB"/>
    <w:rsid w:val="00704BB8"/>
    <w:rsid w:val="00704C04"/>
    <w:rsid w:val="00704C63"/>
    <w:rsid w:val="00704CB0"/>
    <w:rsid w:val="00704D2A"/>
    <w:rsid w:val="00704D4A"/>
    <w:rsid w:val="00704D8A"/>
    <w:rsid w:val="00704DA2"/>
    <w:rsid w:val="00704E8A"/>
    <w:rsid w:val="00704F0D"/>
    <w:rsid w:val="00704F24"/>
    <w:rsid w:val="00704F2D"/>
    <w:rsid w:val="00704F8F"/>
    <w:rsid w:val="00704FEE"/>
    <w:rsid w:val="007051DE"/>
    <w:rsid w:val="0070520E"/>
    <w:rsid w:val="0070521F"/>
    <w:rsid w:val="007052AC"/>
    <w:rsid w:val="007052B0"/>
    <w:rsid w:val="007052F7"/>
    <w:rsid w:val="007053AF"/>
    <w:rsid w:val="00705405"/>
    <w:rsid w:val="00705417"/>
    <w:rsid w:val="00705493"/>
    <w:rsid w:val="0070559B"/>
    <w:rsid w:val="007055D1"/>
    <w:rsid w:val="007056D2"/>
    <w:rsid w:val="0070580F"/>
    <w:rsid w:val="007058B2"/>
    <w:rsid w:val="00705908"/>
    <w:rsid w:val="007059E4"/>
    <w:rsid w:val="007059F9"/>
    <w:rsid w:val="00705A38"/>
    <w:rsid w:val="00705A96"/>
    <w:rsid w:val="00705A9D"/>
    <w:rsid w:val="00705B4C"/>
    <w:rsid w:val="00705B56"/>
    <w:rsid w:val="00705BBE"/>
    <w:rsid w:val="00705BE0"/>
    <w:rsid w:val="00705BF7"/>
    <w:rsid w:val="00705C24"/>
    <w:rsid w:val="00705C78"/>
    <w:rsid w:val="00705D2C"/>
    <w:rsid w:val="00705D3A"/>
    <w:rsid w:val="00705DDC"/>
    <w:rsid w:val="00705E42"/>
    <w:rsid w:val="00705E8D"/>
    <w:rsid w:val="00705ED3"/>
    <w:rsid w:val="00705F88"/>
    <w:rsid w:val="00705FA7"/>
    <w:rsid w:val="00705FB8"/>
    <w:rsid w:val="00706004"/>
    <w:rsid w:val="0070602F"/>
    <w:rsid w:val="007060D0"/>
    <w:rsid w:val="007060E0"/>
    <w:rsid w:val="00706191"/>
    <w:rsid w:val="00706229"/>
    <w:rsid w:val="0070623B"/>
    <w:rsid w:val="00706273"/>
    <w:rsid w:val="0070631B"/>
    <w:rsid w:val="0070633B"/>
    <w:rsid w:val="00706350"/>
    <w:rsid w:val="007063A4"/>
    <w:rsid w:val="007063A7"/>
    <w:rsid w:val="00706406"/>
    <w:rsid w:val="0070647C"/>
    <w:rsid w:val="0070649E"/>
    <w:rsid w:val="007064BB"/>
    <w:rsid w:val="007064D0"/>
    <w:rsid w:val="007064EF"/>
    <w:rsid w:val="00706529"/>
    <w:rsid w:val="0070652B"/>
    <w:rsid w:val="0070653C"/>
    <w:rsid w:val="0070657F"/>
    <w:rsid w:val="00706615"/>
    <w:rsid w:val="00706638"/>
    <w:rsid w:val="00706667"/>
    <w:rsid w:val="007066B1"/>
    <w:rsid w:val="007066BF"/>
    <w:rsid w:val="007066C3"/>
    <w:rsid w:val="00706703"/>
    <w:rsid w:val="00706794"/>
    <w:rsid w:val="007067FC"/>
    <w:rsid w:val="0070682E"/>
    <w:rsid w:val="0070687A"/>
    <w:rsid w:val="00706890"/>
    <w:rsid w:val="007068C1"/>
    <w:rsid w:val="0070694F"/>
    <w:rsid w:val="00706959"/>
    <w:rsid w:val="00706AAA"/>
    <w:rsid w:val="00706B6C"/>
    <w:rsid w:val="00706C11"/>
    <w:rsid w:val="00706C72"/>
    <w:rsid w:val="00706CD1"/>
    <w:rsid w:val="00706F83"/>
    <w:rsid w:val="00706FF8"/>
    <w:rsid w:val="0070718D"/>
    <w:rsid w:val="00707213"/>
    <w:rsid w:val="0070721A"/>
    <w:rsid w:val="00707240"/>
    <w:rsid w:val="007073AF"/>
    <w:rsid w:val="007074B8"/>
    <w:rsid w:val="0070757A"/>
    <w:rsid w:val="007075E8"/>
    <w:rsid w:val="007075FE"/>
    <w:rsid w:val="00707688"/>
    <w:rsid w:val="007076AA"/>
    <w:rsid w:val="007076D1"/>
    <w:rsid w:val="00707744"/>
    <w:rsid w:val="0070775A"/>
    <w:rsid w:val="007077E6"/>
    <w:rsid w:val="007077F8"/>
    <w:rsid w:val="00707924"/>
    <w:rsid w:val="00707989"/>
    <w:rsid w:val="00707A77"/>
    <w:rsid w:val="00707B4C"/>
    <w:rsid w:val="00707BA4"/>
    <w:rsid w:val="00707BB2"/>
    <w:rsid w:val="00707BF7"/>
    <w:rsid w:val="00707C12"/>
    <w:rsid w:val="00707C97"/>
    <w:rsid w:val="00707D2F"/>
    <w:rsid w:val="00707E74"/>
    <w:rsid w:val="00707E97"/>
    <w:rsid w:val="00707EE7"/>
    <w:rsid w:val="00707F19"/>
    <w:rsid w:val="00707F2B"/>
    <w:rsid w:val="00707F2E"/>
    <w:rsid w:val="00707F3D"/>
    <w:rsid w:val="00707F5A"/>
    <w:rsid w:val="00707FBE"/>
    <w:rsid w:val="00710022"/>
    <w:rsid w:val="007100B9"/>
    <w:rsid w:val="007100E8"/>
    <w:rsid w:val="00710126"/>
    <w:rsid w:val="00710136"/>
    <w:rsid w:val="00710153"/>
    <w:rsid w:val="0071015F"/>
    <w:rsid w:val="00710161"/>
    <w:rsid w:val="00710299"/>
    <w:rsid w:val="00710364"/>
    <w:rsid w:val="00710458"/>
    <w:rsid w:val="007104B9"/>
    <w:rsid w:val="0071061C"/>
    <w:rsid w:val="007106B0"/>
    <w:rsid w:val="00710758"/>
    <w:rsid w:val="0071077A"/>
    <w:rsid w:val="0071087C"/>
    <w:rsid w:val="00710887"/>
    <w:rsid w:val="0071096F"/>
    <w:rsid w:val="007109E6"/>
    <w:rsid w:val="007109FE"/>
    <w:rsid w:val="00710B16"/>
    <w:rsid w:val="00710B19"/>
    <w:rsid w:val="00710B55"/>
    <w:rsid w:val="00710B5F"/>
    <w:rsid w:val="00710B9A"/>
    <w:rsid w:val="00710C01"/>
    <w:rsid w:val="00710C07"/>
    <w:rsid w:val="00710C54"/>
    <w:rsid w:val="00710C5C"/>
    <w:rsid w:val="00710CF5"/>
    <w:rsid w:val="00710D29"/>
    <w:rsid w:val="00710EB0"/>
    <w:rsid w:val="00710F39"/>
    <w:rsid w:val="00710F6A"/>
    <w:rsid w:val="00710F9F"/>
    <w:rsid w:val="00710FBE"/>
    <w:rsid w:val="00711030"/>
    <w:rsid w:val="0071108C"/>
    <w:rsid w:val="007110A5"/>
    <w:rsid w:val="00711133"/>
    <w:rsid w:val="00711154"/>
    <w:rsid w:val="007111A7"/>
    <w:rsid w:val="00711215"/>
    <w:rsid w:val="007112D3"/>
    <w:rsid w:val="007112EB"/>
    <w:rsid w:val="0071130B"/>
    <w:rsid w:val="00711346"/>
    <w:rsid w:val="00711369"/>
    <w:rsid w:val="007113F9"/>
    <w:rsid w:val="0071141C"/>
    <w:rsid w:val="00711533"/>
    <w:rsid w:val="00711543"/>
    <w:rsid w:val="00711603"/>
    <w:rsid w:val="00711623"/>
    <w:rsid w:val="007116EB"/>
    <w:rsid w:val="0071173D"/>
    <w:rsid w:val="00711782"/>
    <w:rsid w:val="00711783"/>
    <w:rsid w:val="00711869"/>
    <w:rsid w:val="007118BA"/>
    <w:rsid w:val="007118F7"/>
    <w:rsid w:val="00711922"/>
    <w:rsid w:val="0071193E"/>
    <w:rsid w:val="00711A4F"/>
    <w:rsid w:val="00711A55"/>
    <w:rsid w:val="00711A7F"/>
    <w:rsid w:val="00711A89"/>
    <w:rsid w:val="00711A8F"/>
    <w:rsid w:val="00711C57"/>
    <w:rsid w:val="00711C6E"/>
    <w:rsid w:val="00711C82"/>
    <w:rsid w:val="00711C94"/>
    <w:rsid w:val="00711CA0"/>
    <w:rsid w:val="00711CFA"/>
    <w:rsid w:val="00711D86"/>
    <w:rsid w:val="00711DA3"/>
    <w:rsid w:val="00711DFD"/>
    <w:rsid w:val="00711E16"/>
    <w:rsid w:val="00711E58"/>
    <w:rsid w:val="00711ED0"/>
    <w:rsid w:val="00711EE9"/>
    <w:rsid w:val="00711F23"/>
    <w:rsid w:val="00711FE9"/>
    <w:rsid w:val="00711FFC"/>
    <w:rsid w:val="0071209B"/>
    <w:rsid w:val="007120D6"/>
    <w:rsid w:val="0071220C"/>
    <w:rsid w:val="00712264"/>
    <w:rsid w:val="007122DE"/>
    <w:rsid w:val="007123EF"/>
    <w:rsid w:val="0071241C"/>
    <w:rsid w:val="0071244F"/>
    <w:rsid w:val="007124C8"/>
    <w:rsid w:val="0071258E"/>
    <w:rsid w:val="00712658"/>
    <w:rsid w:val="00712663"/>
    <w:rsid w:val="007127B6"/>
    <w:rsid w:val="007127D0"/>
    <w:rsid w:val="00712875"/>
    <w:rsid w:val="007128EA"/>
    <w:rsid w:val="007129CA"/>
    <w:rsid w:val="007129D2"/>
    <w:rsid w:val="007129DE"/>
    <w:rsid w:val="00712A62"/>
    <w:rsid w:val="00712AD0"/>
    <w:rsid w:val="00712B7D"/>
    <w:rsid w:val="00712B8D"/>
    <w:rsid w:val="00712E20"/>
    <w:rsid w:val="00712E5F"/>
    <w:rsid w:val="00712E91"/>
    <w:rsid w:val="00712EA2"/>
    <w:rsid w:val="00712EAC"/>
    <w:rsid w:val="00712ECC"/>
    <w:rsid w:val="00712EDA"/>
    <w:rsid w:val="00712F74"/>
    <w:rsid w:val="0071309D"/>
    <w:rsid w:val="007130AC"/>
    <w:rsid w:val="007130D6"/>
    <w:rsid w:val="0071312C"/>
    <w:rsid w:val="00713179"/>
    <w:rsid w:val="00713191"/>
    <w:rsid w:val="007131E3"/>
    <w:rsid w:val="00713237"/>
    <w:rsid w:val="00713256"/>
    <w:rsid w:val="0071328B"/>
    <w:rsid w:val="00713300"/>
    <w:rsid w:val="00713337"/>
    <w:rsid w:val="007133F3"/>
    <w:rsid w:val="007133FA"/>
    <w:rsid w:val="0071344E"/>
    <w:rsid w:val="007134A1"/>
    <w:rsid w:val="00713561"/>
    <w:rsid w:val="0071358A"/>
    <w:rsid w:val="0071365B"/>
    <w:rsid w:val="007136D3"/>
    <w:rsid w:val="0071375E"/>
    <w:rsid w:val="0071380C"/>
    <w:rsid w:val="00713871"/>
    <w:rsid w:val="00713998"/>
    <w:rsid w:val="007139E8"/>
    <w:rsid w:val="00713A40"/>
    <w:rsid w:val="00713A98"/>
    <w:rsid w:val="00713AEF"/>
    <w:rsid w:val="00713B3E"/>
    <w:rsid w:val="00713B59"/>
    <w:rsid w:val="00713B98"/>
    <w:rsid w:val="00713BCF"/>
    <w:rsid w:val="00713BDC"/>
    <w:rsid w:val="00713C7E"/>
    <w:rsid w:val="00713CB9"/>
    <w:rsid w:val="00713D26"/>
    <w:rsid w:val="00713D4A"/>
    <w:rsid w:val="00713D68"/>
    <w:rsid w:val="00713D86"/>
    <w:rsid w:val="00713DAA"/>
    <w:rsid w:val="00713E1C"/>
    <w:rsid w:val="00713E4A"/>
    <w:rsid w:val="00713EB0"/>
    <w:rsid w:val="00713EC7"/>
    <w:rsid w:val="00713EE1"/>
    <w:rsid w:val="00713F0D"/>
    <w:rsid w:val="00713F63"/>
    <w:rsid w:val="00713FF3"/>
    <w:rsid w:val="00713FF5"/>
    <w:rsid w:val="00714025"/>
    <w:rsid w:val="00714054"/>
    <w:rsid w:val="00714075"/>
    <w:rsid w:val="00714240"/>
    <w:rsid w:val="00714261"/>
    <w:rsid w:val="007142D2"/>
    <w:rsid w:val="00714302"/>
    <w:rsid w:val="007143B4"/>
    <w:rsid w:val="007143D4"/>
    <w:rsid w:val="0071441D"/>
    <w:rsid w:val="0071449C"/>
    <w:rsid w:val="00714530"/>
    <w:rsid w:val="00714558"/>
    <w:rsid w:val="007145C0"/>
    <w:rsid w:val="007145DB"/>
    <w:rsid w:val="007145F0"/>
    <w:rsid w:val="007146C0"/>
    <w:rsid w:val="007146D0"/>
    <w:rsid w:val="007146FE"/>
    <w:rsid w:val="00714795"/>
    <w:rsid w:val="007148BB"/>
    <w:rsid w:val="007148EA"/>
    <w:rsid w:val="00714AA3"/>
    <w:rsid w:val="00714AA4"/>
    <w:rsid w:val="00714B62"/>
    <w:rsid w:val="00714BB7"/>
    <w:rsid w:val="00714C23"/>
    <w:rsid w:val="00714C67"/>
    <w:rsid w:val="00714CFD"/>
    <w:rsid w:val="00714D85"/>
    <w:rsid w:val="00714E66"/>
    <w:rsid w:val="00714E69"/>
    <w:rsid w:val="00714EAF"/>
    <w:rsid w:val="00714F05"/>
    <w:rsid w:val="00714F55"/>
    <w:rsid w:val="00714FBD"/>
    <w:rsid w:val="0071500C"/>
    <w:rsid w:val="00715024"/>
    <w:rsid w:val="00715088"/>
    <w:rsid w:val="007150C3"/>
    <w:rsid w:val="007150F6"/>
    <w:rsid w:val="007151D1"/>
    <w:rsid w:val="007151E5"/>
    <w:rsid w:val="007151E9"/>
    <w:rsid w:val="00715224"/>
    <w:rsid w:val="0071522D"/>
    <w:rsid w:val="0071525D"/>
    <w:rsid w:val="00715276"/>
    <w:rsid w:val="00715289"/>
    <w:rsid w:val="007152C7"/>
    <w:rsid w:val="00715311"/>
    <w:rsid w:val="00715397"/>
    <w:rsid w:val="007153A6"/>
    <w:rsid w:val="007153CC"/>
    <w:rsid w:val="007153F5"/>
    <w:rsid w:val="00715401"/>
    <w:rsid w:val="007154C3"/>
    <w:rsid w:val="007154FF"/>
    <w:rsid w:val="00715505"/>
    <w:rsid w:val="0071551D"/>
    <w:rsid w:val="0071557D"/>
    <w:rsid w:val="007155B3"/>
    <w:rsid w:val="007155DD"/>
    <w:rsid w:val="00715659"/>
    <w:rsid w:val="0071581F"/>
    <w:rsid w:val="00715859"/>
    <w:rsid w:val="00715881"/>
    <w:rsid w:val="007158A4"/>
    <w:rsid w:val="00715A2D"/>
    <w:rsid w:val="00715ABB"/>
    <w:rsid w:val="00715ADE"/>
    <w:rsid w:val="00715BFF"/>
    <w:rsid w:val="00715C22"/>
    <w:rsid w:val="00715CD3"/>
    <w:rsid w:val="00715E31"/>
    <w:rsid w:val="00715E41"/>
    <w:rsid w:val="00715E98"/>
    <w:rsid w:val="00715E9B"/>
    <w:rsid w:val="00715EB3"/>
    <w:rsid w:val="00715EB6"/>
    <w:rsid w:val="00715F68"/>
    <w:rsid w:val="00715FCB"/>
    <w:rsid w:val="0071601E"/>
    <w:rsid w:val="0071607B"/>
    <w:rsid w:val="007160A9"/>
    <w:rsid w:val="007160D0"/>
    <w:rsid w:val="007160E3"/>
    <w:rsid w:val="0071610D"/>
    <w:rsid w:val="00716134"/>
    <w:rsid w:val="00716371"/>
    <w:rsid w:val="0071639D"/>
    <w:rsid w:val="00716424"/>
    <w:rsid w:val="00716524"/>
    <w:rsid w:val="00716556"/>
    <w:rsid w:val="00716590"/>
    <w:rsid w:val="0071663C"/>
    <w:rsid w:val="00716654"/>
    <w:rsid w:val="00716660"/>
    <w:rsid w:val="0071669C"/>
    <w:rsid w:val="00716702"/>
    <w:rsid w:val="00716709"/>
    <w:rsid w:val="00716866"/>
    <w:rsid w:val="0071688B"/>
    <w:rsid w:val="00716970"/>
    <w:rsid w:val="00716B34"/>
    <w:rsid w:val="00716BE1"/>
    <w:rsid w:val="00716C20"/>
    <w:rsid w:val="00716C3E"/>
    <w:rsid w:val="00716C8B"/>
    <w:rsid w:val="00716D9A"/>
    <w:rsid w:val="00716E13"/>
    <w:rsid w:val="00716E6D"/>
    <w:rsid w:val="00716F34"/>
    <w:rsid w:val="00717013"/>
    <w:rsid w:val="0071704C"/>
    <w:rsid w:val="007170D4"/>
    <w:rsid w:val="00717139"/>
    <w:rsid w:val="007171F4"/>
    <w:rsid w:val="00717292"/>
    <w:rsid w:val="007172B9"/>
    <w:rsid w:val="007172D4"/>
    <w:rsid w:val="00717380"/>
    <w:rsid w:val="007173DE"/>
    <w:rsid w:val="0071744B"/>
    <w:rsid w:val="007174F6"/>
    <w:rsid w:val="007175A8"/>
    <w:rsid w:val="00717603"/>
    <w:rsid w:val="0071768C"/>
    <w:rsid w:val="00717699"/>
    <w:rsid w:val="00717703"/>
    <w:rsid w:val="0071774E"/>
    <w:rsid w:val="0071777B"/>
    <w:rsid w:val="0071780A"/>
    <w:rsid w:val="00717877"/>
    <w:rsid w:val="007178A9"/>
    <w:rsid w:val="007178B1"/>
    <w:rsid w:val="007178D1"/>
    <w:rsid w:val="0071792C"/>
    <w:rsid w:val="007179F7"/>
    <w:rsid w:val="00717A4A"/>
    <w:rsid w:val="00717B56"/>
    <w:rsid w:val="00717B66"/>
    <w:rsid w:val="00717B9E"/>
    <w:rsid w:val="00717C2B"/>
    <w:rsid w:val="00717C4A"/>
    <w:rsid w:val="00717D45"/>
    <w:rsid w:val="00717DEF"/>
    <w:rsid w:val="00717DF5"/>
    <w:rsid w:val="00717E2D"/>
    <w:rsid w:val="00717E39"/>
    <w:rsid w:val="00717E92"/>
    <w:rsid w:val="00717EA8"/>
    <w:rsid w:val="00717F1E"/>
    <w:rsid w:val="00717F44"/>
    <w:rsid w:val="00717F46"/>
    <w:rsid w:val="00717F98"/>
    <w:rsid w:val="0072001B"/>
    <w:rsid w:val="007200BD"/>
    <w:rsid w:val="00720189"/>
    <w:rsid w:val="007202A1"/>
    <w:rsid w:val="007203B3"/>
    <w:rsid w:val="007203C7"/>
    <w:rsid w:val="0072045C"/>
    <w:rsid w:val="0072046A"/>
    <w:rsid w:val="00720525"/>
    <w:rsid w:val="00720613"/>
    <w:rsid w:val="00720626"/>
    <w:rsid w:val="00720681"/>
    <w:rsid w:val="0072070D"/>
    <w:rsid w:val="00720726"/>
    <w:rsid w:val="0072076F"/>
    <w:rsid w:val="00720798"/>
    <w:rsid w:val="007207CC"/>
    <w:rsid w:val="00720914"/>
    <w:rsid w:val="0072093B"/>
    <w:rsid w:val="00720943"/>
    <w:rsid w:val="00720946"/>
    <w:rsid w:val="007209BE"/>
    <w:rsid w:val="007209FD"/>
    <w:rsid w:val="00720A8C"/>
    <w:rsid w:val="00720A90"/>
    <w:rsid w:val="00720C03"/>
    <w:rsid w:val="00720CD3"/>
    <w:rsid w:val="00720D8A"/>
    <w:rsid w:val="00720EB3"/>
    <w:rsid w:val="00720EE4"/>
    <w:rsid w:val="00720EE6"/>
    <w:rsid w:val="00720F62"/>
    <w:rsid w:val="0072111A"/>
    <w:rsid w:val="00721126"/>
    <w:rsid w:val="0072114B"/>
    <w:rsid w:val="00721157"/>
    <w:rsid w:val="00721186"/>
    <w:rsid w:val="007211A4"/>
    <w:rsid w:val="007211E0"/>
    <w:rsid w:val="007211EA"/>
    <w:rsid w:val="007212DB"/>
    <w:rsid w:val="007212FE"/>
    <w:rsid w:val="0072131A"/>
    <w:rsid w:val="00721499"/>
    <w:rsid w:val="007214EB"/>
    <w:rsid w:val="00721523"/>
    <w:rsid w:val="0072152A"/>
    <w:rsid w:val="0072153A"/>
    <w:rsid w:val="0072155D"/>
    <w:rsid w:val="007215CE"/>
    <w:rsid w:val="00721622"/>
    <w:rsid w:val="007216A8"/>
    <w:rsid w:val="00721762"/>
    <w:rsid w:val="00721777"/>
    <w:rsid w:val="0072184D"/>
    <w:rsid w:val="007219A3"/>
    <w:rsid w:val="00721A64"/>
    <w:rsid w:val="00721B27"/>
    <w:rsid w:val="00721B29"/>
    <w:rsid w:val="00721B59"/>
    <w:rsid w:val="00721BAA"/>
    <w:rsid w:val="00721BB6"/>
    <w:rsid w:val="00721BE0"/>
    <w:rsid w:val="00721CD1"/>
    <w:rsid w:val="00721CE4"/>
    <w:rsid w:val="00721D3E"/>
    <w:rsid w:val="00721D4F"/>
    <w:rsid w:val="00721DBB"/>
    <w:rsid w:val="00721E59"/>
    <w:rsid w:val="00721E7B"/>
    <w:rsid w:val="00721F52"/>
    <w:rsid w:val="00721F8F"/>
    <w:rsid w:val="00721FBB"/>
    <w:rsid w:val="00722046"/>
    <w:rsid w:val="007220C0"/>
    <w:rsid w:val="00722194"/>
    <w:rsid w:val="007221A2"/>
    <w:rsid w:val="007221BE"/>
    <w:rsid w:val="007221E3"/>
    <w:rsid w:val="007221F5"/>
    <w:rsid w:val="00722280"/>
    <w:rsid w:val="00722286"/>
    <w:rsid w:val="007222B4"/>
    <w:rsid w:val="007222EF"/>
    <w:rsid w:val="0072233C"/>
    <w:rsid w:val="00722388"/>
    <w:rsid w:val="0072239C"/>
    <w:rsid w:val="007223B0"/>
    <w:rsid w:val="0072241D"/>
    <w:rsid w:val="00722439"/>
    <w:rsid w:val="00722443"/>
    <w:rsid w:val="00722445"/>
    <w:rsid w:val="0072244A"/>
    <w:rsid w:val="00722497"/>
    <w:rsid w:val="007224A6"/>
    <w:rsid w:val="007224B7"/>
    <w:rsid w:val="00722512"/>
    <w:rsid w:val="00722515"/>
    <w:rsid w:val="00722546"/>
    <w:rsid w:val="007225E2"/>
    <w:rsid w:val="0072264D"/>
    <w:rsid w:val="007226AE"/>
    <w:rsid w:val="0072277C"/>
    <w:rsid w:val="00722783"/>
    <w:rsid w:val="00722878"/>
    <w:rsid w:val="007228F1"/>
    <w:rsid w:val="00722907"/>
    <w:rsid w:val="0072299D"/>
    <w:rsid w:val="00722A23"/>
    <w:rsid w:val="00722A47"/>
    <w:rsid w:val="00722A5F"/>
    <w:rsid w:val="00722AB5"/>
    <w:rsid w:val="00722AFA"/>
    <w:rsid w:val="00722B18"/>
    <w:rsid w:val="00722B24"/>
    <w:rsid w:val="00722B26"/>
    <w:rsid w:val="00722BF2"/>
    <w:rsid w:val="00722C74"/>
    <w:rsid w:val="00722CB3"/>
    <w:rsid w:val="00722CCE"/>
    <w:rsid w:val="00722D56"/>
    <w:rsid w:val="00722D7D"/>
    <w:rsid w:val="00722DC1"/>
    <w:rsid w:val="00722EC6"/>
    <w:rsid w:val="00722F1D"/>
    <w:rsid w:val="00722FDD"/>
    <w:rsid w:val="00723092"/>
    <w:rsid w:val="007230EC"/>
    <w:rsid w:val="007231C8"/>
    <w:rsid w:val="007231FB"/>
    <w:rsid w:val="00723253"/>
    <w:rsid w:val="00723270"/>
    <w:rsid w:val="0072332B"/>
    <w:rsid w:val="0072333A"/>
    <w:rsid w:val="00723341"/>
    <w:rsid w:val="0072335E"/>
    <w:rsid w:val="00723452"/>
    <w:rsid w:val="0072347E"/>
    <w:rsid w:val="0072348F"/>
    <w:rsid w:val="00723597"/>
    <w:rsid w:val="0072360A"/>
    <w:rsid w:val="00723694"/>
    <w:rsid w:val="007237AC"/>
    <w:rsid w:val="0072384B"/>
    <w:rsid w:val="0072388B"/>
    <w:rsid w:val="007238A2"/>
    <w:rsid w:val="007238F7"/>
    <w:rsid w:val="007239A6"/>
    <w:rsid w:val="007239BF"/>
    <w:rsid w:val="00723AFD"/>
    <w:rsid w:val="00723B1C"/>
    <w:rsid w:val="00723CDF"/>
    <w:rsid w:val="00723CE3"/>
    <w:rsid w:val="00723D0A"/>
    <w:rsid w:val="00723D0E"/>
    <w:rsid w:val="00723D50"/>
    <w:rsid w:val="00723D72"/>
    <w:rsid w:val="00723D82"/>
    <w:rsid w:val="00723DA8"/>
    <w:rsid w:val="00723DAD"/>
    <w:rsid w:val="00723E23"/>
    <w:rsid w:val="00723E8A"/>
    <w:rsid w:val="00723EEF"/>
    <w:rsid w:val="00723F6B"/>
    <w:rsid w:val="00723F9D"/>
    <w:rsid w:val="00723FA6"/>
    <w:rsid w:val="00723FE8"/>
    <w:rsid w:val="007240D8"/>
    <w:rsid w:val="00724185"/>
    <w:rsid w:val="0072418F"/>
    <w:rsid w:val="007241A6"/>
    <w:rsid w:val="007241C7"/>
    <w:rsid w:val="007241E9"/>
    <w:rsid w:val="007242B7"/>
    <w:rsid w:val="007242F9"/>
    <w:rsid w:val="00724319"/>
    <w:rsid w:val="0072431C"/>
    <w:rsid w:val="00724338"/>
    <w:rsid w:val="0072438F"/>
    <w:rsid w:val="007244C4"/>
    <w:rsid w:val="00724552"/>
    <w:rsid w:val="0072461A"/>
    <w:rsid w:val="00724630"/>
    <w:rsid w:val="007246E5"/>
    <w:rsid w:val="007247EE"/>
    <w:rsid w:val="00724809"/>
    <w:rsid w:val="0072482E"/>
    <w:rsid w:val="007248C9"/>
    <w:rsid w:val="007248F6"/>
    <w:rsid w:val="007249DC"/>
    <w:rsid w:val="00724AD4"/>
    <w:rsid w:val="00724B1F"/>
    <w:rsid w:val="00724BBD"/>
    <w:rsid w:val="00724BED"/>
    <w:rsid w:val="00724DD2"/>
    <w:rsid w:val="00724DEF"/>
    <w:rsid w:val="00724E60"/>
    <w:rsid w:val="00724EDB"/>
    <w:rsid w:val="00724EF6"/>
    <w:rsid w:val="00724F07"/>
    <w:rsid w:val="00724F16"/>
    <w:rsid w:val="00724F7D"/>
    <w:rsid w:val="0072514D"/>
    <w:rsid w:val="00725167"/>
    <w:rsid w:val="0072517E"/>
    <w:rsid w:val="007251D2"/>
    <w:rsid w:val="007251D4"/>
    <w:rsid w:val="0072520A"/>
    <w:rsid w:val="0072522E"/>
    <w:rsid w:val="00725260"/>
    <w:rsid w:val="00725356"/>
    <w:rsid w:val="00725428"/>
    <w:rsid w:val="00725497"/>
    <w:rsid w:val="007254F1"/>
    <w:rsid w:val="00725576"/>
    <w:rsid w:val="00725703"/>
    <w:rsid w:val="00725706"/>
    <w:rsid w:val="007257B6"/>
    <w:rsid w:val="007257D6"/>
    <w:rsid w:val="007257DB"/>
    <w:rsid w:val="0072580D"/>
    <w:rsid w:val="00725911"/>
    <w:rsid w:val="00725947"/>
    <w:rsid w:val="007259AC"/>
    <w:rsid w:val="00725AC3"/>
    <w:rsid w:val="00725B15"/>
    <w:rsid w:val="00725C0B"/>
    <w:rsid w:val="00725C11"/>
    <w:rsid w:val="00725D11"/>
    <w:rsid w:val="00725DB5"/>
    <w:rsid w:val="00725EB3"/>
    <w:rsid w:val="00725F5B"/>
    <w:rsid w:val="00726040"/>
    <w:rsid w:val="0072608C"/>
    <w:rsid w:val="007260CE"/>
    <w:rsid w:val="0072616D"/>
    <w:rsid w:val="00726180"/>
    <w:rsid w:val="00726197"/>
    <w:rsid w:val="007261BD"/>
    <w:rsid w:val="007261DB"/>
    <w:rsid w:val="00726273"/>
    <w:rsid w:val="007262AF"/>
    <w:rsid w:val="007262C6"/>
    <w:rsid w:val="007265CC"/>
    <w:rsid w:val="0072663F"/>
    <w:rsid w:val="0072668C"/>
    <w:rsid w:val="007266CF"/>
    <w:rsid w:val="00726764"/>
    <w:rsid w:val="00726774"/>
    <w:rsid w:val="007267C4"/>
    <w:rsid w:val="00726812"/>
    <w:rsid w:val="00726B7D"/>
    <w:rsid w:val="00726BBD"/>
    <w:rsid w:val="00726BE7"/>
    <w:rsid w:val="00726C2D"/>
    <w:rsid w:val="00726C3E"/>
    <w:rsid w:val="00726C7A"/>
    <w:rsid w:val="00726CB7"/>
    <w:rsid w:val="00726CDB"/>
    <w:rsid w:val="00726D14"/>
    <w:rsid w:val="00726E1F"/>
    <w:rsid w:val="00726E9D"/>
    <w:rsid w:val="00726EE9"/>
    <w:rsid w:val="00726F5A"/>
    <w:rsid w:val="00726F99"/>
    <w:rsid w:val="00726FA2"/>
    <w:rsid w:val="00727058"/>
    <w:rsid w:val="007270C6"/>
    <w:rsid w:val="00727124"/>
    <w:rsid w:val="007271D5"/>
    <w:rsid w:val="007272B6"/>
    <w:rsid w:val="00727348"/>
    <w:rsid w:val="00727457"/>
    <w:rsid w:val="007274D1"/>
    <w:rsid w:val="007274F4"/>
    <w:rsid w:val="00727532"/>
    <w:rsid w:val="00727558"/>
    <w:rsid w:val="007275F8"/>
    <w:rsid w:val="00727648"/>
    <w:rsid w:val="00727687"/>
    <w:rsid w:val="007276D5"/>
    <w:rsid w:val="00727786"/>
    <w:rsid w:val="007277FD"/>
    <w:rsid w:val="00727860"/>
    <w:rsid w:val="0072791C"/>
    <w:rsid w:val="0072797F"/>
    <w:rsid w:val="007279BC"/>
    <w:rsid w:val="007279F2"/>
    <w:rsid w:val="007279FC"/>
    <w:rsid w:val="00727A58"/>
    <w:rsid w:val="00727A84"/>
    <w:rsid w:val="00727ABB"/>
    <w:rsid w:val="00727AF8"/>
    <w:rsid w:val="00727B0F"/>
    <w:rsid w:val="00727C15"/>
    <w:rsid w:val="00727C2F"/>
    <w:rsid w:val="00727CC3"/>
    <w:rsid w:val="00727D46"/>
    <w:rsid w:val="00727D91"/>
    <w:rsid w:val="00727DBF"/>
    <w:rsid w:val="00727DE7"/>
    <w:rsid w:val="00727DE9"/>
    <w:rsid w:val="00727ED9"/>
    <w:rsid w:val="00727F4C"/>
    <w:rsid w:val="00727FFD"/>
    <w:rsid w:val="0073003D"/>
    <w:rsid w:val="007300BC"/>
    <w:rsid w:val="007301D7"/>
    <w:rsid w:val="00730275"/>
    <w:rsid w:val="007303BF"/>
    <w:rsid w:val="007304B2"/>
    <w:rsid w:val="007304EA"/>
    <w:rsid w:val="007305EE"/>
    <w:rsid w:val="0073061A"/>
    <w:rsid w:val="00730628"/>
    <w:rsid w:val="007306A3"/>
    <w:rsid w:val="007306D0"/>
    <w:rsid w:val="007306E9"/>
    <w:rsid w:val="0073074B"/>
    <w:rsid w:val="00730792"/>
    <w:rsid w:val="007307DE"/>
    <w:rsid w:val="00730828"/>
    <w:rsid w:val="0073088A"/>
    <w:rsid w:val="007308DA"/>
    <w:rsid w:val="0073093B"/>
    <w:rsid w:val="0073095A"/>
    <w:rsid w:val="0073099F"/>
    <w:rsid w:val="007309BB"/>
    <w:rsid w:val="00730A92"/>
    <w:rsid w:val="00730AD0"/>
    <w:rsid w:val="00730C6C"/>
    <w:rsid w:val="00730CCF"/>
    <w:rsid w:val="00730D70"/>
    <w:rsid w:val="00730F20"/>
    <w:rsid w:val="00730F89"/>
    <w:rsid w:val="00730FB7"/>
    <w:rsid w:val="00730FE3"/>
    <w:rsid w:val="00731056"/>
    <w:rsid w:val="00731065"/>
    <w:rsid w:val="0073107A"/>
    <w:rsid w:val="0073114D"/>
    <w:rsid w:val="00731323"/>
    <w:rsid w:val="00731391"/>
    <w:rsid w:val="00731429"/>
    <w:rsid w:val="007315AC"/>
    <w:rsid w:val="0073165E"/>
    <w:rsid w:val="0073175E"/>
    <w:rsid w:val="00731781"/>
    <w:rsid w:val="007318A9"/>
    <w:rsid w:val="007318F3"/>
    <w:rsid w:val="00731901"/>
    <w:rsid w:val="00731911"/>
    <w:rsid w:val="00731B59"/>
    <w:rsid w:val="00731BB7"/>
    <w:rsid w:val="00731C3C"/>
    <w:rsid w:val="00731C8A"/>
    <w:rsid w:val="00731CA3"/>
    <w:rsid w:val="00731D05"/>
    <w:rsid w:val="00731D5E"/>
    <w:rsid w:val="00731D7A"/>
    <w:rsid w:val="00731DDF"/>
    <w:rsid w:val="00731E14"/>
    <w:rsid w:val="00731EC7"/>
    <w:rsid w:val="00731EF0"/>
    <w:rsid w:val="00731EFF"/>
    <w:rsid w:val="00731F65"/>
    <w:rsid w:val="00731F88"/>
    <w:rsid w:val="00731F9F"/>
    <w:rsid w:val="00731FBB"/>
    <w:rsid w:val="00731FBE"/>
    <w:rsid w:val="00731FC7"/>
    <w:rsid w:val="00731FF1"/>
    <w:rsid w:val="00732096"/>
    <w:rsid w:val="00732111"/>
    <w:rsid w:val="00732152"/>
    <w:rsid w:val="00732158"/>
    <w:rsid w:val="007321EC"/>
    <w:rsid w:val="00732259"/>
    <w:rsid w:val="007322F6"/>
    <w:rsid w:val="00732354"/>
    <w:rsid w:val="0073241E"/>
    <w:rsid w:val="0073249E"/>
    <w:rsid w:val="0073257E"/>
    <w:rsid w:val="00732587"/>
    <w:rsid w:val="00732595"/>
    <w:rsid w:val="007325EF"/>
    <w:rsid w:val="0073279D"/>
    <w:rsid w:val="00732855"/>
    <w:rsid w:val="007328DC"/>
    <w:rsid w:val="0073297E"/>
    <w:rsid w:val="007329A3"/>
    <w:rsid w:val="007329C1"/>
    <w:rsid w:val="00732A92"/>
    <w:rsid w:val="00732B99"/>
    <w:rsid w:val="00732BCE"/>
    <w:rsid w:val="00732CD1"/>
    <w:rsid w:val="00732D99"/>
    <w:rsid w:val="00732DB5"/>
    <w:rsid w:val="00732DE0"/>
    <w:rsid w:val="00732EBD"/>
    <w:rsid w:val="00732F16"/>
    <w:rsid w:val="00732F63"/>
    <w:rsid w:val="00732F96"/>
    <w:rsid w:val="00733036"/>
    <w:rsid w:val="00733147"/>
    <w:rsid w:val="00733208"/>
    <w:rsid w:val="007332A2"/>
    <w:rsid w:val="00733376"/>
    <w:rsid w:val="0073339F"/>
    <w:rsid w:val="007333A7"/>
    <w:rsid w:val="007333B3"/>
    <w:rsid w:val="00733533"/>
    <w:rsid w:val="00733562"/>
    <w:rsid w:val="007335D0"/>
    <w:rsid w:val="0073363D"/>
    <w:rsid w:val="0073363F"/>
    <w:rsid w:val="00733699"/>
    <w:rsid w:val="00733746"/>
    <w:rsid w:val="007337E0"/>
    <w:rsid w:val="007337F9"/>
    <w:rsid w:val="0073384B"/>
    <w:rsid w:val="00733984"/>
    <w:rsid w:val="00733AB0"/>
    <w:rsid w:val="00733ACA"/>
    <w:rsid w:val="00733BEE"/>
    <w:rsid w:val="00733C26"/>
    <w:rsid w:val="00733C8E"/>
    <w:rsid w:val="00733CB7"/>
    <w:rsid w:val="00733CC6"/>
    <w:rsid w:val="00733CEE"/>
    <w:rsid w:val="00733D75"/>
    <w:rsid w:val="00733DC2"/>
    <w:rsid w:val="00733E34"/>
    <w:rsid w:val="00733F3D"/>
    <w:rsid w:val="00733F8A"/>
    <w:rsid w:val="00733FAE"/>
    <w:rsid w:val="00733FBA"/>
    <w:rsid w:val="007340B8"/>
    <w:rsid w:val="0073410B"/>
    <w:rsid w:val="00734144"/>
    <w:rsid w:val="00734339"/>
    <w:rsid w:val="00734396"/>
    <w:rsid w:val="007343A7"/>
    <w:rsid w:val="007343CC"/>
    <w:rsid w:val="007343F7"/>
    <w:rsid w:val="0073444F"/>
    <w:rsid w:val="0073451D"/>
    <w:rsid w:val="00734590"/>
    <w:rsid w:val="007345E1"/>
    <w:rsid w:val="00734640"/>
    <w:rsid w:val="00734697"/>
    <w:rsid w:val="007346CD"/>
    <w:rsid w:val="007346DE"/>
    <w:rsid w:val="007348F9"/>
    <w:rsid w:val="0073496E"/>
    <w:rsid w:val="00734979"/>
    <w:rsid w:val="00734A1D"/>
    <w:rsid w:val="00734D34"/>
    <w:rsid w:val="00734D3C"/>
    <w:rsid w:val="00734D94"/>
    <w:rsid w:val="00734DA8"/>
    <w:rsid w:val="00734E29"/>
    <w:rsid w:val="00734E4B"/>
    <w:rsid w:val="00734EC4"/>
    <w:rsid w:val="00734F83"/>
    <w:rsid w:val="00735129"/>
    <w:rsid w:val="00735188"/>
    <w:rsid w:val="0073529D"/>
    <w:rsid w:val="00735320"/>
    <w:rsid w:val="007354A7"/>
    <w:rsid w:val="007355EC"/>
    <w:rsid w:val="0073566E"/>
    <w:rsid w:val="00735680"/>
    <w:rsid w:val="00735765"/>
    <w:rsid w:val="00735770"/>
    <w:rsid w:val="007357AA"/>
    <w:rsid w:val="007357F0"/>
    <w:rsid w:val="007357F7"/>
    <w:rsid w:val="00735A27"/>
    <w:rsid w:val="00735A7D"/>
    <w:rsid w:val="00735AC3"/>
    <w:rsid w:val="00735AED"/>
    <w:rsid w:val="00735B15"/>
    <w:rsid w:val="00735B48"/>
    <w:rsid w:val="00735C89"/>
    <w:rsid w:val="00735EA3"/>
    <w:rsid w:val="00735F67"/>
    <w:rsid w:val="0073606C"/>
    <w:rsid w:val="00736116"/>
    <w:rsid w:val="0073613B"/>
    <w:rsid w:val="00736177"/>
    <w:rsid w:val="007361DC"/>
    <w:rsid w:val="00736211"/>
    <w:rsid w:val="0073624F"/>
    <w:rsid w:val="00736271"/>
    <w:rsid w:val="00736340"/>
    <w:rsid w:val="0073638B"/>
    <w:rsid w:val="00736469"/>
    <w:rsid w:val="007364B6"/>
    <w:rsid w:val="00736545"/>
    <w:rsid w:val="007365D1"/>
    <w:rsid w:val="007365F3"/>
    <w:rsid w:val="007366D2"/>
    <w:rsid w:val="00736704"/>
    <w:rsid w:val="00736766"/>
    <w:rsid w:val="007367A4"/>
    <w:rsid w:val="007367E1"/>
    <w:rsid w:val="0073681F"/>
    <w:rsid w:val="00736839"/>
    <w:rsid w:val="0073686D"/>
    <w:rsid w:val="00736A01"/>
    <w:rsid w:val="00736A9E"/>
    <w:rsid w:val="00736B5D"/>
    <w:rsid w:val="00736BC7"/>
    <w:rsid w:val="00736C05"/>
    <w:rsid w:val="00736C0C"/>
    <w:rsid w:val="00736C58"/>
    <w:rsid w:val="00736C73"/>
    <w:rsid w:val="00736C85"/>
    <w:rsid w:val="00736CFF"/>
    <w:rsid w:val="00736D32"/>
    <w:rsid w:val="00736E0B"/>
    <w:rsid w:val="00736E19"/>
    <w:rsid w:val="00736E7D"/>
    <w:rsid w:val="00736EB8"/>
    <w:rsid w:val="00736EF4"/>
    <w:rsid w:val="00736F59"/>
    <w:rsid w:val="00736F93"/>
    <w:rsid w:val="00737005"/>
    <w:rsid w:val="007371BC"/>
    <w:rsid w:val="007371C1"/>
    <w:rsid w:val="007371EB"/>
    <w:rsid w:val="007372ED"/>
    <w:rsid w:val="0073735F"/>
    <w:rsid w:val="0073737B"/>
    <w:rsid w:val="00737397"/>
    <w:rsid w:val="007373A5"/>
    <w:rsid w:val="007373C0"/>
    <w:rsid w:val="007373FE"/>
    <w:rsid w:val="00737442"/>
    <w:rsid w:val="0073747A"/>
    <w:rsid w:val="007374CD"/>
    <w:rsid w:val="007374FF"/>
    <w:rsid w:val="0073758D"/>
    <w:rsid w:val="00737806"/>
    <w:rsid w:val="007378F9"/>
    <w:rsid w:val="00737909"/>
    <w:rsid w:val="007379D8"/>
    <w:rsid w:val="007379DC"/>
    <w:rsid w:val="00737A2E"/>
    <w:rsid w:val="00737B37"/>
    <w:rsid w:val="00737B88"/>
    <w:rsid w:val="00737BC4"/>
    <w:rsid w:val="00737CE8"/>
    <w:rsid w:val="00737E1C"/>
    <w:rsid w:val="00737E6B"/>
    <w:rsid w:val="00737F9A"/>
    <w:rsid w:val="00740066"/>
    <w:rsid w:val="0074008F"/>
    <w:rsid w:val="007400D5"/>
    <w:rsid w:val="00740115"/>
    <w:rsid w:val="0074011D"/>
    <w:rsid w:val="0074016C"/>
    <w:rsid w:val="007401C7"/>
    <w:rsid w:val="007401FC"/>
    <w:rsid w:val="0074024A"/>
    <w:rsid w:val="007402CF"/>
    <w:rsid w:val="007402F3"/>
    <w:rsid w:val="007403BE"/>
    <w:rsid w:val="007403EC"/>
    <w:rsid w:val="00740404"/>
    <w:rsid w:val="00740407"/>
    <w:rsid w:val="0074045A"/>
    <w:rsid w:val="00740483"/>
    <w:rsid w:val="007404BA"/>
    <w:rsid w:val="00740608"/>
    <w:rsid w:val="00740642"/>
    <w:rsid w:val="00740651"/>
    <w:rsid w:val="0074068E"/>
    <w:rsid w:val="00740778"/>
    <w:rsid w:val="00740792"/>
    <w:rsid w:val="00740893"/>
    <w:rsid w:val="007408B7"/>
    <w:rsid w:val="007408FC"/>
    <w:rsid w:val="00740916"/>
    <w:rsid w:val="007409B3"/>
    <w:rsid w:val="00740B3F"/>
    <w:rsid w:val="00740C6D"/>
    <w:rsid w:val="00740C70"/>
    <w:rsid w:val="00740C9F"/>
    <w:rsid w:val="00740CFA"/>
    <w:rsid w:val="00740D79"/>
    <w:rsid w:val="00740D8F"/>
    <w:rsid w:val="00740DA4"/>
    <w:rsid w:val="00740DAC"/>
    <w:rsid w:val="00740E4B"/>
    <w:rsid w:val="00740EB0"/>
    <w:rsid w:val="00740F24"/>
    <w:rsid w:val="00740FAE"/>
    <w:rsid w:val="00741013"/>
    <w:rsid w:val="00741054"/>
    <w:rsid w:val="00741065"/>
    <w:rsid w:val="0074109C"/>
    <w:rsid w:val="0074119C"/>
    <w:rsid w:val="007411C1"/>
    <w:rsid w:val="007411CD"/>
    <w:rsid w:val="00741209"/>
    <w:rsid w:val="007412F7"/>
    <w:rsid w:val="007413CF"/>
    <w:rsid w:val="0074141B"/>
    <w:rsid w:val="00741423"/>
    <w:rsid w:val="00741426"/>
    <w:rsid w:val="0074150B"/>
    <w:rsid w:val="00741524"/>
    <w:rsid w:val="00741628"/>
    <w:rsid w:val="0074167B"/>
    <w:rsid w:val="007416EF"/>
    <w:rsid w:val="007416F3"/>
    <w:rsid w:val="0074178F"/>
    <w:rsid w:val="00741883"/>
    <w:rsid w:val="00741899"/>
    <w:rsid w:val="007418EF"/>
    <w:rsid w:val="00741902"/>
    <w:rsid w:val="00741928"/>
    <w:rsid w:val="007419C7"/>
    <w:rsid w:val="00741A4E"/>
    <w:rsid w:val="00741A80"/>
    <w:rsid w:val="00741B1B"/>
    <w:rsid w:val="00741B49"/>
    <w:rsid w:val="00741BAA"/>
    <w:rsid w:val="00741C3C"/>
    <w:rsid w:val="00741C4D"/>
    <w:rsid w:val="00741C8C"/>
    <w:rsid w:val="00741D0A"/>
    <w:rsid w:val="00741D24"/>
    <w:rsid w:val="00741DA6"/>
    <w:rsid w:val="00741E05"/>
    <w:rsid w:val="00741E0D"/>
    <w:rsid w:val="00741E38"/>
    <w:rsid w:val="00741E88"/>
    <w:rsid w:val="00741F74"/>
    <w:rsid w:val="00741FC1"/>
    <w:rsid w:val="007420D9"/>
    <w:rsid w:val="007420EC"/>
    <w:rsid w:val="0074218A"/>
    <w:rsid w:val="00742325"/>
    <w:rsid w:val="007423D5"/>
    <w:rsid w:val="00742469"/>
    <w:rsid w:val="00742483"/>
    <w:rsid w:val="00742538"/>
    <w:rsid w:val="007425E8"/>
    <w:rsid w:val="00742628"/>
    <w:rsid w:val="0074262B"/>
    <w:rsid w:val="00742686"/>
    <w:rsid w:val="00742690"/>
    <w:rsid w:val="007426CE"/>
    <w:rsid w:val="00742749"/>
    <w:rsid w:val="007427C8"/>
    <w:rsid w:val="007427D8"/>
    <w:rsid w:val="007427EC"/>
    <w:rsid w:val="00742808"/>
    <w:rsid w:val="00742923"/>
    <w:rsid w:val="00742989"/>
    <w:rsid w:val="00742A45"/>
    <w:rsid w:val="00742AA2"/>
    <w:rsid w:val="00742AD1"/>
    <w:rsid w:val="00742AF1"/>
    <w:rsid w:val="00742B67"/>
    <w:rsid w:val="00742B7D"/>
    <w:rsid w:val="00742B7E"/>
    <w:rsid w:val="00742D54"/>
    <w:rsid w:val="00742D5A"/>
    <w:rsid w:val="00742E59"/>
    <w:rsid w:val="00742E6C"/>
    <w:rsid w:val="00742F7E"/>
    <w:rsid w:val="00742FB8"/>
    <w:rsid w:val="0074310B"/>
    <w:rsid w:val="00743170"/>
    <w:rsid w:val="007431F7"/>
    <w:rsid w:val="00743382"/>
    <w:rsid w:val="007433D0"/>
    <w:rsid w:val="0074340D"/>
    <w:rsid w:val="00743550"/>
    <w:rsid w:val="00743553"/>
    <w:rsid w:val="007435A5"/>
    <w:rsid w:val="007435BB"/>
    <w:rsid w:val="007435BE"/>
    <w:rsid w:val="00743621"/>
    <w:rsid w:val="00743677"/>
    <w:rsid w:val="007437BF"/>
    <w:rsid w:val="00743811"/>
    <w:rsid w:val="00743863"/>
    <w:rsid w:val="00743957"/>
    <w:rsid w:val="0074395D"/>
    <w:rsid w:val="00743979"/>
    <w:rsid w:val="007439A9"/>
    <w:rsid w:val="007439B3"/>
    <w:rsid w:val="00743A66"/>
    <w:rsid w:val="00743AA6"/>
    <w:rsid w:val="00743BC5"/>
    <w:rsid w:val="00743BD7"/>
    <w:rsid w:val="00743C14"/>
    <w:rsid w:val="00743C34"/>
    <w:rsid w:val="00743C8B"/>
    <w:rsid w:val="00743CFB"/>
    <w:rsid w:val="00743DCA"/>
    <w:rsid w:val="00743EF9"/>
    <w:rsid w:val="00743F1C"/>
    <w:rsid w:val="0074404A"/>
    <w:rsid w:val="007440D6"/>
    <w:rsid w:val="007440EE"/>
    <w:rsid w:val="0074413F"/>
    <w:rsid w:val="007441A7"/>
    <w:rsid w:val="007443A9"/>
    <w:rsid w:val="00744575"/>
    <w:rsid w:val="00744585"/>
    <w:rsid w:val="0074463A"/>
    <w:rsid w:val="007446A1"/>
    <w:rsid w:val="007446C9"/>
    <w:rsid w:val="0074473D"/>
    <w:rsid w:val="0074474B"/>
    <w:rsid w:val="00744795"/>
    <w:rsid w:val="007447AB"/>
    <w:rsid w:val="007447BF"/>
    <w:rsid w:val="0074482B"/>
    <w:rsid w:val="00744891"/>
    <w:rsid w:val="007448C6"/>
    <w:rsid w:val="0074499C"/>
    <w:rsid w:val="007449B0"/>
    <w:rsid w:val="00744AED"/>
    <w:rsid w:val="00744B3A"/>
    <w:rsid w:val="00744B90"/>
    <w:rsid w:val="00744C97"/>
    <w:rsid w:val="00744D11"/>
    <w:rsid w:val="00744E1D"/>
    <w:rsid w:val="00744F82"/>
    <w:rsid w:val="00745073"/>
    <w:rsid w:val="00745149"/>
    <w:rsid w:val="00745180"/>
    <w:rsid w:val="007451A6"/>
    <w:rsid w:val="007451E9"/>
    <w:rsid w:val="0074526E"/>
    <w:rsid w:val="007453C2"/>
    <w:rsid w:val="007453EE"/>
    <w:rsid w:val="00745503"/>
    <w:rsid w:val="00745642"/>
    <w:rsid w:val="0074567C"/>
    <w:rsid w:val="007456B9"/>
    <w:rsid w:val="007456DF"/>
    <w:rsid w:val="00745769"/>
    <w:rsid w:val="00745806"/>
    <w:rsid w:val="007458AD"/>
    <w:rsid w:val="007458B0"/>
    <w:rsid w:val="00745A62"/>
    <w:rsid w:val="00745B11"/>
    <w:rsid w:val="00745BAD"/>
    <w:rsid w:val="00745BB4"/>
    <w:rsid w:val="00745C23"/>
    <w:rsid w:val="00745C25"/>
    <w:rsid w:val="00745D50"/>
    <w:rsid w:val="00745DE4"/>
    <w:rsid w:val="00745DF7"/>
    <w:rsid w:val="00745E4F"/>
    <w:rsid w:val="00745F73"/>
    <w:rsid w:val="00745FE6"/>
    <w:rsid w:val="00746028"/>
    <w:rsid w:val="00746083"/>
    <w:rsid w:val="00746089"/>
    <w:rsid w:val="00746090"/>
    <w:rsid w:val="0074610C"/>
    <w:rsid w:val="00746133"/>
    <w:rsid w:val="00746211"/>
    <w:rsid w:val="00746234"/>
    <w:rsid w:val="007462D4"/>
    <w:rsid w:val="00746388"/>
    <w:rsid w:val="007463FE"/>
    <w:rsid w:val="00746474"/>
    <w:rsid w:val="007464F8"/>
    <w:rsid w:val="00746637"/>
    <w:rsid w:val="00746690"/>
    <w:rsid w:val="0074669F"/>
    <w:rsid w:val="007466DC"/>
    <w:rsid w:val="00746721"/>
    <w:rsid w:val="00746731"/>
    <w:rsid w:val="00746746"/>
    <w:rsid w:val="0074680D"/>
    <w:rsid w:val="007468AA"/>
    <w:rsid w:val="007468CE"/>
    <w:rsid w:val="0074699F"/>
    <w:rsid w:val="007469A2"/>
    <w:rsid w:val="007469C1"/>
    <w:rsid w:val="00746A26"/>
    <w:rsid w:val="00746A6A"/>
    <w:rsid w:val="00746B69"/>
    <w:rsid w:val="00746B70"/>
    <w:rsid w:val="00746BE2"/>
    <w:rsid w:val="00746BF6"/>
    <w:rsid w:val="00746C75"/>
    <w:rsid w:val="00746C7B"/>
    <w:rsid w:val="00746C7D"/>
    <w:rsid w:val="00746C8F"/>
    <w:rsid w:val="00746C9C"/>
    <w:rsid w:val="00746D47"/>
    <w:rsid w:val="00746D6B"/>
    <w:rsid w:val="00746D78"/>
    <w:rsid w:val="00746DAA"/>
    <w:rsid w:val="00746DFC"/>
    <w:rsid w:val="00746EB7"/>
    <w:rsid w:val="00746EF1"/>
    <w:rsid w:val="00746F2C"/>
    <w:rsid w:val="00746FBB"/>
    <w:rsid w:val="007470E2"/>
    <w:rsid w:val="00747103"/>
    <w:rsid w:val="00747276"/>
    <w:rsid w:val="00747277"/>
    <w:rsid w:val="00747299"/>
    <w:rsid w:val="0074730D"/>
    <w:rsid w:val="00747503"/>
    <w:rsid w:val="0074754C"/>
    <w:rsid w:val="00747567"/>
    <w:rsid w:val="007475C4"/>
    <w:rsid w:val="007475D1"/>
    <w:rsid w:val="007476EB"/>
    <w:rsid w:val="00747717"/>
    <w:rsid w:val="007477CE"/>
    <w:rsid w:val="007477D1"/>
    <w:rsid w:val="00747801"/>
    <w:rsid w:val="0074782F"/>
    <w:rsid w:val="00747871"/>
    <w:rsid w:val="00747891"/>
    <w:rsid w:val="00747AA2"/>
    <w:rsid w:val="00747AF2"/>
    <w:rsid w:val="00747B1A"/>
    <w:rsid w:val="00747B40"/>
    <w:rsid w:val="00747C55"/>
    <w:rsid w:val="00747C62"/>
    <w:rsid w:val="00747CA2"/>
    <w:rsid w:val="00747E38"/>
    <w:rsid w:val="00747E7B"/>
    <w:rsid w:val="00747EAC"/>
    <w:rsid w:val="00747EF1"/>
    <w:rsid w:val="00747EF6"/>
    <w:rsid w:val="00747F4E"/>
    <w:rsid w:val="00747FC9"/>
    <w:rsid w:val="0075002B"/>
    <w:rsid w:val="007500C4"/>
    <w:rsid w:val="00750169"/>
    <w:rsid w:val="00750173"/>
    <w:rsid w:val="0075017C"/>
    <w:rsid w:val="007501E4"/>
    <w:rsid w:val="0075031A"/>
    <w:rsid w:val="00750381"/>
    <w:rsid w:val="007503B6"/>
    <w:rsid w:val="0075041B"/>
    <w:rsid w:val="007504E8"/>
    <w:rsid w:val="00750570"/>
    <w:rsid w:val="00750579"/>
    <w:rsid w:val="007505CA"/>
    <w:rsid w:val="00750616"/>
    <w:rsid w:val="0075062C"/>
    <w:rsid w:val="00750647"/>
    <w:rsid w:val="007506B2"/>
    <w:rsid w:val="0075072C"/>
    <w:rsid w:val="00750741"/>
    <w:rsid w:val="007507F6"/>
    <w:rsid w:val="007508D3"/>
    <w:rsid w:val="0075093A"/>
    <w:rsid w:val="007509F9"/>
    <w:rsid w:val="00750A2A"/>
    <w:rsid w:val="00750AA1"/>
    <w:rsid w:val="00750ABE"/>
    <w:rsid w:val="00750B5F"/>
    <w:rsid w:val="00750B6D"/>
    <w:rsid w:val="00750BE4"/>
    <w:rsid w:val="00750C7B"/>
    <w:rsid w:val="00750CC5"/>
    <w:rsid w:val="00750CFF"/>
    <w:rsid w:val="00750D87"/>
    <w:rsid w:val="00750D98"/>
    <w:rsid w:val="00750DB5"/>
    <w:rsid w:val="00750E60"/>
    <w:rsid w:val="00750E6B"/>
    <w:rsid w:val="00750E78"/>
    <w:rsid w:val="00750E84"/>
    <w:rsid w:val="00750EEC"/>
    <w:rsid w:val="00750F57"/>
    <w:rsid w:val="00750FC5"/>
    <w:rsid w:val="00751075"/>
    <w:rsid w:val="00751079"/>
    <w:rsid w:val="00751084"/>
    <w:rsid w:val="007510AE"/>
    <w:rsid w:val="007510B5"/>
    <w:rsid w:val="007510C3"/>
    <w:rsid w:val="00751195"/>
    <w:rsid w:val="00751211"/>
    <w:rsid w:val="00751236"/>
    <w:rsid w:val="007512DA"/>
    <w:rsid w:val="00751309"/>
    <w:rsid w:val="0075130B"/>
    <w:rsid w:val="00751332"/>
    <w:rsid w:val="00751335"/>
    <w:rsid w:val="00751369"/>
    <w:rsid w:val="007513AE"/>
    <w:rsid w:val="007513DA"/>
    <w:rsid w:val="0075146A"/>
    <w:rsid w:val="00751474"/>
    <w:rsid w:val="007514F9"/>
    <w:rsid w:val="00751521"/>
    <w:rsid w:val="00751564"/>
    <w:rsid w:val="0075157F"/>
    <w:rsid w:val="00751602"/>
    <w:rsid w:val="00751636"/>
    <w:rsid w:val="00751662"/>
    <w:rsid w:val="007516E1"/>
    <w:rsid w:val="00751702"/>
    <w:rsid w:val="00751703"/>
    <w:rsid w:val="007517F0"/>
    <w:rsid w:val="007517FE"/>
    <w:rsid w:val="00751935"/>
    <w:rsid w:val="0075195C"/>
    <w:rsid w:val="007519C1"/>
    <w:rsid w:val="00751A2B"/>
    <w:rsid w:val="00751A69"/>
    <w:rsid w:val="00751A6C"/>
    <w:rsid w:val="00751B31"/>
    <w:rsid w:val="00751B5B"/>
    <w:rsid w:val="00751B75"/>
    <w:rsid w:val="00751BA5"/>
    <w:rsid w:val="00751CD5"/>
    <w:rsid w:val="00751D5D"/>
    <w:rsid w:val="00751D7D"/>
    <w:rsid w:val="00751DA4"/>
    <w:rsid w:val="00751FF1"/>
    <w:rsid w:val="00752044"/>
    <w:rsid w:val="0075207C"/>
    <w:rsid w:val="0075208C"/>
    <w:rsid w:val="007520A3"/>
    <w:rsid w:val="007520AD"/>
    <w:rsid w:val="007520DF"/>
    <w:rsid w:val="00752117"/>
    <w:rsid w:val="0075223A"/>
    <w:rsid w:val="007522FF"/>
    <w:rsid w:val="00752392"/>
    <w:rsid w:val="007523FD"/>
    <w:rsid w:val="00752439"/>
    <w:rsid w:val="007524BA"/>
    <w:rsid w:val="007524CA"/>
    <w:rsid w:val="007524EC"/>
    <w:rsid w:val="00752514"/>
    <w:rsid w:val="0075259D"/>
    <w:rsid w:val="00752649"/>
    <w:rsid w:val="0075268F"/>
    <w:rsid w:val="007526BA"/>
    <w:rsid w:val="00752726"/>
    <w:rsid w:val="00752786"/>
    <w:rsid w:val="007527A7"/>
    <w:rsid w:val="007528B1"/>
    <w:rsid w:val="00752931"/>
    <w:rsid w:val="00752984"/>
    <w:rsid w:val="007529D3"/>
    <w:rsid w:val="00752A06"/>
    <w:rsid w:val="00752B37"/>
    <w:rsid w:val="00752B3E"/>
    <w:rsid w:val="00752B61"/>
    <w:rsid w:val="00752B85"/>
    <w:rsid w:val="00752B8F"/>
    <w:rsid w:val="00752BD5"/>
    <w:rsid w:val="00752C18"/>
    <w:rsid w:val="00752C50"/>
    <w:rsid w:val="00752C7F"/>
    <w:rsid w:val="00752CC4"/>
    <w:rsid w:val="00752D3D"/>
    <w:rsid w:val="00752D63"/>
    <w:rsid w:val="00752E21"/>
    <w:rsid w:val="00752E23"/>
    <w:rsid w:val="00752E64"/>
    <w:rsid w:val="00752EE0"/>
    <w:rsid w:val="00752F0E"/>
    <w:rsid w:val="00752FAF"/>
    <w:rsid w:val="0075309D"/>
    <w:rsid w:val="007530C4"/>
    <w:rsid w:val="007530CF"/>
    <w:rsid w:val="007530E4"/>
    <w:rsid w:val="0075312B"/>
    <w:rsid w:val="00753250"/>
    <w:rsid w:val="00753254"/>
    <w:rsid w:val="00753259"/>
    <w:rsid w:val="00753281"/>
    <w:rsid w:val="00753288"/>
    <w:rsid w:val="007532C8"/>
    <w:rsid w:val="007532DE"/>
    <w:rsid w:val="0075332F"/>
    <w:rsid w:val="00753454"/>
    <w:rsid w:val="007534E4"/>
    <w:rsid w:val="0075357F"/>
    <w:rsid w:val="007535E1"/>
    <w:rsid w:val="007536BD"/>
    <w:rsid w:val="00753820"/>
    <w:rsid w:val="0075388D"/>
    <w:rsid w:val="00753949"/>
    <w:rsid w:val="0075396D"/>
    <w:rsid w:val="007539EE"/>
    <w:rsid w:val="00753A0D"/>
    <w:rsid w:val="00753A2D"/>
    <w:rsid w:val="00753A37"/>
    <w:rsid w:val="00753A55"/>
    <w:rsid w:val="00753AE8"/>
    <w:rsid w:val="00753AF7"/>
    <w:rsid w:val="00753BA6"/>
    <w:rsid w:val="00753BA9"/>
    <w:rsid w:val="00753CD1"/>
    <w:rsid w:val="00753ED4"/>
    <w:rsid w:val="00753FF7"/>
    <w:rsid w:val="0075402A"/>
    <w:rsid w:val="00754040"/>
    <w:rsid w:val="00754084"/>
    <w:rsid w:val="007540E8"/>
    <w:rsid w:val="00754119"/>
    <w:rsid w:val="00754384"/>
    <w:rsid w:val="00754398"/>
    <w:rsid w:val="007543BA"/>
    <w:rsid w:val="007543CB"/>
    <w:rsid w:val="007545D2"/>
    <w:rsid w:val="007545EE"/>
    <w:rsid w:val="00754602"/>
    <w:rsid w:val="0075462F"/>
    <w:rsid w:val="00754693"/>
    <w:rsid w:val="00754819"/>
    <w:rsid w:val="00754832"/>
    <w:rsid w:val="00754936"/>
    <w:rsid w:val="0075493A"/>
    <w:rsid w:val="007549F1"/>
    <w:rsid w:val="00754A5F"/>
    <w:rsid w:val="00754A7A"/>
    <w:rsid w:val="00754AAC"/>
    <w:rsid w:val="00754AE8"/>
    <w:rsid w:val="00754B68"/>
    <w:rsid w:val="00754E08"/>
    <w:rsid w:val="00754F81"/>
    <w:rsid w:val="00754FF1"/>
    <w:rsid w:val="0075502D"/>
    <w:rsid w:val="00755071"/>
    <w:rsid w:val="00755086"/>
    <w:rsid w:val="00755220"/>
    <w:rsid w:val="00755244"/>
    <w:rsid w:val="007552E4"/>
    <w:rsid w:val="00755303"/>
    <w:rsid w:val="0075532B"/>
    <w:rsid w:val="00755356"/>
    <w:rsid w:val="0075538B"/>
    <w:rsid w:val="0075538C"/>
    <w:rsid w:val="00755395"/>
    <w:rsid w:val="007553C5"/>
    <w:rsid w:val="007554C8"/>
    <w:rsid w:val="00755502"/>
    <w:rsid w:val="007555CF"/>
    <w:rsid w:val="007556FF"/>
    <w:rsid w:val="00755755"/>
    <w:rsid w:val="0075575B"/>
    <w:rsid w:val="007557A7"/>
    <w:rsid w:val="007557BF"/>
    <w:rsid w:val="0075581D"/>
    <w:rsid w:val="0075586B"/>
    <w:rsid w:val="0075588E"/>
    <w:rsid w:val="007558C8"/>
    <w:rsid w:val="007558CA"/>
    <w:rsid w:val="007558E3"/>
    <w:rsid w:val="00755938"/>
    <w:rsid w:val="00755940"/>
    <w:rsid w:val="0075597F"/>
    <w:rsid w:val="00755AF5"/>
    <w:rsid w:val="00755CAC"/>
    <w:rsid w:val="00755E74"/>
    <w:rsid w:val="00755F31"/>
    <w:rsid w:val="00755F7F"/>
    <w:rsid w:val="00756034"/>
    <w:rsid w:val="00756062"/>
    <w:rsid w:val="007560EF"/>
    <w:rsid w:val="00756125"/>
    <w:rsid w:val="00756138"/>
    <w:rsid w:val="0075613F"/>
    <w:rsid w:val="0075616B"/>
    <w:rsid w:val="0075619C"/>
    <w:rsid w:val="007561D7"/>
    <w:rsid w:val="007561DD"/>
    <w:rsid w:val="0075634F"/>
    <w:rsid w:val="0075637B"/>
    <w:rsid w:val="00756435"/>
    <w:rsid w:val="00756497"/>
    <w:rsid w:val="007565F6"/>
    <w:rsid w:val="00756616"/>
    <w:rsid w:val="00756624"/>
    <w:rsid w:val="0075662D"/>
    <w:rsid w:val="007566A1"/>
    <w:rsid w:val="007566DD"/>
    <w:rsid w:val="00756746"/>
    <w:rsid w:val="00756788"/>
    <w:rsid w:val="007567C6"/>
    <w:rsid w:val="00756845"/>
    <w:rsid w:val="00756862"/>
    <w:rsid w:val="00756A65"/>
    <w:rsid w:val="00756BAF"/>
    <w:rsid w:val="00756C48"/>
    <w:rsid w:val="00756D28"/>
    <w:rsid w:val="00756D86"/>
    <w:rsid w:val="00756D8E"/>
    <w:rsid w:val="00756DAF"/>
    <w:rsid w:val="00756DF5"/>
    <w:rsid w:val="00756FD1"/>
    <w:rsid w:val="00756FFA"/>
    <w:rsid w:val="007570B1"/>
    <w:rsid w:val="007570B5"/>
    <w:rsid w:val="007570EC"/>
    <w:rsid w:val="0075716C"/>
    <w:rsid w:val="007571C6"/>
    <w:rsid w:val="007571F5"/>
    <w:rsid w:val="00757202"/>
    <w:rsid w:val="0075728E"/>
    <w:rsid w:val="007572CB"/>
    <w:rsid w:val="007573CB"/>
    <w:rsid w:val="007573D6"/>
    <w:rsid w:val="007573DA"/>
    <w:rsid w:val="007573EC"/>
    <w:rsid w:val="00757457"/>
    <w:rsid w:val="00757538"/>
    <w:rsid w:val="007575A0"/>
    <w:rsid w:val="007575B2"/>
    <w:rsid w:val="00757654"/>
    <w:rsid w:val="007576E5"/>
    <w:rsid w:val="0075772B"/>
    <w:rsid w:val="00757730"/>
    <w:rsid w:val="00757790"/>
    <w:rsid w:val="007577A7"/>
    <w:rsid w:val="007577AE"/>
    <w:rsid w:val="007577E2"/>
    <w:rsid w:val="00757853"/>
    <w:rsid w:val="00757949"/>
    <w:rsid w:val="00757976"/>
    <w:rsid w:val="00757BC5"/>
    <w:rsid w:val="00757C62"/>
    <w:rsid w:val="00757C8C"/>
    <w:rsid w:val="00757CBD"/>
    <w:rsid w:val="00757FBB"/>
    <w:rsid w:val="0076019D"/>
    <w:rsid w:val="007601FF"/>
    <w:rsid w:val="0076020D"/>
    <w:rsid w:val="00760271"/>
    <w:rsid w:val="007602AF"/>
    <w:rsid w:val="00760322"/>
    <w:rsid w:val="00760342"/>
    <w:rsid w:val="00760391"/>
    <w:rsid w:val="007603D5"/>
    <w:rsid w:val="00760422"/>
    <w:rsid w:val="00760487"/>
    <w:rsid w:val="007604AA"/>
    <w:rsid w:val="007604BE"/>
    <w:rsid w:val="00760513"/>
    <w:rsid w:val="00760530"/>
    <w:rsid w:val="0076058D"/>
    <w:rsid w:val="007606E8"/>
    <w:rsid w:val="0076070E"/>
    <w:rsid w:val="00760970"/>
    <w:rsid w:val="007609C1"/>
    <w:rsid w:val="007609CA"/>
    <w:rsid w:val="00760A17"/>
    <w:rsid w:val="00760ACE"/>
    <w:rsid w:val="00760AFD"/>
    <w:rsid w:val="00760B65"/>
    <w:rsid w:val="00760CFE"/>
    <w:rsid w:val="00760D20"/>
    <w:rsid w:val="00760D24"/>
    <w:rsid w:val="00760DBB"/>
    <w:rsid w:val="00760E41"/>
    <w:rsid w:val="0076106C"/>
    <w:rsid w:val="007610C2"/>
    <w:rsid w:val="00761142"/>
    <w:rsid w:val="00761170"/>
    <w:rsid w:val="0076132B"/>
    <w:rsid w:val="00761384"/>
    <w:rsid w:val="00761459"/>
    <w:rsid w:val="0076148C"/>
    <w:rsid w:val="007614A3"/>
    <w:rsid w:val="007614E5"/>
    <w:rsid w:val="00761525"/>
    <w:rsid w:val="00761594"/>
    <w:rsid w:val="00761607"/>
    <w:rsid w:val="0076169E"/>
    <w:rsid w:val="0076170D"/>
    <w:rsid w:val="00761739"/>
    <w:rsid w:val="00761748"/>
    <w:rsid w:val="00761765"/>
    <w:rsid w:val="00761787"/>
    <w:rsid w:val="00761792"/>
    <w:rsid w:val="00761856"/>
    <w:rsid w:val="0076188C"/>
    <w:rsid w:val="007618E8"/>
    <w:rsid w:val="00761A66"/>
    <w:rsid w:val="00761C17"/>
    <w:rsid w:val="00761DB6"/>
    <w:rsid w:val="00761DE0"/>
    <w:rsid w:val="00761E48"/>
    <w:rsid w:val="00761EC0"/>
    <w:rsid w:val="00761F0F"/>
    <w:rsid w:val="00761FA4"/>
    <w:rsid w:val="00761FBA"/>
    <w:rsid w:val="0076205A"/>
    <w:rsid w:val="00762112"/>
    <w:rsid w:val="0076212B"/>
    <w:rsid w:val="00762157"/>
    <w:rsid w:val="00762254"/>
    <w:rsid w:val="0076235C"/>
    <w:rsid w:val="007623E4"/>
    <w:rsid w:val="00762464"/>
    <w:rsid w:val="007624E0"/>
    <w:rsid w:val="00762528"/>
    <w:rsid w:val="007625CE"/>
    <w:rsid w:val="00762672"/>
    <w:rsid w:val="00762674"/>
    <w:rsid w:val="00762707"/>
    <w:rsid w:val="007627CD"/>
    <w:rsid w:val="007627E9"/>
    <w:rsid w:val="00762878"/>
    <w:rsid w:val="00762889"/>
    <w:rsid w:val="007628CB"/>
    <w:rsid w:val="007628D4"/>
    <w:rsid w:val="00762910"/>
    <w:rsid w:val="0076291F"/>
    <w:rsid w:val="00762947"/>
    <w:rsid w:val="00762973"/>
    <w:rsid w:val="0076297A"/>
    <w:rsid w:val="007629E1"/>
    <w:rsid w:val="00762A83"/>
    <w:rsid w:val="00762A8D"/>
    <w:rsid w:val="00762AB3"/>
    <w:rsid w:val="00762B57"/>
    <w:rsid w:val="00762BF1"/>
    <w:rsid w:val="00762D65"/>
    <w:rsid w:val="00762EF7"/>
    <w:rsid w:val="00762F30"/>
    <w:rsid w:val="00762FCF"/>
    <w:rsid w:val="00763060"/>
    <w:rsid w:val="00763068"/>
    <w:rsid w:val="007630B8"/>
    <w:rsid w:val="00763111"/>
    <w:rsid w:val="00763131"/>
    <w:rsid w:val="007631EA"/>
    <w:rsid w:val="007631F0"/>
    <w:rsid w:val="0076323B"/>
    <w:rsid w:val="00763269"/>
    <w:rsid w:val="007632DB"/>
    <w:rsid w:val="007632ED"/>
    <w:rsid w:val="00763344"/>
    <w:rsid w:val="0076336E"/>
    <w:rsid w:val="007633C6"/>
    <w:rsid w:val="007634B1"/>
    <w:rsid w:val="007634B3"/>
    <w:rsid w:val="00763536"/>
    <w:rsid w:val="0076359A"/>
    <w:rsid w:val="007635BA"/>
    <w:rsid w:val="007635C6"/>
    <w:rsid w:val="00763689"/>
    <w:rsid w:val="00763705"/>
    <w:rsid w:val="00763718"/>
    <w:rsid w:val="007637C1"/>
    <w:rsid w:val="007637C8"/>
    <w:rsid w:val="007637CB"/>
    <w:rsid w:val="0076386D"/>
    <w:rsid w:val="007638BD"/>
    <w:rsid w:val="007638FD"/>
    <w:rsid w:val="00763976"/>
    <w:rsid w:val="00763992"/>
    <w:rsid w:val="007639A8"/>
    <w:rsid w:val="00763A3E"/>
    <w:rsid w:val="00763A77"/>
    <w:rsid w:val="00763A9B"/>
    <w:rsid w:val="00763AA9"/>
    <w:rsid w:val="00763B12"/>
    <w:rsid w:val="00763B8E"/>
    <w:rsid w:val="00763C5A"/>
    <w:rsid w:val="00763C85"/>
    <w:rsid w:val="00763C96"/>
    <w:rsid w:val="00763D13"/>
    <w:rsid w:val="00763DC5"/>
    <w:rsid w:val="00763E11"/>
    <w:rsid w:val="00763F12"/>
    <w:rsid w:val="00763F3D"/>
    <w:rsid w:val="00764087"/>
    <w:rsid w:val="0076416C"/>
    <w:rsid w:val="007641D8"/>
    <w:rsid w:val="007642AE"/>
    <w:rsid w:val="00764313"/>
    <w:rsid w:val="00764442"/>
    <w:rsid w:val="00764486"/>
    <w:rsid w:val="007644AB"/>
    <w:rsid w:val="00764595"/>
    <w:rsid w:val="0076466E"/>
    <w:rsid w:val="007646E1"/>
    <w:rsid w:val="0076472C"/>
    <w:rsid w:val="0076476D"/>
    <w:rsid w:val="007647C0"/>
    <w:rsid w:val="007647DE"/>
    <w:rsid w:val="00764860"/>
    <w:rsid w:val="007648A0"/>
    <w:rsid w:val="007648A1"/>
    <w:rsid w:val="00764A57"/>
    <w:rsid w:val="00764A60"/>
    <w:rsid w:val="00764B37"/>
    <w:rsid w:val="00764B7A"/>
    <w:rsid w:val="00764BC7"/>
    <w:rsid w:val="00764C6A"/>
    <w:rsid w:val="00764D4F"/>
    <w:rsid w:val="00764D62"/>
    <w:rsid w:val="00764E2B"/>
    <w:rsid w:val="00764E36"/>
    <w:rsid w:val="00764E64"/>
    <w:rsid w:val="00764E8C"/>
    <w:rsid w:val="00764F01"/>
    <w:rsid w:val="00764FBC"/>
    <w:rsid w:val="00765115"/>
    <w:rsid w:val="00765201"/>
    <w:rsid w:val="00765202"/>
    <w:rsid w:val="0076526A"/>
    <w:rsid w:val="007652BB"/>
    <w:rsid w:val="0076550A"/>
    <w:rsid w:val="00765559"/>
    <w:rsid w:val="00765570"/>
    <w:rsid w:val="00765619"/>
    <w:rsid w:val="00765624"/>
    <w:rsid w:val="0076564F"/>
    <w:rsid w:val="00765658"/>
    <w:rsid w:val="0076579E"/>
    <w:rsid w:val="007657BB"/>
    <w:rsid w:val="00765803"/>
    <w:rsid w:val="00765860"/>
    <w:rsid w:val="007658B6"/>
    <w:rsid w:val="00765987"/>
    <w:rsid w:val="00765A10"/>
    <w:rsid w:val="00765B46"/>
    <w:rsid w:val="00765BAE"/>
    <w:rsid w:val="00765CCE"/>
    <w:rsid w:val="00765D32"/>
    <w:rsid w:val="00765D50"/>
    <w:rsid w:val="00765D67"/>
    <w:rsid w:val="00765D68"/>
    <w:rsid w:val="00765E1A"/>
    <w:rsid w:val="00765E21"/>
    <w:rsid w:val="00765ED3"/>
    <w:rsid w:val="00765F4E"/>
    <w:rsid w:val="00766073"/>
    <w:rsid w:val="007660A9"/>
    <w:rsid w:val="0076611A"/>
    <w:rsid w:val="00766136"/>
    <w:rsid w:val="00766223"/>
    <w:rsid w:val="00766234"/>
    <w:rsid w:val="007662AF"/>
    <w:rsid w:val="007662CA"/>
    <w:rsid w:val="0076631A"/>
    <w:rsid w:val="00766370"/>
    <w:rsid w:val="007663C3"/>
    <w:rsid w:val="007663E7"/>
    <w:rsid w:val="007663FB"/>
    <w:rsid w:val="0076642A"/>
    <w:rsid w:val="00766437"/>
    <w:rsid w:val="00766438"/>
    <w:rsid w:val="007665FB"/>
    <w:rsid w:val="0076660E"/>
    <w:rsid w:val="00766630"/>
    <w:rsid w:val="00766686"/>
    <w:rsid w:val="007666AE"/>
    <w:rsid w:val="007666BE"/>
    <w:rsid w:val="007666E4"/>
    <w:rsid w:val="0076677A"/>
    <w:rsid w:val="00766837"/>
    <w:rsid w:val="0076696D"/>
    <w:rsid w:val="00766989"/>
    <w:rsid w:val="00766999"/>
    <w:rsid w:val="007669E9"/>
    <w:rsid w:val="00766A72"/>
    <w:rsid w:val="00766AB9"/>
    <w:rsid w:val="00766B2C"/>
    <w:rsid w:val="00766B95"/>
    <w:rsid w:val="00766C31"/>
    <w:rsid w:val="00766C6C"/>
    <w:rsid w:val="00766DB3"/>
    <w:rsid w:val="00766E43"/>
    <w:rsid w:val="00766EAD"/>
    <w:rsid w:val="00766EC2"/>
    <w:rsid w:val="00766F65"/>
    <w:rsid w:val="00766F8C"/>
    <w:rsid w:val="00766FED"/>
    <w:rsid w:val="00767035"/>
    <w:rsid w:val="007670C0"/>
    <w:rsid w:val="007670DC"/>
    <w:rsid w:val="0076714B"/>
    <w:rsid w:val="0076717D"/>
    <w:rsid w:val="007671D0"/>
    <w:rsid w:val="007671EF"/>
    <w:rsid w:val="00767259"/>
    <w:rsid w:val="0076733C"/>
    <w:rsid w:val="007673A8"/>
    <w:rsid w:val="007673BC"/>
    <w:rsid w:val="00767430"/>
    <w:rsid w:val="0076749C"/>
    <w:rsid w:val="007674A4"/>
    <w:rsid w:val="007674A8"/>
    <w:rsid w:val="007674FA"/>
    <w:rsid w:val="00767611"/>
    <w:rsid w:val="00767618"/>
    <w:rsid w:val="0076761F"/>
    <w:rsid w:val="00767717"/>
    <w:rsid w:val="00767747"/>
    <w:rsid w:val="007677B8"/>
    <w:rsid w:val="007678B7"/>
    <w:rsid w:val="007678D0"/>
    <w:rsid w:val="00767911"/>
    <w:rsid w:val="007679C3"/>
    <w:rsid w:val="007679E1"/>
    <w:rsid w:val="007679E3"/>
    <w:rsid w:val="00767A17"/>
    <w:rsid w:val="00767A1F"/>
    <w:rsid w:val="00767A68"/>
    <w:rsid w:val="00767ADB"/>
    <w:rsid w:val="00767B2D"/>
    <w:rsid w:val="00767BB0"/>
    <w:rsid w:val="00767BB7"/>
    <w:rsid w:val="00767C6A"/>
    <w:rsid w:val="00767C92"/>
    <w:rsid w:val="00767D17"/>
    <w:rsid w:val="00767DD2"/>
    <w:rsid w:val="00767E39"/>
    <w:rsid w:val="00767E77"/>
    <w:rsid w:val="00767EC1"/>
    <w:rsid w:val="00767EE1"/>
    <w:rsid w:val="00767EF2"/>
    <w:rsid w:val="00770007"/>
    <w:rsid w:val="00770079"/>
    <w:rsid w:val="00770331"/>
    <w:rsid w:val="00770357"/>
    <w:rsid w:val="007704B1"/>
    <w:rsid w:val="007704B3"/>
    <w:rsid w:val="0077058A"/>
    <w:rsid w:val="007706C2"/>
    <w:rsid w:val="007706EF"/>
    <w:rsid w:val="00770725"/>
    <w:rsid w:val="0077086A"/>
    <w:rsid w:val="0077095C"/>
    <w:rsid w:val="00770AE0"/>
    <w:rsid w:val="00770BB8"/>
    <w:rsid w:val="00770C5F"/>
    <w:rsid w:val="00770D10"/>
    <w:rsid w:val="00770D3B"/>
    <w:rsid w:val="00770D42"/>
    <w:rsid w:val="00770FA7"/>
    <w:rsid w:val="007710DC"/>
    <w:rsid w:val="0077115E"/>
    <w:rsid w:val="0077118B"/>
    <w:rsid w:val="007711D3"/>
    <w:rsid w:val="007711FF"/>
    <w:rsid w:val="00771205"/>
    <w:rsid w:val="00771286"/>
    <w:rsid w:val="007712AB"/>
    <w:rsid w:val="007712C4"/>
    <w:rsid w:val="0077147B"/>
    <w:rsid w:val="007714AA"/>
    <w:rsid w:val="007714E5"/>
    <w:rsid w:val="00771576"/>
    <w:rsid w:val="00771631"/>
    <w:rsid w:val="00771666"/>
    <w:rsid w:val="007716FF"/>
    <w:rsid w:val="00771734"/>
    <w:rsid w:val="00771758"/>
    <w:rsid w:val="00771779"/>
    <w:rsid w:val="007718B5"/>
    <w:rsid w:val="00771939"/>
    <w:rsid w:val="007719B9"/>
    <w:rsid w:val="00771A8B"/>
    <w:rsid w:val="00771AF0"/>
    <w:rsid w:val="00771AF6"/>
    <w:rsid w:val="00771B39"/>
    <w:rsid w:val="00771B4A"/>
    <w:rsid w:val="00771B88"/>
    <w:rsid w:val="00771B8D"/>
    <w:rsid w:val="00771BE7"/>
    <w:rsid w:val="00771CA2"/>
    <w:rsid w:val="00771D09"/>
    <w:rsid w:val="00771DE2"/>
    <w:rsid w:val="00771E26"/>
    <w:rsid w:val="00771E76"/>
    <w:rsid w:val="00771E91"/>
    <w:rsid w:val="00771ED6"/>
    <w:rsid w:val="00771F09"/>
    <w:rsid w:val="00771F29"/>
    <w:rsid w:val="00771F57"/>
    <w:rsid w:val="00771FAD"/>
    <w:rsid w:val="00772023"/>
    <w:rsid w:val="00772073"/>
    <w:rsid w:val="00772097"/>
    <w:rsid w:val="0077211D"/>
    <w:rsid w:val="00772124"/>
    <w:rsid w:val="00772144"/>
    <w:rsid w:val="00772160"/>
    <w:rsid w:val="00772347"/>
    <w:rsid w:val="0077244A"/>
    <w:rsid w:val="00772457"/>
    <w:rsid w:val="00772487"/>
    <w:rsid w:val="00772490"/>
    <w:rsid w:val="007724A5"/>
    <w:rsid w:val="007724C0"/>
    <w:rsid w:val="00772539"/>
    <w:rsid w:val="00772623"/>
    <w:rsid w:val="0077264B"/>
    <w:rsid w:val="00772668"/>
    <w:rsid w:val="0077268C"/>
    <w:rsid w:val="0077272C"/>
    <w:rsid w:val="00772784"/>
    <w:rsid w:val="00772861"/>
    <w:rsid w:val="007728A3"/>
    <w:rsid w:val="007729B6"/>
    <w:rsid w:val="007729FE"/>
    <w:rsid w:val="00772A1F"/>
    <w:rsid w:val="00772A41"/>
    <w:rsid w:val="00772AB5"/>
    <w:rsid w:val="00772ACF"/>
    <w:rsid w:val="00772AED"/>
    <w:rsid w:val="00772B26"/>
    <w:rsid w:val="00772B2E"/>
    <w:rsid w:val="00772B3A"/>
    <w:rsid w:val="00772BB0"/>
    <w:rsid w:val="00772BF1"/>
    <w:rsid w:val="00772C34"/>
    <w:rsid w:val="00772C8D"/>
    <w:rsid w:val="00772C93"/>
    <w:rsid w:val="00772CFD"/>
    <w:rsid w:val="00772D47"/>
    <w:rsid w:val="00772F2E"/>
    <w:rsid w:val="00772FAB"/>
    <w:rsid w:val="00772FC2"/>
    <w:rsid w:val="00773030"/>
    <w:rsid w:val="00773041"/>
    <w:rsid w:val="00773099"/>
    <w:rsid w:val="007730FF"/>
    <w:rsid w:val="007731FC"/>
    <w:rsid w:val="0077321E"/>
    <w:rsid w:val="00773230"/>
    <w:rsid w:val="007732AA"/>
    <w:rsid w:val="00773389"/>
    <w:rsid w:val="00773413"/>
    <w:rsid w:val="0077342D"/>
    <w:rsid w:val="00773476"/>
    <w:rsid w:val="007734A2"/>
    <w:rsid w:val="00773527"/>
    <w:rsid w:val="0077355C"/>
    <w:rsid w:val="0077356F"/>
    <w:rsid w:val="0077359B"/>
    <w:rsid w:val="007735AE"/>
    <w:rsid w:val="007735B9"/>
    <w:rsid w:val="007736B6"/>
    <w:rsid w:val="0077371A"/>
    <w:rsid w:val="0077371F"/>
    <w:rsid w:val="0077374F"/>
    <w:rsid w:val="00773750"/>
    <w:rsid w:val="00773766"/>
    <w:rsid w:val="00773795"/>
    <w:rsid w:val="007737DB"/>
    <w:rsid w:val="0077382A"/>
    <w:rsid w:val="00773846"/>
    <w:rsid w:val="007738FB"/>
    <w:rsid w:val="0077398F"/>
    <w:rsid w:val="007739A4"/>
    <w:rsid w:val="00773A46"/>
    <w:rsid w:val="00773BD0"/>
    <w:rsid w:val="00773C08"/>
    <w:rsid w:val="00773C19"/>
    <w:rsid w:val="00773D09"/>
    <w:rsid w:val="00773D80"/>
    <w:rsid w:val="00773DB9"/>
    <w:rsid w:val="00773DC5"/>
    <w:rsid w:val="00773DF3"/>
    <w:rsid w:val="00773E1A"/>
    <w:rsid w:val="00773E6F"/>
    <w:rsid w:val="00773ECB"/>
    <w:rsid w:val="00773F75"/>
    <w:rsid w:val="00774004"/>
    <w:rsid w:val="00774085"/>
    <w:rsid w:val="00774207"/>
    <w:rsid w:val="00774279"/>
    <w:rsid w:val="00774289"/>
    <w:rsid w:val="007742C8"/>
    <w:rsid w:val="00774339"/>
    <w:rsid w:val="007743F2"/>
    <w:rsid w:val="00774403"/>
    <w:rsid w:val="00774422"/>
    <w:rsid w:val="0077446F"/>
    <w:rsid w:val="00774496"/>
    <w:rsid w:val="00774581"/>
    <w:rsid w:val="0077461B"/>
    <w:rsid w:val="00774789"/>
    <w:rsid w:val="007747CE"/>
    <w:rsid w:val="00774821"/>
    <w:rsid w:val="0077487F"/>
    <w:rsid w:val="007748D0"/>
    <w:rsid w:val="00774A88"/>
    <w:rsid w:val="00774ADF"/>
    <w:rsid w:val="00774AF9"/>
    <w:rsid w:val="00774C99"/>
    <w:rsid w:val="00774CD0"/>
    <w:rsid w:val="00774CDB"/>
    <w:rsid w:val="00774E0A"/>
    <w:rsid w:val="00774E9B"/>
    <w:rsid w:val="00774EC1"/>
    <w:rsid w:val="00774F2F"/>
    <w:rsid w:val="00774F51"/>
    <w:rsid w:val="00774FF7"/>
    <w:rsid w:val="007750E1"/>
    <w:rsid w:val="0077518B"/>
    <w:rsid w:val="007751B2"/>
    <w:rsid w:val="007752E9"/>
    <w:rsid w:val="0077531B"/>
    <w:rsid w:val="007753B4"/>
    <w:rsid w:val="00775430"/>
    <w:rsid w:val="00775533"/>
    <w:rsid w:val="00775694"/>
    <w:rsid w:val="00775721"/>
    <w:rsid w:val="007757F7"/>
    <w:rsid w:val="007757FD"/>
    <w:rsid w:val="00775808"/>
    <w:rsid w:val="0077581F"/>
    <w:rsid w:val="00775841"/>
    <w:rsid w:val="00775888"/>
    <w:rsid w:val="007758D6"/>
    <w:rsid w:val="0077593E"/>
    <w:rsid w:val="00775947"/>
    <w:rsid w:val="0077595C"/>
    <w:rsid w:val="0077598F"/>
    <w:rsid w:val="00775990"/>
    <w:rsid w:val="007759BC"/>
    <w:rsid w:val="00775A00"/>
    <w:rsid w:val="00775A43"/>
    <w:rsid w:val="00775ADE"/>
    <w:rsid w:val="00775BA4"/>
    <w:rsid w:val="00775BBA"/>
    <w:rsid w:val="00775C07"/>
    <w:rsid w:val="00775D27"/>
    <w:rsid w:val="00775D42"/>
    <w:rsid w:val="00775E0E"/>
    <w:rsid w:val="00775E17"/>
    <w:rsid w:val="00775E80"/>
    <w:rsid w:val="00775F05"/>
    <w:rsid w:val="00775F07"/>
    <w:rsid w:val="00776143"/>
    <w:rsid w:val="00776152"/>
    <w:rsid w:val="00776156"/>
    <w:rsid w:val="007761A3"/>
    <w:rsid w:val="00776203"/>
    <w:rsid w:val="00776208"/>
    <w:rsid w:val="00776226"/>
    <w:rsid w:val="00776247"/>
    <w:rsid w:val="007762B9"/>
    <w:rsid w:val="007762BD"/>
    <w:rsid w:val="0077632D"/>
    <w:rsid w:val="0077638D"/>
    <w:rsid w:val="00776395"/>
    <w:rsid w:val="00776417"/>
    <w:rsid w:val="007764BC"/>
    <w:rsid w:val="00776522"/>
    <w:rsid w:val="0077656E"/>
    <w:rsid w:val="00776572"/>
    <w:rsid w:val="007765DB"/>
    <w:rsid w:val="007765FA"/>
    <w:rsid w:val="0077666F"/>
    <w:rsid w:val="0077669C"/>
    <w:rsid w:val="007766DF"/>
    <w:rsid w:val="007767BB"/>
    <w:rsid w:val="007767CA"/>
    <w:rsid w:val="007767DD"/>
    <w:rsid w:val="007767EF"/>
    <w:rsid w:val="00776872"/>
    <w:rsid w:val="0077695B"/>
    <w:rsid w:val="00776986"/>
    <w:rsid w:val="0077699B"/>
    <w:rsid w:val="007769BB"/>
    <w:rsid w:val="00776A4A"/>
    <w:rsid w:val="00776AD2"/>
    <w:rsid w:val="00776B2C"/>
    <w:rsid w:val="00776B6F"/>
    <w:rsid w:val="00776C14"/>
    <w:rsid w:val="00776D89"/>
    <w:rsid w:val="00776DE9"/>
    <w:rsid w:val="00776E54"/>
    <w:rsid w:val="00776E80"/>
    <w:rsid w:val="00776EFC"/>
    <w:rsid w:val="00776F47"/>
    <w:rsid w:val="00776FF8"/>
    <w:rsid w:val="00777019"/>
    <w:rsid w:val="00777065"/>
    <w:rsid w:val="00777167"/>
    <w:rsid w:val="007771AE"/>
    <w:rsid w:val="0077720A"/>
    <w:rsid w:val="00777326"/>
    <w:rsid w:val="00777394"/>
    <w:rsid w:val="00777407"/>
    <w:rsid w:val="00777408"/>
    <w:rsid w:val="00777499"/>
    <w:rsid w:val="00777506"/>
    <w:rsid w:val="00777528"/>
    <w:rsid w:val="0077756E"/>
    <w:rsid w:val="00777599"/>
    <w:rsid w:val="007775A4"/>
    <w:rsid w:val="00777614"/>
    <w:rsid w:val="007777C7"/>
    <w:rsid w:val="00777810"/>
    <w:rsid w:val="007779A1"/>
    <w:rsid w:val="00777AD4"/>
    <w:rsid w:val="00777B21"/>
    <w:rsid w:val="00777CE3"/>
    <w:rsid w:val="00777D2C"/>
    <w:rsid w:val="00777DCF"/>
    <w:rsid w:val="00777E52"/>
    <w:rsid w:val="00777E7F"/>
    <w:rsid w:val="00777E89"/>
    <w:rsid w:val="00777F8E"/>
    <w:rsid w:val="00777FE8"/>
    <w:rsid w:val="00777FF5"/>
    <w:rsid w:val="0078000A"/>
    <w:rsid w:val="00780058"/>
    <w:rsid w:val="007800A2"/>
    <w:rsid w:val="007800EF"/>
    <w:rsid w:val="0078016F"/>
    <w:rsid w:val="007801AC"/>
    <w:rsid w:val="0078029C"/>
    <w:rsid w:val="007802E3"/>
    <w:rsid w:val="0078030E"/>
    <w:rsid w:val="007803F9"/>
    <w:rsid w:val="00780403"/>
    <w:rsid w:val="00780510"/>
    <w:rsid w:val="00780521"/>
    <w:rsid w:val="007805D9"/>
    <w:rsid w:val="007805EA"/>
    <w:rsid w:val="007805F0"/>
    <w:rsid w:val="007806AB"/>
    <w:rsid w:val="007806E0"/>
    <w:rsid w:val="00780710"/>
    <w:rsid w:val="0078076F"/>
    <w:rsid w:val="0078086A"/>
    <w:rsid w:val="007808E7"/>
    <w:rsid w:val="00780933"/>
    <w:rsid w:val="00780939"/>
    <w:rsid w:val="007809A2"/>
    <w:rsid w:val="00780A2B"/>
    <w:rsid w:val="00780B09"/>
    <w:rsid w:val="00780BE8"/>
    <w:rsid w:val="00780C1A"/>
    <w:rsid w:val="00780C66"/>
    <w:rsid w:val="00780C83"/>
    <w:rsid w:val="00780DEB"/>
    <w:rsid w:val="00780E00"/>
    <w:rsid w:val="00780E04"/>
    <w:rsid w:val="00780E4E"/>
    <w:rsid w:val="00780EB6"/>
    <w:rsid w:val="00780F49"/>
    <w:rsid w:val="00780F85"/>
    <w:rsid w:val="0078105A"/>
    <w:rsid w:val="00781143"/>
    <w:rsid w:val="007811AD"/>
    <w:rsid w:val="0078120E"/>
    <w:rsid w:val="00781240"/>
    <w:rsid w:val="0078128A"/>
    <w:rsid w:val="007812F9"/>
    <w:rsid w:val="00781333"/>
    <w:rsid w:val="00781348"/>
    <w:rsid w:val="0078144B"/>
    <w:rsid w:val="007815A1"/>
    <w:rsid w:val="00781615"/>
    <w:rsid w:val="0078161C"/>
    <w:rsid w:val="00781676"/>
    <w:rsid w:val="00781738"/>
    <w:rsid w:val="00781786"/>
    <w:rsid w:val="007817B9"/>
    <w:rsid w:val="007817EC"/>
    <w:rsid w:val="00781822"/>
    <w:rsid w:val="0078182E"/>
    <w:rsid w:val="007818DB"/>
    <w:rsid w:val="00781920"/>
    <w:rsid w:val="00781963"/>
    <w:rsid w:val="00781A17"/>
    <w:rsid w:val="00781A58"/>
    <w:rsid w:val="00781AA1"/>
    <w:rsid w:val="00781BCB"/>
    <w:rsid w:val="00781C70"/>
    <w:rsid w:val="00781CA6"/>
    <w:rsid w:val="00781CDC"/>
    <w:rsid w:val="00781CDF"/>
    <w:rsid w:val="00781CE1"/>
    <w:rsid w:val="00781DBF"/>
    <w:rsid w:val="00781E9A"/>
    <w:rsid w:val="00781F31"/>
    <w:rsid w:val="00781F64"/>
    <w:rsid w:val="00781F83"/>
    <w:rsid w:val="00781F9B"/>
    <w:rsid w:val="00781FE5"/>
    <w:rsid w:val="007820B7"/>
    <w:rsid w:val="007821CC"/>
    <w:rsid w:val="00782299"/>
    <w:rsid w:val="00782320"/>
    <w:rsid w:val="00782410"/>
    <w:rsid w:val="00782445"/>
    <w:rsid w:val="0078247E"/>
    <w:rsid w:val="007824F0"/>
    <w:rsid w:val="00782583"/>
    <w:rsid w:val="0078265E"/>
    <w:rsid w:val="007826E8"/>
    <w:rsid w:val="007826F6"/>
    <w:rsid w:val="007827E5"/>
    <w:rsid w:val="00782808"/>
    <w:rsid w:val="0078285B"/>
    <w:rsid w:val="00782963"/>
    <w:rsid w:val="0078298F"/>
    <w:rsid w:val="00782A1D"/>
    <w:rsid w:val="00782B73"/>
    <w:rsid w:val="00782B82"/>
    <w:rsid w:val="00782C09"/>
    <w:rsid w:val="00782C3E"/>
    <w:rsid w:val="00782CC7"/>
    <w:rsid w:val="00782D33"/>
    <w:rsid w:val="00782D6F"/>
    <w:rsid w:val="00782DE6"/>
    <w:rsid w:val="00782EBC"/>
    <w:rsid w:val="00782EF5"/>
    <w:rsid w:val="00782F53"/>
    <w:rsid w:val="00782F67"/>
    <w:rsid w:val="0078304D"/>
    <w:rsid w:val="00783112"/>
    <w:rsid w:val="0078319D"/>
    <w:rsid w:val="007831B5"/>
    <w:rsid w:val="007831D5"/>
    <w:rsid w:val="0078321C"/>
    <w:rsid w:val="007832D2"/>
    <w:rsid w:val="00783304"/>
    <w:rsid w:val="0078355A"/>
    <w:rsid w:val="007835F9"/>
    <w:rsid w:val="00783661"/>
    <w:rsid w:val="00783666"/>
    <w:rsid w:val="0078366A"/>
    <w:rsid w:val="007836AA"/>
    <w:rsid w:val="007836EA"/>
    <w:rsid w:val="0078380B"/>
    <w:rsid w:val="00783861"/>
    <w:rsid w:val="00783862"/>
    <w:rsid w:val="0078388C"/>
    <w:rsid w:val="0078393B"/>
    <w:rsid w:val="00783979"/>
    <w:rsid w:val="00783982"/>
    <w:rsid w:val="00783A58"/>
    <w:rsid w:val="00783A79"/>
    <w:rsid w:val="00783AED"/>
    <w:rsid w:val="00783AEE"/>
    <w:rsid w:val="00783B2C"/>
    <w:rsid w:val="00783B4F"/>
    <w:rsid w:val="00783BB8"/>
    <w:rsid w:val="00783BD9"/>
    <w:rsid w:val="00783BEC"/>
    <w:rsid w:val="00783C1B"/>
    <w:rsid w:val="00783C87"/>
    <w:rsid w:val="00783CB7"/>
    <w:rsid w:val="00783D14"/>
    <w:rsid w:val="00783DA6"/>
    <w:rsid w:val="00783DB7"/>
    <w:rsid w:val="00783DCE"/>
    <w:rsid w:val="00783E12"/>
    <w:rsid w:val="00783EBE"/>
    <w:rsid w:val="00783FC3"/>
    <w:rsid w:val="00783FE0"/>
    <w:rsid w:val="007840CD"/>
    <w:rsid w:val="0078416E"/>
    <w:rsid w:val="00784177"/>
    <w:rsid w:val="007842E5"/>
    <w:rsid w:val="007842EC"/>
    <w:rsid w:val="00784331"/>
    <w:rsid w:val="00784342"/>
    <w:rsid w:val="00784344"/>
    <w:rsid w:val="00784403"/>
    <w:rsid w:val="007844CB"/>
    <w:rsid w:val="00784525"/>
    <w:rsid w:val="007845E5"/>
    <w:rsid w:val="007846D9"/>
    <w:rsid w:val="0078470E"/>
    <w:rsid w:val="0078473D"/>
    <w:rsid w:val="0078484D"/>
    <w:rsid w:val="007848B4"/>
    <w:rsid w:val="0078498B"/>
    <w:rsid w:val="007849DB"/>
    <w:rsid w:val="00784B95"/>
    <w:rsid w:val="00784B96"/>
    <w:rsid w:val="00784C72"/>
    <w:rsid w:val="00784C9C"/>
    <w:rsid w:val="00784D16"/>
    <w:rsid w:val="00784D52"/>
    <w:rsid w:val="00784E70"/>
    <w:rsid w:val="00784EA7"/>
    <w:rsid w:val="00784EA8"/>
    <w:rsid w:val="007850DB"/>
    <w:rsid w:val="0078511F"/>
    <w:rsid w:val="007851B0"/>
    <w:rsid w:val="0078521E"/>
    <w:rsid w:val="0078524D"/>
    <w:rsid w:val="0078526B"/>
    <w:rsid w:val="007852A7"/>
    <w:rsid w:val="0078531D"/>
    <w:rsid w:val="00785586"/>
    <w:rsid w:val="00785656"/>
    <w:rsid w:val="00785956"/>
    <w:rsid w:val="0078595A"/>
    <w:rsid w:val="0078595B"/>
    <w:rsid w:val="0078596E"/>
    <w:rsid w:val="00785A91"/>
    <w:rsid w:val="00785C25"/>
    <w:rsid w:val="00785D5C"/>
    <w:rsid w:val="00785EEF"/>
    <w:rsid w:val="00785F46"/>
    <w:rsid w:val="00785F5F"/>
    <w:rsid w:val="00785F86"/>
    <w:rsid w:val="00786076"/>
    <w:rsid w:val="0078613D"/>
    <w:rsid w:val="007861B4"/>
    <w:rsid w:val="0078621D"/>
    <w:rsid w:val="00786224"/>
    <w:rsid w:val="0078622D"/>
    <w:rsid w:val="00786232"/>
    <w:rsid w:val="0078629D"/>
    <w:rsid w:val="0078637B"/>
    <w:rsid w:val="0078637D"/>
    <w:rsid w:val="007863B1"/>
    <w:rsid w:val="007864C0"/>
    <w:rsid w:val="00786516"/>
    <w:rsid w:val="00786543"/>
    <w:rsid w:val="00786585"/>
    <w:rsid w:val="007866B3"/>
    <w:rsid w:val="007866B7"/>
    <w:rsid w:val="007866FE"/>
    <w:rsid w:val="00786737"/>
    <w:rsid w:val="00786781"/>
    <w:rsid w:val="007867D0"/>
    <w:rsid w:val="0078686C"/>
    <w:rsid w:val="0078691D"/>
    <w:rsid w:val="00786954"/>
    <w:rsid w:val="007869E4"/>
    <w:rsid w:val="00786A58"/>
    <w:rsid w:val="00786B17"/>
    <w:rsid w:val="00786BB9"/>
    <w:rsid w:val="00786C7A"/>
    <w:rsid w:val="00786CBB"/>
    <w:rsid w:val="00786D2D"/>
    <w:rsid w:val="00786D4D"/>
    <w:rsid w:val="00786D58"/>
    <w:rsid w:val="00786E40"/>
    <w:rsid w:val="00786EF8"/>
    <w:rsid w:val="00786F39"/>
    <w:rsid w:val="00786F55"/>
    <w:rsid w:val="00786FF8"/>
    <w:rsid w:val="00787019"/>
    <w:rsid w:val="0078701A"/>
    <w:rsid w:val="0078706D"/>
    <w:rsid w:val="007870A1"/>
    <w:rsid w:val="007870F5"/>
    <w:rsid w:val="007871C9"/>
    <w:rsid w:val="00787223"/>
    <w:rsid w:val="00787490"/>
    <w:rsid w:val="00787498"/>
    <w:rsid w:val="007874F8"/>
    <w:rsid w:val="007875DF"/>
    <w:rsid w:val="007875E2"/>
    <w:rsid w:val="00787604"/>
    <w:rsid w:val="0078773A"/>
    <w:rsid w:val="00787745"/>
    <w:rsid w:val="007877BE"/>
    <w:rsid w:val="0078784C"/>
    <w:rsid w:val="00787856"/>
    <w:rsid w:val="0078786C"/>
    <w:rsid w:val="0078794F"/>
    <w:rsid w:val="00787965"/>
    <w:rsid w:val="007879D3"/>
    <w:rsid w:val="007879F2"/>
    <w:rsid w:val="007879F4"/>
    <w:rsid w:val="00787A34"/>
    <w:rsid w:val="00787A56"/>
    <w:rsid w:val="00787A6A"/>
    <w:rsid w:val="00787A75"/>
    <w:rsid w:val="00787AA2"/>
    <w:rsid w:val="00787BFF"/>
    <w:rsid w:val="00787C15"/>
    <w:rsid w:val="00787C8C"/>
    <w:rsid w:val="00787CEB"/>
    <w:rsid w:val="00787D16"/>
    <w:rsid w:val="00787D94"/>
    <w:rsid w:val="00787E02"/>
    <w:rsid w:val="00787E4B"/>
    <w:rsid w:val="00787E99"/>
    <w:rsid w:val="00787FE8"/>
    <w:rsid w:val="0078A411"/>
    <w:rsid w:val="00790010"/>
    <w:rsid w:val="00790103"/>
    <w:rsid w:val="00790114"/>
    <w:rsid w:val="0079020E"/>
    <w:rsid w:val="00790261"/>
    <w:rsid w:val="00790299"/>
    <w:rsid w:val="00790313"/>
    <w:rsid w:val="00790322"/>
    <w:rsid w:val="00790365"/>
    <w:rsid w:val="0079037F"/>
    <w:rsid w:val="0079038A"/>
    <w:rsid w:val="007904E2"/>
    <w:rsid w:val="00790511"/>
    <w:rsid w:val="0079055A"/>
    <w:rsid w:val="00790601"/>
    <w:rsid w:val="00790707"/>
    <w:rsid w:val="00790716"/>
    <w:rsid w:val="0079076C"/>
    <w:rsid w:val="007907B6"/>
    <w:rsid w:val="00790875"/>
    <w:rsid w:val="0079087A"/>
    <w:rsid w:val="007908AB"/>
    <w:rsid w:val="007908AF"/>
    <w:rsid w:val="007908DF"/>
    <w:rsid w:val="007909AA"/>
    <w:rsid w:val="007909D9"/>
    <w:rsid w:val="00790A44"/>
    <w:rsid w:val="00790B0F"/>
    <w:rsid w:val="00790B57"/>
    <w:rsid w:val="00790B67"/>
    <w:rsid w:val="00790B89"/>
    <w:rsid w:val="00790BD7"/>
    <w:rsid w:val="00790C1A"/>
    <w:rsid w:val="00790C9A"/>
    <w:rsid w:val="00790D0F"/>
    <w:rsid w:val="00790D45"/>
    <w:rsid w:val="00790D4B"/>
    <w:rsid w:val="00790D8F"/>
    <w:rsid w:val="00790E43"/>
    <w:rsid w:val="00790F1E"/>
    <w:rsid w:val="00791083"/>
    <w:rsid w:val="007910C5"/>
    <w:rsid w:val="00791102"/>
    <w:rsid w:val="00791173"/>
    <w:rsid w:val="0079128E"/>
    <w:rsid w:val="007912EF"/>
    <w:rsid w:val="00791325"/>
    <w:rsid w:val="0079133A"/>
    <w:rsid w:val="007913A0"/>
    <w:rsid w:val="007913D7"/>
    <w:rsid w:val="0079143D"/>
    <w:rsid w:val="007914C9"/>
    <w:rsid w:val="007914E5"/>
    <w:rsid w:val="007915A8"/>
    <w:rsid w:val="007915C1"/>
    <w:rsid w:val="00791607"/>
    <w:rsid w:val="00791619"/>
    <w:rsid w:val="00791736"/>
    <w:rsid w:val="00791834"/>
    <w:rsid w:val="00791894"/>
    <w:rsid w:val="00791A99"/>
    <w:rsid w:val="00791BDB"/>
    <w:rsid w:val="00791C70"/>
    <w:rsid w:val="00791CD2"/>
    <w:rsid w:val="00791F99"/>
    <w:rsid w:val="0079202C"/>
    <w:rsid w:val="00792094"/>
    <w:rsid w:val="00792102"/>
    <w:rsid w:val="00792115"/>
    <w:rsid w:val="00792168"/>
    <w:rsid w:val="00792186"/>
    <w:rsid w:val="00792301"/>
    <w:rsid w:val="00792380"/>
    <w:rsid w:val="0079245B"/>
    <w:rsid w:val="00792488"/>
    <w:rsid w:val="007924B9"/>
    <w:rsid w:val="007924D3"/>
    <w:rsid w:val="00792567"/>
    <w:rsid w:val="007925F4"/>
    <w:rsid w:val="00792666"/>
    <w:rsid w:val="007926FB"/>
    <w:rsid w:val="007927AD"/>
    <w:rsid w:val="007928C0"/>
    <w:rsid w:val="007928D4"/>
    <w:rsid w:val="007928E2"/>
    <w:rsid w:val="00792962"/>
    <w:rsid w:val="0079296D"/>
    <w:rsid w:val="007929C1"/>
    <w:rsid w:val="007929E9"/>
    <w:rsid w:val="00792A02"/>
    <w:rsid w:val="00792A40"/>
    <w:rsid w:val="00792B52"/>
    <w:rsid w:val="00792B6A"/>
    <w:rsid w:val="00792BB1"/>
    <w:rsid w:val="00792C4E"/>
    <w:rsid w:val="00792CAD"/>
    <w:rsid w:val="00792CB5"/>
    <w:rsid w:val="00792CC0"/>
    <w:rsid w:val="00792D35"/>
    <w:rsid w:val="00792D9E"/>
    <w:rsid w:val="00792DCC"/>
    <w:rsid w:val="00792EA5"/>
    <w:rsid w:val="00792EAC"/>
    <w:rsid w:val="00792FED"/>
    <w:rsid w:val="00792FFF"/>
    <w:rsid w:val="007930F1"/>
    <w:rsid w:val="0079314E"/>
    <w:rsid w:val="0079318D"/>
    <w:rsid w:val="0079318F"/>
    <w:rsid w:val="00793236"/>
    <w:rsid w:val="00793252"/>
    <w:rsid w:val="00793274"/>
    <w:rsid w:val="007932D2"/>
    <w:rsid w:val="00793351"/>
    <w:rsid w:val="0079338F"/>
    <w:rsid w:val="007933B9"/>
    <w:rsid w:val="007933E1"/>
    <w:rsid w:val="00793403"/>
    <w:rsid w:val="0079349D"/>
    <w:rsid w:val="0079358D"/>
    <w:rsid w:val="007935CD"/>
    <w:rsid w:val="00793601"/>
    <w:rsid w:val="007936B0"/>
    <w:rsid w:val="007936C4"/>
    <w:rsid w:val="0079371C"/>
    <w:rsid w:val="00793783"/>
    <w:rsid w:val="0079382B"/>
    <w:rsid w:val="007938CC"/>
    <w:rsid w:val="007938FE"/>
    <w:rsid w:val="00793981"/>
    <w:rsid w:val="007939A2"/>
    <w:rsid w:val="007939ED"/>
    <w:rsid w:val="00793A47"/>
    <w:rsid w:val="00793A60"/>
    <w:rsid w:val="00793BD3"/>
    <w:rsid w:val="00793BEF"/>
    <w:rsid w:val="00793C63"/>
    <w:rsid w:val="00793D34"/>
    <w:rsid w:val="00793D46"/>
    <w:rsid w:val="00793DCE"/>
    <w:rsid w:val="00793DF1"/>
    <w:rsid w:val="00793E67"/>
    <w:rsid w:val="00793F50"/>
    <w:rsid w:val="00793F6A"/>
    <w:rsid w:val="00793FC2"/>
    <w:rsid w:val="00793FCA"/>
    <w:rsid w:val="00793FF7"/>
    <w:rsid w:val="00794006"/>
    <w:rsid w:val="00794077"/>
    <w:rsid w:val="0079407B"/>
    <w:rsid w:val="00794109"/>
    <w:rsid w:val="00794152"/>
    <w:rsid w:val="007941E6"/>
    <w:rsid w:val="00794355"/>
    <w:rsid w:val="00794374"/>
    <w:rsid w:val="007943C0"/>
    <w:rsid w:val="007943E6"/>
    <w:rsid w:val="00794411"/>
    <w:rsid w:val="00794455"/>
    <w:rsid w:val="007944A9"/>
    <w:rsid w:val="007944E8"/>
    <w:rsid w:val="0079452E"/>
    <w:rsid w:val="007945B8"/>
    <w:rsid w:val="007945BF"/>
    <w:rsid w:val="007945D8"/>
    <w:rsid w:val="0079464F"/>
    <w:rsid w:val="0079467B"/>
    <w:rsid w:val="007946D5"/>
    <w:rsid w:val="007946ED"/>
    <w:rsid w:val="0079474D"/>
    <w:rsid w:val="0079477B"/>
    <w:rsid w:val="007948EF"/>
    <w:rsid w:val="007949B8"/>
    <w:rsid w:val="00794A30"/>
    <w:rsid w:val="00794B35"/>
    <w:rsid w:val="00794C4D"/>
    <w:rsid w:val="00794C90"/>
    <w:rsid w:val="00794D2C"/>
    <w:rsid w:val="00794E05"/>
    <w:rsid w:val="00794E15"/>
    <w:rsid w:val="00794E3E"/>
    <w:rsid w:val="00795049"/>
    <w:rsid w:val="0079510F"/>
    <w:rsid w:val="007951DC"/>
    <w:rsid w:val="007951F0"/>
    <w:rsid w:val="00795276"/>
    <w:rsid w:val="007952DD"/>
    <w:rsid w:val="00795315"/>
    <w:rsid w:val="007953B6"/>
    <w:rsid w:val="007953E4"/>
    <w:rsid w:val="0079545D"/>
    <w:rsid w:val="00795485"/>
    <w:rsid w:val="007955BC"/>
    <w:rsid w:val="007955DB"/>
    <w:rsid w:val="007955FB"/>
    <w:rsid w:val="00795626"/>
    <w:rsid w:val="00795686"/>
    <w:rsid w:val="00795826"/>
    <w:rsid w:val="00795859"/>
    <w:rsid w:val="00795862"/>
    <w:rsid w:val="00795884"/>
    <w:rsid w:val="00795911"/>
    <w:rsid w:val="00795939"/>
    <w:rsid w:val="0079594F"/>
    <w:rsid w:val="00795A2F"/>
    <w:rsid w:val="00795A3E"/>
    <w:rsid w:val="00795A4D"/>
    <w:rsid w:val="00795AF7"/>
    <w:rsid w:val="00795B1B"/>
    <w:rsid w:val="00795B2E"/>
    <w:rsid w:val="00795B89"/>
    <w:rsid w:val="00795C33"/>
    <w:rsid w:val="00795D75"/>
    <w:rsid w:val="00795DA2"/>
    <w:rsid w:val="00795E36"/>
    <w:rsid w:val="00795E3F"/>
    <w:rsid w:val="00795F17"/>
    <w:rsid w:val="00795F22"/>
    <w:rsid w:val="00795FB1"/>
    <w:rsid w:val="00795FF1"/>
    <w:rsid w:val="00796093"/>
    <w:rsid w:val="00796095"/>
    <w:rsid w:val="0079615F"/>
    <w:rsid w:val="007961A4"/>
    <w:rsid w:val="00796230"/>
    <w:rsid w:val="00796274"/>
    <w:rsid w:val="0079629C"/>
    <w:rsid w:val="007963F0"/>
    <w:rsid w:val="007963FC"/>
    <w:rsid w:val="0079642B"/>
    <w:rsid w:val="00796456"/>
    <w:rsid w:val="0079648E"/>
    <w:rsid w:val="007964A1"/>
    <w:rsid w:val="007964F5"/>
    <w:rsid w:val="00796519"/>
    <w:rsid w:val="00796531"/>
    <w:rsid w:val="007965B4"/>
    <w:rsid w:val="00796650"/>
    <w:rsid w:val="00796694"/>
    <w:rsid w:val="007966B9"/>
    <w:rsid w:val="007966E7"/>
    <w:rsid w:val="00796781"/>
    <w:rsid w:val="00796881"/>
    <w:rsid w:val="007968A0"/>
    <w:rsid w:val="007968A8"/>
    <w:rsid w:val="00796942"/>
    <w:rsid w:val="0079694F"/>
    <w:rsid w:val="00796B50"/>
    <w:rsid w:val="00796B52"/>
    <w:rsid w:val="00796D47"/>
    <w:rsid w:val="00796D56"/>
    <w:rsid w:val="00796DE5"/>
    <w:rsid w:val="00796DFB"/>
    <w:rsid w:val="00796E88"/>
    <w:rsid w:val="00796ED5"/>
    <w:rsid w:val="00796F4D"/>
    <w:rsid w:val="00796F59"/>
    <w:rsid w:val="00797141"/>
    <w:rsid w:val="0079716E"/>
    <w:rsid w:val="00797173"/>
    <w:rsid w:val="0079724F"/>
    <w:rsid w:val="007972B0"/>
    <w:rsid w:val="007972D1"/>
    <w:rsid w:val="00797320"/>
    <w:rsid w:val="00797423"/>
    <w:rsid w:val="0079751F"/>
    <w:rsid w:val="0079752C"/>
    <w:rsid w:val="007975B3"/>
    <w:rsid w:val="0079761E"/>
    <w:rsid w:val="00797668"/>
    <w:rsid w:val="007976AE"/>
    <w:rsid w:val="0079775B"/>
    <w:rsid w:val="007977F8"/>
    <w:rsid w:val="00797815"/>
    <w:rsid w:val="0079782F"/>
    <w:rsid w:val="00797846"/>
    <w:rsid w:val="007978B9"/>
    <w:rsid w:val="007978C4"/>
    <w:rsid w:val="007978C7"/>
    <w:rsid w:val="007978F1"/>
    <w:rsid w:val="007978FB"/>
    <w:rsid w:val="00797952"/>
    <w:rsid w:val="00797957"/>
    <w:rsid w:val="007979AD"/>
    <w:rsid w:val="007979E5"/>
    <w:rsid w:val="00797A78"/>
    <w:rsid w:val="00797AF0"/>
    <w:rsid w:val="00797B4A"/>
    <w:rsid w:val="00797B59"/>
    <w:rsid w:val="00797C52"/>
    <w:rsid w:val="00797CC1"/>
    <w:rsid w:val="00797D3B"/>
    <w:rsid w:val="00797D90"/>
    <w:rsid w:val="00797DB8"/>
    <w:rsid w:val="007A0014"/>
    <w:rsid w:val="007A0032"/>
    <w:rsid w:val="007A0121"/>
    <w:rsid w:val="007A015F"/>
    <w:rsid w:val="007A0221"/>
    <w:rsid w:val="007A026F"/>
    <w:rsid w:val="007A0348"/>
    <w:rsid w:val="007A0422"/>
    <w:rsid w:val="007A042E"/>
    <w:rsid w:val="007A0436"/>
    <w:rsid w:val="007A04C1"/>
    <w:rsid w:val="007A04E2"/>
    <w:rsid w:val="007A0575"/>
    <w:rsid w:val="007A05AC"/>
    <w:rsid w:val="007A0617"/>
    <w:rsid w:val="007A0626"/>
    <w:rsid w:val="007A0765"/>
    <w:rsid w:val="007A078A"/>
    <w:rsid w:val="007A07EF"/>
    <w:rsid w:val="007A080B"/>
    <w:rsid w:val="007A0879"/>
    <w:rsid w:val="007A0970"/>
    <w:rsid w:val="007A09D2"/>
    <w:rsid w:val="007A0A69"/>
    <w:rsid w:val="007A0A87"/>
    <w:rsid w:val="007A0B35"/>
    <w:rsid w:val="007A0B77"/>
    <w:rsid w:val="007A0CB9"/>
    <w:rsid w:val="007A0D27"/>
    <w:rsid w:val="007A0D97"/>
    <w:rsid w:val="007A0DF8"/>
    <w:rsid w:val="007A0E17"/>
    <w:rsid w:val="007A0E71"/>
    <w:rsid w:val="007A0F60"/>
    <w:rsid w:val="007A0F8E"/>
    <w:rsid w:val="007A0FC0"/>
    <w:rsid w:val="007A0FC6"/>
    <w:rsid w:val="007A0FD0"/>
    <w:rsid w:val="007A104A"/>
    <w:rsid w:val="007A1062"/>
    <w:rsid w:val="007A109C"/>
    <w:rsid w:val="007A10A9"/>
    <w:rsid w:val="007A10C9"/>
    <w:rsid w:val="007A11BE"/>
    <w:rsid w:val="007A121A"/>
    <w:rsid w:val="007A1264"/>
    <w:rsid w:val="007A12AB"/>
    <w:rsid w:val="007A13B7"/>
    <w:rsid w:val="007A140E"/>
    <w:rsid w:val="007A1489"/>
    <w:rsid w:val="007A152F"/>
    <w:rsid w:val="007A154B"/>
    <w:rsid w:val="007A1581"/>
    <w:rsid w:val="007A168E"/>
    <w:rsid w:val="007A16C7"/>
    <w:rsid w:val="007A17B1"/>
    <w:rsid w:val="007A1823"/>
    <w:rsid w:val="007A1833"/>
    <w:rsid w:val="007A1908"/>
    <w:rsid w:val="007A1971"/>
    <w:rsid w:val="007A19BF"/>
    <w:rsid w:val="007A1A07"/>
    <w:rsid w:val="007A1A3C"/>
    <w:rsid w:val="007A1AC5"/>
    <w:rsid w:val="007A1B2A"/>
    <w:rsid w:val="007A1C44"/>
    <w:rsid w:val="007A1C8F"/>
    <w:rsid w:val="007A1CC3"/>
    <w:rsid w:val="007A1CD1"/>
    <w:rsid w:val="007A1D4D"/>
    <w:rsid w:val="007A1E1E"/>
    <w:rsid w:val="007A1E23"/>
    <w:rsid w:val="007A1EA3"/>
    <w:rsid w:val="007A1EA6"/>
    <w:rsid w:val="007A1ED7"/>
    <w:rsid w:val="007A1F00"/>
    <w:rsid w:val="007A1F76"/>
    <w:rsid w:val="007A1FE8"/>
    <w:rsid w:val="007A2014"/>
    <w:rsid w:val="007A2018"/>
    <w:rsid w:val="007A20B5"/>
    <w:rsid w:val="007A211C"/>
    <w:rsid w:val="007A215D"/>
    <w:rsid w:val="007A21CE"/>
    <w:rsid w:val="007A222F"/>
    <w:rsid w:val="007A22C6"/>
    <w:rsid w:val="007A231A"/>
    <w:rsid w:val="007A2658"/>
    <w:rsid w:val="007A2662"/>
    <w:rsid w:val="007A27B7"/>
    <w:rsid w:val="007A27D9"/>
    <w:rsid w:val="007A27FE"/>
    <w:rsid w:val="007A283B"/>
    <w:rsid w:val="007A2A04"/>
    <w:rsid w:val="007A2B85"/>
    <w:rsid w:val="007A2BEA"/>
    <w:rsid w:val="007A2C3D"/>
    <w:rsid w:val="007A2C4B"/>
    <w:rsid w:val="007A2C57"/>
    <w:rsid w:val="007A2C65"/>
    <w:rsid w:val="007A2D65"/>
    <w:rsid w:val="007A2D82"/>
    <w:rsid w:val="007A2E68"/>
    <w:rsid w:val="007A2EDA"/>
    <w:rsid w:val="007A3060"/>
    <w:rsid w:val="007A307C"/>
    <w:rsid w:val="007A3147"/>
    <w:rsid w:val="007A31D6"/>
    <w:rsid w:val="007A3238"/>
    <w:rsid w:val="007A332E"/>
    <w:rsid w:val="007A3336"/>
    <w:rsid w:val="007A333F"/>
    <w:rsid w:val="007A3346"/>
    <w:rsid w:val="007A336E"/>
    <w:rsid w:val="007A3397"/>
    <w:rsid w:val="007A3492"/>
    <w:rsid w:val="007A34DC"/>
    <w:rsid w:val="007A3545"/>
    <w:rsid w:val="007A355D"/>
    <w:rsid w:val="007A363A"/>
    <w:rsid w:val="007A36C0"/>
    <w:rsid w:val="007A3716"/>
    <w:rsid w:val="007A373A"/>
    <w:rsid w:val="007A3775"/>
    <w:rsid w:val="007A37A7"/>
    <w:rsid w:val="007A386E"/>
    <w:rsid w:val="007A3890"/>
    <w:rsid w:val="007A3A50"/>
    <w:rsid w:val="007A3B29"/>
    <w:rsid w:val="007A3B88"/>
    <w:rsid w:val="007A3C52"/>
    <w:rsid w:val="007A3D3A"/>
    <w:rsid w:val="007A3D86"/>
    <w:rsid w:val="007A3D8F"/>
    <w:rsid w:val="007A3DC2"/>
    <w:rsid w:val="007A3E0E"/>
    <w:rsid w:val="007A3F0D"/>
    <w:rsid w:val="007A4012"/>
    <w:rsid w:val="007A4102"/>
    <w:rsid w:val="007A4148"/>
    <w:rsid w:val="007A4182"/>
    <w:rsid w:val="007A41FA"/>
    <w:rsid w:val="007A4276"/>
    <w:rsid w:val="007A42CF"/>
    <w:rsid w:val="007A42D3"/>
    <w:rsid w:val="007A42ED"/>
    <w:rsid w:val="007A4314"/>
    <w:rsid w:val="007A450B"/>
    <w:rsid w:val="007A4536"/>
    <w:rsid w:val="007A4548"/>
    <w:rsid w:val="007A462F"/>
    <w:rsid w:val="007A4652"/>
    <w:rsid w:val="007A466F"/>
    <w:rsid w:val="007A46E4"/>
    <w:rsid w:val="007A476E"/>
    <w:rsid w:val="007A47C8"/>
    <w:rsid w:val="007A4877"/>
    <w:rsid w:val="007A4ADF"/>
    <w:rsid w:val="007A4B45"/>
    <w:rsid w:val="007A4B46"/>
    <w:rsid w:val="007A4BC1"/>
    <w:rsid w:val="007A4BE8"/>
    <w:rsid w:val="007A4C1B"/>
    <w:rsid w:val="007A4C3C"/>
    <w:rsid w:val="007A4E0E"/>
    <w:rsid w:val="007A4E18"/>
    <w:rsid w:val="007A4E8D"/>
    <w:rsid w:val="007A5016"/>
    <w:rsid w:val="007A519E"/>
    <w:rsid w:val="007A51B1"/>
    <w:rsid w:val="007A51C6"/>
    <w:rsid w:val="007A51C8"/>
    <w:rsid w:val="007A529D"/>
    <w:rsid w:val="007A5343"/>
    <w:rsid w:val="007A5361"/>
    <w:rsid w:val="007A53B2"/>
    <w:rsid w:val="007A53D6"/>
    <w:rsid w:val="007A5405"/>
    <w:rsid w:val="007A5460"/>
    <w:rsid w:val="007A54AA"/>
    <w:rsid w:val="007A54E6"/>
    <w:rsid w:val="007A556E"/>
    <w:rsid w:val="007A55C7"/>
    <w:rsid w:val="007A55D6"/>
    <w:rsid w:val="007A560D"/>
    <w:rsid w:val="007A5674"/>
    <w:rsid w:val="007A567F"/>
    <w:rsid w:val="007A5711"/>
    <w:rsid w:val="007A5758"/>
    <w:rsid w:val="007A5800"/>
    <w:rsid w:val="007A583A"/>
    <w:rsid w:val="007A5843"/>
    <w:rsid w:val="007A5852"/>
    <w:rsid w:val="007A58D1"/>
    <w:rsid w:val="007A58EA"/>
    <w:rsid w:val="007A58F7"/>
    <w:rsid w:val="007A5951"/>
    <w:rsid w:val="007A5A39"/>
    <w:rsid w:val="007A5AED"/>
    <w:rsid w:val="007A5B71"/>
    <w:rsid w:val="007A5BAD"/>
    <w:rsid w:val="007A5C0E"/>
    <w:rsid w:val="007A5D0B"/>
    <w:rsid w:val="007A5D58"/>
    <w:rsid w:val="007A5DAA"/>
    <w:rsid w:val="007A5E0E"/>
    <w:rsid w:val="007A5E10"/>
    <w:rsid w:val="007A5EA3"/>
    <w:rsid w:val="007A5EE4"/>
    <w:rsid w:val="007A5F61"/>
    <w:rsid w:val="007A6052"/>
    <w:rsid w:val="007A607B"/>
    <w:rsid w:val="007A607E"/>
    <w:rsid w:val="007A60AF"/>
    <w:rsid w:val="007A6306"/>
    <w:rsid w:val="007A6320"/>
    <w:rsid w:val="007A636C"/>
    <w:rsid w:val="007A6395"/>
    <w:rsid w:val="007A6422"/>
    <w:rsid w:val="007A642C"/>
    <w:rsid w:val="007A64DF"/>
    <w:rsid w:val="007A653C"/>
    <w:rsid w:val="007A6583"/>
    <w:rsid w:val="007A66DA"/>
    <w:rsid w:val="007A6821"/>
    <w:rsid w:val="007A684D"/>
    <w:rsid w:val="007A6877"/>
    <w:rsid w:val="007A6882"/>
    <w:rsid w:val="007A695A"/>
    <w:rsid w:val="007A6966"/>
    <w:rsid w:val="007A6971"/>
    <w:rsid w:val="007A6A46"/>
    <w:rsid w:val="007A6A70"/>
    <w:rsid w:val="007A6B0F"/>
    <w:rsid w:val="007A6C35"/>
    <w:rsid w:val="007A6C37"/>
    <w:rsid w:val="007A6C83"/>
    <w:rsid w:val="007A6CA9"/>
    <w:rsid w:val="007A6CCF"/>
    <w:rsid w:val="007A6D06"/>
    <w:rsid w:val="007A6DF1"/>
    <w:rsid w:val="007A6E0D"/>
    <w:rsid w:val="007A6E16"/>
    <w:rsid w:val="007A6E9E"/>
    <w:rsid w:val="007A6F10"/>
    <w:rsid w:val="007A6F8C"/>
    <w:rsid w:val="007A705F"/>
    <w:rsid w:val="007A7091"/>
    <w:rsid w:val="007A70F8"/>
    <w:rsid w:val="007A721A"/>
    <w:rsid w:val="007A723B"/>
    <w:rsid w:val="007A724D"/>
    <w:rsid w:val="007A729E"/>
    <w:rsid w:val="007A736C"/>
    <w:rsid w:val="007A73C9"/>
    <w:rsid w:val="007A73EB"/>
    <w:rsid w:val="007A7413"/>
    <w:rsid w:val="007A7476"/>
    <w:rsid w:val="007A74DA"/>
    <w:rsid w:val="007A7654"/>
    <w:rsid w:val="007A7718"/>
    <w:rsid w:val="007A7724"/>
    <w:rsid w:val="007A7795"/>
    <w:rsid w:val="007A77EF"/>
    <w:rsid w:val="007A7831"/>
    <w:rsid w:val="007A783C"/>
    <w:rsid w:val="007A78AD"/>
    <w:rsid w:val="007A78C8"/>
    <w:rsid w:val="007A78E5"/>
    <w:rsid w:val="007A7994"/>
    <w:rsid w:val="007A7997"/>
    <w:rsid w:val="007A79AB"/>
    <w:rsid w:val="007A7A1D"/>
    <w:rsid w:val="007A7A2E"/>
    <w:rsid w:val="007A7A49"/>
    <w:rsid w:val="007A7A69"/>
    <w:rsid w:val="007A7AD9"/>
    <w:rsid w:val="007A7ADC"/>
    <w:rsid w:val="007A7AE0"/>
    <w:rsid w:val="007A7AE5"/>
    <w:rsid w:val="007A7B33"/>
    <w:rsid w:val="007A7B85"/>
    <w:rsid w:val="007A7B9C"/>
    <w:rsid w:val="007A7BE0"/>
    <w:rsid w:val="007A7CBF"/>
    <w:rsid w:val="007A7DAB"/>
    <w:rsid w:val="007A7EA0"/>
    <w:rsid w:val="007A7EEC"/>
    <w:rsid w:val="007A7F5B"/>
    <w:rsid w:val="007A7FC2"/>
    <w:rsid w:val="007B007C"/>
    <w:rsid w:val="007B00FC"/>
    <w:rsid w:val="007B0128"/>
    <w:rsid w:val="007B017E"/>
    <w:rsid w:val="007B01B4"/>
    <w:rsid w:val="007B020F"/>
    <w:rsid w:val="007B0267"/>
    <w:rsid w:val="007B02CB"/>
    <w:rsid w:val="007B0306"/>
    <w:rsid w:val="007B0332"/>
    <w:rsid w:val="007B0364"/>
    <w:rsid w:val="007B04AD"/>
    <w:rsid w:val="007B0595"/>
    <w:rsid w:val="007B0599"/>
    <w:rsid w:val="007B05CE"/>
    <w:rsid w:val="007B066B"/>
    <w:rsid w:val="007B0712"/>
    <w:rsid w:val="007B0716"/>
    <w:rsid w:val="007B07C4"/>
    <w:rsid w:val="007B086F"/>
    <w:rsid w:val="007B08A1"/>
    <w:rsid w:val="007B08CA"/>
    <w:rsid w:val="007B093D"/>
    <w:rsid w:val="007B0965"/>
    <w:rsid w:val="007B097A"/>
    <w:rsid w:val="007B0A03"/>
    <w:rsid w:val="007B0A70"/>
    <w:rsid w:val="007B0A7D"/>
    <w:rsid w:val="007B0A8A"/>
    <w:rsid w:val="007B0AF2"/>
    <w:rsid w:val="007B0B59"/>
    <w:rsid w:val="007B0B72"/>
    <w:rsid w:val="007B0B83"/>
    <w:rsid w:val="007B0C52"/>
    <w:rsid w:val="007B0CE6"/>
    <w:rsid w:val="007B0D3C"/>
    <w:rsid w:val="007B0D74"/>
    <w:rsid w:val="007B0D89"/>
    <w:rsid w:val="007B0F6D"/>
    <w:rsid w:val="007B0F75"/>
    <w:rsid w:val="007B1085"/>
    <w:rsid w:val="007B10A3"/>
    <w:rsid w:val="007B115E"/>
    <w:rsid w:val="007B1187"/>
    <w:rsid w:val="007B11B8"/>
    <w:rsid w:val="007B11DE"/>
    <w:rsid w:val="007B11DF"/>
    <w:rsid w:val="007B11E8"/>
    <w:rsid w:val="007B1208"/>
    <w:rsid w:val="007B12DB"/>
    <w:rsid w:val="007B12E1"/>
    <w:rsid w:val="007B1305"/>
    <w:rsid w:val="007B134E"/>
    <w:rsid w:val="007B1377"/>
    <w:rsid w:val="007B1398"/>
    <w:rsid w:val="007B13AD"/>
    <w:rsid w:val="007B153B"/>
    <w:rsid w:val="007B1656"/>
    <w:rsid w:val="007B1664"/>
    <w:rsid w:val="007B168A"/>
    <w:rsid w:val="007B169D"/>
    <w:rsid w:val="007B16D1"/>
    <w:rsid w:val="007B1809"/>
    <w:rsid w:val="007B1985"/>
    <w:rsid w:val="007B1A86"/>
    <w:rsid w:val="007B1B0B"/>
    <w:rsid w:val="007B1B10"/>
    <w:rsid w:val="007B1C1D"/>
    <w:rsid w:val="007B1C22"/>
    <w:rsid w:val="007B1C4B"/>
    <w:rsid w:val="007B1C82"/>
    <w:rsid w:val="007B1CC0"/>
    <w:rsid w:val="007B1D4F"/>
    <w:rsid w:val="007B1E17"/>
    <w:rsid w:val="007B1E2E"/>
    <w:rsid w:val="007B1E4B"/>
    <w:rsid w:val="007B1E5E"/>
    <w:rsid w:val="007B1EE1"/>
    <w:rsid w:val="007B1F04"/>
    <w:rsid w:val="007B1F09"/>
    <w:rsid w:val="007B1F56"/>
    <w:rsid w:val="007B2064"/>
    <w:rsid w:val="007B20A0"/>
    <w:rsid w:val="007B20EF"/>
    <w:rsid w:val="007B2107"/>
    <w:rsid w:val="007B2124"/>
    <w:rsid w:val="007B2180"/>
    <w:rsid w:val="007B2196"/>
    <w:rsid w:val="007B225A"/>
    <w:rsid w:val="007B23C7"/>
    <w:rsid w:val="007B245C"/>
    <w:rsid w:val="007B2472"/>
    <w:rsid w:val="007B2550"/>
    <w:rsid w:val="007B25B4"/>
    <w:rsid w:val="007B25C9"/>
    <w:rsid w:val="007B25D2"/>
    <w:rsid w:val="007B25D3"/>
    <w:rsid w:val="007B25DB"/>
    <w:rsid w:val="007B2632"/>
    <w:rsid w:val="007B26C0"/>
    <w:rsid w:val="007B26CD"/>
    <w:rsid w:val="007B26EA"/>
    <w:rsid w:val="007B279D"/>
    <w:rsid w:val="007B285E"/>
    <w:rsid w:val="007B28A1"/>
    <w:rsid w:val="007B2A7A"/>
    <w:rsid w:val="007B2AE0"/>
    <w:rsid w:val="007B2B08"/>
    <w:rsid w:val="007B2B0F"/>
    <w:rsid w:val="007B2BBD"/>
    <w:rsid w:val="007B2C4A"/>
    <w:rsid w:val="007B2CD4"/>
    <w:rsid w:val="007B2D98"/>
    <w:rsid w:val="007B2E3A"/>
    <w:rsid w:val="007B2EB6"/>
    <w:rsid w:val="007B2F46"/>
    <w:rsid w:val="007B308A"/>
    <w:rsid w:val="007B30AE"/>
    <w:rsid w:val="007B3111"/>
    <w:rsid w:val="007B3131"/>
    <w:rsid w:val="007B3137"/>
    <w:rsid w:val="007B3434"/>
    <w:rsid w:val="007B34B3"/>
    <w:rsid w:val="007B352B"/>
    <w:rsid w:val="007B352D"/>
    <w:rsid w:val="007B3640"/>
    <w:rsid w:val="007B368F"/>
    <w:rsid w:val="007B3789"/>
    <w:rsid w:val="007B38B8"/>
    <w:rsid w:val="007B38C3"/>
    <w:rsid w:val="007B391B"/>
    <w:rsid w:val="007B3930"/>
    <w:rsid w:val="007B396D"/>
    <w:rsid w:val="007B3989"/>
    <w:rsid w:val="007B3A12"/>
    <w:rsid w:val="007B3A56"/>
    <w:rsid w:val="007B3A7D"/>
    <w:rsid w:val="007B3BB0"/>
    <w:rsid w:val="007B3D4F"/>
    <w:rsid w:val="007B3D7F"/>
    <w:rsid w:val="007B3DBD"/>
    <w:rsid w:val="007B3E12"/>
    <w:rsid w:val="007B3F1F"/>
    <w:rsid w:val="007B3F31"/>
    <w:rsid w:val="007B3F3B"/>
    <w:rsid w:val="007B3F4D"/>
    <w:rsid w:val="007B3FB8"/>
    <w:rsid w:val="007B400D"/>
    <w:rsid w:val="007B406D"/>
    <w:rsid w:val="007B4115"/>
    <w:rsid w:val="007B424A"/>
    <w:rsid w:val="007B426E"/>
    <w:rsid w:val="007B42EC"/>
    <w:rsid w:val="007B430D"/>
    <w:rsid w:val="007B443A"/>
    <w:rsid w:val="007B4453"/>
    <w:rsid w:val="007B445E"/>
    <w:rsid w:val="007B4491"/>
    <w:rsid w:val="007B44FF"/>
    <w:rsid w:val="007B4568"/>
    <w:rsid w:val="007B457C"/>
    <w:rsid w:val="007B4585"/>
    <w:rsid w:val="007B459B"/>
    <w:rsid w:val="007B45E1"/>
    <w:rsid w:val="007B475B"/>
    <w:rsid w:val="007B4760"/>
    <w:rsid w:val="007B4785"/>
    <w:rsid w:val="007B48AF"/>
    <w:rsid w:val="007B4959"/>
    <w:rsid w:val="007B4A3E"/>
    <w:rsid w:val="007B4ACB"/>
    <w:rsid w:val="007B4AFB"/>
    <w:rsid w:val="007B4B35"/>
    <w:rsid w:val="007B4BB0"/>
    <w:rsid w:val="007B4BB2"/>
    <w:rsid w:val="007B4BE3"/>
    <w:rsid w:val="007B4BE4"/>
    <w:rsid w:val="007B4C29"/>
    <w:rsid w:val="007B4C32"/>
    <w:rsid w:val="007B4C66"/>
    <w:rsid w:val="007B4C86"/>
    <w:rsid w:val="007B4D09"/>
    <w:rsid w:val="007B4DAA"/>
    <w:rsid w:val="007B4DAB"/>
    <w:rsid w:val="007B4DB9"/>
    <w:rsid w:val="007B4E76"/>
    <w:rsid w:val="007B4F75"/>
    <w:rsid w:val="007B4FFB"/>
    <w:rsid w:val="007B5042"/>
    <w:rsid w:val="007B51BD"/>
    <w:rsid w:val="007B5371"/>
    <w:rsid w:val="007B537C"/>
    <w:rsid w:val="007B5486"/>
    <w:rsid w:val="007B54AF"/>
    <w:rsid w:val="007B573C"/>
    <w:rsid w:val="007B57FA"/>
    <w:rsid w:val="007B580B"/>
    <w:rsid w:val="007B5878"/>
    <w:rsid w:val="007B5880"/>
    <w:rsid w:val="007B5893"/>
    <w:rsid w:val="007B5918"/>
    <w:rsid w:val="007B5980"/>
    <w:rsid w:val="007B59F8"/>
    <w:rsid w:val="007B5B43"/>
    <w:rsid w:val="007B5C3C"/>
    <w:rsid w:val="007B5D22"/>
    <w:rsid w:val="007B5D4A"/>
    <w:rsid w:val="007B5D56"/>
    <w:rsid w:val="007B5DC2"/>
    <w:rsid w:val="007B5DEB"/>
    <w:rsid w:val="007B5F3E"/>
    <w:rsid w:val="007B5F6D"/>
    <w:rsid w:val="007B602C"/>
    <w:rsid w:val="007B6035"/>
    <w:rsid w:val="007B615F"/>
    <w:rsid w:val="007B61DA"/>
    <w:rsid w:val="007B62AE"/>
    <w:rsid w:val="007B636E"/>
    <w:rsid w:val="007B638F"/>
    <w:rsid w:val="007B63AB"/>
    <w:rsid w:val="007B63E4"/>
    <w:rsid w:val="007B6409"/>
    <w:rsid w:val="007B641A"/>
    <w:rsid w:val="007B6447"/>
    <w:rsid w:val="007B645C"/>
    <w:rsid w:val="007B6521"/>
    <w:rsid w:val="007B6617"/>
    <w:rsid w:val="007B6618"/>
    <w:rsid w:val="007B66B7"/>
    <w:rsid w:val="007B6789"/>
    <w:rsid w:val="007B67AC"/>
    <w:rsid w:val="007B683B"/>
    <w:rsid w:val="007B6873"/>
    <w:rsid w:val="007B68F5"/>
    <w:rsid w:val="007B696A"/>
    <w:rsid w:val="007B6998"/>
    <w:rsid w:val="007B6A42"/>
    <w:rsid w:val="007B6A7D"/>
    <w:rsid w:val="007B6B0F"/>
    <w:rsid w:val="007B6B1F"/>
    <w:rsid w:val="007B6B2D"/>
    <w:rsid w:val="007B6B69"/>
    <w:rsid w:val="007B6C73"/>
    <w:rsid w:val="007B6D42"/>
    <w:rsid w:val="007B6E5A"/>
    <w:rsid w:val="007B6F28"/>
    <w:rsid w:val="007B6F2D"/>
    <w:rsid w:val="007B6F79"/>
    <w:rsid w:val="007B7009"/>
    <w:rsid w:val="007B7096"/>
    <w:rsid w:val="007B70B3"/>
    <w:rsid w:val="007B70D8"/>
    <w:rsid w:val="007B712D"/>
    <w:rsid w:val="007B7164"/>
    <w:rsid w:val="007B71CF"/>
    <w:rsid w:val="007B7276"/>
    <w:rsid w:val="007B72B2"/>
    <w:rsid w:val="007B7439"/>
    <w:rsid w:val="007B748E"/>
    <w:rsid w:val="007B7567"/>
    <w:rsid w:val="007B7592"/>
    <w:rsid w:val="007B762A"/>
    <w:rsid w:val="007B76CF"/>
    <w:rsid w:val="007B77F3"/>
    <w:rsid w:val="007B7877"/>
    <w:rsid w:val="007B7897"/>
    <w:rsid w:val="007B78B6"/>
    <w:rsid w:val="007B78D8"/>
    <w:rsid w:val="007B7957"/>
    <w:rsid w:val="007B7974"/>
    <w:rsid w:val="007B7AB7"/>
    <w:rsid w:val="007B7ADD"/>
    <w:rsid w:val="007B7B7C"/>
    <w:rsid w:val="007B7C53"/>
    <w:rsid w:val="007B7C7D"/>
    <w:rsid w:val="007B7C96"/>
    <w:rsid w:val="007B7CF0"/>
    <w:rsid w:val="007B7D8C"/>
    <w:rsid w:val="007B7DC4"/>
    <w:rsid w:val="007B7E20"/>
    <w:rsid w:val="007B7E84"/>
    <w:rsid w:val="007B7E92"/>
    <w:rsid w:val="007B7F2A"/>
    <w:rsid w:val="007B7F44"/>
    <w:rsid w:val="007B7F9B"/>
    <w:rsid w:val="007C005E"/>
    <w:rsid w:val="007C00D5"/>
    <w:rsid w:val="007C00D7"/>
    <w:rsid w:val="007C0107"/>
    <w:rsid w:val="007C015E"/>
    <w:rsid w:val="007C01BC"/>
    <w:rsid w:val="007C0225"/>
    <w:rsid w:val="007C022B"/>
    <w:rsid w:val="007C0238"/>
    <w:rsid w:val="007C02AF"/>
    <w:rsid w:val="007C0337"/>
    <w:rsid w:val="007C042F"/>
    <w:rsid w:val="007C0478"/>
    <w:rsid w:val="007C04EC"/>
    <w:rsid w:val="007C04F1"/>
    <w:rsid w:val="007C055A"/>
    <w:rsid w:val="007C0577"/>
    <w:rsid w:val="007C05A4"/>
    <w:rsid w:val="007C05CE"/>
    <w:rsid w:val="007C05D1"/>
    <w:rsid w:val="007C0641"/>
    <w:rsid w:val="007C067D"/>
    <w:rsid w:val="007C078C"/>
    <w:rsid w:val="007C080B"/>
    <w:rsid w:val="007C09AC"/>
    <w:rsid w:val="007C0B3F"/>
    <w:rsid w:val="007C0C41"/>
    <w:rsid w:val="007C0CC1"/>
    <w:rsid w:val="007C0D1A"/>
    <w:rsid w:val="007C0E0A"/>
    <w:rsid w:val="007C0E12"/>
    <w:rsid w:val="007C0E6B"/>
    <w:rsid w:val="007C0EC1"/>
    <w:rsid w:val="007C106E"/>
    <w:rsid w:val="007C10FF"/>
    <w:rsid w:val="007C12DF"/>
    <w:rsid w:val="007C133B"/>
    <w:rsid w:val="007C135A"/>
    <w:rsid w:val="007C1370"/>
    <w:rsid w:val="007C1448"/>
    <w:rsid w:val="007C145F"/>
    <w:rsid w:val="007C147E"/>
    <w:rsid w:val="007C1594"/>
    <w:rsid w:val="007C159D"/>
    <w:rsid w:val="007C1625"/>
    <w:rsid w:val="007C1642"/>
    <w:rsid w:val="007C16D2"/>
    <w:rsid w:val="007C16F3"/>
    <w:rsid w:val="007C1712"/>
    <w:rsid w:val="007C1760"/>
    <w:rsid w:val="007C1763"/>
    <w:rsid w:val="007C1766"/>
    <w:rsid w:val="007C1891"/>
    <w:rsid w:val="007C1904"/>
    <w:rsid w:val="007C1921"/>
    <w:rsid w:val="007C1967"/>
    <w:rsid w:val="007C1979"/>
    <w:rsid w:val="007C19C8"/>
    <w:rsid w:val="007C19E1"/>
    <w:rsid w:val="007C1A47"/>
    <w:rsid w:val="007C1A6A"/>
    <w:rsid w:val="007C1AD2"/>
    <w:rsid w:val="007C1B16"/>
    <w:rsid w:val="007C1BA1"/>
    <w:rsid w:val="007C1BCD"/>
    <w:rsid w:val="007C1C7D"/>
    <w:rsid w:val="007C1C88"/>
    <w:rsid w:val="007C1CDA"/>
    <w:rsid w:val="007C1D18"/>
    <w:rsid w:val="007C1D5B"/>
    <w:rsid w:val="007C1D96"/>
    <w:rsid w:val="007C1DA7"/>
    <w:rsid w:val="007C1DAF"/>
    <w:rsid w:val="007C1DDD"/>
    <w:rsid w:val="007C1DE1"/>
    <w:rsid w:val="007C1E55"/>
    <w:rsid w:val="007C1E83"/>
    <w:rsid w:val="007C1ECD"/>
    <w:rsid w:val="007C1EEA"/>
    <w:rsid w:val="007C1F73"/>
    <w:rsid w:val="007C1F80"/>
    <w:rsid w:val="007C1FC5"/>
    <w:rsid w:val="007C1FC8"/>
    <w:rsid w:val="007C1FE4"/>
    <w:rsid w:val="007C1FFD"/>
    <w:rsid w:val="007C200F"/>
    <w:rsid w:val="007C2022"/>
    <w:rsid w:val="007C2064"/>
    <w:rsid w:val="007C2082"/>
    <w:rsid w:val="007C215B"/>
    <w:rsid w:val="007C2166"/>
    <w:rsid w:val="007C2193"/>
    <w:rsid w:val="007C21F2"/>
    <w:rsid w:val="007C2205"/>
    <w:rsid w:val="007C220E"/>
    <w:rsid w:val="007C223E"/>
    <w:rsid w:val="007C2244"/>
    <w:rsid w:val="007C22A3"/>
    <w:rsid w:val="007C23B9"/>
    <w:rsid w:val="007C23FC"/>
    <w:rsid w:val="007C242A"/>
    <w:rsid w:val="007C2445"/>
    <w:rsid w:val="007C2463"/>
    <w:rsid w:val="007C2524"/>
    <w:rsid w:val="007C25C7"/>
    <w:rsid w:val="007C26A9"/>
    <w:rsid w:val="007C26DD"/>
    <w:rsid w:val="007C281C"/>
    <w:rsid w:val="007C2897"/>
    <w:rsid w:val="007C28F5"/>
    <w:rsid w:val="007C299B"/>
    <w:rsid w:val="007C29D1"/>
    <w:rsid w:val="007C29FC"/>
    <w:rsid w:val="007C2A9C"/>
    <w:rsid w:val="007C2AA0"/>
    <w:rsid w:val="007C2AB7"/>
    <w:rsid w:val="007C2B2E"/>
    <w:rsid w:val="007C2B48"/>
    <w:rsid w:val="007C2B6F"/>
    <w:rsid w:val="007C2C84"/>
    <w:rsid w:val="007C2C89"/>
    <w:rsid w:val="007C2E12"/>
    <w:rsid w:val="007C2E67"/>
    <w:rsid w:val="007C2E6A"/>
    <w:rsid w:val="007C2EC7"/>
    <w:rsid w:val="007C2F06"/>
    <w:rsid w:val="007C2F52"/>
    <w:rsid w:val="007C2FCD"/>
    <w:rsid w:val="007C2FD4"/>
    <w:rsid w:val="007C2FF7"/>
    <w:rsid w:val="007C3028"/>
    <w:rsid w:val="007C3062"/>
    <w:rsid w:val="007C30A1"/>
    <w:rsid w:val="007C30E7"/>
    <w:rsid w:val="007C30FC"/>
    <w:rsid w:val="007C31D5"/>
    <w:rsid w:val="007C31DB"/>
    <w:rsid w:val="007C31E4"/>
    <w:rsid w:val="007C3208"/>
    <w:rsid w:val="007C3241"/>
    <w:rsid w:val="007C32D7"/>
    <w:rsid w:val="007C3390"/>
    <w:rsid w:val="007C345A"/>
    <w:rsid w:val="007C3506"/>
    <w:rsid w:val="007C35BD"/>
    <w:rsid w:val="007C35E1"/>
    <w:rsid w:val="007C35EC"/>
    <w:rsid w:val="007C3613"/>
    <w:rsid w:val="007C3659"/>
    <w:rsid w:val="007C36F9"/>
    <w:rsid w:val="007C38B5"/>
    <w:rsid w:val="007C38C3"/>
    <w:rsid w:val="007C39B9"/>
    <w:rsid w:val="007C3A21"/>
    <w:rsid w:val="007C3AFF"/>
    <w:rsid w:val="007C3B21"/>
    <w:rsid w:val="007C3B81"/>
    <w:rsid w:val="007C3C1A"/>
    <w:rsid w:val="007C3CC5"/>
    <w:rsid w:val="007C3CD2"/>
    <w:rsid w:val="007C3DF2"/>
    <w:rsid w:val="007C3E19"/>
    <w:rsid w:val="007C3F16"/>
    <w:rsid w:val="007C3F25"/>
    <w:rsid w:val="007C3F56"/>
    <w:rsid w:val="007C3FD4"/>
    <w:rsid w:val="007C405F"/>
    <w:rsid w:val="007C41A0"/>
    <w:rsid w:val="007C41D4"/>
    <w:rsid w:val="007C4219"/>
    <w:rsid w:val="007C4263"/>
    <w:rsid w:val="007C4288"/>
    <w:rsid w:val="007C42B0"/>
    <w:rsid w:val="007C4336"/>
    <w:rsid w:val="007C4370"/>
    <w:rsid w:val="007C43E2"/>
    <w:rsid w:val="007C43F5"/>
    <w:rsid w:val="007C44B9"/>
    <w:rsid w:val="007C44C5"/>
    <w:rsid w:val="007C44D1"/>
    <w:rsid w:val="007C45A5"/>
    <w:rsid w:val="007C460F"/>
    <w:rsid w:val="007C463E"/>
    <w:rsid w:val="007C46D7"/>
    <w:rsid w:val="007C46DF"/>
    <w:rsid w:val="007C46F0"/>
    <w:rsid w:val="007C46F5"/>
    <w:rsid w:val="007C4706"/>
    <w:rsid w:val="007C4733"/>
    <w:rsid w:val="007C478B"/>
    <w:rsid w:val="007C47B2"/>
    <w:rsid w:val="007C47E3"/>
    <w:rsid w:val="007C47E7"/>
    <w:rsid w:val="007C47F0"/>
    <w:rsid w:val="007C4966"/>
    <w:rsid w:val="007C4A1E"/>
    <w:rsid w:val="007C4A2B"/>
    <w:rsid w:val="007C4B52"/>
    <w:rsid w:val="007C4B9B"/>
    <w:rsid w:val="007C4BAD"/>
    <w:rsid w:val="007C4BF7"/>
    <w:rsid w:val="007C4C4B"/>
    <w:rsid w:val="007C4C97"/>
    <w:rsid w:val="007C4D4C"/>
    <w:rsid w:val="007C4D65"/>
    <w:rsid w:val="007C4EA0"/>
    <w:rsid w:val="007C4F73"/>
    <w:rsid w:val="007C4F7B"/>
    <w:rsid w:val="007C4F89"/>
    <w:rsid w:val="007C4FAD"/>
    <w:rsid w:val="007C501F"/>
    <w:rsid w:val="007C50AC"/>
    <w:rsid w:val="007C50E2"/>
    <w:rsid w:val="007C5126"/>
    <w:rsid w:val="007C5145"/>
    <w:rsid w:val="007C5168"/>
    <w:rsid w:val="007C51B0"/>
    <w:rsid w:val="007C51B8"/>
    <w:rsid w:val="007C52A8"/>
    <w:rsid w:val="007C52D4"/>
    <w:rsid w:val="007C52E1"/>
    <w:rsid w:val="007C52F4"/>
    <w:rsid w:val="007C5329"/>
    <w:rsid w:val="007C5365"/>
    <w:rsid w:val="007C5382"/>
    <w:rsid w:val="007C55AF"/>
    <w:rsid w:val="007C5603"/>
    <w:rsid w:val="007C56CB"/>
    <w:rsid w:val="007C5758"/>
    <w:rsid w:val="007C575E"/>
    <w:rsid w:val="007C590A"/>
    <w:rsid w:val="007C5954"/>
    <w:rsid w:val="007C5963"/>
    <w:rsid w:val="007C59B9"/>
    <w:rsid w:val="007C5A19"/>
    <w:rsid w:val="007C5A7D"/>
    <w:rsid w:val="007C5AA2"/>
    <w:rsid w:val="007C5BBE"/>
    <w:rsid w:val="007C5C26"/>
    <w:rsid w:val="007C5C32"/>
    <w:rsid w:val="007C5D10"/>
    <w:rsid w:val="007C5D3E"/>
    <w:rsid w:val="007C5DDF"/>
    <w:rsid w:val="007C5F14"/>
    <w:rsid w:val="007C5F46"/>
    <w:rsid w:val="007C5FDA"/>
    <w:rsid w:val="007C6114"/>
    <w:rsid w:val="007C61BC"/>
    <w:rsid w:val="007C621C"/>
    <w:rsid w:val="007C621E"/>
    <w:rsid w:val="007C6249"/>
    <w:rsid w:val="007C636E"/>
    <w:rsid w:val="007C6393"/>
    <w:rsid w:val="007C63A2"/>
    <w:rsid w:val="007C645B"/>
    <w:rsid w:val="007C64CA"/>
    <w:rsid w:val="007C6562"/>
    <w:rsid w:val="007C65C5"/>
    <w:rsid w:val="007C65EE"/>
    <w:rsid w:val="007C6688"/>
    <w:rsid w:val="007C6708"/>
    <w:rsid w:val="007C6724"/>
    <w:rsid w:val="007C677A"/>
    <w:rsid w:val="007C678D"/>
    <w:rsid w:val="007C686A"/>
    <w:rsid w:val="007C686E"/>
    <w:rsid w:val="007C689B"/>
    <w:rsid w:val="007C68B3"/>
    <w:rsid w:val="007C698B"/>
    <w:rsid w:val="007C69DF"/>
    <w:rsid w:val="007C6AEE"/>
    <w:rsid w:val="007C6B05"/>
    <w:rsid w:val="007C6BF7"/>
    <w:rsid w:val="007C6D0B"/>
    <w:rsid w:val="007C6D65"/>
    <w:rsid w:val="007C6ED4"/>
    <w:rsid w:val="007C6EE2"/>
    <w:rsid w:val="007C6F02"/>
    <w:rsid w:val="007C6F35"/>
    <w:rsid w:val="007C6F49"/>
    <w:rsid w:val="007C6F5E"/>
    <w:rsid w:val="007C6F85"/>
    <w:rsid w:val="007C70E9"/>
    <w:rsid w:val="007C712D"/>
    <w:rsid w:val="007C717D"/>
    <w:rsid w:val="007C7342"/>
    <w:rsid w:val="007C735A"/>
    <w:rsid w:val="007C73AF"/>
    <w:rsid w:val="007C73BB"/>
    <w:rsid w:val="007C73EF"/>
    <w:rsid w:val="007C7528"/>
    <w:rsid w:val="007C753B"/>
    <w:rsid w:val="007C75DE"/>
    <w:rsid w:val="007C75EA"/>
    <w:rsid w:val="007C76C7"/>
    <w:rsid w:val="007C76DD"/>
    <w:rsid w:val="007C76F9"/>
    <w:rsid w:val="007C7744"/>
    <w:rsid w:val="007C7763"/>
    <w:rsid w:val="007C7767"/>
    <w:rsid w:val="007C7769"/>
    <w:rsid w:val="007C77A7"/>
    <w:rsid w:val="007C77BE"/>
    <w:rsid w:val="007C7811"/>
    <w:rsid w:val="007C787E"/>
    <w:rsid w:val="007C7885"/>
    <w:rsid w:val="007C7930"/>
    <w:rsid w:val="007C79E7"/>
    <w:rsid w:val="007C7A3F"/>
    <w:rsid w:val="007C7AF6"/>
    <w:rsid w:val="007C7B90"/>
    <w:rsid w:val="007C7C11"/>
    <w:rsid w:val="007C7CF6"/>
    <w:rsid w:val="007C7D68"/>
    <w:rsid w:val="007C7E28"/>
    <w:rsid w:val="007C7F6C"/>
    <w:rsid w:val="007C7F7F"/>
    <w:rsid w:val="007D0021"/>
    <w:rsid w:val="007D006B"/>
    <w:rsid w:val="007D00F0"/>
    <w:rsid w:val="007D019D"/>
    <w:rsid w:val="007D019F"/>
    <w:rsid w:val="007D0240"/>
    <w:rsid w:val="007D02FB"/>
    <w:rsid w:val="007D034C"/>
    <w:rsid w:val="007D03B3"/>
    <w:rsid w:val="007D03D3"/>
    <w:rsid w:val="007D04AE"/>
    <w:rsid w:val="007D0532"/>
    <w:rsid w:val="007D0613"/>
    <w:rsid w:val="007D06CD"/>
    <w:rsid w:val="007D06F0"/>
    <w:rsid w:val="007D070B"/>
    <w:rsid w:val="007D07DE"/>
    <w:rsid w:val="007D0835"/>
    <w:rsid w:val="007D08C3"/>
    <w:rsid w:val="007D0913"/>
    <w:rsid w:val="007D0921"/>
    <w:rsid w:val="007D092D"/>
    <w:rsid w:val="007D0A72"/>
    <w:rsid w:val="007D0A73"/>
    <w:rsid w:val="007D0C0A"/>
    <w:rsid w:val="007D0C45"/>
    <w:rsid w:val="007D0C68"/>
    <w:rsid w:val="007D0CA6"/>
    <w:rsid w:val="007D0D3A"/>
    <w:rsid w:val="007D0D3E"/>
    <w:rsid w:val="007D0D75"/>
    <w:rsid w:val="007D0DAC"/>
    <w:rsid w:val="007D0E28"/>
    <w:rsid w:val="007D1016"/>
    <w:rsid w:val="007D1020"/>
    <w:rsid w:val="007D1062"/>
    <w:rsid w:val="007D1078"/>
    <w:rsid w:val="007D122B"/>
    <w:rsid w:val="007D1257"/>
    <w:rsid w:val="007D128E"/>
    <w:rsid w:val="007D1359"/>
    <w:rsid w:val="007D144F"/>
    <w:rsid w:val="007D148E"/>
    <w:rsid w:val="007D14F2"/>
    <w:rsid w:val="007D1516"/>
    <w:rsid w:val="007D157B"/>
    <w:rsid w:val="007D1617"/>
    <w:rsid w:val="007D1662"/>
    <w:rsid w:val="007D1664"/>
    <w:rsid w:val="007D16B3"/>
    <w:rsid w:val="007D17CE"/>
    <w:rsid w:val="007D1864"/>
    <w:rsid w:val="007D1BCC"/>
    <w:rsid w:val="007D1BE2"/>
    <w:rsid w:val="007D1BE5"/>
    <w:rsid w:val="007D1E48"/>
    <w:rsid w:val="007D1F72"/>
    <w:rsid w:val="007D1F97"/>
    <w:rsid w:val="007D1FB2"/>
    <w:rsid w:val="007D2021"/>
    <w:rsid w:val="007D206D"/>
    <w:rsid w:val="007D20EE"/>
    <w:rsid w:val="007D2121"/>
    <w:rsid w:val="007D22A3"/>
    <w:rsid w:val="007D23C8"/>
    <w:rsid w:val="007D2415"/>
    <w:rsid w:val="007D2457"/>
    <w:rsid w:val="007D2477"/>
    <w:rsid w:val="007D247D"/>
    <w:rsid w:val="007D2557"/>
    <w:rsid w:val="007D2651"/>
    <w:rsid w:val="007D2708"/>
    <w:rsid w:val="007D272B"/>
    <w:rsid w:val="007D274E"/>
    <w:rsid w:val="007D27FC"/>
    <w:rsid w:val="007D2811"/>
    <w:rsid w:val="007D2839"/>
    <w:rsid w:val="007D2960"/>
    <w:rsid w:val="007D2A16"/>
    <w:rsid w:val="007D2BBA"/>
    <w:rsid w:val="007D2C3A"/>
    <w:rsid w:val="007D2C53"/>
    <w:rsid w:val="007D2C5E"/>
    <w:rsid w:val="007D2D08"/>
    <w:rsid w:val="007D2D1E"/>
    <w:rsid w:val="007D2E1D"/>
    <w:rsid w:val="007D2E30"/>
    <w:rsid w:val="007D2F05"/>
    <w:rsid w:val="007D2F53"/>
    <w:rsid w:val="007D2F6F"/>
    <w:rsid w:val="007D2FCE"/>
    <w:rsid w:val="007D3016"/>
    <w:rsid w:val="007D319F"/>
    <w:rsid w:val="007D3225"/>
    <w:rsid w:val="007D3278"/>
    <w:rsid w:val="007D32F3"/>
    <w:rsid w:val="007D33D1"/>
    <w:rsid w:val="007D34EA"/>
    <w:rsid w:val="007D34FC"/>
    <w:rsid w:val="007D3586"/>
    <w:rsid w:val="007D359E"/>
    <w:rsid w:val="007D372F"/>
    <w:rsid w:val="007D3747"/>
    <w:rsid w:val="007D375A"/>
    <w:rsid w:val="007D37B0"/>
    <w:rsid w:val="007D37B3"/>
    <w:rsid w:val="007D37EC"/>
    <w:rsid w:val="007D381D"/>
    <w:rsid w:val="007D3894"/>
    <w:rsid w:val="007D394B"/>
    <w:rsid w:val="007D3AD1"/>
    <w:rsid w:val="007D3AF4"/>
    <w:rsid w:val="007D3B26"/>
    <w:rsid w:val="007D3BB2"/>
    <w:rsid w:val="007D3CB3"/>
    <w:rsid w:val="007D3CBD"/>
    <w:rsid w:val="007D3CC0"/>
    <w:rsid w:val="007D3CF4"/>
    <w:rsid w:val="007D3E06"/>
    <w:rsid w:val="007D3E69"/>
    <w:rsid w:val="007D3E8A"/>
    <w:rsid w:val="007D3EC1"/>
    <w:rsid w:val="007D3F41"/>
    <w:rsid w:val="007D3F6C"/>
    <w:rsid w:val="007D3F8C"/>
    <w:rsid w:val="007D4104"/>
    <w:rsid w:val="007D4181"/>
    <w:rsid w:val="007D4182"/>
    <w:rsid w:val="007D419D"/>
    <w:rsid w:val="007D41EE"/>
    <w:rsid w:val="007D421C"/>
    <w:rsid w:val="007D4326"/>
    <w:rsid w:val="007D4471"/>
    <w:rsid w:val="007D449B"/>
    <w:rsid w:val="007D44ED"/>
    <w:rsid w:val="007D44FF"/>
    <w:rsid w:val="007D450B"/>
    <w:rsid w:val="007D4530"/>
    <w:rsid w:val="007D459C"/>
    <w:rsid w:val="007D4613"/>
    <w:rsid w:val="007D46DB"/>
    <w:rsid w:val="007D4765"/>
    <w:rsid w:val="007D47F3"/>
    <w:rsid w:val="007D4804"/>
    <w:rsid w:val="007D4815"/>
    <w:rsid w:val="007D4834"/>
    <w:rsid w:val="007D48AC"/>
    <w:rsid w:val="007D48EE"/>
    <w:rsid w:val="007D4A3B"/>
    <w:rsid w:val="007D4B01"/>
    <w:rsid w:val="007D4B36"/>
    <w:rsid w:val="007D4BCD"/>
    <w:rsid w:val="007D4CD1"/>
    <w:rsid w:val="007D4DC8"/>
    <w:rsid w:val="007D4DDA"/>
    <w:rsid w:val="007D4E33"/>
    <w:rsid w:val="007D4EA8"/>
    <w:rsid w:val="007D4EB1"/>
    <w:rsid w:val="007D4EC5"/>
    <w:rsid w:val="007D4F62"/>
    <w:rsid w:val="007D4FC8"/>
    <w:rsid w:val="007D4FFC"/>
    <w:rsid w:val="007D5029"/>
    <w:rsid w:val="007D5055"/>
    <w:rsid w:val="007D50DA"/>
    <w:rsid w:val="007D5108"/>
    <w:rsid w:val="007D51ED"/>
    <w:rsid w:val="007D5345"/>
    <w:rsid w:val="007D5359"/>
    <w:rsid w:val="007D536E"/>
    <w:rsid w:val="007D53CC"/>
    <w:rsid w:val="007D53E8"/>
    <w:rsid w:val="007D544C"/>
    <w:rsid w:val="007D54A4"/>
    <w:rsid w:val="007D54CF"/>
    <w:rsid w:val="007D54DB"/>
    <w:rsid w:val="007D550A"/>
    <w:rsid w:val="007D5555"/>
    <w:rsid w:val="007D5565"/>
    <w:rsid w:val="007D5575"/>
    <w:rsid w:val="007D55A9"/>
    <w:rsid w:val="007D56B0"/>
    <w:rsid w:val="007D578E"/>
    <w:rsid w:val="007D57D1"/>
    <w:rsid w:val="007D582D"/>
    <w:rsid w:val="007D58ED"/>
    <w:rsid w:val="007D590D"/>
    <w:rsid w:val="007D5972"/>
    <w:rsid w:val="007D59A4"/>
    <w:rsid w:val="007D59EF"/>
    <w:rsid w:val="007D59FA"/>
    <w:rsid w:val="007D5A2E"/>
    <w:rsid w:val="007D5A63"/>
    <w:rsid w:val="007D5A68"/>
    <w:rsid w:val="007D5ADA"/>
    <w:rsid w:val="007D5B79"/>
    <w:rsid w:val="007D5BA3"/>
    <w:rsid w:val="007D5BC0"/>
    <w:rsid w:val="007D5BCC"/>
    <w:rsid w:val="007D5C70"/>
    <w:rsid w:val="007D5D1B"/>
    <w:rsid w:val="007D5D96"/>
    <w:rsid w:val="007D5E96"/>
    <w:rsid w:val="007D5ECB"/>
    <w:rsid w:val="007D5F51"/>
    <w:rsid w:val="007D60B9"/>
    <w:rsid w:val="007D60FE"/>
    <w:rsid w:val="007D610E"/>
    <w:rsid w:val="007D6126"/>
    <w:rsid w:val="007D6213"/>
    <w:rsid w:val="007D6247"/>
    <w:rsid w:val="007D62BB"/>
    <w:rsid w:val="007D639C"/>
    <w:rsid w:val="007D642C"/>
    <w:rsid w:val="007D6460"/>
    <w:rsid w:val="007D64BE"/>
    <w:rsid w:val="007D64C4"/>
    <w:rsid w:val="007D653E"/>
    <w:rsid w:val="007D6550"/>
    <w:rsid w:val="007D65E5"/>
    <w:rsid w:val="007D6642"/>
    <w:rsid w:val="007D66AC"/>
    <w:rsid w:val="007D679E"/>
    <w:rsid w:val="007D6872"/>
    <w:rsid w:val="007D6979"/>
    <w:rsid w:val="007D698E"/>
    <w:rsid w:val="007D6A6F"/>
    <w:rsid w:val="007D6A85"/>
    <w:rsid w:val="007D6A8E"/>
    <w:rsid w:val="007D6A98"/>
    <w:rsid w:val="007D6AC6"/>
    <w:rsid w:val="007D6B39"/>
    <w:rsid w:val="007D6BA1"/>
    <w:rsid w:val="007D6C70"/>
    <w:rsid w:val="007D6D09"/>
    <w:rsid w:val="007D6E65"/>
    <w:rsid w:val="007D6F7A"/>
    <w:rsid w:val="007D6F99"/>
    <w:rsid w:val="007D703C"/>
    <w:rsid w:val="007D7053"/>
    <w:rsid w:val="007D729C"/>
    <w:rsid w:val="007D72E4"/>
    <w:rsid w:val="007D7394"/>
    <w:rsid w:val="007D739B"/>
    <w:rsid w:val="007D73A3"/>
    <w:rsid w:val="007D740C"/>
    <w:rsid w:val="007D741E"/>
    <w:rsid w:val="007D74BF"/>
    <w:rsid w:val="007D7508"/>
    <w:rsid w:val="007D757B"/>
    <w:rsid w:val="007D75A9"/>
    <w:rsid w:val="007D75BA"/>
    <w:rsid w:val="007D768E"/>
    <w:rsid w:val="007D76B5"/>
    <w:rsid w:val="007D76D0"/>
    <w:rsid w:val="007D7730"/>
    <w:rsid w:val="007D7844"/>
    <w:rsid w:val="007D7892"/>
    <w:rsid w:val="007D7920"/>
    <w:rsid w:val="007D7A1B"/>
    <w:rsid w:val="007D7A6C"/>
    <w:rsid w:val="007D7A8A"/>
    <w:rsid w:val="007D7B4B"/>
    <w:rsid w:val="007D7CCD"/>
    <w:rsid w:val="007D7D05"/>
    <w:rsid w:val="007D7F3F"/>
    <w:rsid w:val="007D7FAB"/>
    <w:rsid w:val="007D7FC0"/>
    <w:rsid w:val="007E007A"/>
    <w:rsid w:val="007E00A1"/>
    <w:rsid w:val="007E011D"/>
    <w:rsid w:val="007E014F"/>
    <w:rsid w:val="007E0222"/>
    <w:rsid w:val="007E024E"/>
    <w:rsid w:val="007E035F"/>
    <w:rsid w:val="007E03A3"/>
    <w:rsid w:val="007E03A7"/>
    <w:rsid w:val="007E04BD"/>
    <w:rsid w:val="007E0569"/>
    <w:rsid w:val="007E056E"/>
    <w:rsid w:val="007E0593"/>
    <w:rsid w:val="007E05F7"/>
    <w:rsid w:val="007E062C"/>
    <w:rsid w:val="007E06A2"/>
    <w:rsid w:val="007E06D7"/>
    <w:rsid w:val="007E06E3"/>
    <w:rsid w:val="007E0731"/>
    <w:rsid w:val="007E074F"/>
    <w:rsid w:val="007E075A"/>
    <w:rsid w:val="007E07BA"/>
    <w:rsid w:val="007E07EB"/>
    <w:rsid w:val="007E0823"/>
    <w:rsid w:val="007E086D"/>
    <w:rsid w:val="007E08C8"/>
    <w:rsid w:val="007E08DE"/>
    <w:rsid w:val="007E0924"/>
    <w:rsid w:val="007E09B2"/>
    <w:rsid w:val="007E09C6"/>
    <w:rsid w:val="007E09CE"/>
    <w:rsid w:val="007E0A79"/>
    <w:rsid w:val="007E0AD7"/>
    <w:rsid w:val="007E0B6B"/>
    <w:rsid w:val="007E0BB8"/>
    <w:rsid w:val="007E0BBC"/>
    <w:rsid w:val="007E0C0E"/>
    <w:rsid w:val="007E0C68"/>
    <w:rsid w:val="007E0C69"/>
    <w:rsid w:val="007E0C8B"/>
    <w:rsid w:val="007E0CA9"/>
    <w:rsid w:val="007E0CE6"/>
    <w:rsid w:val="007E0D5E"/>
    <w:rsid w:val="007E0D6C"/>
    <w:rsid w:val="007E0F14"/>
    <w:rsid w:val="007E1014"/>
    <w:rsid w:val="007E1024"/>
    <w:rsid w:val="007E106C"/>
    <w:rsid w:val="007E109C"/>
    <w:rsid w:val="007E10BA"/>
    <w:rsid w:val="007E1155"/>
    <w:rsid w:val="007E11E2"/>
    <w:rsid w:val="007E12A6"/>
    <w:rsid w:val="007E12D0"/>
    <w:rsid w:val="007E12FD"/>
    <w:rsid w:val="007E1376"/>
    <w:rsid w:val="007E13D2"/>
    <w:rsid w:val="007E143B"/>
    <w:rsid w:val="007E149D"/>
    <w:rsid w:val="007E1559"/>
    <w:rsid w:val="007E161A"/>
    <w:rsid w:val="007E1698"/>
    <w:rsid w:val="007E179F"/>
    <w:rsid w:val="007E17DF"/>
    <w:rsid w:val="007E1818"/>
    <w:rsid w:val="007E188A"/>
    <w:rsid w:val="007E1904"/>
    <w:rsid w:val="007E193B"/>
    <w:rsid w:val="007E194C"/>
    <w:rsid w:val="007E1A87"/>
    <w:rsid w:val="007E1AA1"/>
    <w:rsid w:val="007E1B00"/>
    <w:rsid w:val="007E1B15"/>
    <w:rsid w:val="007E1B40"/>
    <w:rsid w:val="007E1C16"/>
    <w:rsid w:val="007E1C98"/>
    <w:rsid w:val="007E1CA5"/>
    <w:rsid w:val="007E1CDE"/>
    <w:rsid w:val="007E1CF2"/>
    <w:rsid w:val="007E1E00"/>
    <w:rsid w:val="007E1E1B"/>
    <w:rsid w:val="007E1E63"/>
    <w:rsid w:val="007E2020"/>
    <w:rsid w:val="007E20BB"/>
    <w:rsid w:val="007E2127"/>
    <w:rsid w:val="007E21FB"/>
    <w:rsid w:val="007E224F"/>
    <w:rsid w:val="007E2274"/>
    <w:rsid w:val="007E227C"/>
    <w:rsid w:val="007E228A"/>
    <w:rsid w:val="007E22FE"/>
    <w:rsid w:val="007E23E7"/>
    <w:rsid w:val="007E240A"/>
    <w:rsid w:val="007E245C"/>
    <w:rsid w:val="007E2562"/>
    <w:rsid w:val="007E256F"/>
    <w:rsid w:val="007E2598"/>
    <w:rsid w:val="007E2609"/>
    <w:rsid w:val="007E26D3"/>
    <w:rsid w:val="007E2751"/>
    <w:rsid w:val="007E27F7"/>
    <w:rsid w:val="007E2866"/>
    <w:rsid w:val="007E2878"/>
    <w:rsid w:val="007E28AB"/>
    <w:rsid w:val="007E28FE"/>
    <w:rsid w:val="007E298B"/>
    <w:rsid w:val="007E2A1D"/>
    <w:rsid w:val="007E2A75"/>
    <w:rsid w:val="007E2C04"/>
    <w:rsid w:val="007E2C8C"/>
    <w:rsid w:val="007E2CD5"/>
    <w:rsid w:val="007E2D00"/>
    <w:rsid w:val="007E2D24"/>
    <w:rsid w:val="007E2D56"/>
    <w:rsid w:val="007E2E61"/>
    <w:rsid w:val="007E2E6C"/>
    <w:rsid w:val="007E2E9D"/>
    <w:rsid w:val="007E2EB7"/>
    <w:rsid w:val="007E2FC4"/>
    <w:rsid w:val="007E2FE7"/>
    <w:rsid w:val="007E30D4"/>
    <w:rsid w:val="007E310C"/>
    <w:rsid w:val="007E3142"/>
    <w:rsid w:val="007E3210"/>
    <w:rsid w:val="007E321E"/>
    <w:rsid w:val="007E3386"/>
    <w:rsid w:val="007E33AD"/>
    <w:rsid w:val="007E33BB"/>
    <w:rsid w:val="007E3433"/>
    <w:rsid w:val="007E344D"/>
    <w:rsid w:val="007E354C"/>
    <w:rsid w:val="007E35B9"/>
    <w:rsid w:val="007E3721"/>
    <w:rsid w:val="007E37B7"/>
    <w:rsid w:val="007E3892"/>
    <w:rsid w:val="007E3989"/>
    <w:rsid w:val="007E3A6A"/>
    <w:rsid w:val="007E3A77"/>
    <w:rsid w:val="007E3B50"/>
    <w:rsid w:val="007E3B62"/>
    <w:rsid w:val="007E3B66"/>
    <w:rsid w:val="007E3BA0"/>
    <w:rsid w:val="007E3C04"/>
    <w:rsid w:val="007E3C8C"/>
    <w:rsid w:val="007E3CB4"/>
    <w:rsid w:val="007E3F08"/>
    <w:rsid w:val="007E3F2A"/>
    <w:rsid w:val="007E3F37"/>
    <w:rsid w:val="007E3FE8"/>
    <w:rsid w:val="007E4004"/>
    <w:rsid w:val="007E4026"/>
    <w:rsid w:val="007E40C4"/>
    <w:rsid w:val="007E42A8"/>
    <w:rsid w:val="007E440D"/>
    <w:rsid w:val="007E4430"/>
    <w:rsid w:val="007E4507"/>
    <w:rsid w:val="007E451E"/>
    <w:rsid w:val="007E455C"/>
    <w:rsid w:val="007E45F4"/>
    <w:rsid w:val="007E4645"/>
    <w:rsid w:val="007E4659"/>
    <w:rsid w:val="007E46BE"/>
    <w:rsid w:val="007E46F5"/>
    <w:rsid w:val="007E4725"/>
    <w:rsid w:val="007E478F"/>
    <w:rsid w:val="007E48D5"/>
    <w:rsid w:val="007E49A4"/>
    <w:rsid w:val="007E4A61"/>
    <w:rsid w:val="007E4BB3"/>
    <w:rsid w:val="007E4C2C"/>
    <w:rsid w:val="007E4C75"/>
    <w:rsid w:val="007E4C94"/>
    <w:rsid w:val="007E4E86"/>
    <w:rsid w:val="007E4E90"/>
    <w:rsid w:val="007E4F67"/>
    <w:rsid w:val="007E4F81"/>
    <w:rsid w:val="007E4F9E"/>
    <w:rsid w:val="007E50F6"/>
    <w:rsid w:val="007E51C1"/>
    <w:rsid w:val="007E5208"/>
    <w:rsid w:val="007E5297"/>
    <w:rsid w:val="007E54AD"/>
    <w:rsid w:val="007E5595"/>
    <w:rsid w:val="007E55DE"/>
    <w:rsid w:val="007E565C"/>
    <w:rsid w:val="007E568B"/>
    <w:rsid w:val="007E5725"/>
    <w:rsid w:val="007E575F"/>
    <w:rsid w:val="007E577C"/>
    <w:rsid w:val="007E57F9"/>
    <w:rsid w:val="007E58AC"/>
    <w:rsid w:val="007E58EA"/>
    <w:rsid w:val="007E58F2"/>
    <w:rsid w:val="007E596B"/>
    <w:rsid w:val="007E5973"/>
    <w:rsid w:val="007E5A0C"/>
    <w:rsid w:val="007E5A72"/>
    <w:rsid w:val="007E5C00"/>
    <w:rsid w:val="007E5CB6"/>
    <w:rsid w:val="007E5D70"/>
    <w:rsid w:val="007E5DBE"/>
    <w:rsid w:val="007E5DF0"/>
    <w:rsid w:val="007E5FDB"/>
    <w:rsid w:val="007E6031"/>
    <w:rsid w:val="007E60E2"/>
    <w:rsid w:val="007E6124"/>
    <w:rsid w:val="007E6261"/>
    <w:rsid w:val="007E6294"/>
    <w:rsid w:val="007E62A1"/>
    <w:rsid w:val="007E62D9"/>
    <w:rsid w:val="007E6337"/>
    <w:rsid w:val="007E638A"/>
    <w:rsid w:val="007E63A6"/>
    <w:rsid w:val="007E640C"/>
    <w:rsid w:val="007E6446"/>
    <w:rsid w:val="007E646F"/>
    <w:rsid w:val="007E663E"/>
    <w:rsid w:val="007E66F0"/>
    <w:rsid w:val="007E66F9"/>
    <w:rsid w:val="007E6711"/>
    <w:rsid w:val="007E671F"/>
    <w:rsid w:val="007E67AD"/>
    <w:rsid w:val="007E67EA"/>
    <w:rsid w:val="007E683A"/>
    <w:rsid w:val="007E684C"/>
    <w:rsid w:val="007E684F"/>
    <w:rsid w:val="007E68F6"/>
    <w:rsid w:val="007E6A19"/>
    <w:rsid w:val="007E6A2C"/>
    <w:rsid w:val="007E6A34"/>
    <w:rsid w:val="007E6B7E"/>
    <w:rsid w:val="007E6B92"/>
    <w:rsid w:val="007E6BBB"/>
    <w:rsid w:val="007E6BFD"/>
    <w:rsid w:val="007E6C65"/>
    <w:rsid w:val="007E6C92"/>
    <w:rsid w:val="007E6D46"/>
    <w:rsid w:val="007E6D47"/>
    <w:rsid w:val="007E6D9A"/>
    <w:rsid w:val="007E6DC5"/>
    <w:rsid w:val="007E6EC3"/>
    <w:rsid w:val="007E6F02"/>
    <w:rsid w:val="007E6F34"/>
    <w:rsid w:val="007E705A"/>
    <w:rsid w:val="007E7094"/>
    <w:rsid w:val="007E70CE"/>
    <w:rsid w:val="007E7172"/>
    <w:rsid w:val="007E71B4"/>
    <w:rsid w:val="007E71BC"/>
    <w:rsid w:val="007E71D0"/>
    <w:rsid w:val="007E7205"/>
    <w:rsid w:val="007E7292"/>
    <w:rsid w:val="007E72C2"/>
    <w:rsid w:val="007E7435"/>
    <w:rsid w:val="007E7450"/>
    <w:rsid w:val="007E7472"/>
    <w:rsid w:val="007E7480"/>
    <w:rsid w:val="007E74F2"/>
    <w:rsid w:val="007E7516"/>
    <w:rsid w:val="007E7537"/>
    <w:rsid w:val="007E75B8"/>
    <w:rsid w:val="007E76A6"/>
    <w:rsid w:val="007E76AA"/>
    <w:rsid w:val="007E76E8"/>
    <w:rsid w:val="007E771C"/>
    <w:rsid w:val="007E788E"/>
    <w:rsid w:val="007E78C7"/>
    <w:rsid w:val="007E7961"/>
    <w:rsid w:val="007E7A09"/>
    <w:rsid w:val="007E7A5F"/>
    <w:rsid w:val="007E7C16"/>
    <w:rsid w:val="007E7CA6"/>
    <w:rsid w:val="007E7DC5"/>
    <w:rsid w:val="007E7DFB"/>
    <w:rsid w:val="007E7DFF"/>
    <w:rsid w:val="007E7E46"/>
    <w:rsid w:val="007E7FAC"/>
    <w:rsid w:val="007E7FEF"/>
    <w:rsid w:val="007F003C"/>
    <w:rsid w:val="007F0059"/>
    <w:rsid w:val="007F00F0"/>
    <w:rsid w:val="007F012E"/>
    <w:rsid w:val="007F018C"/>
    <w:rsid w:val="007F01B6"/>
    <w:rsid w:val="007F01C8"/>
    <w:rsid w:val="007F01DA"/>
    <w:rsid w:val="007F01E9"/>
    <w:rsid w:val="007F0210"/>
    <w:rsid w:val="007F0291"/>
    <w:rsid w:val="007F044B"/>
    <w:rsid w:val="007F0533"/>
    <w:rsid w:val="007F05E0"/>
    <w:rsid w:val="007F066B"/>
    <w:rsid w:val="007F06E1"/>
    <w:rsid w:val="007F082D"/>
    <w:rsid w:val="007F084A"/>
    <w:rsid w:val="007F08AD"/>
    <w:rsid w:val="007F0926"/>
    <w:rsid w:val="007F0941"/>
    <w:rsid w:val="007F095C"/>
    <w:rsid w:val="007F09AD"/>
    <w:rsid w:val="007F09D3"/>
    <w:rsid w:val="007F0A61"/>
    <w:rsid w:val="007F0ACA"/>
    <w:rsid w:val="007F0C42"/>
    <w:rsid w:val="007F0C84"/>
    <w:rsid w:val="007F0CCB"/>
    <w:rsid w:val="007F0DBF"/>
    <w:rsid w:val="007F0DF1"/>
    <w:rsid w:val="007F0E10"/>
    <w:rsid w:val="007F0E2A"/>
    <w:rsid w:val="007F0E6B"/>
    <w:rsid w:val="007F0E9F"/>
    <w:rsid w:val="007F0ED9"/>
    <w:rsid w:val="007F0F31"/>
    <w:rsid w:val="007F0F8E"/>
    <w:rsid w:val="007F0FC9"/>
    <w:rsid w:val="007F0FE2"/>
    <w:rsid w:val="007F1031"/>
    <w:rsid w:val="007F1097"/>
    <w:rsid w:val="007F10C8"/>
    <w:rsid w:val="007F111E"/>
    <w:rsid w:val="007F1125"/>
    <w:rsid w:val="007F1148"/>
    <w:rsid w:val="007F1193"/>
    <w:rsid w:val="007F11C9"/>
    <w:rsid w:val="007F128C"/>
    <w:rsid w:val="007F1292"/>
    <w:rsid w:val="007F130E"/>
    <w:rsid w:val="007F133B"/>
    <w:rsid w:val="007F1439"/>
    <w:rsid w:val="007F1549"/>
    <w:rsid w:val="007F1667"/>
    <w:rsid w:val="007F166B"/>
    <w:rsid w:val="007F189C"/>
    <w:rsid w:val="007F193E"/>
    <w:rsid w:val="007F1953"/>
    <w:rsid w:val="007F1980"/>
    <w:rsid w:val="007F1BA5"/>
    <w:rsid w:val="007F1BAE"/>
    <w:rsid w:val="007F1BF9"/>
    <w:rsid w:val="007F1C14"/>
    <w:rsid w:val="007F1C58"/>
    <w:rsid w:val="007F1C8E"/>
    <w:rsid w:val="007F1CA5"/>
    <w:rsid w:val="007F1CA7"/>
    <w:rsid w:val="007F1CE9"/>
    <w:rsid w:val="007F1DE1"/>
    <w:rsid w:val="007F1DF8"/>
    <w:rsid w:val="007F1E04"/>
    <w:rsid w:val="007F1E30"/>
    <w:rsid w:val="007F1EA5"/>
    <w:rsid w:val="007F1ED3"/>
    <w:rsid w:val="007F1EDB"/>
    <w:rsid w:val="007F1F1E"/>
    <w:rsid w:val="007F1F37"/>
    <w:rsid w:val="007F1FA0"/>
    <w:rsid w:val="007F2024"/>
    <w:rsid w:val="007F2079"/>
    <w:rsid w:val="007F2148"/>
    <w:rsid w:val="007F2167"/>
    <w:rsid w:val="007F21B0"/>
    <w:rsid w:val="007F223C"/>
    <w:rsid w:val="007F223E"/>
    <w:rsid w:val="007F22A7"/>
    <w:rsid w:val="007F237A"/>
    <w:rsid w:val="007F24CD"/>
    <w:rsid w:val="007F24FC"/>
    <w:rsid w:val="007F25C7"/>
    <w:rsid w:val="007F260D"/>
    <w:rsid w:val="007F2620"/>
    <w:rsid w:val="007F26EF"/>
    <w:rsid w:val="007F2828"/>
    <w:rsid w:val="007F2832"/>
    <w:rsid w:val="007F2852"/>
    <w:rsid w:val="007F2875"/>
    <w:rsid w:val="007F28C4"/>
    <w:rsid w:val="007F29CA"/>
    <w:rsid w:val="007F2A14"/>
    <w:rsid w:val="007F2A22"/>
    <w:rsid w:val="007F2A94"/>
    <w:rsid w:val="007F2AB8"/>
    <w:rsid w:val="007F2B99"/>
    <w:rsid w:val="007F2BBA"/>
    <w:rsid w:val="007F2BE7"/>
    <w:rsid w:val="007F2BEE"/>
    <w:rsid w:val="007F2D10"/>
    <w:rsid w:val="007F2D11"/>
    <w:rsid w:val="007F2E16"/>
    <w:rsid w:val="007F2E92"/>
    <w:rsid w:val="007F2F53"/>
    <w:rsid w:val="007F3011"/>
    <w:rsid w:val="007F3043"/>
    <w:rsid w:val="007F3062"/>
    <w:rsid w:val="007F307C"/>
    <w:rsid w:val="007F30AD"/>
    <w:rsid w:val="007F30ED"/>
    <w:rsid w:val="007F3151"/>
    <w:rsid w:val="007F31E1"/>
    <w:rsid w:val="007F327A"/>
    <w:rsid w:val="007F329B"/>
    <w:rsid w:val="007F3308"/>
    <w:rsid w:val="007F34B6"/>
    <w:rsid w:val="007F34B9"/>
    <w:rsid w:val="007F34F5"/>
    <w:rsid w:val="007F352F"/>
    <w:rsid w:val="007F3598"/>
    <w:rsid w:val="007F3645"/>
    <w:rsid w:val="007F3665"/>
    <w:rsid w:val="007F3732"/>
    <w:rsid w:val="007F3739"/>
    <w:rsid w:val="007F37E4"/>
    <w:rsid w:val="007F3896"/>
    <w:rsid w:val="007F39DA"/>
    <w:rsid w:val="007F3A15"/>
    <w:rsid w:val="007F3A1C"/>
    <w:rsid w:val="007F3A3F"/>
    <w:rsid w:val="007F3A7D"/>
    <w:rsid w:val="007F3A97"/>
    <w:rsid w:val="007F3AEE"/>
    <w:rsid w:val="007F3B1F"/>
    <w:rsid w:val="007F3C11"/>
    <w:rsid w:val="007F3C89"/>
    <w:rsid w:val="007F3CDF"/>
    <w:rsid w:val="007F3D9E"/>
    <w:rsid w:val="007F3DDD"/>
    <w:rsid w:val="007F3DEC"/>
    <w:rsid w:val="007F3E9B"/>
    <w:rsid w:val="007F3EBE"/>
    <w:rsid w:val="007F3F3B"/>
    <w:rsid w:val="007F4028"/>
    <w:rsid w:val="007F4092"/>
    <w:rsid w:val="007F414E"/>
    <w:rsid w:val="007F418B"/>
    <w:rsid w:val="007F41D3"/>
    <w:rsid w:val="007F4249"/>
    <w:rsid w:val="007F4301"/>
    <w:rsid w:val="007F431D"/>
    <w:rsid w:val="007F433C"/>
    <w:rsid w:val="007F4351"/>
    <w:rsid w:val="007F43D6"/>
    <w:rsid w:val="007F4429"/>
    <w:rsid w:val="007F4460"/>
    <w:rsid w:val="007F4519"/>
    <w:rsid w:val="007F4575"/>
    <w:rsid w:val="007F462A"/>
    <w:rsid w:val="007F46DF"/>
    <w:rsid w:val="007F47FE"/>
    <w:rsid w:val="007F486F"/>
    <w:rsid w:val="007F48AA"/>
    <w:rsid w:val="007F48B4"/>
    <w:rsid w:val="007F4A36"/>
    <w:rsid w:val="007F4BA9"/>
    <w:rsid w:val="007F4BD9"/>
    <w:rsid w:val="007F4C32"/>
    <w:rsid w:val="007F4D29"/>
    <w:rsid w:val="007F4D7C"/>
    <w:rsid w:val="007F4E1E"/>
    <w:rsid w:val="007F4F36"/>
    <w:rsid w:val="007F4F7C"/>
    <w:rsid w:val="007F504F"/>
    <w:rsid w:val="007F519E"/>
    <w:rsid w:val="007F5247"/>
    <w:rsid w:val="007F53F9"/>
    <w:rsid w:val="007F546C"/>
    <w:rsid w:val="007F54B6"/>
    <w:rsid w:val="007F54D7"/>
    <w:rsid w:val="007F551B"/>
    <w:rsid w:val="007F5548"/>
    <w:rsid w:val="007F5739"/>
    <w:rsid w:val="007F573F"/>
    <w:rsid w:val="007F578C"/>
    <w:rsid w:val="007F5965"/>
    <w:rsid w:val="007F5A25"/>
    <w:rsid w:val="007F5C16"/>
    <w:rsid w:val="007F5C32"/>
    <w:rsid w:val="007F5CD7"/>
    <w:rsid w:val="007F5CEB"/>
    <w:rsid w:val="007F5D66"/>
    <w:rsid w:val="007F5E1D"/>
    <w:rsid w:val="007F5F2A"/>
    <w:rsid w:val="007F5F89"/>
    <w:rsid w:val="007F601D"/>
    <w:rsid w:val="007F6027"/>
    <w:rsid w:val="007F60A3"/>
    <w:rsid w:val="007F60A8"/>
    <w:rsid w:val="007F60EC"/>
    <w:rsid w:val="007F60F3"/>
    <w:rsid w:val="007F611E"/>
    <w:rsid w:val="007F61BA"/>
    <w:rsid w:val="007F62AE"/>
    <w:rsid w:val="007F632C"/>
    <w:rsid w:val="007F6396"/>
    <w:rsid w:val="007F63F3"/>
    <w:rsid w:val="007F641D"/>
    <w:rsid w:val="007F645B"/>
    <w:rsid w:val="007F648A"/>
    <w:rsid w:val="007F64E4"/>
    <w:rsid w:val="007F64F8"/>
    <w:rsid w:val="007F65A6"/>
    <w:rsid w:val="007F65BB"/>
    <w:rsid w:val="007F667D"/>
    <w:rsid w:val="007F668B"/>
    <w:rsid w:val="007F66AC"/>
    <w:rsid w:val="007F66C3"/>
    <w:rsid w:val="007F6709"/>
    <w:rsid w:val="007F6733"/>
    <w:rsid w:val="007F6758"/>
    <w:rsid w:val="007F6823"/>
    <w:rsid w:val="007F6876"/>
    <w:rsid w:val="007F6887"/>
    <w:rsid w:val="007F6986"/>
    <w:rsid w:val="007F69CF"/>
    <w:rsid w:val="007F6A8D"/>
    <w:rsid w:val="007F6AA3"/>
    <w:rsid w:val="007F6AD4"/>
    <w:rsid w:val="007F6B9F"/>
    <w:rsid w:val="007F6CAB"/>
    <w:rsid w:val="007F6D15"/>
    <w:rsid w:val="007F6D73"/>
    <w:rsid w:val="007F6D96"/>
    <w:rsid w:val="007F6F6E"/>
    <w:rsid w:val="007F6F8E"/>
    <w:rsid w:val="007F7008"/>
    <w:rsid w:val="007F708C"/>
    <w:rsid w:val="007F7097"/>
    <w:rsid w:val="007F70C1"/>
    <w:rsid w:val="007F71A6"/>
    <w:rsid w:val="007F731A"/>
    <w:rsid w:val="007F7320"/>
    <w:rsid w:val="007F736E"/>
    <w:rsid w:val="007F7506"/>
    <w:rsid w:val="007F7521"/>
    <w:rsid w:val="007F755E"/>
    <w:rsid w:val="007F757B"/>
    <w:rsid w:val="007F76C1"/>
    <w:rsid w:val="007F76C2"/>
    <w:rsid w:val="007F7734"/>
    <w:rsid w:val="007F778D"/>
    <w:rsid w:val="007F7790"/>
    <w:rsid w:val="007F7801"/>
    <w:rsid w:val="007F7814"/>
    <w:rsid w:val="007F78A6"/>
    <w:rsid w:val="007F78FB"/>
    <w:rsid w:val="007F794D"/>
    <w:rsid w:val="007F798F"/>
    <w:rsid w:val="007F79BC"/>
    <w:rsid w:val="007F7C2D"/>
    <w:rsid w:val="007F7C64"/>
    <w:rsid w:val="007F7C9D"/>
    <w:rsid w:val="007F7D06"/>
    <w:rsid w:val="007F7EB8"/>
    <w:rsid w:val="007F7ED6"/>
    <w:rsid w:val="007F7EEA"/>
    <w:rsid w:val="007F7F14"/>
    <w:rsid w:val="007F7F5A"/>
    <w:rsid w:val="007F7FBC"/>
    <w:rsid w:val="007F7FD7"/>
    <w:rsid w:val="0080001C"/>
    <w:rsid w:val="008000DF"/>
    <w:rsid w:val="00800164"/>
    <w:rsid w:val="0080016F"/>
    <w:rsid w:val="008001D0"/>
    <w:rsid w:val="008003AA"/>
    <w:rsid w:val="008003B9"/>
    <w:rsid w:val="008003C7"/>
    <w:rsid w:val="008003CC"/>
    <w:rsid w:val="008003E2"/>
    <w:rsid w:val="00800444"/>
    <w:rsid w:val="0080045D"/>
    <w:rsid w:val="00800490"/>
    <w:rsid w:val="00800535"/>
    <w:rsid w:val="00800539"/>
    <w:rsid w:val="00800568"/>
    <w:rsid w:val="00800572"/>
    <w:rsid w:val="008005B8"/>
    <w:rsid w:val="008005D6"/>
    <w:rsid w:val="00800677"/>
    <w:rsid w:val="00800758"/>
    <w:rsid w:val="00800768"/>
    <w:rsid w:val="0080077A"/>
    <w:rsid w:val="00800799"/>
    <w:rsid w:val="00800930"/>
    <w:rsid w:val="008009FF"/>
    <w:rsid w:val="00800A0F"/>
    <w:rsid w:val="00800A60"/>
    <w:rsid w:val="00800AAD"/>
    <w:rsid w:val="00800B70"/>
    <w:rsid w:val="00800C4C"/>
    <w:rsid w:val="00800CA6"/>
    <w:rsid w:val="00800D6A"/>
    <w:rsid w:val="00800F01"/>
    <w:rsid w:val="00800F14"/>
    <w:rsid w:val="00800F61"/>
    <w:rsid w:val="00800F7F"/>
    <w:rsid w:val="00800F95"/>
    <w:rsid w:val="0080107D"/>
    <w:rsid w:val="00801150"/>
    <w:rsid w:val="00801216"/>
    <w:rsid w:val="00801226"/>
    <w:rsid w:val="00801231"/>
    <w:rsid w:val="00801241"/>
    <w:rsid w:val="0080127E"/>
    <w:rsid w:val="008013DE"/>
    <w:rsid w:val="00801415"/>
    <w:rsid w:val="0080142D"/>
    <w:rsid w:val="00801448"/>
    <w:rsid w:val="0080144D"/>
    <w:rsid w:val="00801451"/>
    <w:rsid w:val="00801496"/>
    <w:rsid w:val="008014DB"/>
    <w:rsid w:val="008014EF"/>
    <w:rsid w:val="00801557"/>
    <w:rsid w:val="00801558"/>
    <w:rsid w:val="008015C9"/>
    <w:rsid w:val="0080165B"/>
    <w:rsid w:val="00801687"/>
    <w:rsid w:val="008016EB"/>
    <w:rsid w:val="00801704"/>
    <w:rsid w:val="0080171F"/>
    <w:rsid w:val="0080186F"/>
    <w:rsid w:val="008018B1"/>
    <w:rsid w:val="008018FB"/>
    <w:rsid w:val="00801985"/>
    <w:rsid w:val="00801A66"/>
    <w:rsid w:val="00801AB2"/>
    <w:rsid w:val="00801B48"/>
    <w:rsid w:val="00801B75"/>
    <w:rsid w:val="00801B85"/>
    <w:rsid w:val="00801BF8"/>
    <w:rsid w:val="00801CF6"/>
    <w:rsid w:val="00801D25"/>
    <w:rsid w:val="00801D75"/>
    <w:rsid w:val="00801ED1"/>
    <w:rsid w:val="00801FF9"/>
    <w:rsid w:val="00801FFE"/>
    <w:rsid w:val="00802086"/>
    <w:rsid w:val="0080209B"/>
    <w:rsid w:val="00802199"/>
    <w:rsid w:val="00802208"/>
    <w:rsid w:val="00802279"/>
    <w:rsid w:val="008022FA"/>
    <w:rsid w:val="0080230C"/>
    <w:rsid w:val="00802341"/>
    <w:rsid w:val="0080234B"/>
    <w:rsid w:val="008023DE"/>
    <w:rsid w:val="00802407"/>
    <w:rsid w:val="00802422"/>
    <w:rsid w:val="0080247F"/>
    <w:rsid w:val="00802491"/>
    <w:rsid w:val="008024A0"/>
    <w:rsid w:val="0080255A"/>
    <w:rsid w:val="0080264A"/>
    <w:rsid w:val="008026C9"/>
    <w:rsid w:val="00802734"/>
    <w:rsid w:val="00802773"/>
    <w:rsid w:val="008027A7"/>
    <w:rsid w:val="008027C1"/>
    <w:rsid w:val="008027DE"/>
    <w:rsid w:val="008027EC"/>
    <w:rsid w:val="008027F9"/>
    <w:rsid w:val="008028D3"/>
    <w:rsid w:val="0080291D"/>
    <w:rsid w:val="008029B9"/>
    <w:rsid w:val="00802A25"/>
    <w:rsid w:val="00802A7C"/>
    <w:rsid w:val="00802A88"/>
    <w:rsid w:val="00802AD8"/>
    <w:rsid w:val="00802AEB"/>
    <w:rsid w:val="00802C0D"/>
    <w:rsid w:val="00802C2C"/>
    <w:rsid w:val="00802C35"/>
    <w:rsid w:val="00802D9E"/>
    <w:rsid w:val="00802E67"/>
    <w:rsid w:val="00802E84"/>
    <w:rsid w:val="00802EF1"/>
    <w:rsid w:val="00802F42"/>
    <w:rsid w:val="00803037"/>
    <w:rsid w:val="0080307E"/>
    <w:rsid w:val="008030C7"/>
    <w:rsid w:val="008030D8"/>
    <w:rsid w:val="008031B0"/>
    <w:rsid w:val="008031CE"/>
    <w:rsid w:val="00803214"/>
    <w:rsid w:val="008032AD"/>
    <w:rsid w:val="008032C9"/>
    <w:rsid w:val="0080339B"/>
    <w:rsid w:val="008033BB"/>
    <w:rsid w:val="008033EB"/>
    <w:rsid w:val="0080341A"/>
    <w:rsid w:val="00803539"/>
    <w:rsid w:val="008035CA"/>
    <w:rsid w:val="0080361B"/>
    <w:rsid w:val="008036A0"/>
    <w:rsid w:val="008036C4"/>
    <w:rsid w:val="008036CD"/>
    <w:rsid w:val="0080370D"/>
    <w:rsid w:val="00803893"/>
    <w:rsid w:val="00803894"/>
    <w:rsid w:val="0080392D"/>
    <w:rsid w:val="00803958"/>
    <w:rsid w:val="00803962"/>
    <w:rsid w:val="008039F6"/>
    <w:rsid w:val="00803A02"/>
    <w:rsid w:val="00803A25"/>
    <w:rsid w:val="00803A3E"/>
    <w:rsid w:val="00803B09"/>
    <w:rsid w:val="00803B5E"/>
    <w:rsid w:val="00803C36"/>
    <w:rsid w:val="00803C81"/>
    <w:rsid w:val="00803CDD"/>
    <w:rsid w:val="00803CF8"/>
    <w:rsid w:val="00803DE4"/>
    <w:rsid w:val="00803DFD"/>
    <w:rsid w:val="00803E16"/>
    <w:rsid w:val="00803E25"/>
    <w:rsid w:val="00803F2C"/>
    <w:rsid w:val="00803F6A"/>
    <w:rsid w:val="00803F8A"/>
    <w:rsid w:val="0080404A"/>
    <w:rsid w:val="00804088"/>
    <w:rsid w:val="0080408C"/>
    <w:rsid w:val="008040FA"/>
    <w:rsid w:val="00804105"/>
    <w:rsid w:val="00804142"/>
    <w:rsid w:val="00804149"/>
    <w:rsid w:val="00804208"/>
    <w:rsid w:val="008042AA"/>
    <w:rsid w:val="00804322"/>
    <w:rsid w:val="00804383"/>
    <w:rsid w:val="0080440C"/>
    <w:rsid w:val="0080442E"/>
    <w:rsid w:val="008044D0"/>
    <w:rsid w:val="00804566"/>
    <w:rsid w:val="00804595"/>
    <w:rsid w:val="0080460A"/>
    <w:rsid w:val="008047B4"/>
    <w:rsid w:val="00804854"/>
    <w:rsid w:val="008049E4"/>
    <w:rsid w:val="00804A3F"/>
    <w:rsid w:val="00804A4E"/>
    <w:rsid w:val="00804A94"/>
    <w:rsid w:val="00804AF0"/>
    <w:rsid w:val="00804B68"/>
    <w:rsid w:val="00804BEC"/>
    <w:rsid w:val="00804C60"/>
    <w:rsid w:val="00804CAA"/>
    <w:rsid w:val="00804CBD"/>
    <w:rsid w:val="00804D98"/>
    <w:rsid w:val="00804DC0"/>
    <w:rsid w:val="00804DC3"/>
    <w:rsid w:val="00804DE3"/>
    <w:rsid w:val="00804E14"/>
    <w:rsid w:val="00804E73"/>
    <w:rsid w:val="00804EEB"/>
    <w:rsid w:val="00804FBB"/>
    <w:rsid w:val="0080502C"/>
    <w:rsid w:val="00805075"/>
    <w:rsid w:val="008050BD"/>
    <w:rsid w:val="008051BA"/>
    <w:rsid w:val="00805218"/>
    <w:rsid w:val="0080521B"/>
    <w:rsid w:val="008052AC"/>
    <w:rsid w:val="008052D3"/>
    <w:rsid w:val="008052EE"/>
    <w:rsid w:val="008053AC"/>
    <w:rsid w:val="008053E8"/>
    <w:rsid w:val="00805446"/>
    <w:rsid w:val="00805450"/>
    <w:rsid w:val="0080547C"/>
    <w:rsid w:val="008055B0"/>
    <w:rsid w:val="00805673"/>
    <w:rsid w:val="008056FE"/>
    <w:rsid w:val="00805752"/>
    <w:rsid w:val="0080576D"/>
    <w:rsid w:val="008057A7"/>
    <w:rsid w:val="0080581B"/>
    <w:rsid w:val="00805856"/>
    <w:rsid w:val="00805889"/>
    <w:rsid w:val="00805974"/>
    <w:rsid w:val="008059E5"/>
    <w:rsid w:val="00805A90"/>
    <w:rsid w:val="00805B01"/>
    <w:rsid w:val="00805B4A"/>
    <w:rsid w:val="00805B57"/>
    <w:rsid w:val="00805BA5"/>
    <w:rsid w:val="00805BEC"/>
    <w:rsid w:val="00805BF6"/>
    <w:rsid w:val="00805C83"/>
    <w:rsid w:val="00805CCB"/>
    <w:rsid w:val="00805CCD"/>
    <w:rsid w:val="00805CD0"/>
    <w:rsid w:val="00805D07"/>
    <w:rsid w:val="00805D56"/>
    <w:rsid w:val="00805E5B"/>
    <w:rsid w:val="00805EEC"/>
    <w:rsid w:val="00805F01"/>
    <w:rsid w:val="00805F43"/>
    <w:rsid w:val="00805F5E"/>
    <w:rsid w:val="00805F76"/>
    <w:rsid w:val="0080626A"/>
    <w:rsid w:val="0080626F"/>
    <w:rsid w:val="00806296"/>
    <w:rsid w:val="00806384"/>
    <w:rsid w:val="00806399"/>
    <w:rsid w:val="0080648D"/>
    <w:rsid w:val="008064A7"/>
    <w:rsid w:val="008065CD"/>
    <w:rsid w:val="00806726"/>
    <w:rsid w:val="008067A6"/>
    <w:rsid w:val="008067B0"/>
    <w:rsid w:val="008067D4"/>
    <w:rsid w:val="008067F4"/>
    <w:rsid w:val="00806834"/>
    <w:rsid w:val="00806899"/>
    <w:rsid w:val="00806957"/>
    <w:rsid w:val="008069B3"/>
    <w:rsid w:val="00806B11"/>
    <w:rsid w:val="00806C42"/>
    <w:rsid w:val="00806E7F"/>
    <w:rsid w:val="00806EAA"/>
    <w:rsid w:val="00806FD7"/>
    <w:rsid w:val="0080702B"/>
    <w:rsid w:val="00807193"/>
    <w:rsid w:val="008071B0"/>
    <w:rsid w:val="008071DC"/>
    <w:rsid w:val="00807216"/>
    <w:rsid w:val="0080721D"/>
    <w:rsid w:val="00807244"/>
    <w:rsid w:val="00807249"/>
    <w:rsid w:val="0080725B"/>
    <w:rsid w:val="008072F6"/>
    <w:rsid w:val="00807317"/>
    <w:rsid w:val="00807473"/>
    <w:rsid w:val="0080749E"/>
    <w:rsid w:val="0080749F"/>
    <w:rsid w:val="008075E5"/>
    <w:rsid w:val="008075EA"/>
    <w:rsid w:val="008075EC"/>
    <w:rsid w:val="00807664"/>
    <w:rsid w:val="008076B7"/>
    <w:rsid w:val="0080775D"/>
    <w:rsid w:val="0080777E"/>
    <w:rsid w:val="008077FF"/>
    <w:rsid w:val="00807888"/>
    <w:rsid w:val="008078B0"/>
    <w:rsid w:val="008078F0"/>
    <w:rsid w:val="00807917"/>
    <w:rsid w:val="00807988"/>
    <w:rsid w:val="008079EF"/>
    <w:rsid w:val="00807A17"/>
    <w:rsid w:val="00807A43"/>
    <w:rsid w:val="00807ACF"/>
    <w:rsid w:val="00807B46"/>
    <w:rsid w:val="00807BD3"/>
    <w:rsid w:val="00807C05"/>
    <w:rsid w:val="00807CE9"/>
    <w:rsid w:val="00807E1A"/>
    <w:rsid w:val="00807E38"/>
    <w:rsid w:val="00807F1B"/>
    <w:rsid w:val="00807F7E"/>
    <w:rsid w:val="00807F97"/>
    <w:rsid w:val="0081007D"/>
    <w:rsid w:val="00810094"/>
    <w:rsid w:val="008100AD"/>
    <w:rsid w:val="008100E6"/>
    <w:rsid w:val="00810141"/>
    <w:rsid w:val="00810187"/>
    <w:rsid w:val="00810199"/>
    <w:rsid w:val="008101A2"/>
    <w:rsid w:val="008101B3"/>
    <w:rsid w:val="00810203"/>
    <w:rsid w:val="0081020E"/>
    <w:rsid w:val="0081034E"/>
    <w:rsid w:val="008103CD"/>
    <w:rsid w:val="00810411"/>
    <w:rsid w:val="008104A1"/>
    <w:rsid w:val="008104E0"/>
    <w:rsid w:val="0081053C"/>
    <w:rsid w:val="00810540"/>
    <w:rsid w:val="00810690"/>
    <w:rsid w:val="008106D1"/>
    <w:rsid w:val="008107A5"/>
    <w:rsid w:val="00810859"/>
    <w:rsid w:val="008108BD"/>
    <w:rsid w:val="00810900"/>
    <w:rsid w:val="0081095C"/>
    <w:rsid w:val="008109E5"/>
    <w:rsid w:val="00810A13"/>
    <w:rsid w:val="00810A23"/>
    <w:rsid w:val="00810AD6"/>
    <w:rsid w:val="00810AFB"/>
    <w:rsid w:val="00810B68"/>
    <w:rsid w:val="00810B84"/>
    <w:rsid w:val="00810B8A"/>
    <w:rsid w:val="00810C0B"/>
    <w:rsid w:val="00810C13"/>
    <w:rsid w:val="00810C5E"/>
    <w:rsid w:val="00810D3B"/>
    <w:rsid w:val="00810D6E"/>
    <w:rsid w:val="00810DAC"/>
    <w:rsid w:val="00810E3E"/>
    <w:rsid w:val="00810F09"/>
    <w:rsid w:val="00810F82"/>
    <w:rsid w:val="00810FD6"/>
    <w:rsid w:val="00810FF3"/>
    <w:rsid w:val="0081106C"/>
    <w:rsid w:val="008110AE"/>
    <w:rsid w:val="0081110A"/>
    <w:rsid w:val="0081112F"/>
    <w:rsid w:val="00811163"/>
    <w:rsid w:val="00811167"/>
    <w:rsid w:val="0081117E"/>
    <w:rsid w:val="00811259"/>
    <w:rsid w:val="008112D8"/>
    <w:rsid w:val="00811304"/>
    <w:rsid w:val="00811458"/>
    <w:rsid w:val="0081145B"/>
    <w:rsid w:val="008114BF"/>
    <w:rsid w:val="00811500"/>
    <w:rsid w:val="008115A4"/>
    <w:rsid w:val="008115FE"/>
    <w:rsid w:val="00811605"/>
    <w:rsid w:val="0081163C"/>
    <w:rsid w:val="008116A0"/>
    <w:rsid w:val="008116FC"/>
    <w:rsid w:val="008117ED"/>
    <w:rsid w:val="00811817"/>
    <w:rsid w:val="00811890"/>
    <w:rsid w:val="00811911"/>
    <w:rsid w:val="00811972"/>
    <w:rsid w:val="00811A0F"/>
    <w:rsid w:val="00811A7D"/>
    <w:rsid w:val="00811AAE"/>
    <w:rsid w:val="00811AF9"/>
    <w:rsid w:val="00811B0D"/>
    <w:rsid w:val="00811B7B"/>
    <w:rsid w:val="00811B95"/>
    <w:rsid w:val="00811C8B"/>
    <w:rsid w:val="00811CC0"/>
    <w:rsid w:val="00811D72"/>
    <w:rsid w:val="00811DF1"/>
    <w:rsid w:val="00811E09"/>
    <w:rsid w:val="00811E6D"/>
    <w:rsid w:val="00811E87"/>
    <w:rsid w:val="00811EE4"/>
    <w:rsid w:val="00811EE7"/>
    <w:rsid w:val="00811EF9"/>
    <w:rsid w:val="00811F16"/>
    <w:rsid w:val="00811FAA"/>
    <w:rsid w:val="00811FD2"/>
    <w:rsid w:val="00811FFB"/>
    <w:rsid w:val="00812030"/>
    <w:rsid w:val="00812042"/>
    <w:rsid w:val="0081205D"/>
    <w:rsid w:val="0081221D"/>
    <w:rsid w:val="008122E9"/>
    <w:rsid w:val="008123DB"/>
    <w:rsid w:val="00812476"/>
    <w:rsid w:val="0081250C"/>
    <w:rsid w:val="0081250D"/>
    <w:rsid w:val="00812559"/>
    <w:rsid w:val="008125CC"/>
    <w:rsid w:val="0081262A"/>
    <w:rsid w:val="00812661"/>
    <w:rsid w:val="0081274E"/>
    <w:rsid w:val="008127BB"/>
    <w:rsid w:val="008127C7"/>
    <w:rsid w:val="00812840"/>
    <w:rsid w:val="00812863"/>
    <w:rsid w:val="008129A8"/>
    <w:rsid w:val="008129AD"/>
    <w:rsid w:val="008129E1"/>
    <w:rsid w:val="00812A03"/>
    <w:rsid w:val="00812ABE"/>
    <w:rsid w:val="00812B6D"/>
    <w:rsid w:val="00812B80"/>
    <w:rsid w:val="00812B91"/>
    <w:rsid w:val="00812BA1"/>
    <w:rsid w:val="00812BB0"/>
    <w:rsid w:val="00812BB6"/>
    <w:rsid w:val="00812C26"/>
    <w:rsid w:val="00812C49"/>
    <w:rsid w:val="00812C69"/>
    <w:rsid w:val="00812C9E"/>
    <w:rsid w:val="00812D40"/>
    <w:rsid w:val="00812E80"/>
    <w:rsid w:val="00812EA6"/>
    <w:rsid w:val="00812F37"/>
    <w:rsid w:val="00812F6D"/>
    <w:rsid w:val="00812F88"/>
    <w:rsid w:val="00813138"/>
    <w:rsid w:val="008131FE"/>
    <w:rsid w:val="0081320B"/>
    <w:rsid w:val="008132F3"/>
    <w:rsid w:val="00813309"/>
    <w:rsid w:val="008133E9"/>
    <w:rsid w:val="0081342D"/>
    <w:rsid w:val="0081351B"/>
    <w:rsid w:val="0081351D"/>
    <w:rsid w:val="00813565"/>
    <w:rsid w:val="00813705"/>
    <w:rsid w:val="0081371B"/>
    <w:rsid w:val="0081376A"/>
    <w:rsid w:val="0081377B"/>
    <w:rsid w:val="00813823"/>
    <w:rsid w:val="00813878"/>
    <w:rsid w:val="0081388C"/>
    <w:rsid w:val="00813993"/>
    <w:rsid w:val="00813A08"/>
    <w:rsid w:val="00813A22"/>
    <w:rsid w:val="00813AF5"/>
    <w:rsid w:val="00813AFD"/>
    <w:rsid w:val="00813B06"/>
    <w:rsid w:val="00813BC1"/>
    <w:rsid w:val="00813C74"/>
    <w:rsid w:val="00813C93"/>
    <w:rsid w:val="00813E51"/>
    <w:rsid w:val="00813E89"/>
    <w:rsid w:val="00813F49"/>
    <w:rsid w:val="0081409C"/>
    <w:rsid w:val="008140F2"/>
    <w:rsid w:val="0081412A"/>
    <w:rsid w:val="00814160"/>
    <w:rsid w:val="0081419E"/>
    <w:rsid w:val="008141AD"/>
    <w:rsid w:val="008141E3"/>
    <w:rsid w:val="00814212"/>
    <w:rsid w:val="00814276"/>
    <w:rsid w:val="00814278"/>
    <w:rsid w:val="0081427F"/>
    <w:rsid w:val="008142E3"/>
    <w:rsid w:val="00814341"/>
    <w:rsid w:val="00814426"/>
    <w:rsid w:val="00814480"/>
    <w:rsid w:val="008144F9"/>
    <w:rsid w:val="008145ED"/>
    <w:rsid w:val="0081467E"/>
    <w:rsid w:val="008146B9"/>
    <w:rsid w:val="0081473D"/>
    <w:rsid w:val="00814798"/>
    <w:rsid w:val="008147F5"/>
    <w:rsid w:val="00814822"/>
    <w:rsid w:val="00814847"/>
    <w:rsid w:val="00814927"/>
    <w:rsid w:val="00814931"/>
    <w:rsid w:val="00814A2F"/>
    <w:rsid w:val="00814A31"/>
    <w:rsid w:val="00814ACA"/>
    <w:rsid w:val="00814B11"/>
    <w:rsid w:val="00814BCE"/>
    <w:rsid w:val="00814C5D"/>
    <w:rsid w:val="00814CC6"/>
    <w:rsid w:val="00814E03"/>
    <w:rsid w:val="00814E4D"/>
    <w:rsid w:val="00814F6C"/>
    <w:rsid w:val="00814FE5"/>
    <w:rsid w:val="00815011"/>
    <w:rsid w:val="00815042"/>
    <w:rsid w:val="0081508C"/>
    <w:rsid w:val="008150CA"/>
    <w:rsid w:val="008150CF"/>
    <w:rsid w:val="008150F7"/>
    <w:rsid w:val="0081514D"/>
    <w:rsid w:val="00815155"/>
    <w:rsid w:val="00815160"/>
    <w:rsid w:val="00815223"/>
    <w:rsid w:val="008152F9"/>
    <w:rsid w:val="00815326"/>
    <w:rsid w:val="0081532A"/>
    <w:rsid w:val="0081546B"/>
    <w:rsid w:val="0081547D"/>
    <w:rsid w:val="008155D0"/>
    <w:rsid w:val="0081575C"/>
    <w:rsid w:val="008157EC"/>
    <w:rsid w:val="00815872"/>
    <w:rsid w:val="00815897"/>
    <w:rsid w:val="008158D2"/>
    <w:rsid w:val="008158EA"/>
    <w:rsid w:val="00815929"/>
    <w:rsid w:val="0081595D"/>
    <w:rsid w:val="008159A1"/>
    <w:rsid w:val="00815A76"/>
    <w:rsid w:val="00815B19"/>
    <w:rsid w:val="00815B1A"/>
    <w:rsid w:val="00815B1F"/>
    <w:rsid w:val="00815B20"/>
    <w:rsid w:val="00815B75"/>
    <w:rsid w:val="00815C43"/>
    <w:rsid w:val="00815C62"/>
    <w:rsid w:val="00815D79"/>
    <w:rsid w:val="00815E2F"/>
    <w:rsid w:val="00815E6C"/>
    <w:rsid w:val="00815EA5"/>
    <w:rsid w:val="00815EC5"/>
    <w:rsid w:val="00815F55"/>
    <w:rsid w:val="00815F5A"/>
    <w:rsid w:val="00815F98"/>
    <w:rsid w:val="00816009"/>
    <w:rsid w:val="00816041"/>
    <w:rsid w:val="0081617D"/>
    <w:rsid w:val="008161F5"/>
    <w:rsid w:val="008161F9"/>
    <w:rsid w:val="00816223"/>
    <w:rsid w:val="0081623E"/>
    <w:rsid w:val="008162FE"/>
    <w:rsid w:val="0081637B"/>
    <w:rsid w:val="0081643E"/>
    <w:rsid w:val="00816514"/>
    <w:rsid w:val="0081655B"/>
    <w:rsid w:val="0081658D"/>
    <w:rsid w:val="008165C2"/>
    <w:rsid w:val="00816607"/>
    <w:rsid w:val="008166BC"/>
    <w:rsid w:val="0081670D"/>
    <w:rsid w:val="008167B2"/>
    <w:rsid w:val="008168C8"/>
    <w:rsid w:val="008169B4"/>
    <w:rsid w:val="008169B8"/>
    <w:rsid w:val="008169C2"/>
    <w:rsid w:val="008169CF"/>
    <w:rsid w:val="008169EC"/>
    <w:rsid w:val="00816A23"/>
    <w:rsid w:val="00816A44"/>
    <w:rsid w:val="00816ACB"/>
    <w:rsid w:val="00816AE9"/>
    <w:rsid w:val="00816BE3"/>
    <w:rsid w:val="00816D07"/>
    <w:rsid w:val="00816D31"/>
    <w:rsid w:val="00816E1B"/>
    <w:rsid w:val="00816E42"/>
    <w:rsid w:val="00816EB1"/>
    <w:rsid w:val="00816FE5"/>
    <w:rsid w:val="008170BA"/>
    <w:rsid w:val="0081710A"/>
    <w:rsid w:val="00817146"/>
    <w:rsid w:val="008171A5"/>
    <w:rsid w:val="008171CE"/>
    <w:rsid w:val="00817245"/>
    <w:rsid w:val="008172AA"/>
    <w:rsid w:val="00817319"/>
    <w:rsid w:val="00817333"/>
    <w:rsid w:val="00817352"/>
    <w:rsid w:val="00817471"/>
    <w:rsid w:val="008174E3"/>
    <w:rsid w:val="0081750F"/>
    <w:rsid w:val="008175F7"/>
    <w:rsid w:val="008176D4"/>
    <w:rsid w:val="0081778B"/>
    <w:rsid w:val="00817963"/>
    <w:rsid w:val="0081796E"/>
    <w:rsid w:val="008179BB"/>
    <w:rsid w:val="00817A02"/>
    <w:rsid w:val="00817A60"/>
    <w:rsid w:val="00817A80"/>
    <w:rsid w:val="00817A96"/>
    <w:rsid w:val="00817AAC"/>
    <w:rsid w:val="00817C77"/>
    <w:rsid w:val="00817CE8"/>
    <w:rsid w:val="00817D72"/>
    <w:rsid w:val="00817E30"/>
    <w:rsid w:val="00817E79"/>
    <w:rsid w:val="00817EA4"/>
    <w:rsid w:val="00817F7D"/>
    <w:rsid w:val="00820021"/>
    <w:rsid w:val="0082002F"/>
    <w:rsid w:val="008200A1"/>
    <w:rsid w:val="008200D4"/>
    <w:rsid w:val="008200D9"/>
    <w:rsid w:val="008200FE"/>
    <w:rsid w:val="008202F7"/>
    <w:rsid w:val="00820345"/>
    <w:rsid w:val="00820380"/>
    <w:rsid w:val="008203EE"/>
    <w:rsid w:val="00820471"/>
    <w:rsid w:val="008204A1"/>
    <w:rsid w:val="008204BB"/>
    <w:rsid w:val="00820546"/>
    <w:rsid w:val="008206A6"/>
    <w:rsid w:val="0082078C"/>
    <w:rsid w:val="008208B9"/>
    <w:rsid w:val="00820931"/>
    <w:rsid w:val="00820936"/>
    <w:rsid w:val="00820997"/>
    <w:rsid w:val="0082099F"/>
    <w:rsid w:val="008209C2"/>
    <w:rsid w:val="008209E7"/>
    <w:rsid w:val="008209F7"/>
    <w:rsid w:val="00820A4F"/>
    <w:rsid w:val="00820B11"/>
    <w:rsid w:val="00820B38"/>
    <w:rsid w:val="00820C19"/>
    <w:rsid w:val="00820C9E"/>
    <w:rsid w:val="00820D30"/>
    <w:rsid w:val="00820D33"/>
    <w:rsid w:val="00820D3E"/>
    <w:rsid w:val="00820D54"/>
    <w:rsid w:val="00820DB6"/>
    <w:rsid w:val="00820DD0"/>
    <w:rsid w:val="00821033"/>
    <w:rsid w:val="00821062"/>
    <w:rsid w:val="008210E3"/>
    <w:rsid w:val="008210FD"/>
    <w:rsid w:val="008211A2"/>
    <w:rsid w:val="008211AA"/>
    <w:rsid w:val="008212A4"/>
    <w:rsid w:val="0082132C"/>
    <w:rsid w:val="008213E6"/>
    <w:rsid w:val="00821405"/>
    <w:rsid w:val="00821508"/>
    <w:rsid w:val="0082150F"/>
    <w:rsid w:val="00821568"/>
    <w:rsid w:val="008215FA"/>
    <w:rsid w:val="00821639"/>
    <w:rsid w:val="00821695"/>
    <w:rsid w:val="00821760"/>
    <w:rsid w:val="00821876"/>
    <w:rsid w:val="008218EB"/>
    <w:rsid w:val="0082199B"/>
    <w:rsid w:val="00821A64"/>
    <w:rsid w:val="00821A94"/>
    <w:rsid w:val="00821AD7"/>
    <w:rsid w:val="00821BB1"/>
    <w:rsid w:val="00821D92"/>
    <w:rsid w:val="00821DCC"/>
    <w:rsid w:val="00821DF5"/>
    <w:rsid w:val="00821E13"/>
    <w:rsid w:val="00821E17"/>
    <w:rsid w:val="00821E82"/>
    <w:rsid w:val="00821EB6"/>
    <w:rsid w:val="00821EBA"/>
    <w:rsid w:val="00821ED2"/>
    <w:rsid w:val="00821F2C"/>
    <w:rsid w:val="00821FCE"/>
    <w:rsid w:val="00821FD8"/>
    <w:rsid w:val="00822032"/>
    <w:rsid w:val="008220DD"/>
    <w:rsid w:val="008220ED"/>
    <w:rsid w:val="00822170"/>
    <w:rsid w:val="008221D7"/>
    <w:rsid w:val="00822292"/>
    <w:rsid w:val="008222B2"/>
    <w:rsid w:val="0082231E"/>
    <w:rsid w:val="00822323"/>
    <w:rsid w:val="00822348"/>
    <w:rsid w:val="00822363"/>
    <w:rsid w:val="008224DB"/>
    <w:rsid w:val="008224FF"/>
    <w:rsid w:val="00822517"/>
    <w:rsid w:val="00822540"/>
    <w:rsid w:val="00822695"/>
    <w:rsid w:val="008226A8"/>
    <w:rsid w:val="008226B0"/>
    <w:rsid w:val="008226BF"/>
    <w:rsid w:val="008226E7"/>
    <w:rsid w:val="0082273B"/>
    <w:rsid w:val="00822784"/>
    <w:rsid w:val="0082278B"/>
    <w:rsid w:val="00822790"/>
    <w:rsid w:val="00822803"/>
    <w:rsid w:val="00822804"/>
    <w:rsid w:val="0082295F"/>
    <w:rsid w:val="0082298A"/>
    <w:rsid w:val="00822ADC"/>
    <w:rsid w:val="00822AFE"/>
    <w:rsid w:val="00822B08"/>
    <w:rsid w:val="00822BAF"/>
    <w:rsid w:val="00822C0B"/>
    <w:rsid w:val="00822CBE"/>
    <w:rsid w:val="00822D5F"/>
    <w:rsid w:val="00822D61"/>
    <w:rsid w:val="00822DA9"/>
    <w:rsid w:val="00822DDB"/>
    <w:rsid w:val="00822E05"/>
    <w:rsid w:val="00822E0B"/>
    <w:rsid w:val="00822E1C"/>
    <w:rsid w:val="00823013"/>
    <w:rsid w:val="0082302F"/>
    <w:rsid w:val="0082306B"/>
    <w:rsid w:val="008230D7"/>
    <w:rsid w:val="0082314A"/>
    <w:rsid w:val="0082314C"/>
    <w:rsid w:val="008231C9"/>
    <w:rsid w:val="0082326B"/>
    <w:rsid w:val="008232B8"/>
    <w:rsid w:val="008232BF"/>
    <w:rsid w:val="00823303"/>
    <w:rsid w:val="0082330B"/>
    <w:rsid w:val="00823328"/>
    <w:rsid w:val="00823332"/>
    <w:rsid w:val="00823483"/>
    <w:rsid w:val="008234B8"/>
    <w:rsid w:val="0082355E"/>
    <w:rsid w:val="00823578"/>
    <w:rsid w:val="0082366E"/>
    <w:rsid w:val="0082389C"/>
    <w:rsid w:val="008238BC"/>
    <w:rsid w:val="008238C3"/>
    <w:rsid w:val="00823912"/>
    <w:rsid w:val="00823974"/>
    <w:rsid w:val="008239C0"/>
    <w:rsid w:val="00823B27"/>
    <w:rsid w:val="00823B4D"/>
    <w:rsid w:val="00823BD8"/>
    <w:rsid w:val="00823C8D"/>
    <w:rsid w:val="00823D87"/>
    <w:rsid w:val="00823DAB"/>
    <w:rsid w:val="00823E12"/>
    <w:rsid w:val="00823FBF"/>
    <w:rsid w:val="0082403A"/>
    <w:rsid w:val="008240C8"/>
    <w:rsid w:val="008240DB"/>
    <w:rsid w:val="008240E2"/>
    <w:rsid w:val="0082410D"/>
    <w:rsid w:val="008241D9"/>
    <w:rsid w:val="008241E1"/>
    <w:rsid w:val="00824228"/>
    <w:rsid w:val="00824279"/>
    <w:rsid w:val="008242A1"/>
    <w:rsid w:val="00824382"/>
    <w:rsid w:val="0082438B"/>
    <w:rsid w:val="008244A7"/>
    <w:rsid w:val="0082459F"/>
    <w:rsid w:val="008247BD"/>
    <w:rsid w:val="00824808"/>
    <w:rsid w:val="0082481D"/>
    <w:rsid w:val="008248FA"/>
    <w:rsid w:val="00824903"/>
    <w:rsid w:val="00824967"/>
    <w:rsid w:val="00824974"/>
    <w:rsid w:val="008249AA"/>
    <w:rsid w:val="00824A02"/>
    <w:rsid w:val="00824A41"/>
    <w:rsid w:val="00824AA6"/>
    <w:rsid w:val="00824AFC"/>
    <w:rsid w:val="00824B1C"/>
    <w:rsid w:val="00824B21"/>
    <w:rsid w:val="00824C2C"/>
    <w:rsid w:val="00824E09"/>
    <w:rsid w:val="00824E1C"/>
    <w:rsid w:val="00824E5A"/>
    <w:rsid w:val="00824E79"/>
    <w:rsid w:val="00824EE0"/>
    <w:rsid w:val="00824EF8"/>
    <w:rsid w:val="00824F36"/>
    <w:rsid w:val="00824F83"/>
    <w:rsid w:val="00824FA7"/>
    <w:rsid w:val="00824FED"/>
    <w:rsid w:val="00824FEF"/>
    <w:rsid w:val="008250C9"/>
    <w:rsid w:val="008251FF"/>
    <w:rsid w:val="00825215"/>
    <w:rsid w:val="0082526C"/>
    <w:rsid w:val="008252E6"/>
    <w:rsid w:val="00825301"/>
    <w:rsid w:val="008253F6"/>
    <w:rsid w:val="00825495"/>
    <w:rsid w:val="008255C5"/>
    <w:rsid w:val="008255E7"/>
    <w:rsid w:val="00825625"/>
    <w:rsid w:val="00825655"/>
    <w:rsid w:val="00825674"/>
    <w:rsid w:val="00825683"/>
    <w:rsid w:val="00825781"/>
    <w:rsid w:val="00825805"/>
    <w:rsid w:val="0082581C"/>
    <w:rsid w:val="0082593B"/>
    <w:rsid w:val="008259B7"/>
    <w:rsid w:val="00825A79"/>
    <w:rsid w:val="00825B2E"/>
    <w:rsid w:val="00825BB7"/>
    <w:rsid w:val="00825BEC"/>
    <w:rsid w:val="00825C07"/>
    <w:rsid w:val="00825CEB"/>
    <w:rsid w:val="00825D0E"/>
    <w:rsid w:val="00825D2F"/>
    <w:rsid w:val="00825D3F"/>
    <w:rsid w:val="00825DB0"/>
    <w:rsid w:val="00825DB8"/>
    <w:rsid w:val="00825DF6"/>
    <w:rsid w:val="00825E16"/>
    <w:rsid w:val="00825E3B"/>
    <w:rsid w:val="00825F2F"/>
    <w:rsid w:val="00825F34"/>
    <w:rsid w:val="00825F62"/>
    <w:rsid w:val="00825FCA"/>
    <w:rsid w:val="00825FD3"/>
    <w:rsid w:val="00826039"/>
    <w:rsid w:val="0082605B"/>
    <w:rsid w:val="00826063"/>
    <w:rsid w:val="008260BB"/>
    <w:rsid w:val="008260DD"/>
    <w:rsid w:val="008260EF"/>
    <w:rsid w:val="0082615A"/>
    <w:rsid w:val="008261D9"/>
    <w:rsid w:val="008262BD"/>
    <w:rsid w:val="008262C7"/>
    <w:rsid w:val="0082631E"/>
    <w:rsid w:val="0082647A"/>
    <w:rsid w:val="00826498"/>
    <w:rsid w:val="00826511"/>
    <w:rsid w:val="0082655D"/>
    <w:rsid w:val="0082663F"/>
    <w:rsid w:val="008266F8"/>
    <w:rsid w:val="008269A2"/>
    <w:rsid w:val="008269AB"/>
    <w:rsid w:val="00826A5C"/>
    <w:rsid w:val="00826B66"/>
    <w:rsid w:val="00826BC0"/>
    <w:rsid w:val="00826BC8"/>
    <w:rsid w:val="00826C03"/>
    <w:rsid w:val="00826C42"/>
    <w:rsid w:val="00826C82"/>
    <w:rsid w:val="00826CFF"/>
    <w:rsid w:val="00826D17"/>
    <w:rsid w:val="00826DC3"/>
    <w:rsid w:val="00826DD4"/>
    <w:rsid w:val="00826E50"/>
    <w:rsid w:val="00826E76"/>
    <w:rsid w:val="00826F6E"/>
    <w:rsid w:val="00826F80"/>
    <w:rsid w:val="00826FAA"/>
    <w:rsid w:val="00827025"/>
    <w:rsid w:val="00827060"/>
    <w:rsid w:val="008270A1"/>
    <w:rsid w:val="00827173"/>
    <w:rsid w:val="008271A0"/>
    <w:rsid w:val="008271CD"/>
    <w:rsid w:val="00827363"/>
    <w:rsid w:val="008273F9"/>
    <w:rsid w:val="008274B0"/>
    <w:rsid w:val="0082751F"/>
    <w:rsid w:val="00827558"/>
    <w:rsid w:val="00827600"/>
    <w:rsid w:val="008276D4"/>
    <w:rsid w:val="008276E4"/>
    <w:rsid w:val="0082772D"/>
    <w:rsid w:val="00827730"/>
    <w:rsid w:val="008277BE"/>
    <w:rsid w:val="0082786B"/>
    <w:rsid w:val="008278FC"/>
    <w:rsid w:val="00827937"/>
    <w:rsid w:val="00827A14"/>
    <w:rsid w:val="00827A8D"/>
    <w:rsid w:val="00827AAE"/>
    <w:rsid w:val="00827B87"/>
    <w:rsid w:val="00827C01"/>
    <w:rsid w:val="00827C06"/>
    <w:rsid w:val="00827C40"/>
    <w:rsid w:val="00827C52"/>
    <w:rsid w:val="00827CDF"/>
    <w:rsid w:val="00827D7A"/>
    <w:rsid w:val="00827E5D"/>
    <w:rsid w:val="00827EC6"/>
    <w:rsid w:val="00827ECB"/>
    <w:rsid w:val="00827EE1"/>
    <w:rsid w:val="00827EF5"/>
    <w:rsid w:val="00830030"/>
    <w:rsid w:val="0083004E"/>
    <w:rsid w:val="00830054"/>
    <w:rsid w:val="00830064"/>
    <w:rsid w:val="008300F7"/>
    <w:rsid w:val="0083018A"/>
    <w:rsid w:val="00830293"/>
    <w:rsid w:val="008302DD"/>
    <w:rsid w:val="0083033C"/>
    <w:rsid w:val="00830368"/>
    <w:rsid w:val="00830373"/>
    <w:rsid w:val="0083037C"/>
    <w:rsid w:val="00830394"/>
    <w:rsid w:val="008303B0"/>
    <w:rsid w:val="0083042A"/>
    <w:rsid w:val="00830436"/>
    <w:rsid w:val="0083055A"/>
    <w:rsid w:val="00830588"/>
    <w:rsid w:val="0083059F"/>
    <w:rsid w:val="00830604"/>
    <w:rsid w:val="00830649"/>
    <w:rsid w:val="00830697"/>
    <w:rsid w:val="008306AD"/>
    <w:rsid w:val="008306E4"/>
    <w:rsid w:val="0083079D"/>
    <w:rsid w:val="008307EE"/>
    <w:rsid w:val="008307FA"/>
    <w:rsid w:val="0083081E"/>
    <w:rsid w:val="0083088E"/>
    <w:rsid w:val="008309CB"/>
    <w:rsid w:val="00830A79"/>
    <w:rsid w:val="00830B35"/>
    <w:rsid w:val="00830C56"/>
    <w:rsid w:val="00830D4D"/>
    <w:rsid w:val="00830F3E"/>
    <w:rsid w:val="00830FF1"/>
    <w:rsid w:val="00831089"/>
    <w:rsid w:val="008310EE"/>
    <w:rsid w:val="00831134"/>
    <w:rsid w:val="0083117A"/>
    <w:rsid w:val="00831277"/>
    <w:rsid w:val="008312DE"/>
    <w:rsid w:val="00831341"/>
    <w:rsid w:val="0083138D"/>
    <w:rsid w:val="00831426"/>
    <w:rsid w:val="00831451"/>
    <w:rsid w:val="008315F8"/>
    <w:rsid w:val="00831602"/>
    <w:rsid w:val="008316CC"/>
    <w:rsid w:val="008316D3"/>
    <w:rsid w:val="008317E9"/>
    <w:rsid w:val="00831884"/>
    <w:rsid w:val="0083189E"/>
    <w:rsid w:val="008318AD"/>
    <w:rsid w:val="0083198A"/>
    <w:rsid w:val="00831999"/>
    <w:rsid w:val="008319CB"/>
    <w:rsid w:val="00831A04"/>
    <w:rsid w:val="00831A57"/>
    <w:rsid w:val="00831AB0"/>
    <w:rsid w:val="00831BA4"/>
    <w:rsid w:val="00831BD7"/>
    <w:rsid w:val="00831C0B"/>
    <w:rsid w:val="00831C61"/>
    <w:rsid w:val="00831D46"/>
    <w:rsid w:val="00831DAA"/>
    <w:rsid w:val="00831DD9"/>
    <w:rsid w:val="00831E38"/>
    <w:rsid w:val="00831E39"/>
    <w:rsid w:val="00831F99"/>
    <w:rsid w:val="00832027"/>
    <w:rsid w:val="0083207D"/>
    <w:rsid w:val="0083208E"/>
    <w:rsid w:val="008320BF"/>
    <w:rsid w:val="00832198"/>
    <w:rsid w:val="008321C3"/>
    <w:rsid w:val="00832307"/>
    <w:rsid w:val="00832544"/>
    <w:rsid w:val="00832549"/>
    <w:rsid w:val="00832601"/>
    <w:rsid w:val="00832705"/>
    <w:rsid w:val="008327D6"/>
    <w:rsid w:val="00832816"/>
    <w:rsid w:val="00832838"/>
    <w:rsid w:val="0083285B"/>
    <w:rsid w:val="0083286D"/>
    <w:rsid w:val="00832A28"/>
    <w:rsid w:val="00832A42"/>
    <w:rsid w:val="00832A56"/>
    <w:rsid w:val="00832A5B"/>
    <w:rsid w:val="00832A89"/>
    <w:rsid w:val="00832AF9"/>
    <w:rsid w:val="00832AFC"/>
    <w:rsid w:val="00832B19"/>
    <w:rsid w:val="00832B26"/>
    <w:rsid w:val="00832D07"/>
    <w:rsid w:val="00832D23"/>
    <w:rsid w:val="00832D6E"/>
    <w:rsid w:val="00832D77"/>
    <w:rsid w:val="00832DC6"/>
    <w:rsid w:val="00832E07"/>
    <w:rsid w:val="00832EB5"/>
    <w:rsid w:val="00832EB7"/>
    <w:rsid w:val="00832F5C"/>
    <w:rsid w:val="00832FD4"/>
    <w:rsid w:val="008330A9"/>
    <w:rsid w:val="008331B8"/>
    <w:rsid w:val="008331BD"/>
    <w:rsid w:val="008331F4"/>
    <w:rsid w:val="00833206"/>
    <w:rsid w:val="008332C9"/>
    <w:rsid w:val="0083336F"/>
    <w:rsid w:val="00833375"/>
    <w:rsid w:val="00833396"/>
    <w:rsid w:val="008333DD"/>
    <w:rsid w:val="008333DF"/>
    <w:rsid w:val="0083345E"/>
    <w:rsid w:val="008334FB"/>
    <w:rsid w:val="00833532"/>
    <w:rsid w:val="0083354D"/>
    <w:rsid w:val="00833558"/>
    <w:rsid w:val="008335DB"/>
    <w:rsid w:val="00833606"/>
    <w:rsid w:val="00833610"/>
    <w:rsid w:val="008336BE"/>
    <w:rsid w:val="008336CD"/>
    <w:rsid w:val="008336FC"/>
    <w:rsid w:val="00833809"/>
    <w:rsid w:val="00833886"/>
    <w:rsid w:val="008339A1"/>
    <w:rsid w:val="008339C4"/>
    <w:rsid w:val="008339EE"/>
    <w:rsid w:val="00833A05"/>
    <w:rsid w:val="00833BE2"/>
    <w:rsid w:val="00833C1B"/>
    <w:rsid w:val="00833C1F"/>
    <w:rsid w:val="00833C63"/>
    <w:rsid w:val="00833D29"/>
    <w:rsid w:val="00833E35"/>
    <w:rsid w:val="00833E49"/>
    <w:rsid w:val="00833ED3"/>
    <w:rsid w:val="00833EDC"/>
    <w:rsid w:val="00834078"/>
    <w:rsid w:val="00834095"/>
    <w:rsid w:val="0083412A"/>
    <w:rsid w:val="008341A4"/>
    <w:rsid w:val="008341CA"/>
    <w:rsid w:val="0083426B"/>
    <w:rsid w:val="00834335"/>
    <w:rsid w:val="00834336"/>
    <w:rsid w:val="008343BA"/>
    <w:rsid w:val="0083444A"/>
    <w:rsid w:val="00834498"/>
    <w:rsid w:val="008344A9"/>
    <w:rsid w:val="008344EE"/>
    <w:rsid w:val="0083451E"/>
    <w:rsid w:val="00834537"/>
    <w:rsid w:val="0083464E"/>
    <w:rsid w:val="00834653"/>
    <w:rsid w:val="00834670"/>
    <w:rsid w:val="008346AD"/>
    <w:rsid w:val="008346BD"/>
    <w:rsid w:val="008346C7"/>
    <w:rsid w:val="00834895"/>
    <w:rsid w:val="008348B7"/>
    <w:rsid w:val="008348EF"/>
    <w:rsid w:val="008348FA"/>
    <w:rsid w:val="00834961"/>
    <w:rsid w:val="00834A0F"/>
    <w:rsid w:val="00834A42"/>
    <w:rsid w:val="00834A69"/>
    <w:rsid w:val="00834A81"/>
    <w:rsid w:val="00834A82"/>
    <w:rsid w:val="00834B03"/>
    <w:rsid w:val="00834B95"/>
    <w:rsid w:val="00834C74"/>
    <w:rsid w:val="00834D03"/>
    <w:rsid w:val="00834D16"/>
    <w:rsid w:val="00834E04"/>
    <w:rsid w:val="00834E12"/>
    <w:rsid w:val="00834E19"/>
    <w:rsid w:val="00834EB8"/>
    <w:rsid w:val="00834EC0"/>
    <w:rsid w:val="00834F72"/>
    <w:rsid w:val="00834F88"/>
    <w:rsid w:val="00834FA8"/>
    <w:rsid w:val="00834FAE"/>
    <w:rsid w:val="00834FE5"/>
    <w:rsid w:val="008350C6"/>
    <w:rsid w:val="008350CD"/>
    <w:rsid w:val="00835129"/>
    <w:rsid w:val="0083512B"/>
    <w:rsid w:val="008351B9"/>
    <w:rsid w:val="0083525E"/>
    <w:rsid w:val="00835337"/>
    <w:rsid w:val="008353C5"/>
    <w:rsid w:val="008353FD"/>
    <w:rsid w:val="00835487"/>
    <w:rsid w:val="008354C5"/>
    <w:rsid w:val="008354E7"/>
    <w:rsid w:val="0083553F"/>
    <w:rsid w:val="00835593"/>
    <w:rsid w:val="008355BD"/>
    <w:rsid w:val="008355F6"/>
    <w:rsid w:val="00835678"/>
    <w:rsid w:val="00835763"/>
    <w:rsid w:val="008357F4"/>
    <w:rsid w:val="00835825"/>
    <w:rsid w:val="00835947"/>
    <w:rsid w:val="0083596E"/>
    <w:rsid w:val="008359C6"/>
    <w:rsid w:val="00835A15"/>
    <w:rsid w:val="00835A5A"/>
    <w:rsid w:val="00835B01"/>
    <w:rsid w:val="00835BD3"/>
    <w:rsid w:val="00835D0B"/>
    <w:rsid w:val="00835D9C"/>
    <w:rsid w:val="00835E38"/>
    <w:rsid w:val="00835E45"/>
    <w:rsid w:val="00835E7C"/>
    <w:rsid w:val="00835ECA"/>
    <w:rsid w:val="00835FC0"/>
    <w:rsid w:val="00835FD5"/>
    <w:rsid w:val="0083601D"/>
    <w:rsid w:val="008360DF"/>
    <w:rsid w:val="008360E1"/>
    <w:rsid w:val="00836117"/>
    <w:rsid w:val="0083611F"/>
    <w:rsid w:val="0083613B"/>
    <w:rsid w:val="008361D2"/>
    <w:rsid w:val="0083626C"/>
    <w:rsid w:val="00836276"/>
    <w:rsid w:val="008362EF"/>
    <w:rsid w:val="008363BA"/>
    <w:rsid w:val="00836489"/>
    <w:rsid w:val="008364B9"/>
    <w:rsid w:val="008365F5"/>
    <w:rsid w:val="00836673"/>
    <w:rsid w:val="008367BA"/>
    <w:rsid w:val="008367CD"/>
    <w:rsid w:val="00836826"/>
    <w:rsid w:val="00836868"/>
    <w:rsid w:val="008368E8"/>
    <w:rsid w:val="0083694F"/>
    <w:rsid w:val="00836977"/>
    <w:rsid w:val="008369B1"/>
    <w:rsid w:val="008369B7"/>
    <w:rsid w:val="008369BC"/>
    <w:rsid w:val="008369C6"/>
    <w:rsid w:val="008369E2"/>
    <w:rsid w:val="00836A16"/>
    <w:rsid w:val="00836A44"/>
    <w:rsid w:val="00836A68"/>
    <w:rsid w:val="00836A86"/>
    <w:rsid w:val="00836A94"/>
    <w:rsid w:val="00836AD0"/>
    <w:rsid w:val="00836B2F"/>
    <w:rsid w:val="00836B59"/>
    <w:rsid w:val="00836B5A"/>
    <w:rsid w:val="00836B98"/>
    <w:rsid w:val="00836BD5"/>
    <w:rsid w:val="00836CC1"/>
    <w:rsid w:val="00836D1E"/>
    <w:rsid w:val="00836DB2"/>
    <w:rsid w:val="00836E15"/>
    <w:rsid w:val="00836E1D"/>
    <w:rsid w:val="00836E33"/>
    <w:rsid w:val="00836EBC"/>
    <w:rsid w:val="00836F42"/>
    <w:rsid w:val="00836F44"/>
    <w:rsid w:val="00836F61"/>
    <w:rsid w:val="00836F6B"/>
    <w:rsid w:val="00836FCB"/>
    <w:rsid w:val="00837083"/>
    <w:rsid w:val="008370C2"/>
    <w:rsid w:val="008370D1"/>
    <w:rsid w:val="008371BE"/>
    <w:rsid w:val="00837243"/>
    <w:rsid w:val="00837306"/>
    <w:rsid w:val="00837350"/>
    <w:rsid w:val="008374A1"/>
    <w:rsid w:val="0083752F"/>
    <w:rsid w:val="0083753A"/>
    <w:rsid w:val="008377BD"/>
    <w:rsid w:val="00837897"/>
    <w:rsid w:val="008378A2"/>
    <w:rsid w:val="00837917"/>
    <w:rsid w:val="0083799B"/>
    <w:rsid w:val="00837A0B"/>
    <w:rsid w:val="00837A3E"/>
    <w:rsid w:val="00837B9C"/>
    <w:rsid w:val="00837BC9"/>
    <w:rsid w:val="00837C1A"/>
    <w:rsid w:val="00837CE5"/>
    <w:rsid w:val="00837D31"/>
    <w:rsid w:val="00837D64"/>
    <w:rsid w:val="00837D8C"/>
    <w:rsid w:val="00837DA9"/>
    <w:rsid w:val="00837DBD"/>
    <w:rsid w:val="00837E94"/>
    <w:rsid w:val="00837EF1"/>
    <w:rsid w:val="0083AEDD"/>
    <w:rsid w:val="00840015"/>
    <w:rsid w:val="00840047"/>
    <w:rsid w:val="0084005E"/>
    <w:rsid w:val="008400DE"/>
    <w:rsid w:val="00840144"/>
    <w:rsid w:val="00840158"/>
    <w:rsid w:val="0084020F"/>
    <w:rsid w:val="0084029E"/>
    <w:rsid w:val="008402CA"/>
    <w:rsid w:val="00840313"/>
    <w:rsid w:val="00840317"/>
    <w:rsid w:val="00840400"/>
    <w:rsid w:val="00840403"/>
    <w:rsid w:val="008404DA"/>
    <w:rsid w:val="008405D0"/>
    <w:rsid w:val="008405E7"/>
    <w:rsid w:val="00840623"/>
    <w:rsid w:val="0084068E"/>
    <w:rsid w:val="008406AC"/>
    <w:rsid w:val="008407C3"/>
    <w:rsid w:val="00840828"/>
    <w:rsid w:val="00840840"/>
    <w:rsid w:val="008409D6"/>
    <w:rsid w:val="008409E1"/>
    <w:rsid w:val="00840AAE"/>
    <w:rsid w:val="00840B0A"/>
    <w:rsid w:val="00840B2D"/>
    <w:rsid w:val="00840C1F"/>
    <w:rsid w:val="00840C4E"/>
    <w:rsid w:val="00840F3B"/>
    <w:rsid w:val="00840F47"/>
    <w:rsid w:val="00840FC4"/>
    <w:rsid w:val="008410A4"/>
    <w:rsid w:val="008411E7"/>
    <w:rsid w:val="008411F8"/>
    <w:rsid w:val="0084130F"/>
    <w:rsid w:val="00841327"/>
    <w:rsid w:val="00841369"/>
    <w:rsid w:val="008413AD"/>
    <w:rsid w:val="008414CD"/>
    <w:rsid w:val="008414E1"/>
    <w:rsid w:val="00841500"/>
    <w:rsid w:val="00841526"/>
    <w:rsid w:val="00841554"/>
    <w:rsid w:val="008415A9"/>
    <w:rsid w:val="0084162C"/>
    <w:rsid w:val="00841652"/>
    <w:rsid w:val="0084178A"/>
    <w:rsid w:val="008417BF"/>
    <w:rsid w:val="008417E7"/>
    <w:rsid w:val="00841811"/>
    <w:rsid w:val="0084186A"/>
    <w:rsid w:val="00841926"/>
    <w:rsid w:val="00841A40"/>
    <w:rsid w:val="00841AF5"/>
    <w:rsid w:val="00841B98"/>
    <w:rsid w:val="00841BE0"/>
    <w:rsid w:val="00841C11"/>
    <w:rsid w:val="00841D6E"/>
    <w:rsid w:val="00841D7F"/>
    <w:rsid w:val="00841E61"/>
    <w:rsid w:val="00841F50"/>
    <w:rsid w:val="00841FAC"/>
    <w:rsid w:val="00841FEF"/>
    <w:rsid w:val="008420B3"/>
    <w:rsid w:val="008420E6"/>
    <w:rsid w:val="00842157"/>
    <w:rsid w:val="008421BD"/>
    <w:rsid w:val="008421BF"/>
    <w:rsid w:val="008422F4"/>
    <w:rsid w:val="008423AE"/>
    <w:rsid w:val="008423B2"/>
    <w:rsid w:val="008423F6"/>
    <w:rsid w:val="008424CD"/>
    <w:rsid w:val="008425A2"/>
    <w:rsid w:val="008425A6"/>
    <w:rsid w:val="008426E2"/>
    <w:rsid w:val="00842772"/>
    <w:rsid w:val="00842A6D"/>
    <w:rsid w:val="00842AA4"/>
    <w:rsid w:val="00842ABA"/>
    <w:rsid w:val="00842AF4"/>
    <w:rsid w:val="00842B39"/>
    <w:rsid w:val="00842B50"/>
    <w:rsid w:val="00842B87"/>
    <w:rsid w:val="00842BF2"/>
    <w:rsid w:val="00842C0B"/>
    <w:rsid w:val="00842C11"/>
    <w:rsid w:val="00842C4F"/>
    <w:rsid w:val="00842CC4"/>
    <w:rsid w:val="00842CF7"/>
    <w:rsid w:val="00842D14"/>
    <w:rsid w:val="00842D38"/>
    <w:rsid w:val="00842D60"/>
    <w:rsid w:val="00842D7F"/>
    <w:rsid w:val="00842DA5"/>
    <w:rsid w:val="00842DA8"/>
    <w:rsid w:val="00842DCF"/>
    <w:rsid w:val="00842E3E"/>
    <w:rsid w:val="00842EBC"/>
    <w:rsid w:val="00842F1D"/>
    <w:rsid w:val="00842F4A"/>
    <w:rsid w:val="00842F4F"/>
    <w:rsid w:val="00842F80"/>
    <w:rsid w:val="00842FE2"/>
    <w:rsid w:val="00843051"/>
    <w:rsid w:val="00843195"/>
    <w:rsid w:val="0084319A"/>
    <w:rsid w:val="008431B4"/>
    <w:rsid w:val="008431D1"/>
    <w:rsid w:val="00843273"/>
    <w:rsid w:val="0084327A"/>
    <w:rsid w:val="008432B1"/>
    <w:rsid w:val="008432FE"/>
    <w:rsid w:val="0084336F"/>
    <w:rsid w:val="008433B5"/>
    <w:rsid w:val="008433D6"/>
    <w:rsid w:val="008433DD"/>
    <w:rsid w:val="008433ED"/>
    <w:rsid w:val="008433F7"/>
    <w:rsid w:val="00843402"/>
    <w:rsid w:val="0084346F"/>
    <w:rsid w:val="00843495"/>
    <w:rsid w:val="008434B0"/>
    <w:rsid w:val="008434C4"/>
    <w:rsid w:val="008434CB"/>
    <w:rsid w:val="008434D5"/>
    <w:rsid w:val="008434FA"/>
    <w:rsid w:val="00843511"/>
    <w:rsid w:val="0084374F"/>
    <w:rsid w:val="00843792"/>
    <w:rsid w:val="008437AB"/>
    <w:rsid w:val="008437D1"/>
    <w:rsid w:val="008437D7"/>
    <w:rsid w:val="00843839"/>
    <w:rsid w:val="00843884"/>
    <w:rsid w:val="0084388A"/>
    <w:rsid w:val="008438A6"/>
    <w:rsid w:val="00843902"/>
    <w:rsid w:val="00843953"/>
    <w:rsid w:val="00843960"/>
    <w:rsid w:val="008439D4"/>
    <w:rsid w:val="00843A3C"/>
    <w:rsid w:val="00843A4E"/>
    <w:rsid w:val="00843ACC"/>
    <w:rsid w:val="00843AE7"/>
    <w:rsid w:val="00843AEC"/>
    <w:rsid w:val="00843B14"/>
    <w:rsid w:val="00843B5F"/>
    <w:rsid w:val="00843BC9"/>
    <w:rsid w:val="00843C5B"/>
    <w:rsid w:val="00843C6B"/>
    <w:rsid w:val="00843C84"/>
    <w:rsid w:val="00843CF5"/>
    <w:rsid w:val="00843D0B"/>
    <w:rsid w:val="00843D78"/>
    <w:rsid w:val="00843DCA"/>
    <w:rsid w:val="00843E08"/>
    <w:rsid w:val="00843E09"/>
    <w:rsid w:val="00843E80"/>
    <w:rsid w:val="00843F0E"/>
    <w:rsid w:val="00843F6B"/>
    <w:rsid w:val="00844077"/>
    <w:rsid w:val="008440B1"/>
    <w:rsid w:val="008440E4"/>
    <w:rsid w:val="00844105"/>
    <w:rsid w:val="00844185"/>
    <w:rsid w:val="008441D4"/>
    <w:rsid w:val="00844264"/>
    <w:rsid w:val="0084429D"/>
    <w:rsid w:val="00844313"/>
    <w:rsid w:val="00844462"/>
    <w:rsid w:val="0084452F"/>
    <w:rsid w:val="00844574"/>
    <w:rsid w:val="008446BB"/>
    <w:rsid w:val="008446C1"/>
    <w:rsid w:val="008446E6"/>
    <w:rsid w:val="0084472E"/>
    <w:rsid w:val="00844795"/>
    <w:rsid w:val="008447D7"/>
    <w:rsid w:val="00844822"/>
    <w:rsid w:val="008448C3"/>
    <w:rsid w:val="00844917"/>
    <w:rsid w:val="008449C1"/>
    <w:rsid w:val="00844A41"/>
    <w:rsid w:val="00844AA4"/>
    <w:rsid w:val="00844AD3"/>
    <w:rsid w:val="00844AEB"/>
    <w:rsid w:val="00844B7D"/>
    <w:rsid w:val="00844BE1"/>
    <w:rsid w:val="00844C20"/>
    <w:rsid w:val="00844C69"/>
    <w:rsid w:val="00844CC1"/>
    <w:rsid w:val="00844CD3"/>
    <w:rsid w:val="00844CED"/>
    <w:rsid w:val="00844F28"/>
    <w:rsid w:val="00844F29"/>
    <w:rsid w:val="00844F8E"/>
    <w:rsid w:val="00844FA0"/>
    <w:rsid w:val="00844FF1"/>
    <w:rsid w:val="00845054"/>
    <w:rsid w:val="00845085"/>
    <w:rsid w:val="008450A6"/>
    <w:rsid w:val="008450B5"/>
    <w:rsid w:val="00845176"/>
    <w:rsid w:val="00845186"/>
    <w:rsid w:val="008452AE"/>
    <w:rsid w:val="008452C5"/>
    <w:rsid w:val="008452EB"/>
    <w:rsid w:val="008453CD"/>
    <w:rsid w:val="00845400"/>
    <w:rsid w:val="0084554C"/>
    <w:rsid w:val="00845586"/>
    <w:rsid w:val="0084588A"/>
    <w:rsid w:val="008458E4"/>
    <w:rsid w:val="008458E7"/>
    <w:rsid w:val="00845909"/>
    <w:rsid w:val="00845921"/>
    <w:rsid w:val="008459C8"/>
    <w:rsid w:val="008459CB"/>
    <w:rsid w:val="00845B8B"/>
    <w:rsid w:val="00845BE8"/>
    <w:rsid w:val="00845C7F"/>
    <w:rsid w:val="00845C80"/>
    <w:rsid w:val="00845CA6"/>
    <w:rsid w:val="00845D1F"/>
    <w:rsid w:val="00845DA9"/>
    <w:rsid w:val="00845E6B"/>
    <w:rsid w:val="00845E7C"/>
    <w:rsid w:val="00845EDB"/>
    <w:rsid w:val="00845F66"/>
    <w:rsid w:val="00845F8A"/>
    <w:rsid w:val="00845F92"/>
    <w:rsid w:val="00845FE1"/>
    <w:rsid w:val="00845FE3"/>
    <w:rsid w:val="00846007"/>
    <w:rsid w:val="00846010"/>
    <w:rsid w:val="0084607C"/>
    <w:rsid w:val="00846098"/>
    <w:rsid w:val="008460AD"/>
    <w:rsid w:val="00846187"/>
    <w:rsid w:val="0084621D"/>
    <w:rsid w:val="00846251"/>
    <w:rsid w:val="008462E3"/>
    <w:rsid w:val="0084637E"/>
    <w:rsid w:val="00846425"/>
    <w:rsid w:val="008464BA"/>
    <w:rsid w:val="00846504"/>
    <w:rsid w:val="00846537"/>
    <w:rsid w:val="0084654E"/>
    <w:rsid w:val="008465C7"/>
    <w:rsid w:val="008465F3"/>
    <w:rsid w:val="00846631"/>
    <w:rsid w:val="008466D8"/>
    <w:rsid w:val="008469AC"/>
    <w:rsid w:val="00846A34"/>
    <w:rsid w:val="00846A40"/>
    <w:rsid w:val="00846A79"/>
    <w:rsid w:val="00846A85"/>
    <w:rsid w:val="00846A97"/>
    <w:rsid w:val="00846B95"/>
    <w:rsid w:val="00846BCF"/>
    <w:rsid w:val="00846BE7"/>
    <w:rsid w:val="00846C7D"/>
    <w:rsid w:val="00846DE5"/>
    <w:rsid w:val="00846F43"/>
    <w:rsid w:val="00846F74"/>
    <w:rsid w:val="00846F8D"/>
    <w:rsid w:val="00847011"/>
    <w:rsid w:val="00847054"/>
    <w:rsid w:val="008470B2"/>
    <w:rsid w:val="0084718B"/>
    <w:rsid w:val="0084720F"/>
    <w:rsid w:val="0084721B"/>
    <w:rsid w:val="0084721C"/>
    <w:rsid w:val="00847352"/>
    <w:rsid w:val="00847387"/>
    <w:rsid w:val="008473D2"/>
    <w:rsid w:val="008473FB"/>
    <w:rsid w:val="00847462"/>
    <w:rsid w:val="0084746C"/>
    <w:rsid w:val="008474D7"/>
    <w:rsid w:val="008475D6"/>
    <w:rsid w:val="00847626"/>
    <w:rsid w:val="00847628"/>
    <w:rsid w:val="00847656"/>
    <w:rsid w:val="008477E7"/>
    <w:rsid w:val="00847854"/>
    <w:rsid w:val="008478A9"/>
    <w:rsid w:val="008478F4"/>
    <w:rsid w:val="0084792F"/>
    <w:rsid w:val="008479B9"/>
    <w:rsid w:val="008479D7"/>
    <w:rsid w:val="00847A27"/>
    <w:rsid w:val="00847A31"/>
    <w:rsid w:val="00847ACA"/>
    <w:rsid w:val="00847B8C"/>
    <w:rsid w:val="00847BA9"/>
    <w:rsid w:val="00847BEA"/>
    <w:rsid w:val="00847C2F"/>
    <w:rsid w:val="00847C8C"/>
    <w:rsid w:val="00847D5F"/>
    <w:rsid w:val="00847D6A"/>
    <w:rsid w:val="00847E36"/>
    <w:rsid w:val="00847EC3"/>
    <w:rsid w:val="00847F5F"/>
    <w:rsid w:val="00847FA7"/>
    <w:rsid w:val="00847FCE"/>
    <w:rsid w:val="00850045"/>
    <w:rsid w:val="0085008F"/>
    <w:rsid w:val="008500C9"/>
    <w:rsid w:val="008500CB"/>
    <w:rsid w:val="008500DF"/>
    <w:rsid w:val="008500E4"/>
    <w:rsid w:val="00850175"/>
    <w:rsid w:val="00850176"/>
    <w:rsid w:val="00850187"/>
    <w:rsid w:val="008501BB"/>
    <w:rsid w:val="00850236"/>
    <w:rsid w:val="00850257"/>
    <w:rsid w:val="00850272"/>
    <w:rsid w:val="008502AE"/>
    <w:rsid w:val="008502B5"/>
    <w:rsid w:val="00850366"/>
    <w:rsid w:val="00850522"/>
    <w:rsid w:val="00850532"/>
    <w:rsid w:val="00850538"/>
    <w:rsid w:val="008506BE"/>
    <w:rsid w:val="00850730"/>
    <w:rsid w:val="00850765"/>
    <w:rsid w:val="0085076A"/>
    <w:rsid w:val="00850897"/>
    <w:rsid w:val="0085092D"/>
    <w:rsid w:val="0085093E"/>
    <w:rsid w:val="0085094A"/>
    <w:rsid w:val="00850968"/>
    <w:rsid w:val="00850A8D"/>
    <w:rsid w:val="00850BB1"/>
    <w:rsid w:val="00850D4D"/>
    <w:rsid w:val="00850D8B"/>
    <w:rsid w:val="00850DDB"/>
    <w:rsid w:val="00850E29"/>
    <w:rsid w:val="00850E37"/>
    <w:rsid w:val="00850E64"/>
    <w:rsid w:val="00850EF7"/>
    <w:rsid w:val="00850F1F"/>
    <w:rsid w:val="00851021"/>
    <w:rsid w:val="00851097"/>
    <w:rsid w:val="008510D7"/>
    <w:rsid w:val="0085110B"/>
    <w:rsid w:val="00851121"/>
    <w:rsid w:val="0085113C"/>
    <w:rsid w:val="00851172"/>
    <w:rsid w:val="008511CA"/>
    <w:rsid w:val="008511EF"/>
    <w:rsid w:val="0085125C"/>
    <w:rsid w:val="008512C4"/>
    <w:rsid w:val="0085131C"/>
    <w:rsid w:val="00851330"/>
    <w:rsid w:val="008513D7"/>
    <w:rsid w:val="00851588"/>
    <w:rsid w:val="008516F2"/>
    <w:rsid w:val="008517AF"/>
    <w:rsid w:val="008517EB"/>
    <w:rsid w:val="0085184E"/>
    <w:rsid w:val="00851865"/>
    <w:rsid w:val="008518F1"/>
    <w:rsid w:val="00851954"/>
    <w:rsid w:val="00851995"/>
    <w:rsid w:val="008519AC"/>
    <w:rsid w:val="00851A01"/>
    <w:rsid w:val="00851A74"/>
    <w:rsid w:val="00851AC2"/>
    <w:rsid w:val="00851AEB"/>
    <w:rsid w:val="00851AF4"/>
    <w:rsid w:val="00851AF6"/>
    <w:rsid w:val="00851B5A"/>
    <w:rsid w:val="00851BC7"/>
    <w:rsid w:val="00851C38"/>
    <w:rsid w:val="00851D0A"/>
    <w:rsid w:val="00851D93"/>
    <w:rsid w:val="00851DD9"/>
    <w:rsid w:val="00851DE8"/>
    <w:rsid w:val="00851F6B"/>
    <w:rsid w:val="00851FAE"/>
    <w:rsid w:val="00851FFA"/>
    <w:rsid w:val="00852051"/>
    <w:rsid w:val="00852116"/>
    <w:rsid w:val="00852118"/>
    <w:rsid w:val="00852196"/>
    <w:rsid w:val="00852266"/>
    <w:rsid w:val="00852272"/>
    <w:rsid w:val="00852327"/>
    <w:rsid w:val="008523E8"/>
    <w:rsid w:val="008524C0"/>
    <w:rsid w:val="008524FE"/>
    <w:rsid w:val="00852522"/>
    <w:rsid w:val="0085257F"/>
    <w:rsid w:val="00852771"/>
    <w:rsid w:val="00852859"/>
    <w:rsid w:val="008528CA"/>
    <w:rsid w:val="00852939"/>
    <w:rsid w:val="00852971"/>
    <w:rsid w:val="0085297A"/>
    <w:rsid w:val="008529CE"/>
    <w:rsid w:val="00852ABC"/>
    <w:rsid w:val="00852B0D"/>
    <w:rsid w:val="00852B29"/>
    <w:rsid w:val="00852B76"/>
    <w:rsid w:val="00852B81"/>
    <w:rsid w:val="00852BC9"/>
    <w:rsid w:val="00852BE1"/>
    <w:rsid w:val="00852C26"/>
    <w:rsid w:val="00852CB9"/>
    <w:rsid w:val="00852D0A"/>
    <w:rsid w:val="00852D0E"/>
    <w:rsid w:val="00852D54"/>
    <w:rsid w:val="00852DED"/>
    <w:rsid w:val="00852E84"/>
    <w:rsid w:val="00852E99"/>
    <w:rsid w:val="00852F3E"/>
    <w:rsid w:val="00853032"/>
    <w:rsid w:val="0085305A"/>
    <w:rsid w:val="00853077"/>
    <w:rsid w:val="008530B7"/>
    <w:rsid w:val="008530D3"/>
    <w:rsid w:val="00853144"/>
    <w:rsid w:val="0085323B"/>
    <w:rsid w:val="008532AA"/>
    <w:rsid w:val="00853379"/>
    <w:rsid w:val="00853389"/>
    <w:rsid w:val="008533BB"/>
    <w:rsid w:val="0085342C"/>
    <w:rsid w:val="0085343F"/>
    <w:rsid w:val="0085344A"/>
    <w:rsid w:val="00853458"/>
    <w:rsid w:val="008534B1"/>
    <w:rsid w:val="0085357A"/>
    <w:rsid w:val="0085359A"/>
    <w:rsid w:val="008535A8"/>
    <w:rsid w:val="00853771"/>
    <w:rsid w:val="0085378B"/>
    <w:rsid w:val="008537E7"/>
    <w:rsid w:val="00853815"/>
    <w:rsid w:val="00853917"/>
    <w:rsid w:val="0085392C"/>
    <w:rsid w:val="00853990"/>
    <w:rsid w:val="008539B7"/>
    <w:rsid w:val="00853A21"/>
    <w:rsid w:val="00853A26"/>
    <w:rsid w:val="00853A4B"/>
    <w:rsid w:val="00853B21"/>
    <w:rsid w:val="00853BEA"/>
    <w:rsid w:val="00853C47"/>
    <w:rsid w:val="00853D46"/>
    <w:rsid w:val="00853D7A"/>
    <w:rsid w:val="00853E17"/>
    <w:rsid w:val="00853F5C"/>
    <w:rsid w:val="00853FA5"/>
    <w:rsid w:val="00853FD1"/>
    <w:rsid w:val="00853FE3"/>
    <w:rsid w:val="008541C2"/>
    <w:rsid w:val="00854227"/>
    <w:rsid w:val="00854290"/>
    <w:rsid w:val="008542DC"/>
    <w:rsid w:val="00854454"/>
    <w:rsid w:val="008544B7"/>
    <w:rsid w:val="008544BB"/>
    <w:rsid w:val="008544D5"/>
    <w:rsid w:val="008544D7"/>
    <w:rsid w:val="00854525"/>
    <w:rsid w:val="008545E8"/>
    <w:rsid w:val="00854651"/>
    <w:rsid w:val="0085466D"/>
    <w:rsid w:val="0085471D"/>
    <w:rsid w:val="0085472C"/>
    <w:rsid w:val="00854859"/>
    <w:rsid w:val="0085493E"/>
    <w:rsid w:val="0085499D"/>
    <w:rsid w:val="00854AB8"/>
    <w:rsid w:val="00854B46"/>
    <w:rsid w:val="00854B4F"/>
    <w:rsid w:val="00854B98"/>
    <w:rsid w:val="00854B9C"/>
    <w:rsid w:val="00854BD8"/>
    <w:rsid w:val="00854BF9"/>
    <w:rsid w:val="00854C0E"/>
    <w:rsid w:val="00854C7C"/>
    <w:rsid w:val="00854CCA"/>
    <w:rsid w:val="00854CF8"/>
    <w:rsid w:val="00854D46"/>
    <w:rsid w:val="00854E3D"/>
    <w:rsid w:val="00854E66"/>
    <w:rsid w:val="00854E7B"/>
    <w:rsid w:val="00854E80"/>
    <w:rsid w:val="00854F3E"/>
    <w:rsid w:val="00854F6F"/>
    <w:rsid w:val="00854F9E"/>
    <w:rsid w:val="00854FBE"/>
    <w:rsid w:val="0085500C"/>
    <w:rsid w:val="00855013"/>
    <w:rsid w:val="008551FB"/>
    <w:rsid w:val="0085520C"/>
    <w:rsid w:val="0085527C"/>
    <w:rsid w:val="00855360"/>
    <w:rsid w:val="00855364"/>
    <w:rsid w:val="00855389"/>
    <w:rsid w:val="008553C7"/>
    <w:rsid w:val="008553CA"/>
    <w:rsid w:val="008554B9"/>
    <w:rsid w:val="008554BC"/>
    <w:rsid w:val="008554C9"/>
    <w:rsid w:val="008554F8"/>
    <w:rsid w:val="0085550A"/>
    <w:rsid w:val="00855522"/>
    <w:rsid w:val="00855531"/>
    <w:rsid w:val="0085553D"/>
    <w:rsid w:val="00855599"/>
    <w:rsid w:val="008555B3"/>
    <w:rsid w:val="00855648"/>
    <w:rsid w:val="0085568B"/>
    <w:rsid w:val="0085579B"/>
    <w:rsid w:val="008558BC"/>
    <w:rsid w:val="008558C3"/>
    <w:rsid w:val="00855A08"/>
    <w:rsid w:val="00855A17"/>
    <w:rsid w:val="00855A26"/>
    <w:rsid w:val="00855A47"/>
    <w:rsid w:val="00855A81"/>
    <w:rsid w:val="00855ABA"/>
    <w:rsid w:val="00855B16"/>
    <w:rsid w:val="00855B36"/>
    <w:rsid w:val="00855BC6"/>
    <w:rsid w:val="00855C2A"/>
    <w:rsid w:val="00855CA8"/>
    <w:rsid w:val="00855CE6"/>
    <w:rsid w:val="00855D94"/>
    <w:rsid w:val="00855DEA"/>
    <w:rsid w:val="00855EDE"/>
    <w:rsid w:val="00855EE2"/>
    <w:rsid w:val="00855F59"/>
    <w:rsid w:val="00855FD3"/>
    <w:rsid w:val="00855FDE"/>
    <w:rsid w:val="00856138"/>
    <w:rsid w:val="0085619D"/>
    <w:rsid w:val="008561D6"/>
    <w:rsid w:val="00856214"/>
    <w:rsid w:val="00856242"/>
    <w:rsid w:val="00856303"/>
    <w:rsid w:val="00856398"/>
    <w:rsid w:val="008563A6"/>
    <w:rsid w:val="008563DF"/>
    <w:rsid w:val="00856437"/>
    <w:rsid w:val="008564A8"/>
    <w:rsid w:val="00856504"/>
    <w:rsid w:val="008565D7"/>
    <w:rsid w:val="008566D8"/>
    <w:rsid w:val="008567C4"/>
    <w:rsid w:val="0085680D"/>
    <w:rsid w:val="008568D9"/>
    <w:rsid w:val="008568F4"/>
    <w:rsid w:val="008569B3"/>
    <w:rsid w:val="00856A00"/>
    <w:rsid w:val="00856AAB"/>
    <w:rsid w:val="00856AEB"/>
    <w:rsid w:val="00856AEC"/>
    <w:rsid w:val="00856B27"/>
    <w:rsid w:val="00856BED"/>
    <w:rsid w:val="00856C49"/>
    <w:rsid w:val="00856CB5"/>
    <w:rsid w:val="00856D0B"/>
    <w:rsid w:val="00856D62"/>
    <w:rsid w:val="00856DB9"/>
    <w:rsid w:val="00856DE3"/>
    <w:rsid w:val="00856E2F"/>
    <w:rsid w:val="00856EA5"/>
    <w:rsid w:val="00856F91"/>
    <w:rsid w:val="00857074"/>
    <w:rsid w:val="00857172"/>
    <w:rsid w:val="008571AF"/>
    <w:rsid w:val="008571CC"/>
    <w:rsid w:val="00857277"/>
    <w:rsid w:val="00857300"/>
    <w:rsid w:val="0085730C"/>
    <w:rsid w:val="00857344"/>
    <w:rsid w:val="008573DA"/>
    <w:rsid w:val="008573F5"/>
    <w:rsid w:val="00857466"/>
    <w:rsid w:val="0085748B"/>
    <w:rsid w:val="0085752A"/>
    <w:rsid w:val="008575A3"/>
    <w:rsid w:val="008575AD"/>
    <w:rsid w:val="008575B5"/>
    <w:rsid w:val="008575EB"/>
    <w:rsid w:val="008576DC"/>
    <w:rsid w:val="008576EB"/>
    <w:rsid w:val="00857722"/>
    <w:rsid w:val="0085773A"/>
    <w:rsid w:val="00857793"/>
    <w:rsid w:val="0085785C"/>
    <w:rsid w:val="008578EA"/>
    <w:rsid w:val="0085791F"/>
    <w:rsid w:val="00857B4C"/>
    <w:rsid w:val="00857BA4"/>
    <w:rsid w:val="00857C58"/>
    <w:rsid w:val="00857DC0"/>
    <w:rsid w:val="00857DC8"/>
    <w:rsid w:val="00857E01"/>
    <w:rsid w:val="00857E24"/>
    <w:rsid w:val="00857E26"/>
    <w:rsid w:val="0086000A"/>
    <w:rsid w:val="0086006A"/>
    <w:rsid w:val="00860094"/>
    <w:rsid w:val="008600A1"/>
    <w:rsid w:val="008600B4"/>
    <w:rsid w:val="008600EF"/>
    <w:rsid w:val="008601B4"/>
    <w:rsid w:val="008601E6"/>
    <w:rsid w:val="00860226"/>
    <w:rsid w:val="0086022E"/>
    <w:rsid w:val="0086028E"/>
    <w:rsid w:val="008602B4"/>
    <w:rsid w:val="00860307"/>
    <w:rsid w:val="00860335"/>
    <w:rsid w:val="00860439"/>
    <w:rsid w:val="008604B2"/>
    <w:rsid w:val="008604C6"/>
    <w:rsid w:val="00860517"/>
    <w:rsid w:val="0086062D"/>
    <w:rsid w:val="00860632"/>
    <w:rsid w:val="00860656"/>
    <w:rsid w:val="008606AF"/>
    <w:rsid w:val="008606F0"/>
    <w:rsid w:val="00860711"/>
    <w:rsid w:val="008607F4"/>
    <w:rsid w:val="008607FC"/>
    <w:rsid w:val="00860857"/>
    <w:rsid w:val="008608CC"/>
    <w:rsid w:val="00860952"/>
    <w:rsid w:val="0086097F"/>
    <w:rsid w:val="008609A2"/>
    <w:rsid w:val="008609C6"/>
    <w:rsid w:val="00860A0E"/>
    <w:rsid w:val="00860A3D"/>
    <w:rsid w:val="00860A75"/>
    <w:rsid w:val="00860B7F"/>
    <w:rsid w:val="00860C13"/>
    <w:rsid w:val="00860C1A"/>
    <w:rsid w:val="00860C42"/>
    <w:rsid w:val="00860C44"/>
    <w:rsid w:val="00860C7F"/>
    <w:rsid w:val="00860DCC"/>
    <w:rsid w:val="00860ECF"/>
    <w:rsid w:val="00860EF3"/>
    <w:rsid w:val="00860F04"/>
    <w:rsid w:val="00860F53"/>
    <w:rsid w:val="00861058"/>
    <w:rsid w:val="008610E5"/>
    <w:rsid w:val="0086110B"/>
    <w:rsid w:val="00861120"/>
    <w:rsid w:val="00861150"/>
    <w:rsid w:val="00861190"/>
    <w:rsid w:val="008611E8"/>
    <w:rsid w:val="0086120D"/>
    <w:rsid w:val="00861212"/>
    <w:rsid w:val="0086128E"/>
    <w:rsid w:val="008612B0"/>
    <w:rsid w:val="008612F8"/>
    <w:rsid w:val="008612FA"/>
    <w:rsid w:val="0086131B"/>
    <w:rsid w:val="0086133D"/>
    <w:rsid w:val="0086135C"/>
    <w:rsid w:val="0086135D"/>
    <w:rsid w:val="008613A0"/>
    <w:rsid w:val="008615D9"/>
    <w:rsid w:val="00861601"/>
    <w:rsid w:val="008616AD"/>
    <w:rsid w:val="00861708"/>
    <w:rsid w:val="0086170F"/>
    <w:rsid w:val="0086173F"/>
    <w:rsid w:val="00861882"/>
    <w:rsid w:val="00861887"/>
    <w:rsid w:val="00861914"/>
    <w:rsid w:val="00861939"/>
    <w:rsid w:val="00861951"/>
    <w:rsid w:val="00861997"/>
    <w:rsid w:val="008619D1"/>
    <w:rsid w:val="008619D4"/>
    <w:rsid w:val="00861AA1"/>
    <w:rsid w:val="00861C36"/>
    <w:rsid w:val="00861CAB"/>
    <w:rsid w:val="00861CD5"/>
    <w:rsid w:val="00861D4E"/>
    <w:rsid w:val="00861D8D"/>
    <w:rsid w:val="00861DB1"/>
    <w:rsid w:val="00861E8A"/>
    <w:rsid w:val="00861EA1"/>
    <w:rsid w:val="00861EEE"/>
    <w:rsid w:val="00861F87"/>
    <w:rsid w:val="00861F9C"/>
    <w:rsid w:val="00861FA6"/>
    <w:rsid w:val="00861FED"/>
    <w:rsid w:val="00861FF9"/>
    <w:rsid w:val="00862016"/>
    <w:rsid w:val="00862061"/>
    <w:rsid w:val="008620FD"/>
    <w:rsid w:val="00862109"/>
    <w:rsid w:val="00862117"/>
    <w:rsid w:val="0086216C"/>
    <w:rsid w:val="008621E8"/>
    <w:rsid w:val="00862271"/>
    <w:rsid w:val="0086227A"/>
    <w:rsid w:val="0086228E"/>
    <w:rsid w:val="008622A8"/>
    <w:rsid w:val="00862308"/>
    <w:rsid w:val="00862425"/>
    <w:rsid w:val="00862536"/>
    <w:rsid w:val="0086255A"/>
    <w:rsid w:val="008625E9"/>
    <w:rsid w:val="00862636"/>
    <w:rsid w:val="0086263C"/>
    <w:rsid w:val="0086270E"/>
    <w:rsid w:val="00862718"/>
    <w:rsid w:val="00862786"/>
    <w:rsid w:val="008627EF"/>
    <w:rsid w:val="0086281D"/>
    <w:rsid w:val="00862898"/>
    <w:rsid w:val="00862966"/>
    <w:rsid w:val="00862A03"/>
    <w:rsid w:val="00862A31"/>
    <w:rsid w:val="00862B3C"/>
    <w:rsid w:val="00862C24"/>
    <w:rsid w:val="00862C3F"/>
    <w:rsid w:val="00862CA7"/>
    <w:rsid w:val="00862DA5"/>
    <w:rsid w:val="00862E00"/>
    <w:rsid w:val="00862E21"/>
    <w:rsid w:val="00862E3B"/>
    <w:rsid w:val="00862E78"/>
    <w:rsid w:val="00862EAC"/>
    <w:rsid w:val="00862F34"/>
    <w:rsid w:val="00862F51"/>
    <w:rsid w:val="00862F7D"/>
    <w:rsid w:val="00862FB1"/>
    <w:rsid w:val="00862FE1"/>
    <w:rsid w:val="00863106"/>
    <w:rsid w:val="00863129"/>
    <w:rsid w:val="00863172"/>
    <w:rsid w:val="0086318D"/>
    <w:rsid w:val="008631A6"/>
    <w:rsid w:val="00863249"/>
    <w:rsid w:val="0086332C"/>
    <w:rsid w:val="0086339D"/>
    <w:rsid w:val="008633A2"/>
    <w:rsid w:val="008633CF"/>
    <w:rsid w:val="00863410"/>
    <w:rsid w:val="00863418"/>
    <w:rsid w:val="0086350A"/>
    <w:rsid w:val="0086368E"/>
    <w:rsid w:val="00863780"/>
    <w:rsid w:val="0086383A"/>
    <w:rsid w:val="00863880"/>
    <w:rsid w:val="0086390B"/>
    <w:rsid w:val="0086391A"/>
    <w:rsid w:val="00863A11"/>
    <w:rsid w:val="00863A2E"/>
    <w:rsid w:val="00863AC1"/>
    <w:rsid w:val="00863C44"/>
    <w:rsid w:val="00863C46"/>
    <w:rsid w:val="00863D1C"/>
    <w:rsid w:val="00863D28"/>
    <w:rsid w:val="00863D2C"/>
    <w:rsid w:val="00863DB8"/>
    <w:rsid w:val="00863E39"/>
    <w:rsid w:val="00863FCC"/>
    <w:rsid w:val="00864000"/>
    <w:rsid w:val="00864083"/>
    <w:rsid w:val="00864094"/>
    <w:rsid w:val="0086424D"/>
    <w:rsid w:val="0086426C"/>
    <w:rsid w:val="0086431D"/>
    <w:rsid w:val="00864334"/>
    <w:rsid w:val="00864336"/>
    <w:rsid w:val="00864393"/>
    <w:rsid w:val="00864425"/>
    <w:rsid w:val="0086449A"/>
    <w:rsid w:val="008644C1"/>
    <w:rsid w:val="00864517"/>
    <w:rsid w:val="00864518"/>
    <w:rsid w:val="00864534"/>
    <w:rsid w:val="00864593"/>
    <w:rsid w:val="0086462D"/>
    <w:rsid w:val="00864641"/>
    <w:rsid w:val="008646AD"/>
    <w:rsid w:val="0086473B"/>
    <w:rsid w:val="0086473E"/>
    <w:rsid w:val="00864751"/>
    <w:rsid w:val="00864764"/>
    <w:rsid w:val="0086476A"/>
    <w:rsid w:val="0086476D"/>
    <w:rsid w:val="008647D5"/>
    <w:rsid w:val="008647F6"/>
    <w:rsid w:val="00864817"/>
    <w:rsid w:val="00864819"/>
    <w:rsid w:val="00864838"/>
    <w:rsid w:val="008648CE"/>
    <w:rsid w:val="0086498D"/>
    <w:rsid w:val="0086499E"/>
    <w:rsid w:val="008649CF"/>
    <w:rsid w:val="008649D6"/>
    <w:rsid w:val="008649FF"/>
    <w:rsid w:val="00864A20"/>
    <w:rsid w:val="00864A37"/>
    <w:rsid w:val="00864A63"/>
    <w:rsid w:val="00864A6D"/>
    <w:rsid w:val="00864AF4"/>
    <w:rsid w:val="00864B35"/>
    <w:rsid w:val="00864B8D"/>
    <w:rsid w:val="00864C07"/>
    <w:rsid w:val="00864C2A"/>
    <w:rsid w:val="00864C4C"/>
    <w:rsid w:val="00864CF8"/>
    <w:rsid w:val="00864D30"/>
    <w:rsid w:val="00864D96"/>
    <w:rsid w:val="00864DF0"/>
    <w:rsid w:val="00864DFC"/>
    <w:rsid w:val="00864E4A"/>
    <w:rsid w:val="00864FB0"/>
    <w:rsid w:val="00864FC8"/>
    <w:rsid w:val="0086507A"/>
    <w:rsid w:val="008650B6"/>
    <w:rsid w:val="008650E5"/>
    <w:rsid w:val="00865213"/>
    <w:rsid w:val="00865349"/>
    <w:rsid w:val="0086534C"/>
    <w:rsid w:val="00865390"/>
    <w:rsid w:val="008653BD"/>
    <w:rsid w:val="008653E1"/>
    <w:rsid w:val="00865446"/>
    <w:rsid w:val="008654D7"/>
    <w:rsid w:val="00865500"/>
    <w:rsid w:val="0086555F"/>
    <w:rsid w:val="008655D3"/>
    <w:rsid w:val="008655ED"/>
    <w:rsid w:val="0086560C"/>
    <w:rsid w:val="0086565E"/>
    <w:rsid w:val="00865679"/>
    <w:rsid w:val="008656F7"/>
    <w:rsid w:val="00865708"/>
    <w:rsid w:val="0086570F"/>
    <w:rsid w:val="0086577F"/>
    <w:rsid w:val="008657DB"/>
    <w:rsid w:val="00865819"/>
    <w:rsid w:val="00865885"/>
    <w:rsid w:val="008658B2"/>
    <w:rsid w:val="008658C1"/>
    <w:rsid w:val="00865A6E"/>
    <w:rsid w:val="00865B30"/>
    <w:rsid w:val="00865C42"/>
    <w:rsid w:val="00865CF0"/>
    <w:rsid w:val="00865DDE"/>
    <w:rsid w:val="00865E59"/>
    <w:rsid w:val="00865E79"/>
    <w:rsid w:val="00865EEA"/>
    <w:rsid w:val="00865F82"/>
    <w:rsid w:val="00866028"/>
    <w:rsid w:val="0086602C"/>
    <w:rsid w:val="0086617A"/>
    <w:rsid w:val="00866217"/>
    <w:rsid w:val="00866267"/>
    <w:rsid w:val="008662D8"/>
    <w:rsid w:val="00866342"/>
    <w:rsid w:val="00866476"/>
    <w:rsid w:val="00866485"/>
    <w:rsid w:val="008664C6"/>
    <w:rsid w:val="008664D5"/>
    <w:rsid w:val="008664E1"/>
    <w:rsid w:val="0086654E"/>
    <w:rsid w:val="00866578"/>
    <w:rsid w:val="008665D8"/>
    <w:rsid w:val="00866600"/>
    <w:rsid w:val="00866635"/>
    <w:rsid w:val="00866697"/>
    <w:rsid w:val="008666E1"/>
    <w:rsid w:val="008666F3"/>
    <w:rsid w:val="008667A7"/>
    <w:rsid w:val="008667B2"/>
    <w:rsid w:val="00866864"/>
    <w:rsid w:val="00866891"/>
    <w:rsid w:val="0086689E"/>
    <w:rsid w:val="008668D4"/>
    <w:rsid w:val="0086693D"/>
    <w:rsid w:val="00866991"/>
    <w:rsid w:val="008669BA"/>
    <w:rsid w:val="00866A33"/>
    <w:rsid w:val="00866A42"/>
    <w:rsid w:val="00866A5A"/>
    <w:rsid w:val="00866A83"/>
    <w:rsid w:val="00866AF2"/>
    <w:rsid w:val="00866C4F"/>
    <w:rsid w:val="00866CE1"/>
    <w:rsid w:val="00866D55"/>
    <w:rsid w:val="00866DB6"/>
    <w:rsid w:val="00866E1E"/>
    <w:rsid w:val="00866F38"/>
    <w:rsid w:val="00866F83"/>
    <w:rsid w:val="0086704E"/>
    <w:rsid w:val="0086705C"/>
    <w:rsid w:val="00867084"/>
    <w:rsid w:val="008670D8"/>
    <w:rsid w:val="00867164"/>
    <w:rsid w:val="008671BD"/>
    <w:rsid w:val="008671F5"/>
    <w:rsid w:val="00867210"/>
    <w:rsid w:val="008672D8"/>
    <w:rsid w:val="00867364"/>
    <w:rsid w:val="00867366"/>
    <w:rsid w:val="008673D4"/>
    <w:rsid w:val="00867452"/>
    <w:rsid w:val="0086746B"/>
    <w:rsid w:val="00867545"/>
    <w:rsid w:val="00867557"/>
    <w:rsid w:val="008675C7"/>
    <w:rsid w:val="008675EE"/>
    <w:rsid w:val="0086761B"/>
    <w:rsid w:val="008677F5"/>
    <w:rsid w:val="00867862"/>
    <w:rsid w:val="008678E0"/>
    <w:rsid w:val="008678FD"/>
    <w:rsid w:val="00867944"/>
    <w:rsid w:val="00867946"/>
    <w:rsid w:val="00867960"/>
    <w:rsid w:val="008679FA"/>
    <w:rsid w:val="00867A10"/>
    <w:rsid w:val="00867A4D"/>
    <w:rsid w:val="00867A8E"/>
    <w:rsid w:val="00867AC0"/>
    <w:rsid w:val="00867B55"/>
    <w:rsid w:val="00867C3A"/>
    <w:rsid w:val="00867C57"/>
    <w:rsid w:val="00867CA0"/>
    <w:rsid w:val="00867D52"/>
    <w:rsid w:val="00867D58"/>
    <w:rsid w:val="00867DEE"/>
    <w:rsid w:val="00867E8A"/>
    <w:rsid w:val="00867F38"/>
    <w:rsid w:val="00867FD5"/>
    <w:rsid w:val="0087006F"/>
    <w:rsid w:val="00870094"/>
    <w:rsid w:val="008701D4"/>
    <w:rsid w:val="00870262"/>
    <w:rsid w:val="00870271"/>
    <w:rsid w:val="00870338"/>
    <w:rsid w:val="00870382"/>
    <w:rsid w:val="00870384"/>
    <w:rsid w:val="008703BB"/>
    <w:rsid w:val="008703E7"/>
    <w:rsid w:val="00870496"/>
    <w:rsid w:val="008704AB"/>
    <w:rsid w:val="0087050A"/>
    <w:rsid w:val="00870543"/>
    <w:rsid w:val="0087055F"/>
    <w:rsid w:val="008705AD"/>
    <w:rsid w:val="008705E3"/>
    <w:rsid w:val="008706A8"/>
    <w:rsid w:val="008706C7"/>
    <w:rsid w:val="00870730"/>
    <w:rsid w:val="00870768"/>
    <w:rsid w:val="008707E6"/>
    <w:rsid w:val="00870826"/>
    <w:rsid w:val="00870841"/>
    <w:rsid w:val="00870853"/>
    <w:rsid w:val="008708B3"/>
    <w:rsid w:val="008708CC"/>
    <w:rsid w:val="008708D4"/>
    <w:rsid w:val="00870905"/>
    <w:rsid w:val="0087090F"/>
    <w:rsid w:val="00870914"/>
    <w:rsid w:val="00870963"/>
    <w:rsid w:val="00870983"/>
    <w:rsid w:val="008709AE"/>
    <w:rsid w:val="00870A0A"/>
    <w:rsid w:val="00870A72"/>
    <w:rsid w:val="00870AB8"/>
    <w:rsid w:val="00870ACA"/>
    <w:rsid w:val="00870C75"/>
    <w:rsid w:val="00870D98"/>
    <w:rsid w:val="00870E17"/>
    <w:rsid w:val="00870E6C"/>
    <w:rsid w:val="00870E87"/>
    <w:rsid w:val="00870E94"/>
    <w:rsid w:val="00870F2B"/>
    <w:rsid w:val="00871056"/>
    <w:rsid w:val="00871059"/>
    <w:rsid w:val="0087106A"/>
    <w:rsid w:val="008710B6"/>
    <w:rsid w:val="00871117"/>
    <w:rsid w:val="00871240"/>
    <w:rsid w:val="0087129F"/>
    <w:rsid w:val="008712BB"/>
    <w:rsid w:val="008712C0"/>
    <w:rsid w:val="008712F1"/>
    <w:rsid w:val="008713AE"/>
    <w:rsid w:val="008713E9"/>
    <w:rsid w:val="00871400"/>
    <w:rsid w:val="00871419"/>
    <w:rsid w:val="00871495"/>
    <w:rsid w:val="008714A9"/>
    <w:rsid w:val="00871507"/>
    <w:rsid w:val="00871535"/>
    <w:rsid w:val="00871544"/>
    <w:rsid w:val="00871561"/>
    <w:rsid w:val="0087165A"/>
    <w:rsid w:val="008716CE"/>
    <w:rsid w:val="0087178F"/>
    <w:rsid w:val="008717A6"/>
    <w:rsid w:val="00871922"/>
    <w:rsid w:val="00871949"/>
    <w:rsid w:val="00871A4C"/>
    <w:rsid w:val="00871AAC"/>
    <w:rsid w:val="00871B25"/>
    <w:rsid w:val="00871B37"/>
    <w:rsid w:val="00871B8A"/>
    <w:rsid w:val="00871C22"/>
    <w:rsid w:val="00871CB1"/>
    <w:rsid w:val="00871D38"/>
    <w:rsid w:val="00871DE3"/>
    <w:rsid w:val="00871EA0"/>
    <w:rsid w:val="00871F08"/>
    <w:rsid w:val="00871F9D"/>
    <w:rsid w:val="00871FF8"/>
    <w:rsid w:val="008722DD"/>
    <w:rsid w:val="008722F0"/>
    <w:rsid w:val="008724F6"/>
    <w:rsid w:val="00872504"/>
    <w:rsid w:val="008725D0"/>
    <w:rsid w:val="008725D6"/>
    <w:rsid w:val="00872666"/>
    <w:rsid w:val="008726D8"/>
    <w:rsid w:val="008726FF"/>
    <w:rsid w:val="00872898"/>
    <w:rsid w:val="008728AB"/>
    <w:rsid w:val="008728D5"/>
    <w:rsid w:val="00872961"/>
    <w:rsid w:val="008729DA"/>
    <w:rsid w:val="00872AA2"/>
    <w:rsid w:val="00872AB5"/>
    <w:rsid w:val="00872B72"/>
    <w:rsid w:val="00872C67"/>
    <w:rsid w:val="00872CD2"/>
    <w:rsid w:val="00872EA2"/>
    <w:rsid w:val="00872F37"/>
    <w:rsid w:val="0087303C"/>
    <w:rsid w:val="0087317A"/>
    <w:rsid w:val="0087319E"/>
    <w:rsid w:val="008731B4"/>
    <w:rsid w:val="00873246"/>
    <w:rsid w:val="008732A3"/>
    <w:rsid w:val="008732D2"/>
    <w:rsid w:val="008733CA"/>
    <w:rsid w:val="008734E3"/>
    <w:rsid w:val="0087351C"/>
    <w:rsid w:val="0087353F"/>
    <w:rsid w:val="00873580"/>
    <w:rsid w:val="008735BC"/>
    <w:rsid w:val="008735E1"/>
    <w:rsid w:val="0087369E"/>
    <w:rsid w:val="00873720"/>
    <w:rsid w:val="00873762"/>
    <w:rsid w:val="0087377A"/>
    <w:rsid w:val="0087381A"/>
    <w:rsid w:val="00873836"/>
    <w:rsid w:val="00873910"/>
    <w:rsid w:val="008739AB"/>
    <w:rsid w:val="008739CF"/>
    <w:rsid w:val="00873A68"/>
    <w:rsid w:val="00873A71"/>
    <w:rsid w:val="00873ADE"/>
    <w:rsid w:val="00873B24"/>
    <w:rsid w:val="00873BBF"/>
    <w:rsid w:val="00873BE2"/>
    <w:rsid w:val="00873C28"/>
    <w:rsid w:val="00873C7C"/>
    <w:rsid w:val="00873CA8"/>
    <w:rsid w:val="00873DCC"/>
    <w:rsid w:val="00873DE5"/>
    <w:rsid w:val="00873E0D"/>
    <w:rsid w:val="00873E3D"/>
    <w:rsid w:val="00873E54"/>
    <w:rsid w:val="00873EB5"/>
    <w:rsid w:val="00873ED5"/>
    <w:rsid w:val="00873EDB"/>
    <w:rsid w:val="00873EE5"/>
    <w:rsid w:val="0087408A"/>
    <w:rsid w:val="008740DD"/>
    <w:rsid w:val="00874165"/>
    <w:rsid w:val="008741A5"/>
    <w:rsid w:val="008741EA"/>
    <w:rsid w:val="00874226"/>
    <w:rsid w:val="00874279"/>
    <w:rsid w:val="008742F2"/>
    <w:rsid w:val="008742F5"/>
    <w:rsid w:val="008743D2"/>
    <w:rsid w:val="008743D3"/>
    <w:rsid w:val="008743FE"/>
    <w:rsid w:val="00874406"/>
    <w:rsid w:val="0087445F"/>
    <w:rsid w:val="008744B7"/>
    <w:rsid w:val="0087452C"/>
    <w:rsid w:val="00874545"/>
    <w:rsid w:val="00874549"/>
    <w:rsid w:val="00874587"/>
    <w:rsid w:val="00874599"/>
    <w:rsid w:val="008745D4"/>
    <w:rsid w:val="008745DA"/>
    <w:rsid w:val="0087460B"/>
    <w:rsid w:val="00874618"/>
    <w:rsid w:val="008746BF"/>
    <w:rsid w:val="0087471E"/>
    <w:rsid w:val="0087476E"/>
    <w:rsid w:val="008747A2"/>
    <w:rsid w:val="00874810"/>
    <w:rsid w:val="00874969"/>
    <w:rsid w:val="00874989"/>
    <w:rsid w:val="008749FF"/>
    <w:rsid w:val="00874AC1"/>
    <w:rsid w:val="00874B29"/>
    <w:rsid w:val="00874CF5"/>
    <w:rsid w:val="00874EB4"/>
    <w:rsid w:val="00874F55"/>
    <w:rsid w:val="00874F92"/>
    <w:rsid w:val="0087506C"/>
    <w:rsid w:val="008750A8"/>
    <w:rsid w:val="008750DE"/>
    <w:rsid w:val="008751C8"/>
    <w:rsid w:val="0087523E"/>
    <w:rsid w:val="00875372"/>
    <w:rsid w:val="0087538D"/>
    <w:rsid w:val="00875430"/>
    <w:rsid w:val="0087555B"/>
    <w:rsid w:val="0087565C"/>
    <w:rsid w:val="008756FA"/>
    <w:rsid w:val="00875788"/>
    <w:rsid w:val="0087592B"/>
    <w:rsid w:val="00875930"/>
    <w:rsid w:val="0087598B"/>
    <w:rsid w:val="00875996"/>
    <w:rsid w:val="00875A78"/>
    <w:rsid w:val="00875ADE"/>
    <w:rsid w:val="00875B60"/>
    <w:rsid w:val="00875BA1"/>
    <w:rsid w:val="00875BB4"/>
    <w:rsid w:val="00875BC2"/>
    <w:rsid w:val="00875BD8"/>
    <w:rsid w:val="00875C15"/>
    <w:rsid w:val="00875C33"/>
    <w:rsid w:val="00875C65"/>
    <w:rsid w:val="00875C8E"/>
    <w:rsid w:val="00875E07"/>
    <w:rsid w:val="00875E0E"/>
    <w:rsid w:val="00875E7B"/>
    <w:rsid w:val="00875E99"/>
    <w:rsid w:val="00875FB6"/>
    <w:rsid w:val="00875FBB"/>
    <w:rsid w:val="00876032"/>
    <w:rsid w:val="008762A5"/>
    <w:rsid w:val="00876360"/>
    <w:rsid w:val="00876433"/>
    <w:rsid w:val="00876466"/>
    <w:rsid w:val="008764C4"/>
    <w:rsid w:val="0087650F"/>
    <w:rsid w:val="00876621"/>
    <w:rsid w:val="0087668A"/>
    <w:rsid w:val="008766DB"/>
    <w:rsid w:val="00876709"/>
    <w:rsid w:val="00876737"/>
    <w:rsid w:val="00876745"/>
    <w:rsid w:val="00876747"/>
    <w:rsid w:val="008767A2"/>
    <w:rsid w:val="008767A5"/>
    <w:rsid w:val="008767F9"/>
    <w:rsid w:val="0087681D"/>
    <w:rsid w:val="008768CB"/>
    <w:rsid w:val="008768D5"/>
    <w:rsid w:val="0087696C"/>
    <w:rsid w:val="008769B0"/>
    <w:rsid w:val="008769E5"/>
    <w:rsid w:val="00876A2B"/>
    <w:rsid w:val="00876A50"/>
    <w:rsid w:val="00876B34"/>
    <w:rsid w:val="00876B42"/>
    <w:rsid w:val="00876BB6"/>
    <w:rsid w:val="00876CD8"/>
    <w:rsid w:val="00876CDE"/>
    <w:rsid w:val="00876D18"/>
    <w:rsid w:val="00876D77"/>
    <w:rsid w:val="00876DA2"/>
    <w:rsid w:val="00876DA6"/>
    <w:rsid w:val="00876DFA"/>
    <w:rsid w:val="00876E5E"/>
    <w:rsid w:val="00876EA0"/>
    <w:rsid w:val="00876ECE"/>
    <w:rsid w:val="00876F7E"/>
    <w:rsid w:val="00876F90"/>
    <w:rsid w:val="00876F92"/>
    <w:rsid w:val="00876F9E"/>
    <w:rsid w:val="00876FE0"/>
    <w:rsid w:val="00876FE4"/>
    <w:rsid w:val="00876FF8"/>
    <w:rsid w:val="0087703A"/>
    <w:rsid w:val="008770EB"/>
    <w:rsid w:val="00877177"/>
    <w:rsid w:val="008771AA"/>
    <w:rsid w:val="008771B7"/>
    <w:rsid w:val="0087729C"/>
    <w:rsid w:val="008772DA"/>
    <w:rsid w:val="0087731B"/>
    <w:rsid w:val="00877320"/>
    <w:rsid w:val="00877373"/>
    <w:rsid w:val="00877374"/>
    <w:rsid w:val="00877433"/>
    <w:rsid w:val="00877470"/>
    <w:rsid w:val="0087747E"/>
    <w:rsid w:val="00877483"/>
    <w:rsid w:val="00877509"/>
    <w:rsid w:val="00877528"/>
    <w:rsid w:val="00877607"/>
    <w:rsid w:val="0087761C"/>
    <w:rsid w:val="0087771E"/>
    <w:rsid w:val="00877749"/>
    <w:rsid w:val="00877799"/>
    <w:rsid w:val="008777E2"/>
    <w:rsid w:val="0087780E"/>
    <w:rsid w:val="00877958"/>
    <w:rsid w:val="00877A1A"/>
    <w:rsid w:val="00877AD3"/>
    <w:rsid w:val="00877AE4"/>
    <w:rsid w:val="00877AF5"/>
    <w:rsid w:val="00877C6C"/>
    <w:rsid w:val="00877DC4"/>
    <w:rsid w:val="00877DFF"/>
    <w:rsid w:val="00877E71"/>
    <w:rsid w:val="00877F71"/>
    <w:rsid w:val="00877F77"/>
    <w:rsid w:val="00880017"/>
    <w:rsid w:val="00880029"/>
    <w:rsid w:val="0088008A"/>
    <w:rsid w:val="008800A0"/>
    <w:rsid w:val="008800C9"/>
    <w:rsid w:val="008800D9"/>
    <w:rsid w:val="008801D4"/>
    <w:rsid w:val="00880217"/>
    <w:rsid w:val="008802DC"/>
    <w:rsid w:val="00880398"/>
    <w:rsid w:val="008804DC"/>
    <w:rsid w:val="00880554"/>
    <w:rsid w:val="00880585"/>
    <w:rsid w:val="008805ED"/>
    <w:rsid w:val="0088060D"/>
    <w:rsid w:val="0088060E"/>
    <w:rsid w:val="008806C2"/>
    <w:rsid w:val="008806FF"/>
    <w:rsid w:val="00880854"/>
    <w:rsid w:val="0088088F"/>
    <w:rsid w:val="008808DD"/>
    <w:rsid w:val="00880900"/>
    <w:rsid w:val="0088096F"/>
    <w:rsid w:val="008809D7"/>
    <w:rsid w:val="008809E7"/>
    <w:rsid w:val="00880A6B"/>
    <w:rsid w:val="00880B83"/>
    <w:rsid w:val="00880C44"/>
    <w:rsid w:val="00880C4A"/>
    <w:rsid w:val="00880C77"/>
    <w:rsid w:val="00880CA2"/>
    <w:rsid w:val="00880CFC"/>
    <w:rsid w:val="00880D0E"/>
    <w:rsid w:val="00880D8E"/>
    <w:rsid w:val="00880DC4"/>
    <w:rsid w:val="00880DEF"/>
    <w:rsid w:val="00880E62"/>
    <w:rsid w:val="00880E6A"/>
    <w:rsid w:val="00880F15"/>
    <w:rsid w:val="00880F18"/>
    <w:rsid w:val="00880F98"/>
    <w:rsid w:val="0088103D"/>
    <w:rsid w:val="00881060"/>
    <w:rsid w:val="00881084"/>
    <w:rsid w:val="008810B4"/>
    <w:rsid w:val="00881181"/>
    <w:rsid w:val="0088119D"/>
    <w:rsid w:val="008812F7"/>
    <w:rsid w:val="008813F7"/>
    <w:rsid w:val="0088143F"/>
    <w:rsid w:val="00881442"/>
    <w:rsid w:val="0088150A"/>
    <w:rsid w:val="00881556"/>
    <w:rsid w:val="00881558"/>
    <w:rsid w:val="00881601"/>
    <w:rsid w:val="00881647"/>
    <w:rsid w:val="0088165D"/>
    <w:rsid w:val="0088168C"/>
    <w:rsid w:val="00881763"/>
    <w:rsid w:val="0088176D"/>
    <w:rsid w:val="008817DE"/>
    <w:rsid w:val="008817F4"/>
    <w:rsid w:val="0088181E"/>
    <w:rsid w:val="0088184F"/>
    <w:rsid w:val="00881908"/>
    <w:rsid w:val="00881987"/>
    <w:rsid w:val="00881A54"/>
    <w:rsid w:val="00881A71"/>
    <w:rsid w:val="00881C68"/>
    <w:rsid w:val="00881CC8"/>
    <w:rsid w:val="00881CF6"/>
    <w:rsid w:val="00881D1E"/>
    <w:rsid w:val="00881DC0"/>
    <w:rsid w:val="00881E4D"/>
    <w:rsid w:val="00881EAF"/>
    <w:rsid w:val="00881F60"/>
    <w:rsid w:val="0088201D"/>
    <w:rsid w:val="0088214E"/>
    <w:rsid w:val="008821DB"/>
    <w:rsid w:val="0088220F"/>
    <w:rsid w:val="0088221A"/>
    <w:rsid w:val="00882255"/>
    <w:rsid w:val="0088225A"/>
    <w:rsid w:val="008822D8"/>
    <w:rsid w:val="008823BF"/>
    <w:rsid w:val="00882400"/>
    <w:rsid w:val="0088259E"/>
    <w:rsid w:val="008825A2"/>
    <w:rsid w:val="008825DD"/>
    <w:rsid w:val="0088266B"/>
    <w:rsid w:val="0088267E"/>
    <w:rsid w:val="008826B6"/>
    <w:rsid w:val="008826F3"/>
    <w:rsid w:val="008826F5"/>
    <w:rsid w:val="00882707"/>
    <w:rsid w:val="00882715"/>
    <w:rsid w:val="008827F6"/>
    <w:rsid w:val="00882818"/>
    <w:rsid w:val="00882873"/>
    <w:rsid w:val="008828D2"/>
    <w:rsid w:val="00882968"/>
    <w:rsid w:val="00882974"/>
    <w:rsid w:val="008829AD"/>
    <w:rsid w:val="00882AD6"/>
    <w:rsid w:val="00882B1D"/>
    <w:rsid w:val="00882B48"/>
    <w:rsid w:val="00882B68"/>
    <w:rsid w:val="00882CCB"/>
    <w:rsid w:val="00882CD2"/>
    <w:rsid w:val="00882D25"/>
    <w:rsid w:val="00882D77"/>
    <w:rsid w:val="00882E99"/>
    <w:rsid w:val="00882EFF"/>
    <w:rsid w:val="00882F16"/>
    <w:rsid w:val="00882F23"/>
    <w:rsid w:val="00882F4D"/>
    <w:rsid w:val="00882FB4"/>
    <w:rsid w:val="0088302B"/>
    <w:rsid w:val="00883081"/>
    <w:rsid w:val="008832FE"/>
    <w:rsid w:val="0088333F"/>
    <w:rsid w:val="00883356"/>
    <w:rsid w:val="0088344E"/>
    <w:rsid w:val="0088352E"/>
    <w:rsid w:val="00883537"/>
    <w:rsid w:val="00883571"/>
    <w:rsid w:val="008835AF"/>
    <w:rsid w:val="00883668"/>
    <w:rsid w:val="0088369D"/>
    <w:rsid w:val="008836C3"/>
    <w:rsid w:val="00883783"/>
    <w:rsid w:val="0088384A"/>
    <w:rsid w:val="008838FD"/>
    <w:rsid w:val="0088398F"/>
    <w:rsid w:val="00883A90"/>
    <w:rsid w:val="00883AAB"/>
    <w:rsid w:val="00883B05"/>
    <w:rsid w:val="00883B3A"/>
    <w:rsid w:val="00883BC2"/>
    <w:rsid w:val="00883C02"/>
    <w:rsid w:val="00883C97"/>
    <w:rsid w:val="00883D85"/>
    <w:rsid w:val="00883DAE"/>
    <w:rsid w:val="00883DAF"/>
    <w:rsid w:val="00883EBD"/>
    <w:rsid w:val="00883FAA"/>
    <w:rsid w:val="00883FE1"/>
    <w:rsid w:val="00884158"/>
    <w:rsid w:val="008842A0"/>
    <w:rsid w:val="008842A4"/>
    <w:rsid w:val="008843E2"/>
    <w:rsid w:val="008844AF"/>
    <w:rsid w:val="0088454F"/>
    <w:rsid w:val="0088457E"/>
    <w:rsid w:val="00884674"/>
    <w:rsid w:val="008846EF"/>
    <w:rsid w:val="008846F1"/>
    <w:rsid w:val="008847B9"/>
    <w:rsid w:val="008847E0"/>
    <w:rsid w:val="0088486C"/>
    <w:rsid w:val="0088486D"/>
    <w:rsid w:val="00884889"/>
    <w:rsid w:val="0088489D"/>
    <w:rsid w:val="008848AF"/>
    <w:rsid w:val="008848CF"/>
    <w:rsid w:val="00884941"/>
    <w:rsid w:val="008849CD"/>
    <w:rsid w:val="00884AF5"/>
    <w:rsid w:val="00884C40"/>
    <w:rsid w:val="00884C4F"/>
    <w:rsid w:val="00884C56"/>
    <w:rsid w:val="00884C8C"/>
    <w:rsid w:val="00884C96"/>
    <w:rsid w:val="00884C9C"/>
    <w:rsid w:val="00884D4E"/>
    <w:rsid w:val="00884D64"/>
    <w:rsid w:val="00884DA1"/>
    <w:rsid w:val="00884DB6"/>
    <w:rsid w:val="00884E14"/>
    <w:rsid w:val="00884E60"/>
    <w:rsid w:val="00884E8C"/>
    <w:rsid w:val="00884F69"/>
    <w:rsid w:val="00884FFD"/>
    <w:rsid w:val="00885009"/>
    <w:rsid w:val="0088500B"/>
    <w:rsid w:val="00885053"/>
    <w:rsid w:val="00885069"/>
    <w:rsid w:val="008850A9"/>
    <w:rsid w:val="008850CC"/>
    <w:rsid w:val="008850E4"/>
    <w:rsid w:val="008850F0"/>
    <w:rsid w:val="00885107"/>
    <w:rsid w:val="008851DF"/>
    <w:rsid w:val="00885210"/>
    <w:rsid w:val="0088530A"/>
    <w:rsid w:val="00885390"/>
    <w:rsid w:val="008853B2"/>
    <w:rsid w:val="0088542E"/>
    <w:rsid w:val="00885559"/>
    <w:rsid w:val="008855D3"/>
    <w:rsid w:val="00885616"/>
    <w:rsid w:val="00885637"/>
    <w:rsid w:val="0088574F"/>
    <w:rsid w:val="008857AE"/>
    <w:rsid w:val="00885832"/>
    <w:rsid w:val="00885ACD"/>
    <w:rsid w:val="00885BEE"/>
    <w:rsid w:val="00885C34"/>
    <w:rsid w:val="00885C3A"/>
    <w:rsid w:val="00885C76"/>
    <w:rsid w:val="00885CD7"/>
    <w:rsid w:val="00885D45"/>
    <w:rsid w:val="00885D63"/>
    <w:rsid w:val="00885D8C"/>
    <w:rsid w:val="00885E9B"/>
    <w:rsid w:val="00885ECC"/>
    <w:rsid w:val="00885F1F"/>
    <w:rsid w:val="00885FA0"/>
    <w:rsid w:val="00885FF0"/>
    <w:rsid w:val="00886002"/>
    <w:rsid w:val="00886004"/>
    <w:rsid w:val="0088600C"/>
    <w:rsid w:val="0088610F"/>
    <w:rsid w:val="00886211"/>
    <w:rsid w:val="00886290"/>
    <w:rsid w:val="0088632D"/>
    <w:rsid w:val="00886394"/>
    <w:rsid w:val="00886450"/>
    <w:rsid w:val="008864C9"/>
    <w:rsid w:val="00886581"/>
    <w:rsid w:val="008865F1"/>
    <w:rsid w:val="008866BF"/>
    <w:rsid w:val="008866D3"/>
    <w:rsid w:val="008869D6"/>
    <w:rsid w:val="00886A3A"/>
    <w:rsid w:val="00886A92"/>
    <w:rsid w:val="00886A9A"/>
    <w:rsid w:val="00886ACC"/>
    <w:rsid w:val="00886B3E"/>
    <w:rsid w:val="00886B47"/>
    <w:rsid w:val="00886B54"/>
    <w:rsid w:val="00886BA6"/>
    <w:rsid w:val="00886BFC"/>
    <w:rsid w:val="00886C3B"/>
    <w:rsid w:val="00886C86"/>
    <w:rsid w:val="00886D31"/>
    <w:rsid w:val="00886D4F"/>
    <w:rsid w:val="00886DFA"/>
    <w:rsid w:val="00886EE5"/>
    <w:rsid w:val="00887049"/>
    <w:rsid w:val="0088704D"/>
    <w:rsid w:val="00887064"/>
    <w:rsid w:val="0088709E"/>
    <w:rsid w:val="0088710E"/>
    <w:rsid w:val="00887188"/>
    <w:rsid w:val="008871DE"/>
    <w:rsid w:val="008872EB"/>
    <w:rsid w:val="00887320"/>
    <w:rsid w:val="008873A6"/>
    <w:rsid w:val="008873E6"/>
    <w:rsid w:val="00887419"/>
    <w:rsid w:val="00887454"/>
    <w:rsid w:val="008874A2"/>
    <w:rsid w:val="008874DC"/>
    <w:rsid w:val="008875E1"/>
    <w:rsid w:val="00887600"/>
    <w:rsid w:val="00887603"/>
    <w:rsid w:val="00887882"/>
    <w:rsid w:val="00887936"/>
    <w:rsid w:val="008879E5"/>
    <w:rsid w:val="00887B72"/>
    <w:rsid w:val="00887B77"/>
    <w:rsid w:val="00887C19"/>
    <w:rsid w:val="00887C25"/>
    <w:rsid w:val="00887C39"/>
    <w:rsid w:val="00887C4D"/>
    <w:rsid w:val="00887C5C"/>
    <w:rsid w:val="00887CB2"/>
    <w:rsid w:val="00887CB5"/>
    <w:rsid w:val="00887D21"/>
    <w:rsid w:val="00887D23"/>
    <w:rsid w:val="00887DF6"/>
    <w:rsid w:val="00887E11"/>
    <w:rsid w:val="00887EFA"/>
    <w:rsid w:val="00887F58"/>
    <w:rsid w:val="00887FE6"/>
    <w:rsid w:val="008900B3"/>
    <w:rsid w:val="00890121"/>
    <w:rsid w:val="00890125"/>
    <w:rsid w:val="00890145"/>
    <w:rsid w:val="0089014D"/>
    <w:rsid w:val="008901EA"/>
    <w:rsid w:val="00890287"/>
    <w:rsid w:val="008902CB"/>
    <w:rsid w:val="00890412"/>
    <w:rsid w:val="00890422"/>
    <w:rsid w:val="00890486"/>
    <w:rsid w:val="008904F6"/>
    <w:rsid w:val="00890522"/>
    <w:rsid w:val="008905FC"/>
    <w:rsid w:val="0089069D"/>
    <w:rsid w:val="008906AE"/>
    <w:rsid w:val="00890732"/>
    <w:rsid w:val="0089082E"/>
    <w:rsid w:val="0089089A"/>
    <w:rsid w:val="0089092C"/>
    <w:rsid w:val="008909C2"/>
    <w:rsid w:val="00890A08"/>
    <w:rsid w:val="00890B6E"/>
    <w:rsid w:val="00890BF1"/>
    <w:rsid w:val="00890C9E"/>
    <w:rsid w:val="00890CBA"/>
    <w:rsid w:val="00890D5D"/>
    <w:rsid w:val="00890D92"/>
    <w:rsid w:val="00890D94"/>
    <w:rsid w:val="00890E18"/>
    <w:rsid w:val="00890E1F"/>
    <w:rsid w:val="00890EC0"/>
    <w:rsid w:val="00890F4F"/>
    <w:rsid w:val="00890F6E"/>
    <w:rsid w:val="008910AC"/>
    <w:rsid w:val="008910D6"/>
    <w:rsid w:val="00891158"/>
    <w:rsid w:val="008912D9"/>
    <w:rsid w:val="00891375"/>
    <w:rsid w:val="00891381"/>
    <w:rsid w:val="0089138D"/>
    <w:rsid w:val="00891443"/>
    <w:rsid w:val="00891488"/>
    <w:rsid w:val="008915C1"/>
    <w:rsid w:val="0089167C"/>
    <w:rsid w:val="00891715"/>
    <w:rsid w:val="00891741"/>
    <w:rsid w:val="008917A3"/>
    <w:rsid w:val="008917B0"/>
    <w:rsid w:val="008918C9"/>
    <w:rsid w:val="008919A4"/>
    <w:rsid w:val="00891B61"/>
    <w:rsid w:val="00891B6A"/>
    <w:rsid w:val="00891DA8"/>
    <w:rsid w:val="00891DB4"/>
    <w:rsid w:val="00891E34"/>
    <w:rsid w:val="00891F8C"/>
    <w:rsid w:val="008920A6"/>
    <w:rsid w:val="008920BB"/>
    <w:rsid w:val="0089215F"/>
    <w:rsid w:val="008921ED"/>
    <w:rsid w:val="008921F4"/>
    <w:rsid w:val="0089225F"/>
    <w:rsid w:val="00892299"/>
    <w:rsid w:val="008922F4"/>
    <w:rsid w:val="00892343"/>
    <w:rsid w:val="008923C3"/>
    <w:rsid w:val="008923DC"/>
    <w:rsid w:val="008924BB"/>
    <w:rsid w:val="00892535"/>
    <w:rsid w:val="0089255C"/>
    <w:rsid w:val="008925C1"/>
    <w:rsid w:val="008925D8"/>
    <w:rsid w:val="00892604"/>
    <w:rsid w:val="00892633"/>
    <w:rsid w:val="00892681"/>
    <w:rsid w:val="0089271A"/>
    <w:rsid w:val="00892729"/>
    <w:rsid w:val="008927E7"/>
    <w:rsid w:val="008929E7"/>
    <w:rsid w:val="00892A47"/>
    <w:rsid w:val="00892A64"/>
    <w:rsid w:val="00892BAF"/>
    <w:rsid w:val="00892C42"/>
    <w:rsid w:val="00892D3F"/>
    <w:rsid w:val="00892D7D"/>
    <w:rsid w:val="00892E24"/>
    <w:rsid w:val="00892E55"/>
    <w:rsid w:val="00892E94"/>
    <w:rsid w:val="00892EF7"/>
    <w:rsid w:val="00892F03"/>
    <w:rsid w:val="00892F20"/>
    <w:rsid w:val="00892F61"/>
    <w:rsid w:val="00892FAF"/>
    <w:rsid w:val="00892FEA"/>
    <w:rsid w:val="0089322F"/>
    <w:rsid w:val="008932BD"/>
    <w:rsid w:val="00893455"/>
    <w:rsid w:val="0089346D"/>
    <w:rsid w:val="008934F8"/>
    <w:rsid w:val="008934F9"/>
    <w:rsid w:val="00893575"/>
    <w:rsid w:val="008935DF"/>
    <w:rsid w:val="00893647"/>
    <w:rsid w:val="00893696"/>
    <w:rsid w:val="008936A9"/>
    <w:rsid w:val="008936AE"/>
    <w:rsid w:val="008936B9"/>
    <w:rsid w:val="008936F7"/>
    <w:rsid w:val="0089371A"/>
    <w:rsid w:val="008937B3"/>
    <w:rsid w:val="00893835"/>
    <w:rsid w:val="008938DA"/>
    <w:rsid w:val="0089391A"/>
    <w:rsid w:val="0089396E"/>
    <w:rsid w:val="00893A19"/>
    <w:rsid w:val="00893A29"/>
    <w:rsid w:val="00893AFF"/>
    <w:rsid w:val="00893B1E"/>
    <w:rsid w:val="00893B85"/>
    <w:rsid w:val="00893BBE"/>
    <w:rsid w:val="00893BDC"/>
    <w:rsid w:val="00893C78"/>
    <w:rsid w:val="00893CF8"/>
    <w:rsid w:val="00893E77"/>
    <w:rsid w:val="00893E80"/>
    <w:rsid w:val="00893F58"/>
    <w:rsid w:val="00893FA3"/>
    <w:rsid w:val="00893FFA"/>
    <w:rsid w:val="00894011"/>
    <w:rsid w:val="00894075"/>
    <w:rsid w:val="0089416F"/>
    <w:rsid w:val="00894178"/>
    <w:rsid w:val="00894186"/>
    <w:rsid w:val="008941FE"/>
    <w:rsid w:val="00894251"/>
    <w:rsid w:val="0089430C"/>
    <w:rsid w:val="0089430F"/>
    <w:rsid w:val="00894374"/>
    <w:rsid w:val="00894401"/>
    <w:rsid w:val="00894521"/>
    <w:rsid w:val="00894634"/>
    <w:rsid w:val="008946E7"/>
    <w:rsid w:val="0089470B"/>
    <w:rsid w:val="0089471E"/>
    <w:rsid w:val="00894778"/>
    <w:rsid w:val="008947FD"/>
    <w:rsid w:val="008948B6"/>
    <w:rsid w:val="008949F1"/>
    <w:rsid w:val="008949FB"/>
    <w:rsid w:val="00894B65"/>
    <w:rsid w:val="00894C1F"/>
    <w:rsid w:val="00894C21"/>
    <w:rsid w:val="00894C4E"/>
    <w:rsid w:val="00894C5C"/>
    <w:rsid w:val="00894C75"/>
    <w:rsid w:val="00894D58"/>
    <w:rsid w:val="00894E26"/>
    <w:rsid w:val="00894E74"/>
    <w:rsid w:val="00894EE2"/>
    <w:rsid w:val="00894F06"/>
    <w:rsid w:val="00894F2E"/>
    <w:rsid w:val="00894F33"/>
    <w:rsid w:val="00894F73"/>
    <w:rsid w:val="00895068"/>
    <w:rsid w:val="00895084"/>
    <w:rsid w:val="008950D6"/>
    <w:rsid w:val="00895164"/>
    <w:rsid w:val="0089518F"/>
    <w:rsid w:val="008951E8"/>
    <w:rsid w:val="00895231"/>
    <w:rsid w:val="00895241"/>
    <w:rsid w:val="00895248"/>
    <w:rsid w:val="0089526A"/>
    <w:rsid w:val="00895286"/>
    <w:rsid w:val="008952B3"/>
    <w:rsid w:val="008952D1"/>
    <w:rsid w:val="00895327"/>
    <w:rsid w:val="00895345"/>
    <w:rsid w:val="008953CE"/>
    <w:rsid w:val="008953DB"/>
    <w:rsid w:val="00895449"/>
    <w:rsid w:val="008954A2"/>
    <w:rsid w:val="008954D2"/>
    <w:rsid w:val="008955B9"/>
    <w:rsid w:val="008955CD"/>
    <w:rsid w:val="00895639"/>
    <w:rsid w:val="0089571F"/>
    <w:rsid w:val="008957BB"/>
    <w:rsid w:val="008959D3"/>
    <w:rsid w:val="00895A10"/>
    <w:rsid w:val="00895A18"/>
    <w:rsid w:val="00895A3B"/>
    <w:rsid w:val="00895A85"/>
    <w:rsid w:val="00895B99"/>
    <w:rsid w:val="00895C77"/>
    <w:rsid w:val="00895CDE"/>
    <w:rsid w:val="00895D1C"/>
    <w:rsid w:val="00895E14"/>
    <w:rsid w:val="00895F31"/>
    <w:rsid w:val="00895F57"/>
    <w:rsid w:val="0089600F"/>
    <w:rsid w:val="00896074"/>
    <w:rsid w:val="00896084"/>
    <w:rsid w:val="008960BA"/>
    <w:rsid w:val="00896129"/>
    <w:rsid w:val="008961A6"/>
    <w:rsid w:val="008961E8"/>
    <w:rsid w:val="00896214"/>
    <w:rsid w:val="00896244"/>
    <w:rsid w:val="00896246"/>
    <w:rsid w:val="0089628A"/>
    <w:rsid w:val="008962B9"/>
    <w:rsid w:val="00896399"/>
    <w:rsid w:val="008963F7"/>
    <w:rsid w:val="00896424"/>
    <w:rsid w:val="008965D9"/>
    <w:rsid w:val="0089660D"/>
    <w:rsid w:val="00896748"/>
    <w:rsid w:val="0089678E"/>
    <w:rsid w:val="008967A7"/>
    <w:rsid w:val="00896822"/>
    <w:rsid w:val="008968B4"/>
    <w:rsid w:val="008968BA"/>
    <w:rsid w:val="008968F8"/>
    <w:rsid w:val="008969F3"/>
    <w:rsid w:val="00896A61"/>
    <w:rsid w:val="00896A6A"/>
    <w:rsid w:val="00896AAB"/>
    <w:rsid w:val="00896B74"/>
    <w:rsid w:val="00896D8A"/>
    <w:rsid w:val="00896EBA"/>
    <w:rsid w:val="00896EDB"/>
    <w:rsid w:val="00896FC3"/>
    <w:rsid w:val="00896FFB"/>
    <w:rsid w:val="00897004"/>
    <w:rsid w:val="0089709C"/>
    <w:rsid w:val="008970E7"/>
    <w:rsid w:val="00897247"/>
    <w:rsid w:val="008972AA"/>
    <w:rsid w:val="00897339"/>
    <w:rsid w:val="0089735D"/>
    <w:rsid w:val="008973AE"/>
    <w:rsid w:val="0089740A"/>
    <w:rsid w:val="0089742A"/>
    <w:rsid w:val="00897442"/>
    <w:rsid w:val="0089750B"/>
    <w:rsid w:val="00897523"/>
    <w:rsid w:val="00897566"/>
    <w:rsid w:val="0089764E"/>
    <w:rsid w:val="008976CD"/>
    <w:rsid w:val="0089774A"/>
    <w:rsid w:val="00897792"/>
    <w:rsid w:val="008977B9"/>
    <w:rsid w:val="0089782D"/>
    <w:rsid w:val="008978AB"/>
    <w:rsid w:val="0089791A"/>
    <w:rsid w:val="00897972"/>
    <w:rsid w:val="00897978"/>
    <w:rsid w:val="0089798D"/>
    <w:rsid w:val="0089798F"/>
    <w:rsid w:val="008979A2"/>
    <w:rsid w:val="008979CD"/>
    <w:rsid w:val="00897AF1"/>
    <w:rsid w:val="00897B52"/>
    <w:rsid w:val="00897BF7"/>
    <w:rsid w:val="00897C55"/>
    <w:rsid w:val="00897C94"/>
    <w:rsid w:val="00897F77"/>
    <w:rsid w:val="008A0023"/>
    <w:rsid w:val="008A0053"/>
    <w:rsid w:val="008A00D4"/>
    <w:rsid w:val="008A00E8"/>
    <w:rsid w:val="008A0111"/>
    <w:rsid w:val="008A0123"/>
    <w:rsid w:val="008A022B"/>
    <w:rsid w:val="008A0314"/>
    <w:rsid w:val="008A0385"/>
    <w:rsid w:val="008A0414"/>
    <w:rsid w:val="008A04CE"/>
    <w:rsid w:val="008A05F7"/>
    <w:rsid w:val="008A0722"/>
    <w:rsid w:val="008A0762"/>
    <w:rsid w:val="008A07E7"/>
    <w:rsid w:val="008A0802"/>
    <w:rsid w:val="008A0873"/>
    <w:rsid w:val="008A0885"/>
    <w:rsid w:val="008A0983"/>
    <w:rsid w:val="008A0A46"/>
    <w:rsid w:val="008A0AAD"/>
    <w:rsid w:val="008A0B76"/>
    <w:rsid w:val="008A0C53"/>
    <w:rsid w:val="008A0C60"/>
    <w:rsid w:val="008A0CE1"/>
    <w:rsid w:val="008A0D3D"/>
    <w:rsid w:val="008A0D5D"/>
    <w:rsid w:val="008A0DF3"/>
    <w:rsid w:val="008A0E0B"/>
    <w:rsid w:val="008A0E28"/>
    <w:rsid w:val="008A0E68"/>
    <w:rsid w:val="008A0F0F"/>
    <w:rsid w:val="008A0F37"/>
    <w:rsid w:val="008A0F72"/>
    <w:rsid w:val="008A0F89"/>
    <w:rsid w:val="008A0FB5"/>
    <w:rsid w:val="008A0FFA"/>
    <w:rsid w:val="008A1025"/>
    <w:rsid w:val="008A1066"/>
    <w:rsid w:val="008A115F"/>
    <w:rsid w:val="008A1245"/>
    <w:rsid w:val="008A1450"/>
    <w:rsid w:val="008A14D4"/>
    <w:rsid w:val="008A1501"/>
    <w:rsid w:val="008A153B"/>
    <w:rsid w:val="008A15C8"/>
    <w:rsid w:val="008A16B6"/>
    <w:rsid w:val="008A16B8"/>
    <w:rsid w:val="008A16E1"/>
    <w:rsid w:val="008A186C"/>
    <w:rsid w:val="008A1911"/>
    <w:rsid w:val="008A1A4C"/>
    <w:rsid w:val="008A1AAA"/>
    <w:rsid w:val="008A1B08"/>
    <w:rsid w:val="008A1BCA"/>
    <w:rsid w:val="008A1C1A"/>
    <w:rsid w:val="008A1C37"/>
    <w:rsid w:val="008A1C74"/>
    <w:rsid w:val="008A1CFD"/>
    <w:rsid w:val="008A1DCF"/>
    <w:rsid w:val="008A1E03"/>
    <w:rsid w:val="008A1E1E"/>
    <w:rsid w:val="008A1E89"/>
    <w:rsid w:val="008A1EA6"/>
    <w:rsid w:val="008A1EAE"/>
    <w:rsid w:val="008A1F7D"/>
    <w:rsid w:val="008A2084"/>
    <w:rsid w:val="008A2091"/>
    <w:rsid w:val="008A2101"/>
    <w:rsid w:val="008A2132"/>
    <w:rsid w:val="008A2187"/>
    <w:rsid w:val="008A21CD"/>
    <w:rsid w:val="008A21F3"/>
    <w:rsid w:val="008A2233"/>
    <w:rsid w:val="008A2234"/>
    <w:rsid w:val="008A2257"/>
    <w:rsid w:val="008A22BF"/>
    <w:rsid w:val="008A241D"/>
    <w:rsid w:val="008A2474"/>
    <w:rsid w:val="008A2570"/>
    <w:rsid w:val="008A25DF"/>
    <w:rsid w:val="008A2615"/>
    <w:rsid w:val="008A262A"/>
    <w:rsid w:val="008A268D"/>
    <w:rsid w:val="008A27FF"/>
    <w:rsid w:val="008A2913"/>
    <w:rsid w:val="008A2925"/>
    <w:rsid w:val="008A29A4"/>
    <w:rsid w:val="008A2A71"/>
    <w:rsid w:val="008A2ACD"/>
    <w:rsid w:val="008A2B4E"/>
    <w:rsid w:val="008A2B5A"/>
    <w:rsid w:val="008A2CB3"/>
    <w:rsid w:val="008A2D16"/>
    <w:rsid w:val="008A2D70"/>
    <w:rsid w:val="008A2E4F"/>
    <w:rsid w:val="008A2F51"/>
    <w:rsid w:val="008A302D"/>
    <w:rsid w:val="008A3266"/>
    <w:rsid w:val="008A3279"/>
    <w:rsid w:val="008A327F"/>
    <w:rsid w:val="008A3391"/>
    <w:rsid w:val="008A3431"/>
    <w:rsid w:val="008A343B"/>
    <w:rsid w:val="008A3445"/>
    <w:rsid w:val="008A3450"/>
    <w:rsid w:val="008A3472"/>
    <w:rsid w:val="008A34EC"/>
    <w:rsid w:val="008A358C"/>
    <w:rsid w:val="008A364A"/>
    <w:rsid w:val="008A36E7"/>
    <w:rsid w:val="008A372E"/>
    <w:rsid w:val="008A3742"/>
    <w:rsid w:val="008A3761"/>
    <w:rsid w:val="008A38B8"/>
    <w:rsid w:val="008A38C3"/>
    <w:rsid w:val="008A3A0E"/>
    <w:rsid w:val="008A3A6B"/>
    <w:rsid w:val="008A3A8F"/>
    <w:rsid w:val="008A3AA6"/>
    <w:rsid w:val="008A3AC8"/>
    <w:rsid w:val="008A3B0A"/>
    <w:rsid w:val="008A3B95"/>
    <w:rsid w:val="008A3C1D"/>
    <w:rsid w:val="008A3C2B"/>
    <w:rsid w:val="008A3E15"/>
    <w:rsid w:val="008A3EB9"/>
    <w:rsid w:val="008A3F6D"/>
    <w:rsid w:val="008A3F7D"/>
    <w:rsid w:val="008A3FA1"/>
    <w:rsid w:val="008A4015"/>
    <w:rsid w:val="008A401C"/>
    <w:rsid w:val="008A40D8"/>
    <w:rsid w:val="008A4171"/>
    <w:rsid w:val="008A4178"/>
    <w:rsid w:val="008A4198"/>
    <w:rsid w:val="008A41A8"/>
    <w:rsid w:val="008A41B8"/>
    <w:rsid w:val="008A41EA"/>
    <w:rsid w:val="008A41ED"/>
    <w:rsid w:val="008A4227"/>
    <w:rsid w:val="008A427E"/>
    <w:rsid w:val="008A42D0"/>
    <w:rsid w:val="008A4384"/>
    <w:rsid w:val="008A4396"/>
    <w:rsid w:val="008A446F"/>
    <w:rsid w:val="008A4530"/>
    <w:rsid w:val="008A4578"/>
    <w:rsid w:val="008A457C"/>
    <w:rsid w:val="008A45E1"/>
    <w:rsid w:val="008A460C"/>
    <w:rsid w:val="008A4616"/>
    <w:rsid w:val="008A467B"/>
    <w:rsid w:val="008A46A2"/>
    <w:rsid w:val="008A4728"/>
    <w:rsid w:val="008A47C6"/>
    <w:rsid w:val="008A47E9"/>
    <w:rsid w:val="008A4845"/>
    <w:rsid w:val="008A488C"/>
    <w:rsid w:val="008A48FF"/>
    <w:rsid w:val="008A4971"/>
    <w:rsid w:val="008A4997"/>
    <w:rsid w:val="008A49AA"/>
    <w:rsid w:val="008A49D8"/>
    <w:rsid w:val="008A49F0"/>
    <w:rsid w:val="008A49F3"/>
    <w:rsid w:val="008A4A37"/>
    <w:rsid w:val="008A4AA0"/>
    <w:rsid w:val="008A4C45"/>
    <w:rsid w:val="008A4C4C"/>
    <w:rsid w:val="008A4CBD"/>
    <w:rsid w:val="008A4D16"/>
    <w:rsid w:val="008A4DFA"/>
    <w:rsid w:val="008A4E24"/>
    <w:rsid w:val="008A4E2C"/>
    <w:rsid w:val="008A4FA7"/>
    <w:rsid w:val="008A4FDA"/>
    <w:rsid w:val="008A5066"/>
    <w:rsid w:val="008A51F2"/>
    <w:rsid w:val="008A5422"/>
    <w:rsid w:val="008A5457"/>
    <w:rsid w:val="008A545C"/>
    <w:rsid w:val="008A5467"/>
    <w:rsid w:val="008A54CC"/>
    <w:rsid w:val="008A54E8"/>
    <w:rsid w:val="008A5584"/>
    <w:rsid w:val="008A5594"/>
    <w:rsid w:val="008A55CE"/>
    <w:rsid w:val="008A55F5"/>
    <w:rsid w:val="008A5611"/>
    <w:rsid w:val="008A5688"/>
    <w:rsid w:val="008A57B7"/>
    <w:rsid w:val="008A5810"/>
    <w:rsid w:val="008A588D"/>
    <w:rsid w:val="008A58A0"/>
    <w:rsid w:val="008A58AE"/>
    <w:rsid w:val="008A58B6"/>
    <w:rsid w:val="008A5950"/>
    <w:rsid w:val="008A5B63"/>
    <w:rsid w:val="008A5B67"/>
    <w:rsid w:val="008A5B9B"/>
    <w:rsid w:val="008A5BCF"/>
    <w:rsid w:val="008A5BE5"/>
    <w:rsid w:val="008A5BE8"/>
    <w:rsid w:val="008A5C2B"/>
    <w:rsid w:val="008A5D1A"/>
    <w:rsid w:val="008A5D21"/>
    <w:rsid w:val="008A5D4C"/>
    <w:rsid w:val="008A5E07"/>
    <w:rsid w:val="008A5E2C"/>
    <w:rsid w:val="008A5EE5"/>
    <w:rsid w:val="008A5F58"/>
    <w:rsid w:val="008A5F62"/>
    <w:rsid w:val="008A5F9C"/>
    <w:rsid w:val="008A5FB2"/>
    <w:rsid w:val="008A605C"/>
    <w:rsid w:val="008A614F"/>
    <w:rsid w:val="008A61D7"/>
    <w:rsid w:val="008A61EB"/>
    <w:rsid w:val="008A621D"/>
    <w:rsid w:val="008A6291"/>
    <w:rsid w:val="008A62D4"/>
    <w:rsid w:val="008A633B"/>
    <w:rsid w:val="008A6364"/>
    <w:rsid w:val="008A636B"/>
    <w:rsid w:val="008A641A"/>
    <w:rsid w:val="008A6421"/>
    <w:rsid w:val="008A642B"/>
    <w:rsid w:val="008A6435"/>
    <w:rsid w:val="008A6484"/>
    <w:rsid w:val="008A6536"/>
    <w:rsid w:val="008A65C1"/>
    <w:rsid w:val="008A65D5"/>
    <w:rsid w:val="008A6692"/>
    <w:rsid w:val="008A66D7"/>
    <w:rsid w:val="008A67EF"/>
    <w:rsid w:val="008A6809"/>
    <w:rsid w:val="008A684D"/>
    <w:rsid w:val="008A6905"/>
    <w:rsid w:val="008A6962"/>
    <w:rsid w:val="008A69FB"/>
    <w:rsid w:val="008A6A61"/>
    <w:rsid w:val="008A6A72"/>
    <w:rsid w:val="008A6C6D"/>
    <w:rsid w:val="008A6CB5"/>
    <w:rsid w:val="008A6CBE"/>
    <w:rsid w:val="008A6E00"/>
    <w:rsid w:val="008A6E7A"/>
    <w:rsid w:val="008A6EA6"/>
    <w:rsid w:val="008A6EB2"/>
    <w:rsid w:val="008A6FBA"/>
    <w:rsid w:val="008A7062"/>
    <w:rsid w:val="008A7075"/>
    <w:rsid w:val="008A7101"/>
    <w:rsid w:val="008A7199"/>
    <w:rsid w:val="008A7208"/>
    <w:rsid w:val="008A7210"/>
    <w:rsid w:val="008A7225"/>
    <w:rsid w:val="008A7241"/>
    <w:rsid w:val="008A72BA"/>
    <w:rsid w:val="008A7385"/>
    <w:rsid w:val="008A73BF"/>
    <w:rsid w:val="008A749C"/>
    <w:rsid w:val="008A74BE"/>
    <w:rsid w:val="008A74CA"/>
    <w:rsid w:val="008A757B"/>
    <w:rsid w:val="008A75F6"/>
    <w:rsid w:val="008A7603"/>
    <w:rsid w:val="008A763C"/>
    <w:rsid w:val="008A76B8"/>
    <w:rsid w:val="008A77B9"/>
    <w:rsid w:val="008A7993"/>
    <w:rsid w:val="008A799F"/>
    <w:rsid w:val="008A79A2"/>
    <w:rsid w:val="008A7A27"/>
    <w:rsid w:val="008A7A48"/>
    <w:rsid w:val="008A7B1E"/>
    <w:rsid w:val="008A7B4A"/>
    <w:rsid w:val="008A7B4B"/>
    <w:rsid w:val="008A7B5A"/>
    <w:rsid w:val="008A7B8E"/>
    <w:rsid w:val="008A7BB4"/>
    <w:rsid w:val="008A7BD9"/>
    <w:rsid w:val="008A7C00"/>
    <w:rsid w:val="008A7CA2"/>
    <w:rsid w:val="008A7CE8"/>
    <w:rsid w:val="008A7D5A"/>
    <w:rsid w:val="008A7DD6"/>
    <w:rsid w:val="008A7F8F"/>
    <w:rsid w:val="008B001A"/>
    <w:rsid w:val="008B004B"/>
    <w:rsid w:val="008B0133"/>
    <w:rsid w:val="008B017B"/>
    <w:rsid w:val="008B017C"/>
    <w:rsid w:val="008B01F0"/>
    <w:rsid w:val="008B01FA"/>
    <w:rsid w:val="008B0240"/>
    <w:rsid w:val="008B0274"/>
    <w:rsid w:val="008B0349"/>
    <w:rsid w:val="008B0364"/>
    <w:rsid w:val="008B038A"/>
    <w:rsid w:val="008B045B"/>
    <w:rsid w:val="008B04F1"/>
    <w:rsid w:val="008B057D"/>
    <w:rsid w:val="008B05D5"/>
    <w:rsid w:val="008B0788"/>
    <w:rsid w:val="008B0806"/>
    <w:rsid w:val="008B08C1"/>
    <w:rsid w:val="008B0911"/>
    <w:rsid w:val="008B0924"/>
    <w:rsid w:val="008B0A14"/>
    <w:rsid w:val="008B0A8B"/>
    <w:rsid w:val="008B0AE3"/>
    <w:rsid w:val="008B0C25"/>
    <w:rsid w:val="008B0DA5"/>
    <w:rsid w:val="008B0DCF"/>
    <w:rsid w:val="008B0F1E"/>
    <w:rsid w:val="008B0F47"/>
    <w:rsid w:val="008B0F4B"/>
    <w:rsid w:val="008B0F89"/>
    <w:rsid w:val="008B0FAB"/>
    <w:rsid w:val="008B1041"/>
    <w:rsid w:val="008B1161"/>
    <w:rsid w:val="008B116D"/>
    <w:rsid w:val="008B1221"/>
    <w:rsid w:val="008B1271"/>
    <w:rsid w:val="008B12C8"/>
    <w:rsid w:val="008B133F"/>
    <w:rsid w:val="008B1344"/>
    <w:rsid w:val="008B13E4"/>
    <w:rsid w:val="008B1476"/>
    <w:rsid w:val="008B14A8"/>
    <w:rsid w:val="008B14DD"/>
    <w:rsid w:val="008B15C5"/>
    <w:rsid w:val="008B15FE"/>
    <w:rsid w:val="008B1629"/>
    <w:rsid w:val="008B1641"/>
    <w:rsid w:val="008B166D"/>
    <w:rsid w:val="008B1763"/>
    <w:rsid w:val="008B1B0D"/>
    <w:rsid w:val="008B1BCF"/>
    <w:rsid w:val="008B1BFE"/>
    <w:rsid w:val="008B1C1D"/>
    <w:rsid w:val="008B1C61"/>
    <w:rsid w:val="008B1D0A"/>
    <w:rsid w:val="008B1E53"/>
    <w:rsid w:val="008B1EBD"/>
    <w:rsid w:val="008B1ED9"/>
    <w:rsid w:val="008B1F7E"/>
    <w:rsid w:val="008B1F8F"/>
    <w:rsid w:val="008B2080"/>
    <w:rsid w:val="008B209B"/>
    <w:rsid w:val="008B20F9"/>
    <w:rsid w:val="008B20FF"/>
    <w:rsid w:val="008B2118"/>
    <w:rsid w:val="008B2217"/>
    <w:rsid w:val="008B2287"/>
    <w:rsid w:val="008B228C"/>
    <w:rsid w:val="008B229F"/>
    <w:rsid w:val="008B2308"/>
    <w:rsid w:val="008B231B"/>
    <w:rsid w:val="008B23AD"/>
    <w:rsid w:val="008B23F8"/>
    <w:rsid w:val="008B2453"/>
    <w:rsid w:val="008B2459"/>
    <w:rsid w:val="008B24F2"/>
    <w:rsid w:val="008B255E"/>
    <w:rsid w:val="008B268F"/>
    <w:rsid w:val="008B2799"/>
    <w:rsid w:val="008B2823"/>
    <w:rsid w:val="008B2838"/>
    <w:rsid w:val="008B288D"/>
    <w:rsid w:val="008B28F4"/>
    <w:rsid w:val="008B2B27"/>
    <w:rsid w:val="008B2B56"/>
    <w:rsid w:val="008B2BC9"/>
    <w:rsid w:val="008B2C52"/>
    <w:rsid w:val="008B2CAD"/>
    <w:rsid w:val="008B2D7E"/>
    <w:rsid w:val="008B2DA6"/>
    <w:rsid w:val="008B2DD8"/>
    <w:rsid w:val="008B2E18"/>
    <w:rsid w:val="008B2F25"/>
    <w:rsid w:val="008B2F5B"/>
    <w:rsid w:val="008B2FA9"/>
    <w:rsid w:val="008B2FF9"/>
    <w:rsid w:val="008B3015"/>
    <w:rsid w:val="008B306C"/>
    <w:rsid w:val="008B3072"/>
    <w:rsid w:val="008B30D9"/>
    <w:rsid w:val="008B30EA"/>
    <w:rsid w:val="008B3203"/>
    <w:rsid w:val="008B3223"/>
    <w:rsid w:val="008B328B"/>
    <w:rsid w:val="008B32AD"/>
    <w:rsid w:val="008B33CD"/>
    <w:rsid w:val="008B343B"/>
    <w:rsid w:val="008B34E3"/>
    <w:rsid w:val="008B34FC"/>
    <w:rsid w:val="008B352E"/>
    <w:rsid w:val="008B356A"/>
    <w:rsid w:val="008B357E"/>
    <w:rsid w:val="008B3596"/>
    <w:rsid w:val="008B3692"/>
    <w:rsid w:val="008B36E3"/>
    <w:rsid w:val="008B3799"/>
    <w:rsid w:val="008B3829"/>
    <w:rsid w:val="008B382F"/>
    <w:rsid w:val="008B38A4"/>
    <w:rsid w:val="008B3998"/>
    <w:rsid w:val="008B39CC"/>
    <w:rsid w:val="008B3A3C"/>
    <w:rsid w:val="008B3A94"/>
    <w:rsid w:val="008B3B1C"/>
    <w:rsid w:val="008B3B21"/>
    <w:rsid w:val="008B3B5C"/>
    <w:rsid w:val="008B3BAC"/>
    <w:rsid w:val="008B3C4F"/>
    <w:rsid w:val="008B3CC8"/>
    <w:rsid w:val="008B3D5F"/>
    <w:rsid w:val="008B3DCC"/>
    <w:rsid w:val="008B3E63"/>
    <w:rsid w:val="008B3E6B"/>
    <w:rsid w:val="008B3E7D"/>
    <w:rsid w:val="008B3EAD"/>
    <w:rsid w:val="008B3ECF"/>
    <w:rsid w:val="008B3EEA"/>
    <w:rsid w:val="008B3F76"/>
    <w:rsid w:val="008B402D"/>
    <w:rsid w:val="008B4152"/>
    <w:rsid w:val="008B41D8"/>
    <w:rsid w:val="008B41F0"/>
    <w:rsid w:val="008B42DF"/>
    <w:rsid w:val="008B43FA"/>
    <w:rsid w:val="008B4450"/>
    <w:rsid w:val="008B445E"/>
    <w:rsid w:val="008B449D"/>
    <w:rsid w:val="008B44E9"/>
    <w:rsid w:val="008B450D"/>
    <w:rsid w:val="008B4510"/>
    <w:rsid w:val="008B454D"/>
    <w:rsid w:val="008B455C"/>
    <w:rsid w:val="008B45FE"/>
    <w:rsid w:val="008B4653"/>
    <w:rsid w:val="008B4785"/>
    <w:rsid w:val="008B47A3"/>
    <w:rsid w:val="008B47BC"/>
    <w:rsid w:val="008B480B"/>
    <w:rsid w:val="008B4925"/>
    <w:rsid w:val="008B493A"/>
    <w:rsid w:val="008B4A95"/>
    <w:rsid w:val="008B4AFC"/>
    <w:rsid w:val="008B4B2E"/>
    <w:rsid w:val="008B4BBD"/>
    <w:rsid w:val="008B4CA9"/>
    <w:rsid w:val="008B4CCD"/>
    <w:rsid w:val="008B4D46"/>
    <w:rsid w:val="008B4DC7"/>
    <w:rsid w:val="008B4DD6"/>
    <w:rsid w:val="008B4E84"/>
    <w:rsid w:val="008B4F8C"/>
    <w:rsid w:val="008B5029"/>
    <w:rsid w:val="008B5049"/>
    <w:rsid w:val="008B5108"/>
    <w:rsid w:val="008B511F"/>
    <w:rsid w:val="008B513F"/>
    <w:rsid w:val="008B5171"/>
    <w:rsid w:val="008B5227"/>
    <w:rsid w:val="008B5261"/>
    <w:rsid w:val="008B52B3"/>
    <w:rsid w:val="008B53B7"/>
    <w:rsid w:val="008B53D5"/>
    <w:rsid w:val="008B5411"/>
    <w:rsid w:val="008B5452"/>
    <w:rsid w:val="008B545D"/>
    <w:rsid w:val="008B5460"/>
    <w:rsid w:val="008B5482"/>
    <w:rsid w:val="008B54E2"/>
    <w:rsid w:val="008B5537"/>
    <w:rsid w:val="008B554F"/>
    <w:rsid w:val="008B5552"/>
    <w:rsid w:val="008B55D7"/>
    <w:rsid w:val="008B55DE"/>
    <w:rsid w:val="008B5695"/>
    <w:rsid w:val="008B56DB"/>
    <w:rsid w:val="008B580C"/>
    <w:rsid w:val="008B582B"/>
    <w:rsid w:val="008B583C"/>
    <w:rsid w:val="008B58A9"/>
    <w:rsid w:val="008B58BC"/>
    <w:rsid w:val="008B58E8"/>
    <w:rsid w:val="008B5929"/>
    <w:rsid w:val="008B5938"/>
    <w:rsid w:val="008B594B"/>
    <w:rsid w:val="008B59A8"/>
    <w:rsid w:val="008B5A12"/>
    <w:rsid w:val="008B5A16"/>
    <w:rsid w:val="008B5A33"/>
    <w:rsid w:val="008B5A55"/>
    <w:rsid w:val="008B5B24"/>
    <w:rsid w:val="008B5B8A"/>
    <w:rsid w:val="008B5CA4"/>
    <w:rsid w:val="008B5D27"/>
    <w:rsid w:val="008B5D64"/>
    <w:rsid w:val="008B5DA5"/>
    <w:rsid w:val="008B5F97"/>
    <w:rsid w:val="008B600B"/>
    <w:rsid w:val="008B625C"/>
    <w:rsid w:val="008B62F9"/>
    <w:rsid w:val="008B631E"/>
    <w:rsid w:val="008B6329"/>
    <w:rsid w:val="008B641E"/>
    <w:rsid w:val="008B6494"/>
    <w:rsid w:val="008B64B9"/>
    <w:rsid w:val="008B64CF"/>
    <w:rsid w:val="008B653C"/>
    <w:rsid w:val="008B657B"/>
    <w:rsid w:val="008B65CD"/>
    <w:rsid w:val="008B6613"/>
    <w:rsid w:val="008B664B"/>
    <w:rsid w:val="008B6692"/>
    <w:rsid w:val="008B66E8"/>
    <w:rsid w:val="008B68B6"/>
    <w:rsid w:val="008B68F4"/>
    <w:rsid w:val="008B6980"/>
    <w:rsid w:val="008B69B0"/>
    <w:rsid w:val="008B6AA7"/>
    <w:rsid w:val="008B6C5C"/>
    <w:rsid w:val="008B6CC2"/>
    <w:rsid w:val="008B6D00"/>
    <w:rsid w:val="008B6DCC"/>
    <w:rsid w:val="008B6E27"/>
    <w:rsid w:val="008B6EA4"/>
    <w:rsid w:val="008B6EFD"/>
    <w:rsid w:val="008B6F49"/>
    <w:rsid w:val="008B6FB5"/>
    <w:rsid w:val="008B6FF1"/>
    <w:rsid w:val="008B7098"/>
    <w:rsid w:val="008B70E3"/>
    <w:rsid w:val="008B71D0"/>
    <w:rsid w:val="008B727C"/>
    <w:rsid w:val="008B7356"/>
    <w:rsid w:val="008B7372"/>
    <w:rsid w:val="008B73A8"/>
    <w:rsid w:val="008B73B9"/>
    <w:rsid w:val="008B73BE"/>
    <w:rsid w:val="008B7440"/>
    <w:rsid w:val="008B74D2"/>
    <w:rsid w:val="008B7519"/>
    <w:rsid w:val="008B7561"/>
    <w:rsid w:val="008B767D"/>
    <w:rsid w:val="008B76A0"/>
    <w:rsid w:val="008B77B0"/>
    <w:rsid w:val="008B77DD"/>
    <w:rsid w:val="008B785D"/>
    <w:rsid w:val="008B78B5"/>
    <w:rsid w:val="008B78CC"/>
    <w:rsid w:val="008B79B6"/>
    <w:rsid w:val="008B79E0"/>
    <w:rsid w:val="008B7A1A"/>
    <w:rsid w:val="008B7A33"/>
    <w:rsid w:val="008B7B9C"/>
    <w:rsid w:val="008B7C45"/>
    <w:rsid w:val="008B7C7A"/>
    <w:rsid w:val="008B7D02"/>
    <w:rsid w:val="008C001E"/>
    <w:rsid w:val="008C004A"/>
    <w:rsid w:val="008C0084"/>
    <w:rsid w:val="008C022D"/>
    <w:rsid w:val="008C0308"/>
    <w:rsid w:val="008C041F"/>
    <w:rsid w:val="008C0474"/>
    <w:rsid w:val="008C0484"/>
    <w:rsid w:val="008C05F8"/>
    <w:rsid w:val="008C0662"/>
    <w:rsid w:val="008C06B3"/>
    <w:rsid w:val="008C06BD"/>
    <w:rsid w:val="008C06F5"/>
    <w:rsid w:val="008C07F7"/>
    <w:rsid w:val="008C0801"/>
    <w:rsid w:val="008C0821"/>
    <w:rsid w:val="008C09EB"/>
    <w:rsid w:val="008C0A0D"/>
    <w:rsid w:val="008C0A92"/>
    <w:rsid w:val="008C0ABB"/>
    <w:rsid w:val="008C0ADD"/>
    <w:rsid w:val="008C0B54"/>
    <w:rsid w:val="008C0B6D"/>
    <w:rsid w:val="008C0BC8"/>
    <w:rsid w:val="008C0C14"/>
    <w:rsid w:val="008C0C8F"/>
    <w:rsid w:val="008C0CAC"/>
    <w:rsid w:val="008C0D02"/>
    <w:rsid w:val="008C0E0A"/>
    <w:rsid w:val="008C0E53"/>
    <w:rsid w:val="008C0E8E"/>
    <w:rsid w:val="008C0FC4"/>
    <w:rsid w:val="008C100A"/>
    <w:rsid w:val="008C1041"/>
    <w:rsid w:val="008C10BA"/>
    <w:rsid w:val="008C1145"/>
    <w:rsid w:val="008C137D"/>
    <w:rsid w:val="008C13C5"/>
    <w:rsid w:val="008C1420"/>
    <w:rsid w:val="008C14BD"/>
    <w:rsid w:val="008C1528"/>
    <w:rsid w:val="008C1589"/>
    <w:rsid w:val="008C1598"/>
    <w:rsid w:val="008C15F1"/>
    <w:rsid w:val="008C1614"/>
    <w:rsid w:val="008C1656"/>
    <w:rsid w:val="008C165F"/>
    <w:rsid w:val="008C17D5"/>
    <w:rsid w:val="008C183B"/>
    <w:rsid w:val="008C1845"/>
    <w:rsid w:val="008C184C"/>
    <w:rsid w:val="008C18E0"/>
    <w:rsid w:val="008C1904"/>
    <w:rsid w:val="008C19A8"/>
    <w:rsid w:val="008C1ABA"/>
    <w:rsid w:val="008C1AFE"/>
    <w:rsid w:val="008C1B39"/>
    <w:rsid w:val="008C1C08"/>
    <w:rsid w:val="008C1D07"/>
    <w:rsid w:val="008C1DA7"/>
    <w:rsid w:val="008C1EF1"/>
    <w:rsid w:val="008C1FF0"/>
    <w:rsid w:val="008C2118"/>
    <w:rsid w:val="008C212C"/>
    <w:rsid w:val="008C21DC"/>
    <w:rsid w:val="008C2246"/>
    <w:rsid w:val="008C227E"/>
    <w:rsid w:val="008C2285"/>
    <w:rsid w:val="008C2399"/>
    <w:rsid w:val="008C23EA"/>
    <w:rsid w:val="008C248A"/>
    <w:rsid w:val="008C248D"/>
    <w:rsid w:val="008C248E"/>
    <w:rsid w:val="008C24A8"/>
    <w:rsid w:val="008C2555"/>
    <w:rsid w:val="008C259E"/>
    <w:rsid w:val="008C25EE"/>
    <w:rsid w:val="008C26C4"/>
    <w:rsid w:val="008C27A3"/>
    <w:rsid w:val="008C2865"/>
    <w:rsid w:val="008C28BF"/>
    <w:rsid w:val="008C2A3E"/>
    <w:rsid w:val="008C2ADD"/>
    <w:rsid w:val="008C2B96"/>
    <w:rsid w:val="008C2B9B"/>
    <w:rsid w:val="008C2BD9"/>
    <w:rsid w:val="008C2DC8"/>
    <w:rsid w:val="008C2DE4"/>
    <w:rsid w:val="008C2F59"/>
    <w:rsid w:val="008C2FC1"/>
    <w:rsid w:val="008C305B"/>
    <w:rsid w:val="008C309F"/>
    <w:rsid w:val="008C30BF"/>
    <w:rsid w:val="008C3189"/>
    <w:rsid w:val="008C31FC"/>
    <w:rsid w:val="008C3337"/>
    <w:rsid w:val="008C338C"/>
    <w:rsid w:val="008C33B5"/>
    <w:rsid w:val="008C3502"/>
    <w:rsid w:val="008C3528"/>
    <w:rsid w:val="008C3570"/>
    <w:rsid w:val="008C35F5"/>
    <w:rsid w:val="008C36AE"/>
    <w:rsid w:val="008C370F"/>
    <w:rsid w:val="008C3786"/>
    <w:rsid w:val="008C378C"/>
    <w:rsid w:val="008C38BE"/>
    <w:rsid w:val="008C3909"/>
    <w:rsid w:val="008C398A"/>
    <w:rsid w:val="008C3A30"/>
    <w:rsid w:val="008C3ADE"/>
    <w:rsid w:val="008C3B8A"/>
    <w:rsid w:val="008C3B97"/>
    <w:rsid w:val="008C3BA7"/>
    <w:rsid w:val="008C3BDA"/>
    <w:rsid w:val="008C3C0D"/>
    <w:rsid w:val="008C3C2A"/>
    <w:rsid w:val="008C3C4F"/>
    <w:rsid w:val="008C3C5B"/>
    <w:rsid w:val="008C3CEF"/>
    <w:rsid w:val="008C3D26"/>
    <w:rsid w:val="008C3E2A"/>
    <w:rsid w:val="008C3F70"/>
    <w:rsid w:val="008C3FCC"/>
    <w:rsid w:val="008C3FD7"/>
    <w:rsid w:val="008C41BD"/>
    <w:rsid w:val="008C42C9"/>
    <w:rsid w:val="008C430C"/>
    <w:rsid w:val="008C43C0"/>
    <w:rsid w:val="008C43D9"/>
    <w:rsid w:val="008C445C"/>
    <w:rsid w:val="008C4557"/>
    <w:rsid w:val="008C459B"/>
    <w:rsid w:val="008C459C"/>
    <w:rsid w:val="008C4622"/>
    <w:rsid w:val="008C4630"/>
    <w:rsid w:val="008C474E"/>
    <w:rsid w:val="008C4807"/>
    <w:rsid w:val="008C480F"/>
    <w:rsid w:val="008C4833"/>
    <w:rsid w:val="008C4864"/>
    <w:rsid w:val="008C48C3"/>
    <w:rsid w:val="008C48F9"/>
    <w:rsid w:val="008C4950"/>
    <w:rsid w:val="008C4965"/>
    <w:rsid w:val="008C49B8"/>
    <w:rsid w:val="008C49CA"/>
    <w:rsid w:val="008C4A26"/>
    <w:rsid w:val="008C4A40"/>
    <w:rsid w:val="008C4A68"/>
    <w:rsid w:val="008C4A9E"/>
    <w:rsid w:val="008C4B17"/>
    <w:rsid w:val="008C4B74"/>
    <w:rsid w:val="008C4BA4"/>
    <w:rsid w:val="008C4BBE"/>
    <w:rsid w:val="008C4BF3"/>
    <w:rsid w:val="008C4C28"/>
    <w:rsid w:val="008C4C3A"/>
    <w:rsid w:val="008C4C67"/>
    <w:rsid w:val="008C4C93"/>
    <w:rsid w:val="008C4D05"/>
    <w:rsid w:val="008C4DC6"/>
    <w:rsid w:val="008C4E47"/>
    <w:rsid w:val="008C4E56"/>
    <w:rsid w:val="008C4EE1"/>
    <w:rsid w:val="008C4F08"/>
    <w:rsid w:val="008C4F0E"/>
    <w:rsid w:val="008C4FF2"/>
    <w:rsid w:val="008C5052"/>
    <w:rsid w:val="008C50CC"/>
    <w:rsid w:val="008C50F5"/>
    <w:rsid w:val="008C5205"/>
    <w:rsid w:val="008C5234"/>
    <w:rsid w:val="008C5255"/>
    <w:rsid w:val="008C52AF"/>
    <w:rsid w:val="008C52D4"/>
    <w:rsid w:val="008C52E9"/>
    <w:rsid w:val="008C5300"/>
    <w:rsid w:val="008C5352"/>
    <w:rsid w:val="008C53A4"/>
    <w:rsid w:val="008C5462"/>
    <w:rsid w:val="008C557B"/>
    <w:rsid w:val="008C55B1"/>
    <w:rsid w:val="008C562D"/>
    <w:rsid w:val="008C577F"/>
    <w:rsid w:val="008C5856"/>
    <w:rsid w:val="008C5897"/>
    <w:rsid w:val="008C59F9"/>
    <w:rsid w:val="008C5AFE"/>
    <w:rsid w:val="008C5B03"/>
    <w:rsid w:val="008C5BD1"/>
    <w:rsid w:val="008C5CB4"/>
    <w:rsid w:val="008C5DA2"/>
    <w:rsid w:val="008C5DEC"/>
    <w:rsid w:val="008C5E9F"/>
    <w:rsid w:val="008C5EC0"/>
    <w:rsid w:val="008C5EF7"/>
    <w:rsid w:val="008C5F11"/>
    <w:rsid w:val="008C60A5"/>
    <w:rsid w:val="008C60CE"/>
    <w:rsid w:val="008C60D4"/>
    <w:rsid w:val="008C60F8"/>
    <w:rsid w:val="008C6315"/>
    <w:rsid w:val="008C6325"/>
    <w:rsid w:val="008C6329"/>
    <w:rsid w:val="008C632E"/>
    <w:rsid w:val="008C637D"/>
    <w:rsid w:val="008C6408"/>
    <w:rsid w:val="008C642F"/>
    <w:rsid w:val="008C6468"/>
    <w:rsid w:val="008C648D"/>
    <w:rsid w:val="008C64BE"/>
    <w:rsid w:val="008C64F3"/>
    <w:rsid w:val="008C6574"/>
    <w:rsid w:val="008C65FE"/>
    <w:rsid w:val="008C677F"/>
    <w:rsid w:val="008C67A8"/>
    <w:rsid w:val="008C67B0"/>
    <w:rsid w:val="008C67B8"/>
    <w:rsid w:val="008C68F0"/>
    <w:rsid w:val="008C6988"/>
    <w:rsid w:val="008C699B"/>
    <w:rsid w:val="008C6AA5"/>
    <w:rsid w:val="008C6ACD"/>
    <w:rsid w:val="008C6B44"/>
    <w:rsid w:val="008C6C1F"/>
    <w:rsid w:val="008C6C42"/>
    <w:rsid w:val="008C6CB0"/>
    <w:rsid w:val="008C6CDD"/>
    <w:rsid w:val="008C6D2A"/>
    <w:rsid w:val="008C6D44"/>
    <w:rsid w:val="008C6D86"/>
    <w:rsid w:val="008C6DBA"/>
    <w:rsid w:val="008C6E04"/>
    <w:rsid w:val="008C6F09"/>
    <w:rsid w:val="008C6F7C"/>
    <w:rsid w:val="008C6F9D"/>
    <w:rsid w:val="008C7005"/>
    <w:rsid w:val="008C7045"/>
    <w:rsid w:val="008C7080"/>
    <w:rsid w:val="008C708F"/>
    <w:rsid w:val="008C70B2"/>
    <w:rsid w:val="008C70B4"/>
    <w:rsid w:val="008C70C5"/>
    <w:rsid w:val="008C70F4"/>
    <w:rsid w:val="008C7132"/>
    <w:rsid w:val="008C7135"/>
    <w:rsid w:val="008C7181"/>
    <w:rsid w:val="008C71B7"/>
    <w:rsid w:val="008C7201"/>
    <w:rsid w:val="008C72DC"/>
    <w:rsid w:val="008C73FD"/>
    <w:rsid w:val="008C7522"/>
    <w:rsid w:val="008C75B5"/>
    <w:rsid w:val="008C75C9"/>
    <w:rsid w:val="008C7642"/>
    <w:rsid w:val="008C7733"/>
    <w:rsid w:val="008C7755"/>
    <w:rsid w:val="008C775B"/>
    <w:rsid w:val="008C77F8"/>
    <w:rsid w:val="008C78D1"/>
    <w:rsid w:val="008C78F1"/>
    <w:rsid w:val="008C7924"/>
    <w:rsid w:val="008C79A6"/>
    <w:rsid w:val="008C7A17"/>
    <w:rsid w:val="008C7A7A"/>
    <w:rsid w:val="008C7B71"/>
    <w:rsid w:val="008C7B93"/>
    <w:rsid w:val="008C7BA3"/>
    <w:rsid w:val="008C7BEA"/>
    <w:rsid w:val="008C7C38"/>
    <w:rsid w:val="008C7CB4"/>
    <w:rsid w:val="008C7D0A"/>
    <w:rsid w:val="008C7D6A"/>
    <w:rsid w:val="008C7D82"/>
    <w:rsid w:val="008C7F9A"/>
    <w:rsid w:val="008C7FAF"/>
    <w:rsid w:val="008C7FBC"/>
    <w:rsid w:val="008C7FFA"/>
    <w:rsid w:val="008D0109"/>
    <w:rsid w:val="008D0110"/>
    <w:rsid w:val="008D0165"/>
    <w:rsid w:val="008D01AA"/>
    <w:rsid w:val="008D01CB"/>
    <w:rsid w:val="008D022C"/>
    <w:rsid w:val="008D025D"/>
    <w:rsid w:val="008D035C"/>
    <w:rsid w:val="008D038E"/>
    <w:rsid w:val="008D03A3"/>
    <w:rsid w:val="008D044D"/>
    <w:rsid w:val="008D04BA"/>
    <w:rsid w:val="008D0528"/>
    <w:rsid w:val="008D05E6"/>
    <w:rsid w:val="008D063A"/>
    <w:rsid w:val="008D069F"/>
    <w:rsid w:val="008D0772"/>
    <w:rsid w:val="008D0789"/>
    <w:rsid w:val="008D079C"/>
    <w:rsid w:val="008D08CA"/>
    <w:rsid w:val="008D08D5"/>
    <w:rsid w:val="008D0917"/>
    <w:rsid w:val="008D09AB"/>
    <w:rsid w:val="008D09F0"/>
    <w:rsid w:val="008D0A04"/>
    <w:rsid w:val="008D0A2F"/>
    <w:rsid w:val="008D0A57"/>
    <w:rsid w:val="008D0BDE"/>
    <w:rsid w:val="008D0C05"/>
    <w:rsid w:val="008D0C4B"/>
    <w:rsid w:val="008D0C59"/>
    <w:rsid w:val="008D0C79"/>
    <w:rsid w:val="008D0C7A"/>
    <w:rsid w:val="008D0D07"/>
    <w:rsid w:val="008D0DBC"/>
    <w:rsid w:val="008D0DF0"/>
    <w:rsid w:val="008D0E72"/>
    <w:rsid w:val="008D0EB4"/>
    <w:rsid w:val="008D0ED6"/>
    <w:rsid w:val="008D0F02"/>
    <w:rsid w:val="008D0F35"/>
    <w:rsid w:val="008D0FBB"/>
    <w:rsid w:val="008D1118"/>
    <w:rsid w:val="008D11E2"/>
    <w:rsid w:val="008D1286"/>
    <w:rsid w:val="008D12DE"/>
    <w:rsid w:val="008D130E"/>
    <w:rsid w:val="008D1441"/>
    <w:rsid w:val="008D14BC"/>
    <w:rsid w:val="008D155D"/>
    <w:rsid w:val="008D15B2"/>
    <w:rsid w:val="008D15BA"/>
    <w:rsid w:val="008D15D2"/>
    <w:rsid w:val="008D1604"/>
    <w:rsid w:val="008D167F"/>
    <w:rsid w:val="008D1736"/>
    <w:rsid w:val="008D17CD"/>
    <w:rsid w:val="008D17EB"/>
    <w:rsid w:val="008D17FD"/>
    <w:rsid w:val="008D1839"/>
    <w:rsid w:val="008D185A"/>
    <w:rsid w:val="008D1929"/>
    <w:rsid w:val="008D19AC"/>
    <w:rsid w:val="008D19F7"/>
    <w:rsid w:val="008D1A05"/>
    <w:rsid w:val="008D1AF6"/>
    <w:rsid w:val="008D1B12"/>
    <w:rsid w:val="008D1B2A"/>
    <w:rsid w:val="008D1B4D"/>
    <w:rsid w:val="008D1B5E"/>
    <w:rsid w:val="008D1BB7"/>
    <w:rsid w:val="008D1BCF"/>
    <w:rsid w:val="008D1C3F"/>
    <w:rsid w:val="008D1C50"/>
    <w:rsid w:val="008D1C85"/>
    <w:rsid w:val="008D1CDA"/>
    <w:rsid w:val="008D1D2B"/>
    <w:rsid w:val="008D1DE1"/>
    <w:rsid w:val="008D1E27"/>
    <w:rsid w:val="008D1E4C"/>
    <w:rsid w:val="008D1E68"/>
    <w:rsid w:val="008D1ED0"/>
    <w:rsid w:val="008D1FA4"/>
    <w:rsid w:val="008D1FBF"/>
    <w:rsid w:val="008D2031"/>
    <w:rsid w:val="008D2107"/>
    <w:rsid w:val="008D2201"/>
    <w:rsid w:val="008D2215"/>
    <w:rsid w:val="008D2220"/>
    <w:rsid w:val="008D228B"/>
    <w:rsid w:val="008D22C1"/>
    <w:rsid w:val="008D235A"/>
    <w:rsid w:val="008D2386"/>
    <w:rsid w:val="008D2393"/>
    <w:rsid w:val="008D239E"/>
    <w:rsid w:val="008D23B8"/>
    <w:rsid w:val="008D248D"/>
    <w:rsid w:val="008D24BC"/>
    <w:rsid w:val="008D24CC"/>
    <w:rsid w:val="008D2545"/>
    <w:rsid w:val="008D26F1"/>
    <w:rsid w:val="008D2706"/>
    <w:rsid w:val="008D27DF"/>
    <w:rsid w:val="008D2839"/>
    <w:rsid w:val="008D2885"/>
    <w:rsid w:val="008D296C"/>
    <w:rsid w:val="008D2984"/>
    <w:rsid w:val="008D2A0A"/>
    <w:rsid w:val="008D2A6B"/>
    <w:rsid w:val="008D2A7B"/>
    <w:rsid w:val="008D2AFE"/>
    <w:rsid w:val="008D2B73"/>
    <w:rsid w:val="008D2BB9"/>
    <w:rsid w:val="008D2BE6"/>
    <w:rsid w:val="008D2C6F"/>
    <w:rsid w:val="008D2C8B"/>
    <w:rsid w:val="008D2DBE"/>
    <w:rsid w:val="008D2E05"/>
    <w:rsid w:val="008D2E07"/>
    <w:rsid w:val="008D2E33"/>
    <w:rsid w:val="008D2E3E"/>
    <w:rsid w:val="008D2E52"/>
    <w:rsid w:val="008D2E79"/>
    <w:rsid w:val="008D2EB6"/>
    <w:rsid w:val="008D2EF3"/>
    <w:rsid w:val="008D2F1D"/>
    <w:rsid w:val="008D2F5B"/>
    <w:rsid w:val="008D2F77"/>
    <w:rsid w:val="008D3049"/>
    <w:rsid w:val="008D307E"/>
    <w:rsid w:val="008D320F"/>
    <w:rsid w:val="008D3242"/>
    <w:rsid w:val="008D32AB"/>
    <w:rsid w:val="008D33BF"/>
    <w:rsid w:val="008D343A"/>
    <w:rsid w:val="008D343D"/>
    <w:rsid w:val="008D3560"/>
    <w:rsid w:val="008D35C4"/>
    <w:rsid w:val="008D35D8"/>
    <w:rsid w:val="008D3656"/>
    <w:rsid w:val="008D366C"/>
    <w:rsid w:val="008D36D4"/>
    <w:rsid w:val="008D36FD"/>
    <w:rsid w:val="008D3721"/>
    <w:rsid w:val="008D377D"/>
    <w:rsid w:val="008D379E"/>
    <w:rsid w:val="008D37FC"/>
    <w:rsid w:val="008D383C"/>
    <w:rsid w:val="008D38D7"/>
    <w:rsid w:val="008D395F"/>
    <w:rsid w:val="008D3B28"/>
    <w:rsid w:val="008D3C04"/>
    <w:rsid w:val="008D3C21"/>
    <w:rsid w:val="008D3D21"/>
    <w:rsid w:val="008D3D5B"/>
    <w:rsid w:val="008D3E0D"/>
    <w:rsid w:val="008D3E1D"/>
    <w:rsid w:val="008D3FCA"/>
    <w:rsid w:val="008D3FDA"/>
    <w:rsid w:val="008D40CD"/>
    <w:rsid w:val="008D40FB"/>
    <w:rsid w:val="008D4122"/>
    <w:rsid w:val="008D4158"/>
    <w:rsid w:val="008D4268"/>
    <w:rsid w:val="008D426F"/>
    <w:rsid w:val="008D4388"/>
    <w:rsid w:val="008D43BD"/>
    <w:rsid w:val="008D44DA"/>
    <w:rsid w:val="008D4524"/>
    <w:rsid w:val="008D4532"/>
    <w:rsid w:val="008D4534"/>
    <w:rsid w:val="008D4543"/>
    <w:rsid w:val="008D457B"/>
    <w:rsid w:val="008D462A"/>
    <w:rsid w:val="008D464D"/>
    <w:rsid w:val="008D465D"/>
    <w:rsid w:val="008D46BD"/>
    <w:rsid w:val="008D46C0"/>
    <w:rsid w:val="008D473B"/>
    <w:rsid w:val="008D4749"/>
    <w:rsid w:val="008D475D"/>
    <w:rsid w:val="008D47A2"/>
    <w:rsid w:val="008D47A8"/>
    <w:rsid w:val="008D481C"/>
    <w:rsid w:val="008D484C"/>
    <w:rsid w:val="008D4890"/>
    <w:rsid w:val="008D48D2"/>
    <w:rsid w:val="008D4900"/>
    <w:rsid w:val="008D4960"/>
    <w:rsid w:val="008D49AB"/>
    <w:rsid w:val="008D49B2"/>
    <w:rsid w:val="008D4A27"/>
    <w:rsid w:val="008D4A39"/>
    <w:rsid w:val="008D4BE5"/>
    <w:rsid w:val="008D4C50"/>
    <w:rsid w:val="008D4C51"/>
    <w:rsid w:val="008D4C8A"/>
    <w:rsid w:val="008D4C90"/>
    <w:rsid w:val="008D4CDE"/>
    <w:rsid w:val="008D4D06"/>
    <w:rsid w:val="008D4D5D"/>
    <w:rsid w:val="008D4E67"/>
    <w:rsid w:val="008D4E77"/>
    <w:rsid w:val="008D4F0F"/>
    <w:rsid w:val="008D4F26"/>
    <w:rsid w:val="008D4F59"/>
    <w:rsid w:val="008D4FAC"/>
    <w:rsid w:val="008D4FB6"/>
    <w:rsid w:val="008D5026"/>
    <w:rsid w:val="008D5037"/>
    <w:rsid w:val="008D5157"/>
    <w:rsid w:val="008D5176"/>
    <w:rsid w:val="008D5179"/>
    <w:rsid w:val="008D517A"/>
    <w:rsid w:val="008D51A9"/>
    <w:rsid w:val="008D5256"/>
    <w:rsid w:val="008D535A"/>
    <w:rsid w:val="008D5388"/>
    <w:rsid w:val="008D53B1"/>
    <w:rsid w:val="008D53EA"/>
    <w:rsid w:val="008D5444"/>
    <w:rsid w:val="008D54AC"/>
    <w:rsid w:val="008D5596"/>
    <w:rsid w:val="008D5630"/>
    <w:rsid w:val="008D56B5"/>
    <w:rsid w:val="008D5749"/>
    <w:rsid w:val="008D5792"/>
    <w:rsid w:val="008D5858"/>
    <w:rsid w:val="008D5866"/>
    <w:rsid w:val="008D5893"/>
    <w:rsid w:val="008D5B16"/>
    <w:rsid w:val="008D5B25"/>
    <w:rsid w:val="008D5B31"/>
    <w:rsid w:val="008D5B73"/>
    <w:rsid w:val="008D5BCE"/>
    <w:rsid w:val="008D5C51"/>
    <w:rsid w:val="008D5C9F"/>
    <w:rsid w:val="008D5CF6"/>
    <w:rsid w:val="008D5D45"/>
    <w:rsid w:val="008D5D4B"/>
    <w:rsid w:val="008D5D64"/>
    <w:rsid w:val="008D5D8F"/>
    <w:rsid w:val="008D5E24"/>
    <w:rsid w:val="008D5E2D"/>
    <w:rsid w:val="008D5EEE"/>
    <w:rsid w:val="008D5F47"/>
    <w:rsid w:val="008D6090"/>
    <w:rsid w:val="008D60A9"/>
    <w:rsid w:val="008D60BF"/>
    <w:rsid w:val="008D60E2"/>
    <w:rsid w:val="008D610F"/>
    <w:rsid w:val="008D6117"/>
    <w:rsid w:val="008D611D"/>
    <w:rsid w:val="008D6279"/>
    <w:rsid w:val="008D62D4"/>
    <w:rsid w:val="008D636B"/>
    <w:rsid w:val="008D63FC"/>
    <w:rsid w:val="008D642F"/>
    <w:rsid w:val="008D644B"/>
    <w:rsid w:val="008D64A8"/>
    <w:rsid w:val="008D64AA"/>
    <w:rsid w:val="008D6560"/>
    <w:rsid w:val="008D6613"/>
    <w:rsid w:val="008D6644"/>
    <w:rsid w:val="008D668E"/>
    <w:rsid w:val="008D6762"/>
    <w:rsid w:val="008D67AB"/>
    <w:rsid w:val="008D67C2"/>
    <w:rsid w:val="008D67CB"/>
    <w:rsid w:val="008D6888"/>
    <w:rsid w:val="008D6889"/>
    <w:rsid w:val="008D68B5"/>
    <w:rsid w:val="008D692F"/>
    <w:rsid w:val="008D699C"/>
    <w:rsid w:val="008D6A49"/>
    <w:rsid w:val="008D6A53"/>
    <w:rsid w:val="008D6A71"/>
    <w:rsid w:val="008D6ADC"/>
    <w:rsid w:val="008D6AE0"/>
    <w:rsid w:val="008D6B95"/>
    <w:rsid w:val="008D6C3F"/>
    <w:rsid w:val="008D6CAE"/>
    <w:rsid w:val="008D6CFA"/>
    <w:rsid w:val="008D6D0D"/>
    <w:rsid w:val="008D6D42"/>
    <w:rsid w:val="008D6E6C"/>
    <w:rsid w:val="008D6E7D"/>
    <w:rsid w:val="008D6F40"/>
    <w:rsid w:val="008D6F6A"/>
    <w:rsid w:val="008D6F9D"/>
    <w:rsid w:val="008D7007"/>
    <w:rsid w:val="008D70A8"/>
    <w:rsid w:val="008D723E"/>
    <w:rsid w:val="008D724B"/>
    <w:rsid w:val="008D724F"/>
    <w:rsid w:val="008D7273"/>
    <w:rsid w:val="008D735E"/>
    <w:rsid w:val="008D7360"/>
    <w:rsid w:val="008D73D3"/>
    <w:rsid w:val="008D73E4"/>
    <w:rsid w:val="008D73E8"/>
    <w:rsid w:val="008D73EE"/>
    <w:rsid w:val="008D73F6"/>
    <w:rsid w:val="008D740F"/>
    <w:rsid w:val="008D7440"/>
    <w:rsid w:val="008D748A"/>
    <w:rsid w:val="008D74CD"/>
    <w:rsid w:val="008D74D2"/>
    <w:rsid w:val="008D75E1"/>
    <w:rsid w:val="008D7776"/>
    <w:rsid w:val="008D7784"/>
    <w:rsid w:val="008D77DC"/>
    <w:rsid w:val="008D7837"/>
    <w:rsid w:val="008D78C4"/>
    <w:rsid w:val="008D797B"/>
    <w:rsid w:val="008D79A6"/>
    <w:rsid w:val="008D7A70"/>
    <w:rsid w:val="008D7A8F"/>
    <w:rsid w:val="008D7B03"/>
    <w:rsid w:val="008D7D48"/>
    <w:rsid w:val="008D7DBF"/>
    <w:rsid w:val="008D7E00"/>
    <w:rsid w:val="008D7E70"/>
    <w:rsid w:val="008D7ED2"/>
    <w:rsid w:val="008E0038"/>
    <w:rsid w:val="008E004B"/>
    <w:rsid w:val="008E0058"/>
    <w:rsid w:val="008E00E0"/>
    <w:rsid w:val="008E0195"/>
    <w:rsid w:val="008E01BB"/>
    <w:rsid w:val="008E0208"/>
    <w:rsid w:val="008E02C8"/>
    <w:rsid w:val="008E0317"/>
    <w:rsid w:val="008E033F"/>
    <w:rsid w:val="008E034B"/>
    <w:rsid w:val="008E039C"/>
    <w:rsid w:val="008E03E1"/>
    <w:rsid w:val="008E03E7"/>
    <w:rsid w:val="008E045D"/>
    <w:rsid w:val="008E0465"/>
    <w:rsid w:val="008E0503"/>
    <w:rsid w:val="008E0510"/>
    <w:rsid w:val="008E0561"/>
    <w:rsid w:val="008E0577"/>
    <w:rsid w:val="008E05A7"/>
    <w:rsid w:val="008E05C8"/>
    <w:rsid w:val="008E05CE"/>
    <w:rsid w:val="008E0602"/>
    <w:rsid w:val="008E0675"/>
    <w:rsid w:val="008E0686"/>
    <w:rsid w:val="008E0691"/>
    <w:rsid w:val="008E06FC"/>
    <w:rsid w:val="008E09B6"/>
    <w:rsid w:val="008E09F1"/>
    <w:rsid w:val="008E0A3E"/>
    <w:rsid w:val="008E0A85"/>
    <w:rsid w:val="008E0AB3"/>
    <w:rsid w:val="008E0B82"/>
    <w:rsid w:val="008E0B86"/>
    <w:rsid w:val="008E0BC1"/>
    <w:rsid w:val="008E0BF5"/>
    <w:rsid w:val="008E0C53"/>
    <w:rsid w:val="008E0C7E"/>
    <w:rsid w:val="008E0D65"/>
    <w:rsid w:val="008E0D74"/>
    <w:rsid w:val="008E0E17"/>
    <w:rsid w:val="008E0E19"/>
    <w:rsid w:val="008E0E4E"/>
    <w:rsid w:val="008E0E6E"/>
    <w:rsid w:val="008E0F10"/>
    <w:rsid w:val="008E0FCA"/>
    <w:rsid w:val="008E1076"/>
    <w:rsid w:val="008E11B2"/>
    <w:rsid w:val="008E11B9"/>
    <w:rsid w:val="008E11DD"/>
    <w:rsid w:val="008E1263"/>
    <w:rsid w:val="008E1287"/>
    <w:rsid w:val="008E12ED"/>
    <w:rsid w:val="008E138C"/>
    <w:rsid w:val="008E1429"/>
    <w:rsid w:val="008E14CE"/>
    <w:rsid w:val="008E1525"/>
    <w:rsid w:val="008E152D"/>
    <w:rsid w:val="008E155B"/>
    <w:rsid w:val="008E161A"/>
    <w:rsid w:val="008E164F"/>
    <w:rsid w:val="008E16A1"/>
    <w:rsid w:val="008E16E5"/>
    <w:rsid w:val="008E1723"/>
    <w:rsid w:val="008E179F"/>
    <w:rsid w:val="008E183D"/>
    <w:rsid w:val="008E1950"/>
    <w:rsid w:val="008E19B1"/>
    <w:rsid w:val="008E19E9"/>
    <w:rsid w:val="008E1AA5"/>
    <w:rsid w:val="008E1AD6"/>
    <w:rsid w:val="008E1AE3"/>
    <w:rsid w:val="008E1AE9"/>
    <w:rsid w:val="008E1AEB"/>
    <w:rsid w:val="008E1B34"/>
    <w:rsid w:val="008E1C78"/>
    <w:rsid w:val="008E1CC8"/>
    <w:rsid w:val="008E1D1A"/>
    <w:rsid w:val="008E1D73"/>
    <w:rsid w:val="008E1DC8"/>
    <w:rsid w:val="008E1E3E"/>
    <w:rsid w:val="008E1FAD"/>
    <w:rsid w:val="008E2009"/>
    <w:rsid w:val="008E2046"/>
    <w:rsid w:val="008E20E9"/>
    <w:rsid w:val="008E2122"/>
    <w:rsid w:val="008E21A2"/>
    <w:rsid w:val="008E21BD"/>
    <w:rsid w:val="008E2204"/>
    <w:rsid w:val="008E221A"/>
    <w:rsid w:val="008E2240"/>
    <w:rsid w:val="008E2375"/>
    <w:rsid w:val="008E2440"/>
    <w:rsid w:val="008E2452"/>
    <w:rsid w:val="008E2461"/>
    <w:rsid w:val="008E253B"/>
    <w:rsid w:val="008E2588"/>
    <w:rsid w:val="008E259C"/>
    <w:rsid w:val="008E25D8"/>
    <w:rsid w:val="008E2663"/>
    <w:rsid w:val="008E26C7"/>
    <w:rsid w:val="008E2745"/>
    <w:rsid w:val="008E2805"/>
    <w:rsid w:val="008E2869"/>
    <w:rsid w:val="008E298D"/>
    <w:rsid w:val="008E29A3"/>
    <w:rsid w:val="008E2AF7"/>
    <w:rsid w:val="008E2B55"/>
    <w:rsid w:val="008E2B69"/>
    <w:rsid w:val="008E2C11"/>
    <w:rsid w:val="008E2C13"/>
    <w:rsid w:val="008E2C39"/>
    <w:rsid w:val="008E2CD0"/>
    <w:rsid w:val="008E2CD7"/>
    <w:rsid w:val="008E2D06"/>
    <w:rsid w:val="008E2D2C"/>
    <w:rsid w:val="008E2D8D"/>
    <w:rsid w:val="008E2D90"/>
    <w:rsid w:val="008E2E17"/>
    <w:rsid w:val="008E2E55"/>
    <w:rsid w:val="008E2F91"/>
    <w:rsid w:val="008E2FDC"/>
    <w:rsid w:val="008E304B"/>
    <w:rsid w:val="008E30AF"/>
    <w:rsid w:val="008E3128"/>
    <w:rsid w:val="008E3198"/>
    <w:rsid w:val="008E3217"/>
    <w:rsid w:val="008E3263"/>
    <w:rsid w:val="008E32BB"/>
    <w:rsid w:val="008E330B"/>
    <w:rsid w:val="008E331D"/>
    <w:rsid w:val="008E339A"/>
    <w:rsid w:val="008E33CE"/>
    <w:rsid w:val="008E33DA"/>
    <w:rsid w:val="008E3444"/>
    <w:rsid w:val="008E3467"/>
    <w:rsid w:val="008E349D"/>
    <w:rsid w:val="008E34A0"/>
    <w:rsid w:val="008E34F0"/>
    <w:rsid w:val="008E34F1"/>
    <w:rsid w:val="008E3521"/>
    <w:rsid w:val="008E3589"/>
    <w:rsid w:val="008E3616"/>
    <w:rsid w:val="008E3648"/>
    <w:rsid w:val="008E365E"/>
    <w:rsid w:val="008E37B6"/>
    <w:rsid w:val="008E37EE"/>
    <w:rsid w:val="008E37F0"/>
    <w:rsid w:val="008E384B"/>
    <w:rsid w:val="008E3893"/>
    <w:rsid w:val="008E38A5"/>
    <w:rsid w:val="008E3B91"/>
    <w:rsid w:val="008E3B98"/>
    <w:rsid w:val="008E3BC1"/>
    <w:rsid w:val="008E3C2A"/>
    <w:rsid w:val="008E3CCE"/>
    <w:rsid w:val="008E3D35"/>
    <w:rsid w:val="008E3D4B"/>
    <w:rsid w:val="008E3E17"/>
    <w:rsid w:val="008E3E1F"/>
    <w:rsid w:val="008E3E66"/>
    <w:rsid w:val="008E3E6F"/>
    <w:rsid w:val="008E3EA7"/>
    <w:rsid w:val="008E3ECE"/>
    <w:rsid w:val="008E3F28"/>
    <w:rsid w:val="008E3F30"/>
    <w:rsid w:val="008E403F"/>
    <w:rsid w:val="008E40C7"/>
    <w:rsid w:val="008E4117"/>
    <w:rsid w:val="008E4148"/>
    <w:rsid w:val="008E41B4"/>
    <w:rsid w:val="008E41D3"/>
    <w:rsid w:val="008E41D8"/>
    <w:rsid w:val="008E4223"/>
    <w:rsid w:val="008E42FB"/>
    <w:rsid w:val="008E430F"/>
    <w:rsid w:val="008E4378"/>
    <w:rsid w:val="008E43E2"/>
    <w:rsid w:val="008E44B7"/>
    <w:rsid w:val="008E44F7"/>
    <w:rsid w:val="008E45C1"/>
    <w:rsid w:val="008E462F"/>
    <w:rsid w:val="008E46CF"/>
    <w:rsid w:val="008E475C"/>
    <w:rsid w:val="008E47DA"/>
    <w:rsid w:val="008E47EC"/>
    <w:rsid w:val="008E4853"/>
    <w:rsid w:val="008E493B"/>
    <w:rsid w:val="008E4A1B"/>
    <w:rsid w:val="008E4A43"/>
    <w:rsid w:val="008E4A85"/>
    <w:rsid w:val="008E4AB9"/>
    <w:rsid w:val="008E4B49"/>
    <w:rsid w:val="008E4C2B"/>
    <w:rsid w:val="008E4C7A"/>
    <w:rsid w:val="008E4DBC"/>
    <w:rsid w:val="008E4DDC"/>
    <w:rsid w:val="008E4DFB"/>
    <w:rsid w:val="008E4E16"/>
    <w:rsid w:val="008E4E5F"/>
    <w:rsid w:val="008E4EC0"/>
    <w:rsid w:val="008E4F26"/>
    <w:rsid w:val="008E4FDC"/>
    <w:rsid w:val="008E508C"/>
    <w:rsid w:val="008E50ED"/>
    <w:rsid w:val="008E50EF"/>
    <w:rsid w:val="008E5143"/>
    <w:rsid w:val="008E515A"/>
    <w:rsid w:val="008E5221"/>
    <w:rsid w:val="008E5269"/>
    <w:rsid w:val="008E52D2"/>
    <w:rsid w:val="008E53B3"/>
    <w:rsid w:val="008E53F1"/>
    <w:rsid w:val="008E53F3"/>
    <w:rsid w:val="008E548B"/>
    <w:rsid w:val="008E5491"/>
    <w:rsid w:val="008E55CF"/>
    <w:rsid w:val="008E5695"/>
    <w:rsid w:val="008E56A4"/>
    <w:rsid w:val="008E56E1"/>
    <w:rsid w:val="008E57E2"/>
    <w:rsid w:val="008E58CF"/>
    <w:rsid w:val="008E595F"/>
    <w:rsid w:val="008E59C0"/>
    <w:rsid w:val="008E5BBE"/>
    <w:rsid w:val="008E5C53"/>
    <w:rsid w:val="008E5C66"/>
    <w:rsid w:val="008E5C9B"/>
    <w:rsid w:val="008E5D64"/>
    <w:rsid w:val="008E5DB5"/>
    <w:rsid w:val="008E5DC8"/>
    <w:rsid w:val="008E5DE6"/>
    <w:rsid w:val="008E5DF5"/>
    <w:rsid w:val="008E5E39"/>
    <w:rsid w:val="008E5E54"/>
    <w:rsid w:val="008E5EB5"/>
    <w:rsid w:val="008E5EC1"/>
    <w:rsid w:val="008E5EFA"/>
    <w:rsid w:val="008E5F40"/>
    <w:rsid w:val="008E5F64"/>
    <w:rsid w:val="008E5FE7"/>
    <w:rsid w:val="008E608C"/>
    <w:rsid w:val="008E616A"/>
    <w:rsid w:val="008E6215"/>
    <w:rsid w:val="008E6241"/>
    <w:rsid w:val="008E6339"/>
    <w:rsid w:val="008E6346"/>
    <w:rsid w:val="008E6352"/>
    <w:rsid w:val="008E63A0"/>
    <w:rsid w:val="008E63EB"/>
    <w:rsid w:val="008E6468"/>
    <w:rsid w:val="008E648E"/>
    <w:rsid w:val="008E6671"/>
    <w:rsid w:val="008E6699"/>
    <w:rsid w:val="008E685E"/>
    <w:rsid w:val="008E68C0"/>
    <w:rsid w:val="008E69BB"/>
    <w:rsid w:val="008E69C8"/>
    <w:rsid w:val="008E6B0E"/>
    <w:rsid w:val="008E6B95"/>
    <w:rsid w:val="008E6C7C"/>
    <w:rsid w:val="008E6CF1"/>
    <w:rsid w:val="008E6DD3"/>
    <w:rsid w:val="008E6E93"/>
    <w:rsid w:val="008E6EB9"/>
    <w:rsid w:val="008E6F4A"/>
    <w:rsid w:val="008E705A"/>
    <w:rsid w:val="008E7138"/>
    <w:rsid w:val="008E7163"/>
    <w:rsid w:val="008E718C"/>
    <w:rsid w:val="008E71B0"/>
    <w:rsid w:val="008E71D1"/>
    <w:rsid w:val="008E7211"/>
    <w:rsid w:val="008E7396"/>
    <w:rsid w:val="008E7416"/>
    <w:rsid w:val="008E7449"/>
    <w:rsid w:val="008E7488"/>
    <w:rsid w:val="008E74A5"/>
    <w:rsid w:val="008E74B7"/>
    <w:rsid w:val="008E754A"/>
    <w:rsid w:val="008E75C4"/>
    <w:rsid w:val="008E75CF"/>
    <w:rsid w:val="008E76BE"/>
    <w:rsid w:val="008E76BF"/>
    <w:rsid w:val="008E7700"/>
    <w:rsid w:val="008E77E9"/>
    <w:rsid w:val="008E78C2"/>
    <w:rsid w:val="008E78C7"/>
    <w:rsid w:val="008E7933"/>
    <w:rsid w:val="008E7976"/>
    <w:rsid w:val="008E79D6"/>
    <w:rsid w:val="008E7A1D"/>
    <w:rsid w:val="008E7A3D"/>
    <w:rsid w:val="008E7A41"/>
    <w:rsid w:val="008E7A48"/>
    <w:rsid w:val="008E7B05"/>
    <w:rsid w:val="008E7B1C"/>
    <w:rsid w:val="008E7BF8"/>
    <w:rsid w:val="008E7C38"/>
    <w:rsid w:val="008E7F97"/>
    <w:rsid w:val="008E7FC3"/>
    <w:rsid w:val="008E7FFD"/>
    <w:rsid w:val="008F0003"/>
    <w:rsid w:val="008F004A"/>
    <w:rsid w:val="008F004E"/>
    <w:rsid w:val="008F00BA"/>
    <w:rsid w:val="008F016B"/>
    <w:rsid w:val="008F01A5"/>
    <w:rsid w:val="008F01E5"/>
    <w:rsid w:val="008F0203"/>
    <w:rsid w:val="008F0247"/>
    <w:rsid w:val="008F03F5"/>
    <w:rsid w:val="008F0407"/>
    <w:rsid w:val="008F042C"/>
    <w:rsid w:val="008F04CF"/>
    <w:rsid w:val="008F0570"/>
    <w:rsid w:val="008F0574"/>
    <w:rsid w:val="008F057D"/>
    <w:rsid w:val="008F0609"/>
    <w:rsid w:val="008F069A"/>
    <w:rsid w:val="008F06A0"/>
    <w:rsid w:val="008F06F8"/>
    <w:rsid w:val="008F0708"/>
    <w:rsid w:val="008F0722"/>
    <w:rsid w:val="008F07A8"/>
    <w:rsid w:val="008F07F3"/>
    <w:rsid w:val="008F0845"/>
    <w:rsid w:val="008F08A1"/>
    <w:rsid w:val="008F08CF"/>
    <w:rsid w:val="008F08FB"/>
    <w:rsid w:val="008F0937"/>
    <w:rsid w:val="008F093C"/>
    <w:rsid w:val="008F0A61"/>
    <w:rsid w:val="008F0A8E"/>
    <w:rsid w:val="008F0B14"/>
    <w:rsid w:val="008F0B4F"/>
    <w:rsid w:val="008F0B67"/>
    <w:rsid w:val="008F0B91"/>
    <w:rsid w:val="008F0C03"/>
    <w:rsid w:val="008F0C55"/>
    <w:rsid w:val="008F0D4A"/>
    <w:rsid w:val="008F0D84"/>
    <w:rsid w:val="008F0DA0"/>
    <w:rsid w:val="008F0E2B"/>
    <w:rsid w:val="008F1054"/>
    <w:rsid w:val="008F108A"/>
    <w:rsid w:val="008F118B"/>
    <w:rsid w:val="008F11DC"/>
    <w:rsid w:val="008F1220"/>
    <w:rsid w:val="008F12C4"/>
    <w:rsid w:val="008F12C5"/>
    <w:rsid w:val="008F1406"/>
    <w:rsid w:val="008F15F0"/>
    <w:rsid w:val="008F1605"/>
    <w:rsid w:val="008F161D"/>
    <w:rsid w:val="008F1679"/>
    <w:rsid w:val="008F180E"/>
    <w:rsid w:val="008F1833"/>
    <w:rsid w:val="008F184F"/>
    <w:rsid w:val="008F192B"/>
    <w:rsid w:val="008F1A26"/>
    <w:rsid w:val="008F1A5E"/>
    <w:rsid w:val="008F1AAA"/>
    <w:rsid w:val="008F1AC1"/>
    <w:rsid w:val="008F1B5F"/>
    <w:rsid w:val="008F1BE5"/>
    <w:rsid w:val="008F1C6B"/>
    <w:rsid w:val="008F1C9B"/>
    <w:rsid w:val="008F1CD4"/>
    <w:rsid w:val="008F1D1B"/>
    <w:rsid w:val="008F1D7F"/>
    <w:rsid w:val="008F1EC3"/>
    <w:rsid w:val="008F2118"/>
    <w:rsid w:val="008F2157"/>
    <w:rsid w:val="008F21AC"/>
    <w:rsid w:val="008F2229"/>
    <w:rsid w:val="008F2278"/>
    <w:rsid w:val="008F22A0"/>
    <w:rsid w:val="008F232E"/>
    <w:rsid w:val="008F2354"/>
    <w:rsid w:val="008F239A"/>
    <w:rsid w:val="008F23AE"/>
    <w:rsid w:val="008F23FE"/>
    <w:rsid w:val="008F2428"/>
    <w:rsid w:val="008F243A"/>
    <w:rsid w:val="008F2488"/>
    <w:rsid w:val="008F2565"/>
    <w:rsid w:val="008F25DE"/>
    <w:rsid w:val="008F2649"/>
    <w:rsid w:val="008F26B6"/>
    <w:rsid w:val="008F2735"/>
    <w:rsid w:val="008F273E"/>
    <w:rsid w:val="008F2746"/>
    <w:rsid w:val="008F27A1"/>
    <w:rsid w:val="008F28BC"/>
    <w:rsid w:val="008F290F"/>
    <w:rsid w:val="008F29AE"/>
    <w:rsid w:val="008F29C0"/>
    <w:rsid w:val="008F2C63"/>
    <w:rsid w:val="008F2C6C"/>
    <w:rsid w:val="008F2D18"/>
    <w:rsid w:val="008F2D33"/>
    <w:rsid w:val="008F2DBF"/>
    <w:rsid w:val="008F2DEB"/>
    <w:rsid w:val="008F2E36"/>
    <w:rsid w:val="008F2F3F"/>
    <w:rsid w:val="008F2FF1"/>
    <w:rsid w:val="008F302A"/>
    <w:rsid w:val="008F3051"/>
    <w:rsid w:val="008F305B"/>
    <w:rsid w:val="008F3384"/>
    <w:rsid w:val="008F346B"/>
    <w:rsid w:val="008F3478"/>
    <w:rsid w:val="008F3512"/>
    <w:rsid w:val="008F3520"/>
    <w:rsid w:val="008F356F"/>
    <w:rsid w:val="008F35A5"/>
    <w:rsid w:val="008F35E3"/>
    <w:rsid w:val="008F3789"/>
    <w:rsid w:val="008F37D9"/>
    <w:rsid w:val="008F384C"/>
    <w:rsid w:val="008F3881"/>
    <w:rsid w:val="008F38E7"/>
    <w:rsid w:val="008F3921"/>
    <w:rsid w:val="008F3927"/>
    <w:rsid w:val="008F39B2"/>
    <w:rsid w:val="008F3AD1"/>
    <w:rsid w:val="008F3BEA"/>
    <w:rsid w:val="008F3BF5"/>
    <w:rsid w:val="008F3CDD"/>
    <w:rsid w:val="008F3D8F"/>
    <w:rsid w:val="008F3DB2"/>
    <w:rsid w:val="008F3DF0"/>
    <w:rsid w:val="008F3E0F"/>
    <w:rsid w:val="008F3E6A"/>
    <w:rsid w:val="008F3E9C"/>
    <w:rsid w:val="008F3EA6"/>
    <w:rsid w:val="008F3F20"/>
    <w:rsid w:val="008F3F7B"/>
    <w:rsid w:val="008F3F8A"/>
    <w:rsid w:val="008F3FA3"/>
    <w:rsid w:val="008F3FF4"/>
    <w:rsid w:val="008F4013"/>
    <w:rsid w:val="008F40C4"/>
    <w:rsid w:val="008F418A"/>
    <w:rsid w:val="008F4195"/>
    <w:rsid w:val="008F4278"/>
    <w:rsid w:val="008F433C"/>
    <w:rsid w:val="008F439E"/>
    <w:rsid w:val="008F43BF"/>
    <w:rsid w:val="008F43E3"/>
    <w:rsid w:val="008F451E"/>
    <w:rsid w:val="008F4558"/>
    <w:rsid w:val="008F45A2"/>
    <w:rsid w:val="008F45BD"/>
    <w:rsid w:val="008F4626"/>
    <w:rsid w:val="008F466D"/>
    <w:rsid w:val="008F4787"/>
    <w:rsid w:val="008F47BF"/>
    <w:rsid w:val="008F480E"/>
    <w:rsid w:val="008F48AC"/>
    <w:rsid w:val="008F4918"/>
    <w:rsid w:val="008F498A"/>
    <w:rsid w:val="008F4A20"/>
    <w:rsid w:val="008F4A62"/>
    <w:rsid w:val="008F4A63"/>
    <w:rsid w:val="008F4AC7"/>
    <w:rsid w:val="008F4AFA"/>
    <w:rsid w:val="008F4BD6"/>
    <w:rsid w:val="008F4C3A"/>
    <w:rsid w:val="008F4CB4"/>
    <w:rsid w:val="008F4CB6"/>
    <w:rsid w:val="008F4D12"/>
    <w:rsid w:val="008F4D1A"/>
    <w:rsid w:val="008F4E50"/>
    <w:rsid w:val="008F4F33"/>
    <w:rsid w:val="008F4F62"/>
    <w:rsid w:val="008F4F7F"/>
    <w:rsid w:val="008F4FBE"/>
    <w:rsid w:val="008F51D5"/>
    <w:rsid w:val="008F52CD"/>
    <w:rsid w:val="008F52EA"/>
    <w:rsid w:val="008F532D"/>
    <w:rsid w:val="008F5369"/>
    <w:rsid w:val="008F5378"/>
    <w:rsid w:val="008F53E1"/>
    <w:rsid w:val="008F5413"/>
    <w:rsid w:val="008F545D"/>
    <w:rsid w:val="008F549B"/>
    <w:rsid w:val="008F54C0"/>
    <w:rsid w:val="008F554C"/>
    <w:rsid w:val="008F555E"/>
    <w:rsid w:val="008F5674"/>
    <w:rsid w:val="008F5765"/>
    <w:rsid w:val="008F5825"/>
    <w:rsid w:val="008F594C"/>
    <w:rsid w:val="008F5966"/>
    <w:rsid w:val="008F5AC4"/>
    <w:rsid w:val="008F5B0E"/>
    <w:rsid w:val="008F5BD3"/>
    <w:rsid w:val="008F5C2E"/>
    <w:rsid w:val="008F5C64"/>
    <w:rsid w:val="008F5C82"/>
    <w:rsid w:val="008F5C8C"/>
    <w:rsid w:val="008F5CA8"/>
    <w:rsid w:val="008F5D0C"/>
    <w:rsid w:val="008F5D84"/>
    <w:rsid w:val="008F5DE7"/>
    <w:rsid w:val="008F5E25"/>
    <w:rsid w:val="008F5E8B"/>
    <w:rsid w:val="008F5ECA"/>
    <w:rsid w:val="008F5F58"/>
    <w:rsid w:val="008F5F61"/>
    <w:rsid w:val="008F5F7E"/>
    <w:rsid w:val="008F603A"/>
    <w:rsid w:val="008F6068"/>
    <w:rsid w:val="008F608F"/>
    <w:rsid w:val="008F60C8"/>
    <w:rsid w:val="008F62F1"/>
    <w:rsid w:val="008F62F4"/>
    <w:rsid w:val="008F632B"/>
    <w:rsid w:val="008F63B2"/>
    <w:rsid w:val="008F63CE"/>
    <w:rsid w:val="008F640D"/>
    <w:rsid w:val="008F6497"/>
    <w:rsid w:val="008F64DC"/>
    <w:rsid w:val="008F6552"/>
    <w:rsid w:val="008F657A"/>
    <w:rsid w:val="008F6585"/>
    <w:rsid w:val="008F6597"/>
    <w:rsid w:val="008F66A0"/>
    <w:rsid w:val="008F6792"/>
    <w:rsid w:val="008F6861"/>
    <w:rsid w:val="008F6871"/>
    <w:rsid w:val="008F68D3"/>
    <w:rsid w:val="008F6958"/>
    <w:rsid w:val="008F6A22"/>
    <w:rsid w:val="008F6A51"/>
    <w:rsid w:val="008F6A67"/>
    <w:rsid w:val="008F6B1A"/>
    <w:rsid w:val="008F6B84"/>
    <w:rsid w:val="008F6CC4"/>
    <w:rsid w:val="008F6D56"/>
    <w:rsid w:val="008F6DAC"/>
    <w:rsid w:val="008F6DC5"/>
    <w:rsid w:val="008F6E73"/>
    <w:rsid w:val="008F6E7A"/>
    <w:rsid w:val="008F6E7F"/>
    <w:rsid w:val="008F6E9A"/>
    <w:rsid w:val="008F6F1F"/>
    <w:rsid w:val="008F6FB0"/>
    <w:rsid w:val="008F6FB1"/>
    <w:rsid w:val="008F6FC8"/>
    <w:rsid w:val="008F70BA"/>
    <w:rsid w:val="008F713F"/>
    <w:rsid w:val="008F71CB"/>
    <w:rsid w:val="008F7256"/>
    <w:rsid w:val="008F7287"/>
    <w:rsid w:val="008F7290"/>
    <w:rsid w:val="008F72BC"/>
    <w:rsid w:val="008F7498"/>
    <w:rsid w:val="008F74A7"/>
    <w:rsid w:val="008F7536"/>
    <w:rsid w:val="008F757B"/>
    <w:rsid w:val="008F7592"/>
    <w:rsid w:val="008F75C7"/>
    <w:rsid w:val="008F7610"/>
    <w:rsid w:val="008F761B"/>
    <w:rsid w:val="008F76F2"/>
    <w:rsid w:val="008F7791"/>
    <w:rsid w:val="008F77F9"/>
    <w:rsid w:val="008F7855"/>
    <w:rsid w:val="008F78EC"/>
    <w:rsid w:val="008F7A86"/>
    <w:rsid w:val="008F7ACD"/>
    <w:rsid w:val="008F7B53"/>
    <w:rsid w:val="008F7CA9"/>
    <w:rsid w:val="008F7CDB"/>
    <w:rsid w:val="008F7CDC"/>
    <w:rsid w:val="008F7D62"/>
    <w:rsid w:val="008F7E0E"/>
    <w:rsid w:val="008F7EDD"/>
    <w:rsid w:val="008F7F3F"/>
    <w:rsid w:val="008F7FC2"/>
    <w:rsid w:val="00900068"/>
    <w:rsid w:val="0090015B"/>
    <w:rsid w:val="0090022B"/>
    <w:rsid w:val="00900259"/>
    <w:rsid w:val="009002B7"/>
    <w:rsid w:val="009002BB"/>
    <w:rsid w:val="00900340"/>
    <w:rsid w:val="009003D3"/>
    <w:rsid w:val="00900427"/>
    <w:rsid w:val="0090046F"/>
    <w:rsid w:val="009004CC"/>
    <w:rsid w:val="00900514"/>
    <w:rsid w:val="0090067F"/>
    <w:rsid w:val="00900680"/>
    <w:rsid w:val="009006D7"/>
    <w:rsid w:val="00900774"/>
    <w:rsid w:val="0090080D"/>
    <w:rsid w:val="00900896"/>
    <w:rsid w:val="009008E3"/>
    <w:rsid w:val="00900944"/>
    <w:rsid w:val="00900959"/>
    <w:rsid w:val="0090099D"/>
    <w:rsid w:val="009009E3"/>
    <w:rsid w:val="00900ACB"/>
    <w:rsid w:val="00900ADB"/>
    <w:rsid w:val="00900B4D"/>
    <w:rsid w:val="00900B56"/>
    <w:rsid w:val="00900B8D"/>
    <w:rsid w:val="00900BE0"/>
    <w:rsid w:val="00900DF5"/>
    <w:rsid w:val="00900ED2"/>
    <w:rsid w:val="0090102C"/>
    <w:rsid w:val="00901096"/>
    <w:rsid w:val="009010B5"/>
    <w:rsid w:val="00901214"/>
    <w:rsid w:val="00901224"/>
    <w:rsid w:val="009012B8"/>
    <w:rsid w:val="009012BE"/>
    <w:rsid w:val="00901393"/>
    <w:rsid w:val="009013CD"/>
    <w:rsid w:val="009013E0"/>
    <w:rsid w:val="009013FF"/>
    <w:rsid w:val="009014C7"/>
    <w:rsid w:val="009014EF"/>
    <w:rsid w:val="009015B9"/>
    <w:rsid w:val="009015C5"/>
    <w:rsid w:val="009015D0"/>
    <w:rsid w:val="00901604"/>
    <w:rsid w:val="00901737"/>
    <w:rsid w:val="00901748"/>
    <w:rsid w:val="00901764"/>
    <w:rsid w:val="0090182A"/>
    <w:rsid w:val="009018E3"/>
    <w:rsid w:val="009018E7"/>
    <w:rsid w:val="00901A7F"/>
    <w:rsid w:val="00901ACA"/>
    <w:rsid w:val="00901B3B"/>
    <w:rsid w:val="00901B92"/>
    <w:rsid w:val="00901C3D"/>
    <w:rsid w:val="00901C41"/>
    <w:rsid w:val="00901C4B"/>
    <w:rsid w:val="00901CB0"/>
    <w:rsid w:val="00901E0C"/>
    <w:rsid w:val="00901E3D"/>
    <w:rsid w:val="00901ECF"/>
    <w:rsid w:val="00901F29"/>
    <w:rsid w:val="00901F66"/>
    <w:rsid w:val="00901F97"/>
    <w:rsid w:val="00902026"/>
    <w:rsid w:val="00902134"/>
    <w:rsid w:val="009022A4"/>
    <w:rsid w:val="00902385"/>
    <w:rsid w:val="00902402"/>
    <w:rsid w:val="00902516"/>
    <w:rsid w:val="0090251C"/>
    <w:rsid w:val="0090251F"/>
    <w:rsid w:val="0090252F"/>
    <w:rsid w:val="00902592"/>
    <w:rsid w:val="00902614"/>
    <w:rsid w:val="00902662"/>
    <w:rsid w:val="00902696"/>
    <w:rsid w:val="009026A8"/>
    <w:rsid w:val="00902744"/>
    <w:rsid w:val="00902755"/>
    <w:rsid w:val="00902762"/>
    <w:rsid w:val="00902794"/>
    <w:rsid w:val="009028B9"/>
    <w:rsid w:val="0090294A"/>
    <w:rsid w:val="009029E4"/>
    <w:rsid w:val="009029E8"/>
    <w:rsid w:val="009029F5"/>
    <w:rsid w:val="00902A07"/>
    <w:rsid w:val="00902A97"/>
    <w:rsid w:val="00902AED"/>
    <w:rsid w:val="00902B3B"/>
    <w:rsid w:val="00902C6C"/>
    <w:rsid w:val="00902C7D"/>
    <w:rsid w:val="00902CB2"/>
    <w:rsid w:val="00902CDA"/>
    <w:rsid w:val="00902D1D"/>
    <w:rsid w:val="00902D35"/>
    <w:rsid w:val="00902D6B"/>
    <w:rsid w:val="00902D8F"/>
    <w:rsid w:val="00902D9E"/>
    <w:rsid w:val="00902DAF"/>
    <w:rsid w:val="00902E20"/>
    <w:rsid w:val="00902ED4"/>
    <w:rsid w:val="00902F68"/>
    <w:rsid w:val="009030BC"/>
    <w:rsid w:val="009031CF"/>
    <w:rsid w:val="009031EE"/>
    <w:rsid w:val="0090321D"/>
    <w:rsid w:val="00903257"/>
    <w:rsid w:val="00903345"/>
    <w:rsid w:val="009033D3"/>
    <w:rsid w:val="0090349B"/>
    <w:rsid w:val="0090367F"/>
    <w:rsid w:val="0090370E"/>
    <w:rsid w:val="00903719"/>
    <w:rsid w:val="00903726"/>
    <w:rsid w:val="009037B8"/>
    <w:rsid w:val="00903825"/>
    <w:rsid w:val="009039CC"/>
    <w:rsid w:val="00903A01"/>
    <w:rsid w:val="00903AB0"/>
    <w:rsid w:val="00903B16"/>
    <w:rsid w:val="00903BC1"/>
    <w:rsid w:val="00903C72"/>
    <w:rsid w:val="00903DFF"/>
    <w:rsid w:val="00903E48"/>
    <w:rsid w:val="00903F3B"/>
    <w:rsid w:val="00903F3E"/>
    <w:rsid w:val="00903F5B"/>
    <w:rsid w:val="009040BB"/>
    <w:rsid w:val="00904159"/>
    <w:rsid w:val="0090418D"/>
    <w:rsid w:val="009041D3"/>
    <w:rsid w:val="0090423B"/>
    <w:rsid w:val="00904259"/>
    <w:rsid w:val="009042AB"/>
    <w:rsid w:val="0090432F"/>
    <w:rsid w:val="0090442F"/>
    <w:rsid w:val="0090446F"/>
    <w:rsid w:val="009044CC"/>
    <w:rsid w:val="009044FC"/>
    <w:rsid w:val="009044FF"/>
    <w:rsid w:val="0090457F"/>
    <w:rsid w:val="009045B6"/>
    <w:rsid w:val="00904661"/>
    <w:rsid w:val="009046DB"/>
    <w:rsid w:val="009046E2"/>
    <w:rsid w:val="0090475E"/>
    <w:rsid w:val="009047D5"/>
    <w:rsid w:val="009047F8"/>
    <w:rsid w:val="00904802"/>
    <w:rsid w:val="00904816"/>
    <w:rsid w:val="00904850"/>
    <w:rsid w:val="009048B4"/>
    <w:rsid w:val="009048CE"/>
    <w:rsid w:val="00904971"/>
    <w:rsid w:val="00904985"/>
    <w:rsid w:val="009049B6"/>
    <w:rsid w:val="009049D6"/>
    <w:rsid w:val="009049F7"/>
    <w:rsid w:val="00904A13"/>
    <w:rsid w:val="00904A4A"/>
    <w:rsid w:val="00904B0A"/>
    <w:rsid w:val="00904BA8"/>
    <w:rsid w:val="00904BF4"/>
    <w:rsid w:val="00904C9D"/>
    <w:rsid w:val="00904E38"/>
    <w:rsid w:val="00904E43"/>
    <w:rsid w:val="00904EBD"/>
    <w:rsid w:val="00904EF5"/>
    <w:rsid w:val="00904F39"/>
    <w:rsid w:val="00904FE6"/>
    <w:rsid w:val="009050FD"/>
    <w:rsid w:val="0090515F"/>
    <w:rsid w:val="00905207"/>
    <w:rsid w:val="00905296"/>
    <w:rsid w:val="009052A6"/>
    <w:rsid w:val="009052F1"/>
    <w:rsid w:val="009054B1"/>
    <w:rsid w:val="009054DB"/>
    <w:rsid w:val="00905534"/>
    <w:rsid w:val="0090556E"/>
    <w:rsid w:val="00905595"/>
    <w:rsid w:val="009055B8"/>
    <w:rsid w:val="009055B9"/>
    <w:rsid w:val="00905619"/>
    <w:rsid w:val="0090562A"/>
    <w:rsid w:val="0090564D"/>
    <w:rsid w:val="00905671"/>
    <w:rsid w:val="009056C4"/>
    <w:rsid w:val="009056C7"/>
    <w:rsid w:val="009056DF"/>
    <w:rsid w:val="0090574F"/>
    <w:rsid w:val="0090583A"/>
    <w:rsid w:val="00905918"/>
    <w:rsid w:val="00905940"/>
    <w:rsid w:val="0090598C"/>
    <w:rsid w:val="009059A4"/>
    <w:rsid w:val="00905A5B"/>
    <w:rsid w:val="00905A7E"/>
    <w:rsid w:val="00905AFA"/>
    <w:rsid w:val="00905B70"/>
    <w:rsid w:val="00905BED"/>
    <w:rsid w:val="00905C1F"/>
    <w:rsid w:val="00905C35"/>
    <w:rsid w:val="00905C86"/>
    <w:rsid w:val="00905CC7"/>
    <w:rsid w:val="00905D04"/>
    <w:rsid w:val="00905D10"/>
    <w:rsid w:val="00905D9A"/>
    <w:rsid w:val="00905DDB"/>
    <w:rsid w:val="00905E74"/>
    <w:rsid w:val="00905E8D"/>
    <w:rsid w:val="00905F56"/>
    <w:rsid w:val="00905F90"/>
    <w:rsid w:val="00905FB8"/>
    <w:rsid w:val="00905FF0"/>
    <w:rsid w:val="00906001"/>
    <w:rsid w:val="00906006"/>
    <w:rsid w:val="00906116"/>
    <w:rsid w:val="009061BA"/>
    <w:rsid w:val="00906233"/>
    <w:rsid w:val="00906293"/>
    <w:rsid w:val="009062DA"/>
    <w:rsid w:val="0090643D"/>
    <w:rsid w:val="0090652D"/>
    <w:rsid w:val="00906552"/>
    <w:rsid w:val="0090658C"/>
    <w:rsid w:val="009065C9"/>
    <w:rsid w:val="00906635"/>
    <w:rsid w:val="009066A8"/>
    <w:rsid w:val="009066E9"/>
    <w:rsid w:val="009067B4"/>
    <w:rsid w:val="009068CC"/>
    <w:rsid w:val="009068F9"/>
    <w:rsid w:val="00906AB7"/>
    <w:rsid w:val="00906AF1"/>
    <w:rsid w:val="00906B0D"/>
    <w:rsid w:val="00906C11"/>
    <w:rsid w:val="00906CF7"/>
    <w:rsid w:val="00906D8D"/>
    <w:rsid w:val="00906D97"/>
    <w:rsid w:val="00906DF5"/>
    <w:rsid w:val="00906E5C"/>
    <w:rsid w:val="00906E5D"/>
    <w:rsid w:val="00906E90"/>
    <w:rsid w:val="0090713B"/>
    <w:rsid w:val="00907144"/>
    <w:rsid w:val="00907153"/>
    <w:rsid w:val="0090727E"/>
    <w:rsid w:val="009072D3"/>
    <w:rsid w:val="009073A4"/>
    <w:rsid w:val="009073EE"/>
    <w:rsid w:val="00907423"/>
    <w:rsid w:val="00907498"/>
    <w:rsid w:val="009074D0"/>
    <w:rsid w:val="00907577"/>
    <w:rsid w:val="00907588"/>
    <w:rsid w:val="009075B3"/>
    <w:rsid w:val="0090760F"/>
    <w:rsid w:val="00907636"/>
    <w:rsid w:val="00907705"/>
    <w:rsid w:val="00907781"/>
    <w:rsid w:val="00907791"/>
    <w:rsid w:val="009077B1"/>
    <w:rsid w:val="00907816"/>
    <w:rsid w:val="0090781E"/>
    <w:rsid w:val="0090782E"/>
    <w:rsid w:val="0090785B"/>
    <w:rsid w:val="009078BE"/>
    <w:rsid w:val="009078C1"/>
    <w:rsid w:val="00907908"/>
    <w:rsid w:val="0090796D"/>
    <w:rsid w:val="00907A72"/>
    <w:rsid w:val="00907A8E"/>
    <w:rsid w:val="00907AFD"/>
    <w:rsid w:val="00907B23"/>
    <w:rsid w:val="00907B94"/>
    <w:rsid w:val="00907C74"/>
    <w:rsid w:val="00907C93"/>
    <w:rsid w:val="00907CA1"/>
    <w:rsid w:val="00907CC1"/>
    <w:rsid w:val="00907CF5"/>
    <w:rsid w:val="00907D2E"/>
    <w:rsid w:val="00907D3E"/>
    <w:rsid w:val="00907D5C"/>
    <w:rsid w:val="00907E20"/>
    <w:rsid w:val="00907E3E"/>
    <w:rsid w:val="00907E64"/>
    <w:rsid w:val="00907E73"/>
    <w:rsid w:val="00907E74"/>
    <w:rsid w:val="00907E7D"/>
    <w:rsid w:val="00907E99"/>
    <w:rsid w:val="00907EEF"/>
    <w:rsid w:val="00907FCD"/>
    <w:rsid w:val="00910006"/>
    <w:rsid w:val="0091006D"/>
    <w:rsid w:val="00910074"/>
    <w:rsid w:val="00910143"/>
    <w:rsid w:val="00910147"/>
    <w:rsid w:val="009101A9"/>
    <w:rsid w:val="009101F0"/>
    <w:rsid w:val="009101F5"/>
    <w:rsid w:val="0091029D"/>
    <w:rsid w:val="009102EC"/>
    <w:rsid w:val="00910376"/>
    <w:rsid w:val="009103CC"/>
    <w:rsid w:val="0091041C"/>
    <w:rsid w:val="00910465"/>
    <w:rsid w:val="009104E2"/>
    <w:rsid w:val="00910576"/>
    <w:rsid w:val="0091065C"/>
    <w:rsid w:val="00910692"/>
    <w:rsid w:val="00910744"/>
    <w:rsid w:val="0091079D"/>
    <w:rsid w:val="009107CF"/>
    <w:rsid w:val="009108EC"/>
    <w:rsid w:val="00910932"/>
    <w:rsid w:val="0091095C"/>
    <w:rsid w:val="00910962"/>
    <w:rsid w:val="00910AE4"/>
    <w:rsid w:val="00910CE7"/>
    <w:rsid w:val="00910CFD"/>
    <w:rsid w:val="00910E53"/>
    <w:rsid w:val="00910FDE"/>
    <w:rsid w:val="0091103F"/>
    <w:rsid w:val="00911053"/>
    <w:rsid w:val="009110E7"/>
    <w:rsid w:val="0091112D"/>
    <w:rsid w:val="0091125B"/>
    <w:rsid w:val="009113A7"/>
    <w:rsid w:val="0091149E"/>
    <w:rsid w:val="009114F7"/>
    <w:rsid w:val="00911518"/>
    <w:rsid w:val="0091161E"/>
    <w:rsid w:val="00911734"/>
    <w:rsid w:val="00911766"/>
    <w:rsid w:val="0091176D"/>
    <w:rsid w:val="0091178D"/>
    <w:rsid w:val="009117AD"/>
    <w:rsid w:val="00911865"/>
    <w:rsid w:val="00911983"/>
    <w:rsid w:val="009119E8"/>
    <w:rsid w:val="00911A26"/>
    <w:rsid w:val="00911A46"/>
    <w:rsid w:val="00911AD8"/>
    <w:rsid w:val="00911B27"/>
    <w:rsid w:val="00911B44"/>
    <w:rsid w:val="00911B85"/>
    <w:rsid w:val="00911C11"/>
    <w:rsid w:val="00911C47"/>
    <w:rsid w:val="00911C6F"/>
    <w:rsid w:val="00911CC8"/>
    <w:rsid w:val="00911CDE"/>
    <w:rsid w:val="00911E07"/>
    <w:rsid w:val="00911EC9"/>
    <w:rsid w:val="00911EDB"/>
    <w:rsid w:val="00911F63"/>
    <w:rsid w:val="0091204A"/>
    <w:rsid w:val="00912055"/>
    <w:rsid w:val="009120A4"/>
    <w:rsid w:val="009120AE"/>
    <w:rsid w:val="00912119"/>
    <w:rsid w:val="00912123"/>
    <w:rsid w:val="0091218F"/>
    <w:rsid w:val="009121B6"/>
    <w:rsid w:val="0091223F"/>
    <w:rsid w:val="0091228F"/>
    <w:rsid w:val="009122C8"/>
    <w:rsid w:val="0091231A"/>
    <w:rsid w:val="00912383"/>
    <w:rsid w:val="009123A3"/>
    <w:rsid w:val="00912595"/>
    <w:rsid w:val="009125A7"/>
    <w:rsid w:val="009125C8"/>
    <w:rsid w:val="009125E1"/>
    <w:rsid w:val="00912641"/>
    <w:rsid w:val="0091275D"/>
    <w:rsid w:val="009127AA"/>
    <w:rsid w:val="0091281F"/>
    <w:rsid w:val="009128B1"/>
    <w:rsid w:val="00912949"/>
    <w:rsid w:val="00912954"/>
    <w:rsid w:val="009129D2"/>
    <w:rsid w:val="009129E8"/>
    <w:rsid w:val="00912A45"/>
    <w:rsid w:val="00912A47"/>
    <w:rsid w:val="00912A8C"/>
    <w:rsid w:val="00912AA2"/>
    <w:rsid w:val="00912ACB"/>
    <w:rsid w:val="00912ADB"/>
    <w:rsid w:val="00912B14"/>
    <w:rsid w:val="00912B30"/>
    <w:rsid w:val="00912B60"/>
    <w:rsid w:val="00912B83"/>
    <w:rsid w:val="00912C1B"/>
    <w:rsid w:val="00912C1F"/>
    <w:rsid w:val="00912C2E"/>
    <w:rsid w:val="00912C7F"/>
    <w:rsid w:val="00912CD9"/>
    <w:rsid w:val="00912CFA"/>
    <w:rsid w:val="00912D1A"/>
    <w:rsid w:val="00912D4A"/>
    <w:rsid w:val="00912D6F"/>
    <w:rsid w:val="00912DB9"/>
    <w:rsid w:val="00912E15"/>
    <w:rsid w:val="00912E1A"/>
    <w:rsid w:val="00912E1B"/>
    <w:rsid w:val="00912E34"/>
    <w:rsid w:val="00912E3B"/>
    <w:rsid w:val="00912E48"/>
    <w:rsid w:val="00912E63"/>
    <w:rsid w:val="00912E8D"/>
    <w:rsid w:val="00912F42"/>
    <w:rsid w:val="00912F59"/>
    <w:rsid w:val="00913102"/>
    <w:rsid w:val="00913136"/>
    <w:rsid w:val="009131AC"/>
    <w:rsid w:val="00913354"/>
    <w:rsid w:val="00913377"/>
    <w:rsid w:val="00913398"/>
    <w:rsid w:val="00913468"/>
    <w:rsid w:val="009134BF"/>
    <w:rsid w:val="00913520"/>
    <w:rsid w:val="009135A4"/>
    <w:rsid w:val="009135C8"/>
    <w:rsid w:val="009135FE"/>
    <w:rsid w:val="00913676"/>
    <w:rsid w:val="00913753"/>
    <w:rsid w:val="0091379F"/>
    <w:rsid w:val="0091383D"/>
    <w:rsid w:val="00913840"/>
    <w:rsid w:val="0091384E"/>
    <w:rsid w:val="00913925"/>
    <w:rsid w:val="00913987"/>
    <w:rsid w:val="00913997"/>
    <w:rsid w:val="0091399F"/>
    <w:rsid w:val="009139EA"/>
    <w:rsid w:val="009139FB"/>
    <w:rsid w:val="00913A83"/>
    <w:rsid w:val="00913A8B"/>
    <w:rsid w:val="00913B80"/>
    <w:rsid w:val="00913C16"/>
    <w:rsid w:val="00913CB9"/>
    <w:rsid w:val="00913D57"/>
    <w:rsid w:val="00913D6F"/>
    <w:rsid w:val="00913F34"/>
    <w:rsid w:val="00913F7B"/>
    <w:rsid w:val="00913FCE"/>
    <w:rsid w:val="0091400F"/>
    <w:rsid w:val="00914029"/>
    <w:rsid w:val="00914044"/>
    <w:rsid w:val="009140A5"/>
    <w:rsid w:val="009140AD"/>
    <w:rsid w:val="00914135"/>
    <w:rsid w:val="00914169"/>
    <w:rsid w:val="009141EF"/>
    <w:rsid w:val="00914249"/>
    <w:rsid w:val="009142A0"/>
    <w:rsid w:val="009142AB"/>
    <w:rsid w:val="0091437D"/>
    <w:rsid w:val="0091450B"/>
    <w:rsid w:val="00914530"/>
    <w:rsid w:val="0091463D"/>
    <w:rsid w:val="00914676"/>
    <w:rsid w:val="009146C1"/>
    <w:rsid w:val="009147F7"/>
    <w:rsid w:val="00914848"/>
    <w:rsid w:val="00914953"/>
    <w:rsid w:val="0091498C"/>
    <w:rsid w:val="0091499D"/>
    <w:rsid w:val="00914A3D"/>
    <w:rsid w:val="00914AE0"/>
    <w:rsid w:val="00914AEB"/>
    <w:rsid w:val="00914B8B"/>
    <w:rsid w:val="00914B9E"/>
    <w:rsid w:val="00914C76"/>
    <w:rsid w:val="00914CB2"/>
    <w:rsid w:val="00914CF5"/>
    <w:rsid w:val="00914D8F"/>
    <w:rsid w:val="00914E7F"/>
    <w:rsid w:val="00914E8C"/>
    <w:rsid w:val="00914EE0"/>
    <w:rsid w:val="00914F84"/>
    <w:rsid w:val="009150B7"/>
    <w:rsid w:val="009150D1"/>
    <w:rsid w:val="0091514B"/>
    <w:rsid w:val="009151CB"/>
    <w:rsid w:val="009151E6"/>
    <w:rsid w:val="009151F4"/>
    <w:rsid w:val="0091525D"/>
    <w:rsid w:val="00915297"/>
    <w:rsid w:val="009152D1"/>
    <w:rsid w:val="00915334"/>
    <w:rsid w:val="0091534F"/>
    <w:rsid w:val="0091537A"/>
    <w:rsid w:val="009153D7"/>
    <w:rsid w:val="0091546D"/>
    <w:rsid w:val="009154E3"/>
    <w:rsid w:val="00915519"/>
    <w:rsid w:val="009155E0"/>
    <w:rsid w:val="0091562B"/>
    <w:rsid w:val="009156F3"/>
    <w:rsid w:val="0091576F"/>
    <w:rsid w:val="009158B8"/>
    <w:rsid w:val="009158C1"/>
    <w:rsid w:val="009158DB"/>
    <w:rsid w:val="00915942"/>
    <w:rsid w:val="00915953"/>
    <w:rsid w:val="0091597D"/>
    <w:rsid w:val="009159D5"/>
    <w:rsid w:val="00915A85"/>
    <w:rsid w:val="00915AA4"/>
    <w:rsid w:val="00915AA7"/>
    <w:rsid w:val="00915ABD"/>
    <w:rsid w:val="00915ACA"/>
    <w:rsid w:val="00915ACF"/>
    <w:rsid w:val="00915B0D"/>
    <w:rsid w:val="00915B42"/>
    <w:rsid w:val="00915C1D"/>
    <w:rsid w:val="00915D91"/>
    <w:rsid w:val="00915DA8"/>
    <w:rsid w:val="00915E17"/>
    <w:rsid w:val="00915E54"/>
    <w:rsid w:val="00915ED9"/>
    <w:rsid w:val="00915EF1"/>
    <w:rsid w:val="00916003"/>
    <w:rsid w:val="009160D6"/>
    <w:rsid w:val="009160E6"/>
    <w:rsid w:val="0091611F"/>
    <w:rsid w:val="0091616C"/>
    <w:rsid w:val="009161AB"/>
    <w:rsid w:val="00916273"/>
    <w:rsid w:val="00916321"/>
    <w:rsid w:val="009163C5"/>
    <w:rsid w:val="009163E8"/>
    <w:rsid w:val="00916520"/>
    <w:rsid w:val="00916584"/>
    <w:rsid w:val="009166F5"/>
    <w:rsid w:val="00916716"/>
    <w:rsid w:val="00916725"/>
    <w:rsid w:val="00916753"/>
    <w:rsid w:val="009167D0"/>
    <w:rsid w:val="00916872"/>
    <w:rsid w:val="009168E9"/>
    <w:rsid w:val="00916959"/>
    <w:rsid w:val="00916A5B"/>
    <w:rsid w:val="00916A6E"/>
    <w:rsid w:val="00916AA0"/>
    <w:rsid w:val="00916AA2"/>
    <w:rsid w:val="00916AC3"/>
    <w:rsid w:val="00916ACA"/>
    <w:rsid w:val="00916B4D"/>
    <w:rsid w:val="00916BBA"/>
    <w:rsid w:val="00916C03"/>
    <w:rsid w:val="00916C22"/>
    <w:rsid w:val="00916C5C"/>
    <w:rsid w:val="00916CBF"/>
    <w:rsid w:val="00916D05"/>
    <w:rsid w:val="00916D3E"/>
    <w:rsid w:val="00916D86"/>
    <w:rsid w:val="00916F3C"/>
    <w:rsid w:val="00916F40"/>
    <w:rsid w:val="00916F4D"/>
    <w:rsid w:val="00916F9C"/>
    <w:rsid w:val="00916FAD"/>
    <w:rsid w:val="00916FB8"/>
    <w:rsid w:val="0091704D"/>
    <w:rsid w:val="0091715C"/>
    <w:rsid w:val="0091717A"/>
    <w:rsid w:val="00917191"/>
    <w:rsid w:val="009171A6"/>
    <w:rsid w:val="009171DD"/>
    <w:rsid w:val="00917268"/>
    <w:rsid w:val="00917304"/>
    <w:rsid w:val="00917385"/>
    <w:rsid w:val="0091740B"/>
    <w:rsid w:val="009174E7"/>
    <w:rsid w:val="009175F0"/>
    <w:rsid w:val="0091766D"/>
    <w:rsid w:val="009176DD"/>
    <w:rsid w:val="00917708"/>
    <w:rsid w:val="0091776F"/>
    <w:rsid w:val="00917783"/>
    <w:rsid w:val="009177A4"/>
    <w:rsid w:val="00917814"/>
    <w:rsid w:val="00917859"/>
    <w:rsid w:val="00917A1E"/>
    <w:rsid w:val="00917AA5"/>
    <w:rsid w:val="00917AFE"/>
    <w:rsid w:val="00917BA5"/>
    <w:rsid w:val="00917C48"/>
    <w:rsid w:val="00917C83"/>
    <w:rsid w:val="00917D8A"/>
    <w:rsid w:val="00917DCA"/>
    <w:rsid w:val="00917EAC"/>
    <w:rsid w:val="00917F12"/>
    <w:rsid w:val="0092003E"/>
    <w:rsid w:val="009200DD"/>
    <w:rsid w:val="0092019F"/>
    <w:rsid w:val="009201D3"/>
    <w:rsid w:val="009201DA"/>
    <w:rsid w:val="00920202"/>
    <w:rsid w:val="0092027F"/>
    <w:rsid w:val="009202D4"/>
    <w:rsid w:val="009202D9"/>
    <w:rsid w:val="00920331"/>
    <w:rsid w:val="009203A7"/>
    <w:rsid w:val="00920420"/>
    <w:rsid w:val="00920428"/>
    <w:rsid w:val="0092049A"/>
    <w:rsid w:val="009204D6"/>
    <w:rsid w:val="0092053C"/>
    <w:rsid w:val="00920571"/>
    <w:rsid w:val="00920651"/>
    <w:rsid w:val="009206B9"/>
    <w:rsid w:val="009206CC"/>
    <w:rsid w:val="009206DF"/>
    <w:rsid w:val="009206FB"/>
    <w:rsid w:val="0092074A"/>
    <w:rsid w:val="00920753"/>
    <w:rsid w:val="00920801"/>
    <w:rsid w:val="009208D5"/>
    <w:rsid w:val="009208E5"/>
    <w:rsid w:val="00920964"/>
    <w:rsid w:val="00920AB2"/>
    <w:rsid w:val="00920B7F"/>
    <w:rsid w:val="00920C25"/>
    <w:rsid w:val="00920CFB"/>
    <w:rsid w:val="00920CFC"/>
    <w:rsid w:val="00920D1D"/>
    <w:rsid w:val="00920D4A"/>
    <w:rsid w:val="00920D63"/>
    <w:rsid w:val="00920DCE"/>
    <w:rsid w:val="00920E43"/>
    <w:rsid w:val="00920E74"/>
    <w:rsid w:val="00920E98"/>
    <w:rsid w:val="00920F18"/>
    <w:rsid w:val="00920F39"/>
    <w:rsid w:val="00920F46"/>
    <w:rsid w:val="00920F8F"/>
    <w:rsid w:val="00920F9A"/>
    <w:rsid w:val="0092102E"/>
    <w:rsid w:val="00921082"/>
    <w:rsid w:val="0092113A"/>
    <w:rsid w:val="00921162"/>
    <w:rsid w:val="009211A8"/>
    <w:rsid w:val="00921243"/>
    <w:rsid w:val="0092129A"/>
    <w:rsid w:val="009212F9"/>
    <w:rsid w:val="00921317"/>
    <w:rsid w:val="00921467"/>
    <w:rsid w:val="00921477"/>
    <w:rsid w:val="00921496"/>
    <w:rsid w:val="009214F5"/>
    <w:rsid w:val="0092160B"/>
    <w:rsid w:val="0092166A"/>
    <w:rsid w:val="009216FB"/>
    <w:rsid w:val="0092178F"/>
    <w:rsid w:val="009217C5"/>
    <w:rsid w:val="009217E5"/>
    <w:rsid w:val="009218E1"/>
    <w:rsid w:val="00921973"/>
    <w:rsid w:val="00921A05"/>
    <w:rsid w:val="00921A57"/>
    <w:rsid w:val="00921A86"/>
    <w:rsid w:val="00921B65"/>
    <w:rsid w:val="00921C3E"/>
    <w:rsid w:val="00921C41"/>
    <w:rsid w:val="00921C7F"/>
    <w:rsid w:val="00921CDB"/>
    <w:rsid w:val="00921D17"/>
    <w:rsid w:val="00921DF9"/>
    <w:rsid w:val="00921E30"/>
    <w:rsid w:val="00921E34"/>
    <w:rsid w:val="00921E6C"/>
    <w:rsid w:val="00921F17"/>
    <w:rsid w:val="00921FF9"/>
    <w:rsid w:val="0092208C"/>
    <w:rsid w:val="009220B0"/>
    <w:rsid w:val="0092212D"/>
    <w:rsid w:val="0092216D"/>
    <w:rsid w:val="009221E7"/>
    <w:rsid w:val="0092221E"/>
    <w:rsid w:val="00922226"/>
    <w:rsid w:val="0092235F"/>
    <w:rsid w:val="0092240B"/>
    <w:rsid w:val="00922461"/>
    <w:rsid w:val="009224D5"/>
    <w:rsid w:val="00922526"/>
    <w:rsid w:val="00922564"/>
    <w:rsid w:val="0092256F"/>
    <w:rsid w:val="009225AC"/>
    <w:rsid w:val="00922625"/>
    <w:rsid w:val="0092264B"/>
    <w:rsid w:val="0092268E"/>
    <w:rsid w:val="009226DF"/>
    <w:rsid w:val="009226E4"/>
    <w:rsid w:val="009227B4"/>
    <w:rsid w:val="009227D2"/>
    <w:rsid w:val="009227E8"/>
    <w:rsid w:val="009228B5"/>
    <w:rsid w:val="00922903"/>
    <w:rsid w:val="0092298C"/>
    <w:rsid w:val="00922A90"/>
    <w:rsid w:val="00922B81"/>
    <w:rsid w:val="00922BE0"/>
    <w:rsid w:val="00922BE9"/>
    <w:rsid w:val="00922BF7"/>
    <w:rsid w:val="00922C51"/>
    <w:rsid w:val="00922C83"/>
    <w:rsid w:val="00922D88"/>
    <w:rsid w:val="00922D90"/>
    <w:rsid w:val="00922E1C"/>
    <w:rsid w:val="00922E3A"/>
    <w:rsid w:val="00922ED5"/>
    <w:rsid w:val="00922F52"/>
    <w:rsid w:val="00922F82"/>
    <w:rsid w:val="00922F8A"/>
    <w:rsid w:val="00922FAC"/>
    <w:rsid w:val="00922FBC"/>
    <w:rsid w:val="00923000"/>
    <w:rsid w:val="00923048"/>
    <w:rsid w:val="00923192"/>
    <w:rsid w:val="00923222"/>
    <w:rsid w:val="00923257"/>
    <w:rsid w:val="00923258"/>
    <w:rsid w:val="009232B7"/>
    <w:rsid w:val="00923387"/>
    <w:rsid w:val="009233D2"/>
    <w:rsid w:val="009234CE"/>
    <w:rsid w:val="009236A6"/>
    <w:rsid w:val="009236B4"/>
    <w:rsid w:val="009236C0"/>
    <w:rsid w:val="00923745"/>
    <w:rsid w:val="0092380A"/>
    <w:rsid w:val="009238DC"/>
    <w:rsid w:val="009238E8"/>
    <w:rsid w:val="00923916"/>
    <w:rsid w:val="00923960"/>
    <w:rsid w:val="009239BA"/>
    <w:rsid w:val="00923A99"/>
    <w:rsid w:val="00923AB7"/>
    <w:rsid w:val="00923B9E"/>
    <w:rsid w:val="00923BDE"/>
    <w:rsid w:val="00923BE1"/>
    <w:rsid w:val="00923C3C"/>
    <w:rsid w:val="00923C57"/>
    <w:rsid w:val="00923C59"/>
    <w:rsid w:val="00923D27"/>
    <w:rsid w:val="00923D3D"/>
    <w:rsid w:val="00923D87"/>
    <w:rsid w:val="00923DD5"/>
    <w:rsid w:val="00923E1C"/>
    <w:rsid w:val="00923E61"/>
    <w:rsid w:val="00923EE6"/>
    <w:rsid w:val="00923EED"/>
    <w:rsid w:val="00923FAD"/>
    <w:rsid w:val="00924035"/>
    <w:rsid w:val="00924071"/>
    <w:rsid w:val="009240E2"/>
    <w:rsid w:val="00924190"/>
    <w:rsid w:val="0092420C"/>
    <w:rsid w:val="00924245"/>
    <w:rsid w:val="0092424E"/>
    <w:rsid w:val="00924274"/>
    <w:rsid w:val="009242A1"/>
    <w:rsid w:val="009242D9"/>
    <w:rsid w:val="0092431C"/>
    <w:rsid w:val="0092459D"/>
    <w:rsid w:val="009245FD"/>
    <w:rsid w:val="00924610"/>
    <w:rsid w:val="009246F5"/>
    <w:rsid w:val="009247B8"/>
    <w:rsid w:val="009248CD"/>
    <w:rsid w:val="0092497E"/>
    <w:rsid w:val="009249C3"/>
    <w:rsid w:val="00924A44"/>
    <w:rsid w:val="00924A83"/>
    <w:rsid w:val="00924B89"/>
    <w:rsid w:val="00924D7E"/>
    <w:rsid w:val="00924DBA"/>
    <w:rsid w:val="00924DDE"/>
    <w:rsid w:val="00924E01"/>
    <w:rsid w:val="00924E3C"/>
    <w:rsid w:val="00924E43"/>
    <w:rsid w:val="00924E53"/>
    <w:rsid w:val="00924EF5"/>
    <w:rsid w:val="00924F1B"/>
    <w:rsid w:val="00924F1D"/>
    <w:rsid w:val="00924FF8"/>
    <w:rsid w:val="0092502E"/>
    <w:rsid w:val="009252C9"/>
    <w:rsid w:val="0092538E"/>
    <w:rsid w:val="00925480"/>
    <w:rsid w:val="0092555D"/>
    <w:rsid w:val="009255CC"/>
    <w:rsid w:val="00925693"/>
    <w:rsid w:val="009256B7"/>
    <w:rsid w:val="00925727"/>
    <w:rsid w:val="00925832"/>
    <w:rsid w:val="009258B9"/>
    <w:rsid w:val="0092592E"/>
    <w:rsid w:val="00925947"/>
    <w:rsid w:val="009259DB"/>
    <w:rsid w:val="00925A16"/>
    <w:rsid w:val="00925B17"/>
    <w:rsid w:val="00925B4D"/>
    <w:rsid w:val="00925B7F"/>
    <w:rsid w:val="00925C9E"/>
    <w:rsid w:val="00925D8C"/>
    <w:rsid w:val="00925DB3"/>
    <w:rsid w:val="00925E39"/>
    <w:rsid w:val="00925EE8"/>
    <w:rsid w:val="00925F5E"/>
    <w:rsid w:val="00925FE3"/>
    <w:rsid w:val="00926003"/>
    <w:rsid w:val="00926030"/>
    <w:rsid w:val="00926031"/>
    <w:rsid w:val="0092630F"/>
    <w:rsid w:val="0092631E"/>
    <w:rsid w:val="009263CB"/>
    <w:rsid w:val="00926437"/>
    <w:rsid w:val="0092644C"/>
    <w:rsid w:val="00926469"/>
    <w:rsid w:val="00926661"/>
    <w:rsid w:val="00926691"/>
    <w:rsid w:val="00926712"/>
    <w:rsid w:val="009267C7"/>
    <w:rsid w:val="009269B8"/>
    <w:rsid w:val="00926B8C"/>
    <w:rsid w:val="00926BE0"/>
    <w:rsid w:val="00926BEF"/>
    <w:rsid w:val="00926CBA"/>
    <w:rsid w:val="00926D47"/>
    <w:rsid w:val="00926DAD"/>
    <w:rsid w:val="00926DD5"/>
    <w:rsid w:val="00926F26"/>
    <w:rsid w:val="00926F72"/>
    <w:rsid w:val="00927060"/>
    <w:rsid w:val="0092706F"/>
    <w:rsid w:val="00927073"/>
    <w:rsid w:val="009271A7"/>
    <w:rsid w:val="0092724B"/>
    <w:rsid w:val="0092726F"/>
    <w:rsid w:val="009272D2"/>
    <w:rsid w:val="00927315"/>
    <w:rsid w:val="00927327"/>
    <w:rsid w:val="0092732A"/>
    <w:rsid w:val="00927359"/>
    <w:rsid w:val="00927363"/>
    <w:rsid w:val="00927425"/>
    <w:rsid w:val="00927541"/>
    <w:rsid w:val="009275B2"/>
    <w:rsid w:val="009275C2"/>
    <w:rsid w:val="009275D1"/>
    <w:rsid w:val="00927709"/>
    <w:rsid w:val="00927744"/>
    <w:rsid w:val="0092778E"/>
    <w:rsid w:val="009277A6"/>
    <w:rsid w:val="0092781D"/>
    <w:rsid w:val="0092785A"/>
    <w:rsid w:val="009278B9"/>
    <w:rsid w:val="0092793B"/>
    <w:rsid w:val="009279DC"/>
    <w:rsid w:val="00927A9F"/>
    <w:rsid w:val="00927AE9"/>
    <w:rsid w:val="00927BA3"/>
    <w:rsid w:val="00927BD1"/>
    <w:rsid w:val="00927BF7"/>
    <w:rsid w:val="00927D6C"/>
    <w:rsid w:val="00927DF3"/>
    <w:rsid w:val="00927E12"/>
    <w:rsid w:val="00927E98"/>
    <w:rsid w:val="00927EA7"/>
    <w:rsid w:val="00927EED"/>
    <w:rsid w:val="00927F07"/>
    <w:rsid w:val="00927F13"/>
    <w:rsid w:val="00927F1A"/>
    <w:rsid w:val="00927F34"/>
    <w:rsid w:val="00927F4F"/>
    <w:rsid w:val="00927F87"/>
    <w:rsid w:val="00927FB7"/>
    <w:rsid w:val="0093008A"/>
    <w:rsid w:val="009300AC"/>
    <w:rsid w:val="009301B8"/>
    <w:rsid w:val="009301EF"/>
    <w:rsid w:val="00930269"/>
    <w:rsid w:val="0093027B"/>
    <w:rsid w:val="00930287"/>
    <w:rsid w:val="00930292"/>
    <w:rsid w:val="009302DB"/>
    <w:rsid w:val="00930391"/>
    <w:rsid w:val="009304F2"/>
    <w:rsid w:val="00930566"/>
    <w:rsid w:val="00930576"/>
    <w:rsid w:val="0093059D"/>
    <w:rsid w:val="009305E9"/>
    <w:rsid w:val="00930606"/>
    <w:rsid w:val="0093060E"/>
    <w:rsid w:val="00930691"/>
    <w:rsid w:val="009306AC"/>
    <w:rsid w:val="009306AE"/>
    <w:rsid w:val="0093081D"/>
    <w:rsid w:val="00930966"/>
    <w:rsid w:val="0093096D"/>
    <w:rsid w:val="009309D7"/>
    <w:rsid w:val="00930A3C"/>
    <w:rsid w:val="00930A5B"/>
    <w:rsid w:val="00930A7C"/>
    <w:rsid w:val="00930A9C"/>
    <w:rsid w:val="00930AB7"/>
    <w:rsid w:val="00930B1E"/>
    <w:rsid w:val="00930B22"/>
    <w:rsid w:val="00930B35"/>
    <w:rsid w:val="00930B80"/>
    <w:rsid w:val="00930BE6"/>
    <w:rsid w:val="00930C11"/>
    <w:rsid w:val="00930C15"/>
    <w:rsid w:val="00930C39"/>
    <w:rsid w:val="00930C61"/>
    <w:rsid w:val="00930C6C"/>
    <w:rsid w:val="00930C79"/>
    <w:rsid w:val="00930CB6"/>
    <w:rsid w:val="00930CF1"/>
    <w:rsid w:val="00930D02"/>
    <w:rsid w:val="00930D4F"/>
    <w:rsid w:val="00930D89"/>
    <w:rsid w:val="00930D95"/>
    <w:rsid w:val="00930E4F"/>
    <w:rsid w:val="00930F00"/>
    <w:rsid w:val="00930F50"/>
    <w:rsid w:val="00930F60"/>
    <w:rsid w:val="00930F6B"/>
    <w:rsid w:val="00930F7E"/>
    <w:rsid w:val="00931011"/>
    <w:rsid w:val="00931178"/>
    <w:rsid w:val="009312F1"/>
    <w:rsid w:val="00931333"/>
    <w:rsid w:val="009314DC"/>
    <w:rsid w:val="00931670"/>
    <w:rsid w:val="009316FC"/>
    <w:rsid w:val="00931761"/>
    <w:rsid w:val="00931802"/>
    <w:rsid w:val="00931900"/>
    <w:rsid w:val="00931910"/>
    <w:rsid w:val="00931927"/>
    <w:rsid w:val="00931A34"/>
    <w:rsid w:val="00931B2E"/>
    <w:rsid w:val="00931C6A"/>
    <w:rsid w:val="00931CA0"/>
    <w:rsid w:val="00931CAE"/>
    <w:rsid w:val="00931D13"/>
    <w:rsid w:val="00931D26"/>
    <w:rsid w:val="00931D44"/>
    <w:rsid w:val="00931D59"/>
    <w:rsid w:val="00931DB8"/>
    <w:rsid w:val="00932067"/>
    <w:rsid w:val="00932121"/>
    <w:rsid w:val="00932147"/>
    <w:rsid w:val="00932169"/>
    <w:rsid w:val="0093224F"/>
    <w:rsid w:val="0093229B"/>
    <w:rsid w:val="009322BA"/>
    <w:rsid w:val="009322BE"/>
    <w:rsid w:val="009322C5"/>
    <w:rsid w:val="0093236E"/>
    <w:rsid w:val="00932404"/>
    <w:rsid w:val="00932407"/>
    <w:rsid w:val="00932416"/>
    <w:rsid w:val="00932438"/>
    <w:rsid w:val="00932440"/>
    <w:rsid w:val="009324B0"/>
    <w:rsid w:val="009324E3"/>
    <w:rsid w:val="00932504"/>
    <w:rsid w:val="009326A1"/>
    <w:rsid w:val="009326DE"/>
    <w:rsid w:val="009326FE"/>
    <w:rsid w:val="00932704"/>
    <w:rsid w:val="0093273C"/>
    <w:rsid w:val="00932877"/>
    <w:rsid w:val="009329D6"/>
    <w:rsid w:val="009329FA"/>
    <w:rsid w:val="00932B1B"/>
    <w:rsid w:val="00932B2C"/>
    <w:rsid w:val="00932BB9"/>
    <w:rsid w:val="00932BC4"/>
    <w:rsid w:val="00932BD5"/>
    <w:rsid w:val="00932BDF"/>
    <w:rsid w:val="00932C59"/>
    <w:rsid w:val="00932C68"/>
    <w:rsid w:val="00932D02"/>
    <w:rsid w:val="00932D12"/>
    <w:rsid w:val="00932DB9"/>
    <w:rsid w:val="00932DC3"/>
    <w:rsid w:val="00932E49"/>
    <w:rsid w:val="00932FC5"/>
    <w:rsid w:val="00932FD1"/>
    <w:rsid w:val="0093308D"/>
    <w:rsid w:val="009330AD"/>
    <w:rsid w:val="00933142"/>
    <w:rsid w:val="00933245"/>
    <w:rsid w:val="009332A1"/>
    <w:rsid w:val="009332F3"/>
    <w:rsid w:val="00933329"/>
    <w:rsid w:val="00933344"/>
    <w:rsid w:val="0093337A"/>
    <w:rsid w:val="00933497"/>
    <w:rsid w:val="009334EC"/>
    <w:rsid w:val="009335B3"/>
    <w:rsid w:val="009335C6"/>
    <w:rsid w:val="009335E3"/>
    <w:rsid w:val="00933696"/>
    <w:rsid w:val="009336D0"/>
    <w:rsid w:val="0093372E"/>
    <w:rsid w:val="009337C6"/>
    <w:rsid w:val="00933835"/>
    <w:rsid w:val="00933893"/>
    <w:rsid w:val="0093389A"/>
    <w:rsid w:val="00933960"/>
    <w:rsid w:val="009339C0"/>
    <w:rsid w:val="00933A22"/>
    <w:rsid w:val="00933A84"/>
    <w:rsid w:val="00933B37"/>
    <w:rsid w:val="00933C5B"/>
    <w:rsid w:val="00933CE6"/>
    <w:rsid w:val="00933D62"/>
    <w:rsid w:val="00933E79"/>
    <w:rsid w:val="00933E9D"/>
    <w:rsid w:val="00933F02"/>
    <w:rsid w:val="0093401F"/>
    <w:rsid w:val="009340D7"/>
    <w:rsid w:val="00934112"/>
    <w:rsid w:val="00934177"/>
    <w:rsid w:val="009341F6"/>
    <w:rsid w:val="00934239"/>
    <w:rsid w:val="00934248"/>
    <w:rsid w:val="00934254"/>
    <w:rsid w:val="0093425F"/>
    <w:rsid w:val="009342CB"/>
    <w:rsid w:val="00934326"/>
    <w:rsid w:val="00934330"/>
    <w:rsid w:val="00934347"/>
    <w:rsid w:val="009343BE"/>
    <w:rsid w:val="009343D7"/>
    <w:rsid w:val="009344A0"/>
    <w:rsid w:val="0093451B"/>
    <w:rsid w:val="0093455F"/>
    <w:rsid w:val="0093458A"/>
    <w:rsid w:val="009345E3"/>
    <w:rsid w:val="00934676"/>
    <w:rsid w:val="00934683"/>
    <w:rsid w:val="009346D4"/>
    <w:rsid w:val="00934749"/>
    <w:rsid w:val="009347B4"/>
    <w:rsid w:val="009347DB"/>
    <w:rsid w:val="009347DE"/>
    <w:rsid w:val="009347E2"/>
    <w:rsid w:val="009347ED"/>
    <w:rsid w:val="00934807"/>
    <w:rsid w:val="00934835"/>
    <w:rsid w:val="0093488B"/>
    <w:rsid w:val="00934B0A"/>
    <w:rsid w:val="00934B84"/>
    <w:rsid w:val="00934BDA"/>
    <w:rsid w:val="00934C44"/>
    <w:rsid w:val="00934CA0"/>
    <w:rsid w:val="00934CEE"/>
    <w:rsid w:val="00934D52"/>
    <w:rsid w:val="00934D5F"/>
    <w:rsid w:val="00934DC1"/>
    <w:rsid w:val="00934E78"/>
    <w:rsid w:val="00934E8C"/>
    <w:rsid w:val="00934F33"/>
    <w:rsid w:val="00934FB8"/>
    <w:rsid w:val="00935013"/>
    <w:rsid w:val="0093504D"/>
    <w:rsid w:val="00935304"/>
    <w:rsid w:val="00935329"/>
    <w:rsid w:val="0093532D"/>
    <w:rsid w:val="0093534B"/>
    <w:rsid w:val="00935358"/>
    <w:rsid w:val="009353CF"/>
    <w:rsid w:val="0093541A"/>
    <w:rsid w:val="009354EA"/>
    <w:rsid w:val="009354EC"/>
    <w:rsid w:val="00935524"/>
    <w:rsid w:val="00935558"/>
    <w:rsid w:val="009355F5"/>
    <w:rsid w:val="009355F8"/>
    <w:rsid w:val="0093570A"/>
    <w:rsid w:val="00935718"/>
    <w:rsid w:val="0093573C"/>
    <w:rsid w:val="00935780"/>
    <w:rsid w:val="009357DC"/>
    <w:rsid w:val="00935819"/>
    <w:rsid w:val="0093586D"/>
    <w:rsid w:val="0093588C"/>
    <w:rsid w:val="00935963"/>
    <w:rsid w:val="00935AD2"/>
    <w:rsid w:val="00935C75"/>
    <w:rsid w:val="00935C93"/>
    <w:rsid w:val="00935CB9"/>
    <w:rsid w:val="00935CC2"/>
    <w:rsid w:val="00935D26"/>
    <w:rsid w:val="00935DAE"/>
    <w:rsid w:val="00935E21"/>
    <w:rsid w:val="00935E2E"/>
    <w:rsid w:val="00935E74"/>
    <w:rsid w:val="00935EDA"/>
    <w:rsid w:val="00935FFE"/>
    <w:rsid w:val="00936016"/>
    <w:rsid w:val="00936038"/>
    <w:rsid w:val="0093605C"/>
    <w:rsid w:val="009360CD"/>
    <w:rsid w:val="00936201"/>
    <w:rsid w:val="0093622B"/>
    <w:rsid w:val="00936253"/>
    <w:rsid w:val="00936269"/>
    <w:rsid w:val="009362B3"/>
    <w:rsid w:val="00936320"/>
    <w:rsid w:val="00936332"/>
    <w:rsid w:val="0093634A"/>
    <w:rsid w:val="0093637C"/>
    <w:rsid w:val="00936392"/>
    <w:rsid w:val="009363AD"/>
    <w:rsid w:val="009363B4"/>
    <w:rsid w:val="009363C6"/>
    <w:rsid w:val="00936452"/>
    <w:rsid w:val="009364BE"/>
    <w:rsid w:val="009364F7"/>
    <w:rsid w:val="00936576"/>
    <w:rsid w:val="009365D7"/>
    <w:rsid w:val="00936626"/>
    <w:rsid w:val="00936664"/>
    <w:rsid w:val="0093667A"/>
    <w:rsid w:val="00936684"/>
    <w:rsid w:val="009366A2"/>
    <w:rsid w:val="00936707"/>
    <w:rsid w:val="00936736"/>
    <w:rsid w:val="0093680F"/>
    <w:rsid w:val="00936819"/>
    <w:rsid w:val="00936825"/>
    <w:rsid w:val="00936837"/>
    <w:rsid w:val="009368E2"/>
    <w:rsid w:val="00936A6F"/>
    <w:rsid w:val="00936AE9"/>
    <w:rsid w:val="00936B0D"/>
    <w:rsid w:val="00936BE5"/>
    <w:rsid w:val="00936CB1"/>
    <w:rsid w:val="00936E27"/>
    <w:rsid w:val="00936E6E"/>
    <w:rsid w:val="00936EB9"/>
    <w:rsid w:val="00936EE5"/>
    <w:rsid w:val="00936EEA"/>
    <w:rsid w:val="00937008"/>
    <w:rsid w:val="0093701E"/>
    <w:rsid w:val="00937083"/>
    <w:rsid w:val="00937127"/>
    <w:rsid w:val="00937130"/>
    <w:rsid w:val="00937141"/>
    <w:rsid w:val="0093732E"/>
    <w:rsid w:val="00937344"/>
    <w:rsid w:val="009373C1"/>
    <w:rsid w:val="00937404"/>
    <w:rsid w:val="00937441"/>
    <w:rsid w:val="00937458"/>
    <w:rsid w:val="00937468"/>
    <w:rsid w:val="009374F5"/>
    <w:rsid w:val="00937515"/>
    <w:rsid w:val="00937527"/>
    <w:rsid w:val="0093763C"/>
    <w:rsid w:val="009376D9"/>
    <w:rsid w:val="009376F8"/>
    <w:rsid w:val="0093770C"/>
    <w:rsid w:val="00937714"/>
    <w:rsid w:val="0093774D"/>
    <w:rsid w:val="00937835"/>
    <w:rsid w:val="00937893"/>
    <w:rsid w:val="009378B7"/>
    <w:rsid w:val="00937962"/>
    <w:rsid w:val="00937970"/>
    <w:rsid w:val="009379EC"/>
    <w:rsid w:val="00937A47"/>
    <w:rsid w:val="00937A8B"/>
    <w:rsid w:val="00937AA8"/>
    <w:rsid w:val="00937B7F"/>
    <w:rsid w:val="00937BC0"/>
    <w:rsid w:val="00937C77"/>
    <w:rsid w:val="00937D03"/>
    <w:rsid w:val="00937D7A"/>
    <w:rsid w:val="00937D7B"/>
    <w:rsid w:val="00937FAA"/>
    <w:rsid w:val="00937FB6"/>
    <w:rsid w:val="00940008"/>
    <w:rsid w:val="0094013B"/>
    <w:rsid w:val="00940213"/>
    <w:rsid w:val="009403F9"/>
    <w:rsid w:val="00940436"/>
    <w:rsid w:val="0094045D"/>
    <w:rsid w:val="0094046C"/>
    <w:rsid w:val="009404A2"/>
    <w:rsid w:val="009404BF"/>
    <w:rsid w:val="009404E3"/>
    <w:rsid w:val="009404F9"/>
    <w:rsid w:val="00940616"/>
    <w:rsid w:val="0094067A"/>
    <w:rsid w:val="009406FB"/>
    <w:rsid w:val="00940705"/>
    <w:rsid w:val="00940775"/>
    <w:rsid w:val="009407A1"/>
    <w:rsid w:val="009407B8"/>
    <w:rsid w:val="009407B9"/>
    <w:rsid w:val="00940858"/>
    <w:rsid w:val="009408E8"/>
    <w:rsid w:val="009409AA"/>
    <w:rsid w:val="009409B7"/>
    <w:rsid w:val="00940ACD"/>
    <w:rsid w:val="00940AF6"/>
    <w:rsid w:val="00940B37"/>
    <w:rsid w:val="00940C4A"/>
    <w:rsid w:val="00940CD6"/>
    <w:rsid w:val="00940CE6"/>
    <w:rsid w:val="00940D2C"/>
    <w:rsid w:val="00940D66"/>
    <w:rsid w:val="00940D87"/>
    <w:rsid w:val="00940E26"/>
    <w:rsid w:val="00940E5E"/>
    <w:rsid w:val="00940EAC"/>
    <w:rsid w:val="00940F1D"/>
    <w:rsid w:val="00940F94"/>
    <w:rsid w:val="00940F9B"/>
    <w:rsid w:val="00940FDE"/>
    <w:rsid w:val="00941132"/>
    <w:rsid w:val="00941180"/>
    <w:rsid w:val="0094130A"/>
    <w:rsid w:val="00941370"/>
    <w:rsid w:val="009413A7"/>
    <w:rsid w:val="009413C6"/>
    <w:rsid w:val="009413E3"/>
    <w:rsid w:val="009413F6"/>
    <w:rsid w:val="0094141B"/>
    <w:rsid w:val="0094143C"/>
    <w:rsid w:val="00941452"/>
    <w:rsid w:val="00941467"/>
    <w:rsid w:val="009414F9"/>
    <w:rsid w:val="00941525"/>
    <w:rsid w:val="00941574"/>
    <w:rsid w:val="00941667"/>
    <w:rsid w:val="009416A0"/>
    <w:rsid w:val="009417B6"/>
    <w:rsid w:val="00941826"/>
    <w:rsid w:val="009418E0"/>
    <w:rsid w:val="009418EE"/>
    <w:rsid w:val="00941A1F"/>
    <w:rsid w:val="00941A6C"/>
    <w:rsid w:val="00941BA6"/>
    <w:rsid w:val="00941BA8"/>
    <w:rsid w:val="00941C73"/>
    <w:rsid w:val="00941CA5"/>
    <w:rsid w:val="00941D21"/>
    <w:rsid w:val="00941DAC"/>
    <w:rsid w:val="00941E7D"/>
    <w:rsid w:val="00941EB4"/>
    <w:rsid w:val="00941FB6"/>
    <w:rsid w:val="00941FED"/>
    <w:rsid w:val="00942185"/>
    <w:rsid w:val="009421D2"/>
    <w:rsid w:val="0094226E"/>
    <w:rsid w:val="00942287"/>
    <w:rsid w:val="009422F6"/>
    <w:rsid w:val="0094232A"/>
    <w:rsid w:val="0094237E"/>
    <w:rsid w:val="009423C3"/>
    <w:rsid w:val="009423D6"/>
    <w:rsid w:val="00942414"/>
    <w:rsid w:val="009424A0"/>
    <w:rsid w:val="0094253C"/>
    <w:rsid w:val="00942571"/>
    <w:rsid w:val="00942639"/>
    <w:rsid w:val="0094265A"/>
    <w:rsid w:val="009426F8"/>
    <w:rsid w:val="00942877"/>
    <w:rsid w:val="0094297D"/>
    <w:rsid w:val="00942A05"/>
    <w:rsid w:val="00942B70"/>
    <w:rsid w:val="00942C50"/>
    <w:rsid w:val="00942C60"/>
    <w:rsid w:val="00942D30"/>
    <w:rsid w:val="00942D36"/>
    <w:rsid w:val="00942D90"/>
    <w:rsid w:val="00942E3B"/>
    <w:rsid w:val="00942ED1"/>
    <w:rsid w:val="00942FC5"/>
    <w:rsid w:val="00942FDC"/>
    <w:rsid w:val="00943051"/>
    <w:rsid w:val="009430AB"/>
    <w:rsid w:val="00943112"/>
    <w:rsid w:val="0094316F"/>
    <w:rsid w:val="009431AB"/>
    <w:rsid w:val="009431E3"/>
    <w:rsid w:val="0094321D"/>
    <w:rsid w:val="009432D9"/>
    <w:rsid w:val="00943310"/>
    <w:rsid w:val="00943332"/>
    <w:rsid w:val="00943383"/>
    <w:rsid w:val="009433E7"/>
    <w:rsid w:val="00943444"/>
    <w:rsid w:val="00943471"/>
    <w:rsid w:val="009434D7"/>
    <w:rsid w:val="00943503"/>
    <w:rsid w:val="00943581"/>
    <w:rsid w:val="009435CC"/>
    <w:rsid w:val="009435E6"/>
    <w:rsid w:val="00943603"/>
    <w:rsid w:val="0094366F"/>
    <w:rsid w:val="0094373D"/>
    <w:rsid w:val="00943776"/>
    <w:rsid w:val="00943783"/>
    <w:rsid w:val="009437C8"/>
    <w:rsid w:val="009437DA"/>
    <w:rsid w:val="00943861"/>
    <w:rsid w:val="009439BE"/>
    <w:rsid w:val="009439EF"/>
    <w:rsid w:val="00943A1A"/>
    <w:rsid w:val="00943A2F"/>
    <w:rsid w:val="00943A48"/>
    <w:rsid w:val="00943A83"/>
    <w:rsid w:val="00943A87"/>
    <w:rsid w:val="00943B14"/>
    <w:rsid w:val="00943B21"/>
    <w:rsid w:val="00943B42"/>
    <w:rsid w:val="00943B55"/>
    <w:rsid w:val="00943B56"/>
    <w:rsid w:val="00943BDF"/>
    <w:rsid w:val="00943C64"/>
    <w:rsid w:val="00943CDA"/>
    <w:rsid w:val="00943D4A"/>
    <w:rsid w:val="00943D5F"/>
    <w:rsid w:val="00943D76"/>
    <w:rsid w:val="00943D8D"/>
    <w:rsid w:val="00943E5B"/>
    <w:rsid w:val="00943E7D"/>
    <w:rsid w:val="00943EE1"/>
    <w:rsid w:val="00943F66"/>
    <w:rsid w:val="00943F70"/>
    <w:rsid w:val="00943FC8"/>
    <w:rsid w:val="00943FF4"/>
    <w:rsid w:val="00944002"/>
    <w:rsid w:val="00944094"/>
    <w:rsid w:val="009440B2"/>
    <w:rsid w:val="009442A3"/>
    <w:rsid w:val="00944334"/>
    <w:rsid w:val="00944439"/>
    <w:rsid w:val="00944493"/>
    <w:rsid w:val="009444BB"/>
    <w:rsid w:val="00944503"/>
    <w:rsid w:val="00944545"/>
    <w:rsid w:val="009445F6"/>
    <w:rsid w:val="00944632"/>
    <w:rsid w:val="0094464B"/>
    <w:rsid w:val="0094469E"/>
    <w:rsid w:val="009446BD"/>
    <w:rsid w:val="009446FF"/>
    <w:rsid w:val="00944752"/>
    <w:rsid w:val="00944763"/>
    <w:rsid w:val="00944793"/>
    <w:rsid w:val="009448A9"/>
    <w:rsid w:val="009448F8"/>
    <w:rsid w:val="0094492A"/>
    <w:rsid w:val="00944A39"/>
    <w:rsid w:val="00944B33"/>
    <w:rsid w:val="00944B4D"/>
    <w:rsid w:val="00944BA1"/>
    <w:rsid w:val="00944C29"/>
    <w:rsid w:val="00944C2B"/>
    <w:rsid w:val="00944C61"/>
    <w:rsid w:val="00944CF3"/>
    <w:rsid w:val="00944CF6"/>
    <w:rsid w:val="00944D02"/>
    <w:rsid w:val="00944D26"/>
    <w:rsid w:val="00944DEC"/>
    <w:rsid w:val="00944E58"/>
    <w:rsid w:val="00944F87"/>
    <w:rsid w:val="00944FAC"/>
    <w:rsid w:val="00944FCB"/>
    <w:rsid w:val="00945011"/>
    <w:rsid w:val="00945027"/>
    <w:rsid w:val="009450C1"/>
    <w:rsid w:val="00945185"/>
    <w:rsid w:val="0094523E"/>
    <w:rsid w:val="0094524C"/>
    <w:rsid w:val="00945339"/>
    <w:rsid w:val="00945374"/>
    <w:rsid w:val="009453F5"/>
    <w:rsid w:val="0094543D"/>
    <w:rsid w:val="00945446"/>
    <w:rsid w:val="0094544C"/>
    <w:rsid w:val="009454AC"/>
    <w:rsid w:val="009454C0"/>
    <w:rsid w:val="00945511"/>
    <w:rsid w:val="009455B6"/>
    <w:rsid w:val="0094560B"/>
    <w:rsid w:val="0094564B"/>
    <w:rsid w:val="0094567A"/>
    <w:rsid w:val="00945737"/>
    <w:rsid w:val="00945800"/>
    <w:rsid w:val="009458BD"/>
    <w:rsid w:val="009458E5"/>
    <w:rsid w:val="00945905"/>
    <w:rsid w:val="0094599F"/>
    <w:rsid w:val="009459CD"/>
    <w:rsid w:val="009459D9"/>
    <w:rsid w:val="009459EA"/>
    <w:rsid w:val="00945A16"/>
    <w:rsid w:val="00945AA1"/>
    <w:rsid w:val="00945ADF"/>
    <w:rsid w:val="00945B66"/>
    <w:rsid w:val="00945B84"/>
    <w:rsid w:val="00945BA7"/>
    <w:rsid w:val="00945BB7"/>
    <w:rsid w:val="00945BC3"/>
    <w:rsid w:val="00945D8E"/>
    <w:rsid w:val="00945E7C"/>
    <w:rsid w:val="00945EB9"/>
    <w:rsid w:val="00945EFD"/>
    <w:rsid w:val="00945EFF"/>
    <w:rsid w:val="00945F14"/>
    <w:rsid w:val="00945F87"/>
    <w:rsid w:val="00945F9D"/>
    <w:rsid w:val="00945FFC"/>
    <w:rsid w:val="009461C7"/>
    <w:rsid w:val="0094622F"/>
    <w:rsid w:val="0094624A"/>
    <w:rsid w:val="0094626D"/>
    <w:rsid w:val="009462B6"/>
    <w:rsid w:val="009462CA"/>
    <w:rsid w:val="009462F2"/>
    <w:rsid w:val="0094638F"/>
    <w:rsid w:val="009463E6"/>
    <w:rsid w:val="0094649A"/>
    <w:rsid w:val="009464B6"/>
    <w:rsid w:val="00946519"/>
    <w:rsid w:val="00946598"/>
    <w:rsid w:val="0094664F"/>
    <w:rsid w:val="009466C5"/>
    <w:rsid w:val="009466F7"/>
    <w:rsid w:val="009467F7"/>
    <w:rsid w:val="009468E0"/>
    <w:rsid w:val="00946910"/>
    <w:rsid w:val="00946936"/>
    <w:rsid w:val="00946955"/>
    <w:rsid w:val="00946A47"/>
    <w:rsid w:val="00946A76"/>
    <w:rsid w:val="00946AB1"/>
    <w:rsid w:val="00946ABD"/>
    <w:rsid w:val="00946B11"/>
    <w:rsid w:val="00946B53"/>
    <w:rsid w:val="00946BD2"/>
    <w:rsid w:val="00946BD4"/>
    <w:rsid w:val="00946C1D"/>
    <w:rsid w:val="00946C63"/>
    <w:rsid w:val="00946CCE"/>
    <w:rsid w:val="00946D06"/>
    <w:rsid w:val="00946D09"/>
    <w:rsid w:val="00946D4F"/>
    <w:rsid w:val="00946D63"/>
    <w:rsid w:val="00946D64"/>
    <w:rsid w:val="00946DBC"/>
    <w:rsid w:val="00946E2B"/>
    <w:rsid w:val="00947082"/>
    <w:rsid w:val="0094718C"/>
    <w:rsid w:val="009471B6"/>
    <w:rsid w:val="009471C4"/>
    <w:rsid w:val="009471EC"/>
    <w:rsid w:val="00947269"/>
    <w:rsid w:val="009472F7"/>
    <w:rsid w:val="00947399"/>
    <w:rsid w:val="00947457"/>
    <w:rsid w:val="009474B1"/>
    <w:rsid w:val="0094755B"/>
    <w:rsid w:val="0094756B"/>
    <w:rsid w:val="009475AD"/>
    <w:rsid w:val="009475EF"/>
    <w:rsid w:val="0094762C"/>
    <w:rsid w:val="00947664"/>
    <w:rsid w:val="0094768B"/>
    <w:rsid w:val="00947715"/>
    <w:rsid w:val="0094773D"/>
    <w:rsid w:val="0094773E"/>
    <w:rsid w:val="00947778"/>
    <w:rsid w:val="0094780A"/>
    <w:rsid w:val="0094781A"/>
    <w:rsid w:val="00947885"/>
    <w:rsid w:val="00947899"/>
    <w:rsid w:val="0094792F"/>
    <w:rsid w:val="00947936"/>
    <w:rsid w:val="00947A20"/>
    <w:rsid w:val="00947A3F"/>
    <w:rsid w:val="00947A77"/>
    <w:rsid w:val="00947B02"/>
    <w:rsid w:val="00947B20"/>
    <w:rsid w:val="00947B78"/>
    <w:rsid w:val="00947B7A"/>
    <w:rsid w:val="00947B81"/>
    <w:rsid w:val="00947CB7"/>
    <w:rsid w:val="00947CBB"/>
    <w:rsid w:val="00947D39"/>
    <w:rsid w:val="00947E43"/>
    <w:rsid w:val="00947E70"/>
    <w:rsid w:val="00947EB3"/>
    <w:rsid w:val="00947F10"/>
    <w:rsid w:val="00947F7D"/>
    <w:rsid w:val="0095002B"/>
    <w:rsid w:val="00950082"/>
    <w:rsid w:val="00950192"/>
    <w:rsid w:val="009501B7"/>
    <w:rsid w:val="009502FC"/>
    <w:rsid w:val="0095032B"/>
    <w:rsid w:val="0095037D"/>
    <w:rsid w:val="00950386"/>
    <w:rsid w:val="009503C7"/>
    <w:rsid w:val="00950462"/>
    <w:rsid w:val="00950467"/>
    <w:rsid w:val="00950470"/>
    <w:rsid w:val="009504AD"/>
    <w:rsid w:val="00950520"/>
    <w:rsid w:val="009505A0"/>
    <w:rsid w:val="009505B5"/>
    <w:rsid w:val="009505F8"/>
    <w:rsid w:val="00950704"/>
    <w:rsid w:val="00950705"/>
    <w:rsid w:val="00950812"/>
    <w:rsid w:val="00950829"/>
    <w:rsid w:val="00950884"/>
    <w:rsid w:val="009508C1"/>
    <w:rsid w:val="009508DE"/>
    <w:rsid w:val="00950910"/>
    <w:rsid w:val="00950AB3"/>
    <w:rsid w:val="00950ABC"/>
    <w:rsid w:val="00950B22"/>
    <w:rsid w:val="00950C0F"/>
    <w:rsid w:val="00950C40"/>
    <w:rsid w:val="00950C57"/>
    <w:rsid w:val="00950D43"/>
    <w:rsid w:val="00950DC0"/>
    <w:rsid w:val="00950E14"/>
    <w:rsid w:val="00950E82"/>
    <w:rsid w:val="00950FAE"/>
    <w:rsid w:val="00950FEF"/>
    <w:rsid w:val="0095103C"/>
    <w:rsid w:val="00951169"/>
    <w:rsid w:val="00951210"/>
    <w:rsid w:val="009512AD"/>
    <w:rsid w:val="009512D5"/>
    <w:rsid w:val="0095132F"/>
    <w:rsid w:val="0095139F"/>
    <w:rsid w:val="009513F9"/>
    <w:rsid w:val="00951464"/>
    <w:rsid w:val="009514E7"/>
    <w:rsid w:val="00951505"/>
    <w:rsid w:val="00951515"/>
    <w:rsid w:val="00951519"/>
    <w:rsid w:val="0095157D"/>
    <w:rsid w:val="009515AE"/>
    <w:rsid w:val="009515F2"/>
    <w:rsid w:val="00951689"/>
    <w:rsid w:val="009516A5"/>
    <w:rsid w:val="009516D3"/>
    <w:rsid w:val="009517C9"/>
    <w:rsid w:val="0095180E"/>
    <w:rsid w:val="00951831"/>
    <w:rsid w:val="009518A6"/>
    <w:rsid w:val="009518B8"/>
    <w:rsid w:val="009518D5"/>
    <w:rsid w:val="0095191A"/>
    <w:rsid w:val="00951A11"/>
    <w:rsid w:val="00951AF3"/>
    <w:rsid w:val="00951B4D"/>
    <w:rsid w:val="00951B9D"/>
    <w:rsid w:val="00951BE1"/>
    <w:rsid w:val="00951C2B"/>
    <w:rsid w:val="00951C2E"/>
    <w:rsid w:val="00951C42"/>
    <w:rsid w:val="00951C67"/>
    <w:rsid w:val="00951C69"/>
    <w:rsid w:val="00951D2B"/>
    <w:rsid w:val="00951D93"/>
    <w:rsid w:val="00951E53"/>
    <w:rsid w:val="00951EA0"/>
    <w:rsid w:val="0095202C"/>
    <w:rsid w:val="00952035"/>
    <w:rsid w:val="0095207B"/>
    <w:rsid w:val="009520B8"/>
    <w:rsid w:val="009520C2"/>
    <w:rsid w:val="009520FD"/>
    <w:rsid w:val="0095224E"/>
    <w:rsid w:val="00952278"/>
    <w:rsid w:val="0095227B"/>
    <w:rsid w:val="009522B4"/>
    <w:rsid w:val="009522C0"/>
    <w:rsid w:val="00952309"/>
    <w:rsid w:val="00952360"/>
    <w:rsid w:val="00952394"/>
    <w:rsid w:val="009523F1"/>
    <w:rsid w:val="00952406"/>
    <w:rsid w:val="00952446"/>
    <w:rsid w:val="0095252A"/>
    <w:rsid w:val="009525C0"/>
    <w:rsid w:val="0095264E"/>
    <w:rsid w:val="009526B4"/>
    <w:rsid w:val="009528C2"/>
    <w:rsid w:val="009528F9"/>
    <w:rsid w:val="00952969"/>
    <w:rsid w:val="009529F3"/>
    <w:rsid w:val="00952A00"/>
    <w:rsid w:val="00952AB8"/>
    <w:rsid w:val="00952BE8"/>
    <w:rsid w:val="00952C64"/>
    <w:rsid w:val="00952D2B"/>
    <w:rsid w:val="00952DBA"/>
    <w:rsid w:val="00952EC0"/>
    <w:rsid w:val="00952EEA"/>
    <w:rsid w:val="00952F5E"/>
    <w:rsid w:val="00952FC9"/>
    <w:rsid w:val="00953029"/>
    <w:rsid w:val="0095304B"/>
    <w:rsid w:val="00953054"/>
    <w:rsid w:val="00953061"/>
    <w:rsid w:val="00953168"/>
    <w:rsid w:val="0095316A"/>
    <w:rsid w:val="009531DF"/>
    <w:rsid w:val="009531FD"/>
    <w:rsid w:val="00953238"/>
    <w:rsid w:val="00953247"/>
    <w:rsid w:val="00953281"/>
    <w:rsid w:val="00953318"/>
    <w:rsid w:val="009533A9"/>
    <w:rsid w:val="009533DC"/>
    <w:rsid w:val="00953405"/>
    <w:rsid w:val="0095345D"/>
    <w:rsid w:val="00953571"/>
    <w:rsid w:val="00953644"/>
    <w:rsid w:val="00953684"/>
    <w:rsid w:val="00953699"/>
    <w:rsid w:val="009536C7"/>
    <w:rsid w:val="009536CB"/>
    <w:rsid w:val="009536F9"/>
    <w:rsid w:val="0095371A"/>
    <w:rsid w:val="00953736"/>
    <w:rsid w:val="00953814"/>
    <w:rsid w:val="0095382D"/>
    <w:rsid w:val="009538AB"/>
    <w:rsid w:val="0095395A"/>
    <w:rsid w:val="0095397E"/>
    <w:rsid w:val="00953A79"/>
    <w:rsid w:val="00953A8D"/>
    <w:rsid w:val="00953B29"/>
    <w:rsid w:val="00953BA2"/>
    <w:rsid w:val="00953C1F"/>
    <w:rsid w:val="00953CC0"/>
    <w:rsid w:val="00953CD1"/>
    <w:rsid w:val="00953D41"/>
    <w:rsid w:val="00953D66"/>
    <w:rsid w:val="00953DAD"/>
    <w:rsid w:val="00953DDC"/>
    <w:rsid w:val="00953E16"/>
    <w:rsid w:val="00953E47"/>
    <w:rsid w:val="00953F20"/>
    <w:rsid w:val="009540C9"/>
    <w:rsid w:val="009540CC"/>
    <w:rsid w:val="0095417C"/>
    <w:rsid w:val="009541E0"/>
    <w:rsid w:val="009542CE"/>
    <w:rsid w:val="009542EB"/>
    <w:rsid w:val="00954307"/>
    <w:rsid w:val="009544A9"/>
    <w:rsid w:val="009544C1"/>
    <w:rsid w:val="00954545"/>
    <w:rsid w:val="0095454F"/>
    <w:rsid w:val="0095457A"/>
    <w:rsid w:val="009545B3"/>
    <w:rsid w:val="009545E3"/>
    <w:rsid w:val="009545EA"/>
    <w:rsid w:val="0095462D"/>
    <w:rsid w:val="009546E6"/>
    <w:rsid w:val="009548B5"/>
    <w:rsid w:val="00954936"/>
    <w:rsid w:val="00954990"/>
    <w:rsid w:val="00954AA8"/>
    <w:rsid w:val="00954AAA"/>
    <w:rsid w:val="00954AB4"/>
    <w:rsid w:val="00954AD8"/>
    <w:rsid w:val="00954B24"/>
    <w:rsid w:val="00954B51"/>
    <w:rsid w:val="00954BC5"/>
    <w:rsid w:val="00954BDB"/>
    <w:rsid w:val="00954C09"/>
    <w:rsid w:val="00954C1D"/>
    <w:rsid w:val="00954CA4"/>
    <w:rsid w:val="00954CAC"/>
    <w:rsid w:val="00954EED"/>
    <w:rsid w:val="00954EFA"/>
    <w:rsid w:val="00954F87"/>
    <w:rsid w:val="00955013"/>
    <w:rsid w:val="0095508B"/>
    <w:rsid w:val="00955227"/>
    <w:rsid w:val="009552DC"/>
    <w:rsid w:val="0095530D"/>
    <w:rsid w:val="00955371"/>
    <w:rsid w:val="009553A8"/>
    <w:rsid w:val="00955405"/>
    <w:rsid w:val="00955437"/>
    <w:rsid w:val="0095545D"/>
    <w:rsid w:val="00955564"/>
    <w:rsid w:val="009555BE"/>
    <w:rsid w:val="009556B7"/>
    <w:rsid w:val="009556DD"/>
    <w:rsid w:val="00955831"/>
    <w:rsid w:val="0095584F"/>
    <w:rsid w:val="00955989"/>
    <w:rsid w:val="009559B9"/>
    <w:rsid w:val="00955A91"/>
    <w:rsid w:val="00955C80"/>
    <w:rsid w:val="00955CA6"/>
    <w:rsid w:val="00955D35"/>
    <w:rsid w:val="00955D4A"/>
    <w:rsid w:val="00955E5C"/>
    <w:rsid w:val="00955EC8"/>
    <w:rsid w:val="00955EFA"/>
    <w:rsid w:val="00955F01"/>
    <w:rsid w:val="00955F27"/>
    <w:rsid w:val="00955FEF"/>
    <w:rsid w:val="00956083"/>
    <w:rsid w:val="00956249"/>
    <w:rsid w:val="00956284"/>
    <w:rsid w:val="00956408"/>
    <w:rsid w:val="0095644D"/>
    <w:rsid w:val="009564A2"/>
    <w:rsid w:val="009564C0"/>
    <w:rsid w:val="009564CD"/>
    <w:rsid w:val="009564D8"/>
    <w:rsid w:val="00956531"/>
    <w:rsid w:val="009565FA"/>
    <w:rsid w:val="009566AA"/>
    <w:rsid w:val="009566E9"/>
    <w:rsid w:val="00956703"/>
    <w:rsid w:val="0095678E"/>
    <w:rsid w:val="009567EA"/>
    <w:rsid w:val="00956820"/>
    <w:rsid w:val="00956847"/>
    <w:rsid w:val="009568CD"/>
    <w:rsid w:val="00956909"/>
    <w:rsid w:val="009569E1"/>
    <w:rsid w:val="00956A8E"/>
    <w:rsid w:val="00956ABF"/>
    <w:rsid w:val="00956AE1"/>
    <w:rsid w:val="00956B65"/>
    <w:rsid w:val="00956BC1"/>
    <w:rsid w:val="00956BEC"/>
    <w:rsid w:val="00956C7F"/>
    <w:rsid w:val="00956E39"/>
    <w:rsid w:val="00956E6D"/>
    <w:rsid w:val="00956EB5"/>
    <w:rsid w:val="00956EC5"/>
    <w:rsid w:val="00956FB3"/>
    <w:rsid w:val="00956FC0"/>
    <w:rsid w:val="00956FDC"/>
    <w:rsid w:val="00957066"/>
    <w:rsid w:val="009570A1"/>
    <w:rsid w:val="009570FB"/>
    <w:rsid w:val="0095711F"/>
    <w:rsid w:val="009571A4"/>
    <w:rsid w:val="009571AA"/>
    <w:rsid w:val="0095720C"/>
    <w:rsid w:val="00957368"/>
    <w:rsid w:val="009573DF"/>
    <w:rsid w:val="009573F0"/>
    <w:rsid w:val="0095742A"/>
    <w:rsid w:val="0095743C"/>
    <w:rsid w:val="00957472"/>
    <w:rsid w:val="00957544"/>
    <w:rsid w:val="0095758B"/>
    <w:rsid w:val="009575E7"/>
    <w:rsid w:val="009575FA"/>
    <w:rsid w:val="00957695"/>
    <w:rsid w:val="00957705"/>
    <w:rsid w:val="0095786B"/>
    <w:rsid w:val="00957891"/>
    <w:rsid w:val="009578E5"/>
    <w:rsid w:val="00957901"/>
    <w:rsid w:val="00957928"/>
    <w:rsid w:val="00957A1E"/>
    <w:rsid w:val="00957B00"/>
    <w:rsid w:val="00957B7B"/>
    <w:rsid w:val="00957B92"/>
    <w:rsid w:val="00957BF2"/>
    <w:rsid w:val="00957C1C"/>
    <w:rsid w:val="00957C50"/>
    <w:rsid w:val="00957DA7"/>
    <w:rsid w:val="00957DC6"/>
    <w:rsid w:val="00957DD9"/>
    <w:rsid w:val="00957E2D"/>
    <w:rsid w:val="0095E0AD"/>
    <w:rsid w:val="00960059"/>
    <w:rsid w:val="0096010B"/>
    <w:rsid w:val="0096012C"/>
    <w:rsid w:val="00960184"/>
    <w:rsid w:val="009601AC"/>
    <w:rsid w:val="009601B3"/>
    <w:rsid w:val="009601C0"/>
    <w:rsid w:val="00960218"/>
    <w:rsid w:val="00960257"/>
    <w:rsid w:val="009602D5"/>
    <w:rsid w:val="0096034F"/>
    <w:rsid w:val="009603D6"/>
    <w:rsid w:val="009603D8"/>
    <w:rsid w:val="00960471"/>
    <w:rsid w:val="0096052A"/>
    <w:rsid w:val="00960571"/>
    <w:rsid w:val="009605E3"/>
    <w:rsid w:val="009605FB"/>
    <w:rsid w:val="009607CA"/>
    <w:rsid w:val="009607CE"/>
    <w:rsid w:val="00960867"/>
    <w:rsid w:val="00960880"/>
    <w:rsid w:val="00960889"/>
    <w:rsid w:val="0096089E"/>
    <w:rsid w:val="00960902"/>
    <w:rsid w:val="00960911"/>
    <w:rsid w:val="00960916"/>
    <w:rsid w:val="0096096D"/>
    <w:rsid w:val="009609BF"/>
    <w:rsid w:val="00960B0C"/>
    <w:rsid w:val="00960C6F"/>
    <w:rsid w:val="00960CE3"/>
    <w:rsid w:val="00960D8C"/>
    <w:rsid w:val="00960DAA"/>
    <w:rsid w:val="00960EA3"/>
    <w:rsid w:val="00960EF0"/>
    <w:rsid w:val="00960EF1"/>
    <w:rsid w:val="00960F82"/>
    <w:rsid w:val="00960FB9"/>
    <w:rsid w:val="00960FE4"/>
    <w:rsid w:val="0096101A"/>
    <w:rsid w:val="0096115A"/>
    <w:rsid w:val="00961167"/>
    <w:rsid w:val="0096118B"/>
    <w:rsid w:val="00961220"/>
    <w:rsid w:val="00961289"/>
    <w:rsid w:val="009612B7"/>
    <w:rsid w:val="009612E6"/>
    <w:rsid w:val="00961385"/>
    <w:rsid w:val="009613C3"/>
    <w:rsid w:val="00961477"/>
    <w:rsid w:val="0096147E"/>
    <w:rsid w:val="00961841"/>
    <w:rsid w:val="0096186E"/>
    <w:rsid w:val="00961874"/>
    <w:rsid w:val="009618B0"/>
    <w:rsid w:val="009618B1"/>
    <w:rsid w:val="009618E7"/>
    <w:rsid w:val="00961902"/>
    <w:rsid w:val="00961930"/>
    <w:rsid w:val="00961938"/>
    <w:rsid w:val="00961A04"/>
    <w:rsid w:val="00961A10"/>
    <w:rsid w:val="00961A91"/>
    <w:rsid w:val="00961AA7"/>
    <w:rsid w:val="00961B10"/>
    <w:rsid w:val="00961D00"/>
    <w:rsid w:val="00961D86"/>
    <w:rsid w:val="00961DBB"/>
    <w:rsid w:val="00961DFB"/>
    <w:rsid w:val="00961E23"/>
    <w:rsid w:val="00961E58"/>
    <w:rsid w:val="00961E5B"/>
    <w:rsid w:val="00961F01"/>
    <w:rsid w:val="00962021"/>
    <w:rsid w:val="00962038"/>
    <w:rsid w:val="009620B3"/>
    <w:rsid w:val="0096218D"/>
    <w:rsid w:val="009621C6"/>
    <w:rsid w:val="009621EC"/>
    <w:rsid w:val="0096226B"/>
    <w:rsid w:val="0096233E"/>
    <w:rsid w:val="0096240E"/>
    <w:rsid w:val="00962438"/>
    <w:rsid w:val="00962509"/>
    <w:rsid w:val="00962576"/>
    <w:rsid w:val="0096257E"/>
    <w:rsid w:val="009625A1"/>
    <w:rsid w:val="009626F3"/>
    <w:rsid w:val="00962723"/>
    <w:rsid w:val="0096276D"/>
    <w:rsid w:val="0096279C"/>
    <w:rsid w:val="009628F6"/>
    <w:rsid w:val="00962B07"/>
    <w:rsid w:val="00962B0C"/>
    <w:rsid w:val="00962B83"/>
    <w:rsid w:val="00962BE8"/>
    <w:rsid w:val="00962C14"/>
    <w:rsid w:val="00962C58"/>
    <w:rsid w:val="00962CBA"/>
    <w:rsid w:val="00962CCD"/>
    <w:rsid w:val="00962CE4"/>
    <w:rsid w:val="00962D24"/>
    <w:rsid w:val="00962D32"/>
    <w:rsid w:val="00962D44"/>
    <w:rsid w:val="00962D9F"/>
    <w:rsid w:val="00962E3A"/>
    <w:rsid w:val="00962E49"/>
    <w:rsid w:val="00962E71"/>
    <w:rsid w:val="00962E7C"/>
    <w:rsid w:val="00962E83"/>
    <w:rsid w:val="00962ECB"/>
    <w:rsid w:val="00962F0C"/>
    <w:rsid w:val="00962F14"/>
    <w:rsid w:val="00962F3C"/>
    <w:rsid w:val="00962F42"/>
    <w:rsid w:val="00962F4B"/>
    <w:rsid w:val="00962F7C"/>
    <w:rsid w:val="00962FE4"/>
    <w:rsid w:val="00962FFB"/>
    <w:rsid w:val="009630DD"/>
    <w:rsid w:val="0096311D"/>
    <w:rsid w:val="00963180"/>
    <w:rsid w:val="009631B3"/>
    <w:rsid w:val="009631D0"/>
    <w:rsid w:val="0096321E"/>
    <w:rsid w:val="00963260"/>
    <w:rsid w:val="00963301"/>
    <w:rsid w:val="00963304"/>
    <w:rsid w:val="00963361"/>
    <w:rsid w:val="00963549"/>
    <w:rsid w:val="0096356C"/>
    <w:rsid w:val="009635F3"/>
    <w:rsid w:val="009636C2"/>
    <w:rsid w:val="00963722"/>
    <w:rsid w:val="00963756"/>
    <w:rsid w:val="009637D2"/>
    <w:rsid w:val="00963883"/>
    <w:rsid w:val="009638C8"/>
    <w:rsid w:val="009638DD"/>
    <w:rsid w:val="00963903"/>
    <w:rsid w:val="00963944"/>
    <w:rsid w:val="0096396C"/>
    <w:rsid w:val="00963A3C"/>
    <w:rsid w:val="00963A87"/>
    <w:rsid w:val="00963AEB"/>
    <w:rsid w:val="00963B0E"/>
    <w:rsid w:val="00963BE2"/>
    <w:rsid w:val="00963C03"/>
    <w:rsid w:val="00963CB7"/>
    <w:rsid w:val="00963D2C"/>
    <w:rsid w:val="00963D70"/>
    <w:rsid w:val="00963D85"/>
    <w:rsid w:val="00963D87"/>
    <w:rsid w:val="00963DE2"/>
    <w:rsid w:val="00963E09"/>
    <w:rsid w:val="00963E85"/>
    <w:rsid w:val="00963EEC"/>
    <w:rsid w:val="00963F3A"/>
    <w:rsid w:val="009641D7"/>
    <w:rsid w:val="0096428C"/>
    <w:rsid w:val="0096437D"/>
    <w:rsid w:val="00964414"/>
    <w:rsid w:val="00964442"/>
    <w:rsid w:val="0096445F"/>
    <w:rsid w:val="00964465"/>
    <w:rsid w:val="0096450D"/>
    <w:rsid w:val="009645D7"/>
    <w:rsid w:val="00964726"/>
    <w:rsid w:val="009647CE"/>
    <w:rsid w:val="00964807"/>
    <w:rsid w:val="00964832"/>
    <w:rsid w:val="00964870"/>
    <w:rsid w:val="00964898"/>
    <w:rsid w:val="00964A7E"/>
    <w:rsid w:val="00964B29"/>
    <w:rsid w:val="00964BC2"/>
    <w:rsid w:val="00964BC9"/>
    <w:rsid w:val="00964C49"/>
    <w:rsid w:val="00964D04"/>
    <w:rsid w:val="00964D0F"/>
    <w:rsid w:val="00964D3C"/>
    <w:rsid w:val="00964D7E"/>
    <w:rsid w:val="00964D9B"/>
    <w:rsid w:val="00964DE7"/>
    <w:rsid w:val="00964E39"/>
    <w:rsid w:val="00964E3C"/>
    <w:rsid w:val="00964E3F"/>
    <w:rsid w:val="00964F7E"/>
    <w:rsid w:val="00964FE8"/>
    <w:rsid w:val="009650F8"/>
    <w:rsid w:val="00965128"/>
    <w:rsid w:val="0096513B"/>
    <w:rsid w:val="0096516C"/>
    <w:rsid w:val="00965170"/>
    <w:rsid w:val="009652B0"/>
    <w:rsid w:val="0096535A"/>
    <w:rsid w:val="00965380"/>
    <w:rsid w:val="00965485"/>
    <w:rsid w:val="0096548A"/>
    <w:rsid w:val="009654F6"/>
    <w:rsid w:val="00965563"/>
    <w:rsid w:val="00965583"/>
    <w:rsid w:val="009655BD"/>
    <w:rsid w:val="00965614"/>
    <w:rsid w:val="00965654"/>
    <w:rsid w:val="009656B9"/>
    <w:rsid w:val="00965735"/>
    <w:rsid w:val="00965743"/>
    <w:rsid w:val="00965768"/>
    <w:rsid w:val="009657D8"/>
    <w:rsid w:val="00965867"/>
    <w:rsid w:val="00965955"/>
    <w:rsid w:val="0096597F"/>
    <w:rsid w:val="0096598D"/>
    <w:rsid w:val="009659DF"/>
    <w:rsid w:val="00965A37"/>
    <w:rsid w:val="00965B0B"/>
    <w:rsid w:val="00965C3C"/>
    <w:rsid w:val="00965CE9"/>
    <w:rsid w:val="00965D7A"/>
    <w:rsid w:val="00965DE2"/>
    <w:rsid w:val="00965DEB"/>
    <w:rsid w:val="00965F1D"/>
    <w:rsid w:val="00965F90"/>
    <w:rsid w:val="00965FDB"/>
    <w:rsid w:val="00965FE2"/>
    <w:rsid w:val="00966100"/>
    <w:rsid w:val="00966144"/>
    <w:rsid w:val="0096615E"/>
    <w:rsid w:val="00966180"/>
    <w:rsid w:val="009661EA"/>
    <w:rsid w:val="00966246"/>
    <w:rsid w:val="00966273"/>
    <w:rsid w:val="009662D9"/>
    <w:rsid w:val="009662F6"/>
    <w:rsid w:val="00966329"/>
    <w:rsid w:val="0096635D"/>
    <w:rsid w:val="00966397"/>
    <w:rsid w:val="009663A2"/>
    <w:rsid w:val="009663F8"/>
    <w:rsid w:val="0096643B"/>
    <w:rsid w:val="00966479"/>
    <w:rsid w:val="00966537"/>
    <w:rsid w:val="00966543"/>
    <w:rsid w:val="009665A0"/>
    <w:rsid w:val="009665C8"/>
    <w:rsid w:val="009665CC"/>
    <w:rsid w:val="0096660D"/>
    <w:rsid w:val="00966667"/>
    <w:rsid w:val="0096674A"/>
    <w:rsid w:val="0096676B"/>
    <w:rsid w:val="009667F4"/>
    <w:rsid w:val="00966804"/>
    <w:rsid w:val="00966879"/>
    <w:rsid w:val="00966891"/>
    <w:rsid w:val="0096698E"/>
    <w:rsid w:val="009669CA"/>
    <w:rsid w:val="00966A74"/>
    <w:rsid w:val="00966B8D"/>
    <w:rsid w:val="00966C48"/>
    <w:rsid w:val="00966CDA"/>
    <w:rsid w:val="00966CED"/>
    <w:rsid w:val="00966D1A"/>
    <w:rsid w:val="00966DDC"/>
    <w:rsid w:val="00966E27"/>
    <w:rsid w:val="00966E32"/>
    <w:rsid w:val="00966E56"/>
    <w:rsid w:val="00966E95"/>
    <w:rsid w:val="00966EB1"/>
    <w:rsid w:val="00966F65"/>
    <w:rsid w:val="0096702C"/>
    <w:rsid w:val="0096708F"/>
    <w:rsid w:val="009670A9"/>
    <w:rsid w:val="0096713D"/>
    <w:rsid w:val="009671AC"/>
    <w:rsid w:val="009671BF"/>
    <w:rsid w:val="00967283"/>
    <w:rsid w:val="00967299"/>
    <w:rsid w:val="00967302"/>
    <w:rsid w:val="0096732F"/>
    <w:rsid w:val="0096737D"/>
    <w:rsid w:val="0096741D"/>
    <w:rsid w:val="0096747B"/>
    <w:rsid w:val="009674BE"/>
    <w:rsid w:val="009674F8"/>
    <w:rsid w:val="0096753A"/>
    <w:rsid w:val="00967564"/>
    <w:rsid w:val="00967570"/>
    <w:rsid w:val="00967583"/>
    <w:rsid w:val="00967589"/>
    <w:rsid w:val="009677BE"/>
    <w:rsid w:val="009677E2"/>
    <w:rsid w:val="00967802"/>
    <w:rsid w:val="00967811"/>
    <w:rsid w:val="00967839"/>
    <w:rsid w:val="009678BF"/>
    <w:rsid w:val="00967A04"/>
    <w:rsid w:val="00967A3E"/>
    <w:rsid w:val="00967A92"/>
    <w:rsid w:val="00967B86"/>
    <w:rsid w:val="00967BB4"/>
    <w:rsid w:val="00967C17"/>
    <w:rsid w:val="00967C6F"/>
    <w:rsid w:val="00967C72"/>
    <w:rsid w:val="00967D2F"/>
    <w:rsid w:val="00967D97"/>
    <w:rsid w:val="00967DA5"/>
    <w:rsid w:val="00967DAD"/>
    <w:rsid w:val="00967E1D"/>
    <w:rsid w:val="00967E64"/>
    <w:rsid w:val="00967EBC"/>
    <w:rsid w:val="00967EDC"/>
    <w:rsid w:val="009700B1"/>
    <w:rsid w:val="00970165"/>
    <w:rsid w:val="009701BA"/>
    <w:rsid w:val="009701BB"/>
    <w:rsid w:val="009701C2"/>
    <w:rsid w:val="00970277"/>
    <w:rsid w:val="00970299"/>
    <w:rsid w:val="009702B6"/>
    <w:rsid w:val="0097030A"/>
    <w:rsid w:val="0097034A"/>
    <w:rsid w:val="009703E3"/>
    <w:rsid w:val="00970461"/>
    <w:rsid w:val="009704CD"/>
    <w:rsid w:val="0097051D"/>
    <w:rsid w:val="00970588"/>
    <w:rsid w:val="009705E0"/>
    <w:rsid w:val="00970606"/>
    <w:rsid w:val="00970724"/>
    <w:rsid w:val="0097072E"/>
    <w:rsid w:val="009707BC"/>
    <w:rsid w:val="00970938"/>
    <w:rsid w:val="009709F7"/>
    <w:rsid w:val="00970AA5"/>
    <w:rsid w:val="00970ACC"/>
    <w:rsid w:val="00970AD8"/>
    <w:rsid w:val="00970B61"/>
    <w:rsid w:val="00970B7A"/>
    <w:rsid w:val="00970BDA"/>
    <w:rsid w:val="00970D4A"/>
    <w:rsid w:val="00970E37"/>
    <w:rsid w:val="00970E61"/>
    <w:rsid w:val="00970F9F"/>
    <w:rsid w:val="00970FAB"/>
    <w:rsid w:val="00970FC8"/>
    <w:rsid w:val="00970FD2"/>
    <w:rsid w:val="00970FE2"/>
    <w:rsid w:val="00971008"/>
    <w:rsid w:val="00971024"/>
    <w:rsid w:val="009710B5"/>
    <w:rsid w:val="00971106"/>
    <w:rsid w:val="0097118A"/>
    <w:rsid w:val="009711A3"/>
    <w:rsid w:val="009711E3"/>
    <w:rsid w:val="00971281"/>
    <w:rsid w:val="00971284"/>
    <w:rsid w:val="0097130D"/>
    <w:rsid w:val="00971320"/>
    <w:rsid w:val="00971324"/>
    <w:rsid w:val="00971364"/>
    <w:rsid w:val="00971649"/>
    <w:rsid w:val="00971673"/>
    <w:rsid w:val="00971680"/>
    <w:rsid w:val="0097169F"/>
    <w:rsid w:val="0097170B"/>
    <w:rsid w:val="00971736"/>
    <w:rsid w:val="00971744"/>
    <w:rsid w:val="00971790"/>
    <w:rsid w:val="009717A8"/>
    <w:rsid w:val="009718EE"/>
    <w:rsid w:val="0097196F"/>
    <w:rsid w:val="009719E0"/>
    <w:rsid w:val="009719FB"/>
    <w:rsid w:val="00971A57"/>
    <w:rsid w:val="00971BC6"/>
    <w:rsid w:val="00971C0E"/>
    <w:rsid w:val="00971CBF"/>
    <w:rsid w:val="00971D6B"/>
    <w:rsid w:val="00971DAA"/>
    <w:rsid w:val="00971DCC"/>
    <w:rsid w:val="00971E88"/>
    <w:rsid w:val="00971F04"/>
    <w:rsid w:val="00971F4E"/>
    <w:rsid w:val="00971F69"/>
    <w:rsid w:val="00971F9B"/>
    <w:rsid w:val="00971FE5"/>
    <w:rsid w:val="0097200A"/>
    <w:rsid w:val="0097202A"/>
    <w:rsid w:val="00972097"/>
    <w:rsid w:val="009720B5"/>
    <w:rsid w:val="00972168"/>
    <w:rsid w:val="00972205"/>
    <w:rsid w:val="00972208"/>
    <w:rsid w:val="00972249"/>
    <w:rsid w:val="00972319"/>
    <w:rsid w:val="009723F5"/>
    <w:rsid w:val="00972416"/>
    <w:rsid w:val="00972457"/>
    <w:rsid w:val="00972460"/>
    <w:rsid w:val="009725AC"/>
    <w:rsid w:val="0097260B"/>
    <w:rsid w:val="00972639"/>
    <w:rsid w:val="009726B8"/>
    <w:rsid w:val="0097273D"/>
    <w:rsid w:val="0097275A"/>
    <w:rsid w:val="009727F9"/>
    <w:rsid w:val="0097282B"/>
    <w:rsid w:val="009728BE"/>
    <w:rsid w:val="009728C5"/>
    <w:rsid w:val="009729E1"/>
    <w:rsid w:val="00972A6E"/>
    <w:rsid w:val="00972A71"/>
    <w:rsid w:val="00972AA8"/>
    <w:rsid w:val="00972ACA"/>
    <w:rsid w:val="00972BD4"/>
    <w:rsid w:val="00972C40"/>
    <w:rsid w:val="00972C6B"/>
    <w:rsid w:val="00972C8B"/>
    <w:rsid w:val="00972D1B"/>
    <w:rsid w:val="00972ECD"/>
    <w:rsid w:val="00972F44"/>
    <w:rsid w:val="00972F91"/>
    <w:rsid w:val="00972FDE"/>
    <w:rsid w:val="0097300C"/>
    <w:rsid w:val="00973130"/>
    <w:rsid w:val="009731D6"/>
    <w:rsid w:val="009731E1"/>
    <w:rsid w:val="0097322A"/>
    <w:rsid w:val="0097326E"/>
    <w:rsid w:val="00973347"/>
    <w:rsid w:val="00973372"/>
    <w:rsid w:val="009733A2"/>
    <w:rsid w:val="009733F1"/>
    <w:rsid w:val="00973433"/>
    <w:rsid w:val="0097355F"/>
    <w:rsid w:val="009735AA"/>
    <w:rsid w:val="00973620"/>
    <w:rsid w:val="00973623"/>
    <w:rsid w:val="00973625"/>
    <w:rsid w:val="0097365F"/>
    <w:rsid w:val="0097368B"/>
    <w:rsid w:val="00973692"/>
    <w:rsid w:val="0097371D"/>
    <w:rsid w:val="009737BE"/>
    <w:rsid w:val="009738DB"/>
    <w:rsid w:val="009738FF"/>
    <w:rsid w:val="0097391D"/>
    <w:rsid w:val="00973989"/>
    <w:rsid w:val="009739D8"/>
    <w:rsid w:val="00973A73"/>
    <w:rsid w:val="00973AE1"/>
    <w:rsid w:val="00973C12"/>
    <w:rsid w:val="00973D69"/>
    <w:rsid w:val="00973DDF"/>
    <w:rsid w:val="00973E16"/>
    <w:rsid w:val="00973E64"/>
    <w:rsid w:val="00973E76"/>
    <w:rsid w:val="00973EAA"/>
    <w:rsid w:val="00973F13"/>
    <w:rsid w:val="00973F65"/>
    <w:rsid w:val="00974013"/>
    <w:rsid w:val="00974089"/>
    <w:rsid w:val="0097413C"/>
    <w:rsid w:val="00974183"/>
    <w:rsid w:val="0097427B"/>
    <w:rsid w:val="0097440C"/>
    <w:rsid w:val="00974449"/>
    <w:rsid w:val="0097445A"/>
    <w:rsid w:val="0097445D"/>
    <w:rsid w:val="00974508"/>
    <w:rsid w:val="00974511"/>
    <w:rsid w:val="00974598"/>
    <w:rsid w:val="009745A9"/>
    <w:rsid w:val="00974677"/>
    <w:rsid w:val="009746BE"/>
    <w:rsid w:val="009746C0"/>
    <w:rsid w:val="00974702"/>
    <w:rsid w:val="0097473F"/>
    <w:rsid w:val="009747A3"/>
    <w:rsid w:val="00974843"/>
    <w:rsid w:val="009748B1"/>
    <w:rsid w:val="009748FD"/>
    <w:rsid w:val="009749C6"/>
    <w:rsid w:val="00974A48"/>
    <w:rsid w:val="00974B09"/>
    <w:rsid w:val="00974B48"/>
    <w:rsid w:val="00974BAB"/>
    <w:rsid w:val="00974BB1"/>
    <w:rsid w:val="00974BF4"/>
    <w:rsid w:val="00974D51"/>
    <w:rsid w:val="00974E2A"/>
    <w:rsid w:val="00974E44"/>
    <w:rsid w:val="00974E67"/>
    <w:rsid w:val="00974EBB"/>
    <w:rsid w:val="00974F5B"/>
    <w:rsid w:val="00974FDB"/>
    <w:rsid w:val="0097505E"/>
    <w:rsid w:val="009750A7"/>
    <w:rsid w:val="009750CF"/>
    <w:rsid w:val="0097511F"/>
    <w:rsid w:val="0097519F"/>
    <w:rsid w:val="009751FB"/>
    <w:rsid w:val="0097526F"/>
    <w:rsid w:val="0097537C"/>
    <w:rsid w:val="0097539F"/>
    <w:rsid w:val="00975400"/>
    <w:rsid w:val="00975413"/>
    <w:rsid w:val="00975499"/>
    <w:rsid w:val="009754BA"/>
    <w:rsid w:val="0097562B"/>
    <w:rsid w:val="0097564E"/>
    <w:rsid w:val="00975675"/>
    <w:rsid w:val="00975689"/>
    <w:rsid w:val="00975696"/>
    <w:rsid w:val="00975712"/>
    <w:rsid w:val="009757A4"/>
    <w:rsid w:val="009757A6"/>
    <w:rsid w:val="009757BC"/>
    <w:rsid w:val="009757FD"/>
    <w:rsid w:val="00975864"/>
    <w:rsid w:val="00975871"/>
    <w:rsid w:val="00975897"/>
    <w:rsid w:val="00975921"/>
    <w:rsid w:val="0097593E"/>
    <w:rsid w:val="009759DC"/>
    <w:rsid w:val="009759ED"/>
    <w:rsid w:val="00975A79"/>
    <w:rsid w:val="00975AB0"/>
    <w:rsid w:val="00975B04"/>
    <w:rsid w:val="00975C18"/>
    <w:rsid w:val="00975C1C"/>
    <w:rsid w:val="00975C24"/>
    <w:rsid w:val="00975D54"/>
    <w:rsid w:val="00975DA5"/>
    <w:rsid w:val="00975E26"/>
    <w:rsid w:val="00975E3B"/>
    <w:rsid w:val="00975E5B"/>
    <w:rsid w:val="00975F2B"/>
    <w:rsid w:val="00975F45"/>
    <w:rsid w:val="00975F68"/>
    <w:rsid w:val="00975FAF"/>
    <w:rsid w:val="00976004"/>
    <w:rsid w:val="00976083"/>
    <w:rsid w:val="00976104"/>
    <w:rsid w:val="009761B2"/>
    <w:rsid w:val="0097627E"/>
    <w:rsid w:val="009763E0"/>
    <w:rsid w:val="009764BD"/>
    <w:rsid w:val="0097662A"/>
    <w:rsid w:val="00976651"/>
    <w:rsid w:val="00976659"/>
    <w:rsid w:val="0097668A"/>
    <w:rsid w:val="009766D7"/>
    <w:rsid w:val="0097673C"/>
    <w:rsid w:val="00976789"/>
    <w:rsid w:val="009767AA"/>
    <w:rsid w:val="00976890"/>
    <w:rsid w:val="009768F7"/>
    <w:rsid w:val="00976939"/>
    <w:rsid w:val="009769E2"/>
    <w:rsid w:val="009769F6"/>
    <w:rsid w:val="00976A2A"/>
    <w:rsid w:val="00976ABB"/>
    <w:rsid w:val="00976AFE"/>
    <w:rsid w:val="00976BBC"/>
    <w:rsid w:val="00976C21"/>
    <w:rsid w:val="00976D0E"/>
    <w:rsid w:val="00976D37"/>
    <w:rsid w:val="00976D7F"/>
    <w:rsid w:val="00976DF0"/>
    <w:rsid w:val="00976DF9"/>
    <w:rsid w:val="00976E3D"/>
    <w:rsid w:val="00976E54"/>
    <w:rsid w:val="00976E56"/>
    <w:rsid w:val="00976EDA"/>
    <w:rsid w:val="0097704D"/>
    <w:rsid w:val="00977078"/>
    <w:rsid w:val="009770D0"/>
    <w:rsid w:val="00977106"/>
    <w:rsid w:val="0097710F"/>
    <w:rsid w:val="00977194"/>
    <w:rsid w:val="009771CB"/>
    <w:rsid w:val="00977225"/>
    <w:rsid w:val="00977252"/>
    <w:rsid w:val="009772E4"/>
    <w:rsid w:val="0097749C"/>
    <w:rsid w:val="009774C1"/>
    <w:rsid w:val="0097761C"/>
    <w:rsid w:val="009776BC"/>
    <w:rsid w:val="009776C9"/>
    <w:rsid w:val="009776E7"/>
    <w:rsid w:val="00977735"/>
    <w:rsid w:val="00977796"/>
    <w:rsid w:val="009777C2"/>
    <w:rsid w:val="009777F2"/>
    <w:rsid w:val="00977835"/>
    <w:rsid w:val="009778A9"/>
    <w:rsid w:val="009778AB"/>
    <w:rsid w:val="009778BA"/>
    <w:rsid w:val="009779E8"/>
    <w:rsid w:val="00977A3A"/>
    <w:rsid w:val="00977A49"/>
    <w:rsid w:val="00977B21"/>
    <w:rsid w:val="00977B61"/>
    <w:rsid w:val="00977BEF"/>
    <w:rsid w:val="00977C27"/>
    <w:rsid w:val="00977C38"/>
    <w:rsid w:val="00977C45"/>
    <w:rsid w:val="00977C72"/>
    <w:rsid w:val="00977CA8"/>
    <w:rsid w:val="00977D0B"/>
    <w:rsid w:val="00977D60"/>
    <w:rsid w:val="00977E81"/>
    <w:rsid w:val="00977F30"/>
    <w:rsid w:val="00977F85"/>
    <w:rsid w:val="0098012E"/>
    <w:rsid w:val="009801B8"/>
    <w:rsid w:val="009801D0"/>
    <w:rsid w:val="00980223"/>
    <w:rsid w:val="0098026C"/>
    <w:rsid w:val="0098027E"/>
    <w:rsid w:val="009802A8"/>
    <w:rsid w:val="009802EF"/>
    <w:rsid w:val="009802FF"/>
    <w:rsid w:val="0098037F"/>
    <w:rsid w:val="009803BF"/>
    <w:rsid w:val="009803EF"/>
    <w:rsid w:val="00980474"/>
    <w:rsid w:val="00980495"/>
    <w:rsid w:val="009804ED"/>
    <w:rsid w:val="00980563"/>
    <w:rsid w:val="00980566"/>
    <w:rsid w:val="009806B6"/>
    <w:rsid w:val="0098075A"/>
    <w:rsid w:val="0098087A"/>
    <w:rsid w:val="00980A73"/>
    <w:rsid w:val="00980A7C"/>
    <w:rsid w:val="00980BAA"/>
    <w:rsid w:val="00980BAB"/>
    <w:rsid w:val="00980BD9"/>
    <w:rsid w:val="00980CB4"/>
    <w:rsid w:val="00980CE1"/>
    <w:rsid w:val="00980E9E"/>
    <w:rsid w:val="00980F46"/>
    <w:rsid w:val="00980F6B"/>
    <w:rsid w:val="00981045"/>
    <w:rsid w:val="0098107D"/>
    <w:rsid w:val="00981166"/>
    <w:rsid w:val="0098117C"/>
    <w:rsid w:val="009811BB"/>
    <w:rsid w:val="009811EE"/>
    <w:rsid w:val="009812D4"/>
    <w:rsid w:val="00981320"/>
    <w:rsid w:val="0098135C"/>
    <w:rsid w:val="0098140A"/>
    <w:rsid w:val="0098142C"/>
    <w:rsid w:val="00981476"/>
    <w:rsid w:val="009814BD"/>
    <w:rsid w:val="009814C3"/>
    <w:rsid w:val="009814D6"/>
    <w:rsid w:val="009814EF"/>
    <w:rsid w:val="009814F0"/>
    <w:rsid w:val="00981512"/>
    <w:rsid w:val="00981601"/>
    <w:rsid w:val="00981612"/>
    <w:rsid w:val="0098169B"/>
    <w:rsid w:val="009816D9"/>
    <w:rsid w:val="0098170B"/>
    <w:rsid w:val="009818FF"/>
    <w:rsid w:val="00981906"/>
    <w:rsid w:val="00981996"/>
    <w:rsid w:val="00981C25"/>
    <w:rsid w:val="00981C4A"/>
    <w:rsid w:val="00981C78"/>
    <w:rsid w:val="00981CF0"/>
    <w:rsid w:val="00981DA8"/>
    <w:rsid w:val="00981E18"/>
    <w:rsid w:val="00981E31"/>
    <w:rsid w:val="00981E35"/>
    <w:rsid w:val="00981E5D"/>
    <w:rsid w:val="00981E7C"/>
    <w:rsid w:val="00981F5E"/>
    <w:rsid w:val="00982034"/>
    <w:rsid w:val="009820B6"/>
    <w:rsid w:val="009820D6"/>
    <w:rsid w:val="009820D7"/>
    <w:rsid w:val="009820D9"/>
    <w:rsid w:val="0098226B"/>
    <w:rsid w:val="009822DF"/>
    <w:rsid w:val="00982406"/>
    <w:rsid w:val="0098240F"/>
    <w:rsid w:val="00982483"/>
    <w:rsid w:val="009824D0"/>
    <w:rsid w:val="00982640"/>
    <w:rsid w:val="009826A0"/>
    <w:rsid w:val="009826FE"/>
    <w:rsid w:val="0098279B"/>
    <w:rsid w:val="00982878"/>
    <w:rsid w:val="009828AD"/>
    <w:rsid w:val="009828ED"/>
    <w:rsid w:val="00982912"/>
    <w:rsid w:val="0098292D"/>
    <w:rsid w:val="00982960"/>
    <w:rsid w:val="009829CC"/>
    <w:rsid w:val="009829DD"/>
    <w:rsid w:val="00982A6A"/>
    <w:rsid w:val="00982ABB"/>
    <w:rsid w:val="00982B2E"/>
    <w:rsid w:val="00982BDE"/>
    <w:rsid w:val="00982C12"/>
    <w:rsid w:val="00982CDF"/>
    <w:rsid w:val="00982CE4"/>
    <w:rsid w:val="00982D2C"/>
    <w:rsid w:val="00982D39"/>
    <w:rsid w:val="00982D84"/>
    <w:rsid w:val="00982E20"/>
    <w:rsid w:val="00982EA1"/>
    <w:rsid w:val="00982EA6"/>
    <w:rsid w:val="00982EB2"/>
    <w:rsid w:val="00982F04"/>
    <w:rsid w:val="00982F62"/>
    <w:rsid w:val="00982FA5"/>
    <w:rsid w:val="00982FE3"/>
    <w:rsid w:val="009830D0"/>
    <w:rsid w:val="00983147"/>
    <w:rsid w:val="0098318F"/>
    <w:rsid w:val="00983286"/>
    <w:rsid w:val="00983319"/>
    <w:rsid w:val="0098336A"/>
    <w:rsid w:val="00983387"/>
    <w:rsid w:val="00983467"/>
    <w:rsid w:val="0098347B"/>
    <w:rsid w:val="00983503"/>
    <w:rsid w:val="0098359B"/>
    <w:rsid w:val="0098359D"/>
    <w:rsid w:val="00983695"/>
    <w:rsid w:val="009836B4"/>
    <w:rsid w:val="00983719"/>
    <w:rsid w:val="00983741"/>
    <w:rsid w:val="009837FB"/>
    <w:rsid w:val="009837FC"/>
    <w:rsid w:val="00983804"/>
    <w:rsid w:val="00983881"/>
    <w:rsid w:val="0098390F"/>
    <w:rsid w:val="0098393B"/>
    <w:rsid w:val="00983B57"/>
    <w:rsid w:val="00983BC8"/>
    <w:rsid w:val="00983C3F"/>
    <w:rsid w:val="00983C4C"/>
    <w:rsid w:val="00983C51"/>
    <w:rsid w:val="00983CC9"/>
    <w:rsid w:val="00983DBF"/>
    <w:rsid w:val="00983E67"/>
    <w:rsid w:val="00983EEE"/>
    <w:rsid w:val="00983F5B"/>
    <w:rsid w:val="00983F77"/>
    <w:rsid w:val="00983FAC"/>
    <w:rsid w:val="00983FBA"/>
    <w:rsid w:val="0098406F"/>
    <w:rsid w:val="009840A0"/>
    <w:rsid w:val="0098411B"/>
    <w:rsid w:val="00984151"/>
    <w:rsid w:val="0098416C"/>
    <w:rsid w:val="009841AC"/>
    <w:rsid w:val="009841D2"/>
    <w:rsid w:val="009841F5"/>
    <w:rsid w:val="00984253"/>
    <w:rsid w:val="009842FF"/>
    <w:rsid w:val="0098437A"/>
    <w:rsid w:val="009843A7"/>
    <w:rsid w:val="009843D7"/>
    <w:rsid w:val="0098443F"/>
    <w:rsid w:val="009844AC"/>
    <w:rsid w:val="00984507"/>
    <w:rsid w:val="0098453A"/>
    <w:rsid w:val="00984587"/>
    <w:rsid w:val="009845FD"/>
    <w:rsid w:val="00984615"/>
    <w:rsid w:val="0098469E"/>
    <w:rsid w:val="0098472D"/>
    <w:rsid w:val="00984860"/>
    <w:rsid w:val="0098490D"/>
    <w:rsid w:val="0098493F"/>
    <w:rsid w:val="009849CC"/>
    <w:rsid w:val="009849FB"/>
    <w:rsid w:val="00984A20"/>
    <w:rsid w:val="00984A62"/>
    <w:rsid w:val="00984A7E"/>
    <w:rsid w:val="00984AC0"/>
    <w:rsid w:val="00984AC4"/>
    <w:rsid w:val="00984B2E"/>
    <w:rsid w:val="00984B63"/>
    <w:rsid w:val="00984B7E"/>
    <w:rsid w:val="00984BB3"/>
    <w:rsid w:val="00984BC7"/>
    <w:rsid w:val="00984BE3"/>
    <w:rsid w:val="00984C5E"/>
    <w:rsid w:val="00984C6F"/>
    <w:rsid w:val="00984C83"/>
    <w:rsid w:val="00984CE0"/>
    <w:rsid w:val="00984D04"/>
    <w:rsid w:val="00984DEB"/>
    <w:rsid w:val="00984E0A"/>
    <w:rsid w:val="00984E9D"/>
    <w:rsid w:val="00984ED1"/>
    <w:rsid w:val="00984F9F"/>
    <w:rsid w:val="00984FD0"/>
    <w:rsid w:val="00984FDA"/>
    <w:rsid w:val="009850FD"/>
    <w:rsid w:val="009851A5"/>
    <w:rsid w:val="009851B0"/>
    <w:rsid w:val="00985218"/>
    <w:rsid w:val="009852A0"/>
    <w:rsid w:val="009852A3"/>
    <w:rsid w:val="009852AD"/>
    <w:rsid w:val="009852C4"/>
    <w:rsid w:val="009852CA"/>
    <w:rsid w:val="009852E2"/>
    <w:rsid w:val="00985321"/>
    <w:rsid w:val="00985391"/>
    <w:rsid w:val="009853BA"/>
    <w:rsid w:val="009853BE"/>
    <w:rsid w:val="009853F5"/>
    <w:rsid w:val="00985551"/>
    <w:rsid w:val="00985589"/>
    <w:rsid w:val="009855ED"/>
    <w:rsid w:val="009855F8"/>
    <w:rsid w:val="00985626"/>
    <w:rsid w:val="009856BB"/>
    <w:rsid w:val="009856FE"/>
    <w:rsid w:val="0098575C"/>
    <w:rsid w:val="009857AD"/>
    <w:rsid w:val="0098580E"/>
    <w:rsid w:val="009858BB"/>
    <w:rsid w:val="00985966"/>
    <w:rsid w:val="009859D2"/>
    <w:rsid w:val="009859EB"/>
    <w:rsid w:val="00985A72"/>
    <w:rsid w:val="00985A7A"/>
    <w:rsid w:val="00985A9D"/>
    <w:rsid w:val="00985AA6"/>
    <w:rsid w:val="00985AD9"/>
    <w:rsid w:val="00985B55"/>
    <w:rsid w:val="00985BE2"/>
    <w:rsid w:val="00985BF7"/>
    <w:rsid w:val="00985C58"/>
    <w:rsid w:val="00985C8A"/>
    <w:rsid w:val="00985C94"/>
    <w:rsid w:val="00985DFA"/>
    <w:rsid w:val="00985DFD"/>
    <w:rsid w:val="00985EAE"/>
    <w:rsid w:val="00985FF5"/>
    <w:rsid w:val="00986046"/>
    <w:rsid w:val="00986069"/>
    <w:rsid w:val="0098609D"/>
    <w:rsid w:val="009860C8"/>
    <w:rsid w:val="009860E4"/>
    <w:rsid w:val="00986104"/>
    <w:rsid w:val="0098615B"/>
    <w:rsid w:val="0098616B"/>
    <w:rsid w:val="009861D9"/>
    <w:rsid w:val="0098620F"/>
    <w:rsid w:val="009862E2"/>
    <w:rsid w:val="009862F9"/>
    <w:rsid w:val="00986309"/>
    <w:rsid w:val="00986484"/>
    <w:rsid w:val="00986494"/>
    <w:rsid w:val="00986531"/>
    <w:rsid w:val="00986579"/>
    <w:rsid w:val="00986650"/>
    <w:rsid w:val="0098665D"/>
    <w:rsid w:val="00986684"/>
    <w:rsid w:val="00986765"/>
    <w:rsid w:val="009867E9"/>
    <w:rsid w:val="009867FD"/>
    <w:rsid w:val="009868D5"/>
    <w:rsid w:val="00986923"/>
    <w:rsid w:val="00986940"/>
    <w:rsid w:val="0098696A"/>
    <w:rsid w:val="009869AC"/>
    <w:rsid w:val="009869CE"/>
    <w:rsid w:val="00986B60"/>
    <w:rsid w:val="00986CA7"/>
    <w:rsid w:val="00986D58"/>
    <w:rsid w:val="00986E86"/>
    <w:rsid w:val="00986EB4"/>
    <w:rsid w:val="00986F2B"/>
    <w:rsid w:val="00986F6E"/>
    <w:rsid w:val="00986F98"/>
    <w:rsid w:val="00986FD8"/>
    <w:rsid w:val="00987005"/>
    <w:rsid w:val="009870C6"/>
    <w:rsid w:val="009870EE"/>
    <w:rsid w:val="009871B4"/>
    <w:rsid w:val="00987270"/>
    <w:rsid w:val="00987283"/>
    <w:rsid w:val="00987292"/>
    <w:rsid w:val="009872AC"/>
    <w:rsid w:val="00987340"/>
    <w:rsid w:val="009873E4"/>
    <w:rsid w:val="0098743B"/>
    <w:rsid w:val="0098749A"/>
    <w:rsid w:val="009874E6"/>
    <w:rsid w:val="009874ED"/>
    <w:rsid w:val="009875EC"/>
    <w:rsid w:val="00987630"/>
    <w:rsid w:val="00987655"/>
    <w:rsid w:val="009876A0"/>
    <w:rsid w:val="009876AA"/>
    <w:rsid w:val="0098770A"/>
    <w:rsid w:val="0098771D"/>
    <w:rsid w:val="009877B2"/>
    <w:rsid w:val="00987838"/>
    <w:rsid w:val="009878C4"/>
    <w:rsid w:val="00987944"/>
    <w:rsid w:val="00987980"/>
    <w:rsid w:val="009879BC"/>
    <w:rsid w:val="00987AD6"/>
    <w:rsid w:val="00987B63"/>
    <w:rsid w:val="00987B64"/>
    <w:rsid w:val="00987BA6"/>
    <w:rsid w:val="00987BAD"/>
    <w:rsid w:val="00987BFD"/>
    <w:rsid w:val="00987C22"/>
    <w:rsid w:val="00987C42"/>
    <w:rsid w:val="00987C4F"/>
    <w:rsid w:val="00987CD9"/>
    <w:rsid w:val="00987D56"/>
    <w:rsid w:val="00987DA6"/>
    <w:rsid w:val="00987DB0"/>
    <w:rsid w:val="00987DF4"/>
    <w:rsid w:val="00987E12"/>
    <w:rsid w:val="00987E14"/>
    <w:rsid w:val="00987E3C"/>
    <w:rsid w:val="00987EA8"/>
    <w:rsid w:val="00987ED1"/>
    <w:rsid w:val="00987F26"/>
    <w:rsid w:val="00987F52"/>
    <w:rsid w:val="00987FBA"/>
    <w:rsid w:val="00987FD0"/>
    <w:rsid w:val="00990022"/>
    <w:rsid w:val="0099009D"/>
    <w:rsid w:val="009900AE"/>
    <w:rsid w:val="009901BB"/>
    <w:rsid w:val="00990225"/>
    <w:rsid w:val="009903B6"/>
    <w:rsid w:val="00990419"/>
    <w:rsid w:val="00990442"/>
    <w:rsid w:val="0099046A"/>
    <w:rsid w:val="00990491"/>
    <w:rsid w:val="009904BC"/>
    <w:rsid w:val="009904FA"/>
    <w:rsid w:val="00990558"/>
    <w:rsid w:val="009905C7"/>
    <w:rsid w:val="009905F6"/>
    <w:rsid w:val="00990602"/>
    <w:rsid w:val="0099067F"/>
    <w:rsid w:val="00990696"/>
    <w:rsid w:val="009906A8"/>
    <w:rsid w:val="0099078E"/>
    <w:rsid w:val="009907C1"/>
    <w:rsid w:val="0099084C"/>
    <w:rsid w:val="00990852"/>
    <w:rsid w:val="0099087D"/>
    <w:rsid w:val="009908E2"/>
    <w:rsid w:val="00990923"/>
    <w:rsid w:val="0099099F"/>
    <w:rsid w:val="009909B6"/>
    <w:rsid w:val="00990A25"/>
    <w:rsid w:val="00990ACF"/>
    <w:rsid w:val="00990B05"/>
    <w:rsid w:val="00990B2D"/>
    <w:rsid w:val="00990B71"/>
    <w:rsid w:val="00990B93"/>
    <w:rsid w:val="00990BF0"/>
    <w:rsid w:val="00990CE8"/>
    <w:rsid w:val="00990DBD"/>
    <w:rsid w:val="00990E9B"/>
    <w:rsid w:val="0099110A"/>
    <w:rsid w:val="0099112B"/>
    <w:rsid w:val="0099115C"/>
    <w:rsid w:val="0099120E"/>
    <w:rsid w:val="0099122B"/>
    <w:rsid w:val="0099147C"/>
    <w:rsid w:val="00991503"/>
    <w:rsid w:val="00991588"/>
    <w:rsid w:val="009915CB"/>
    <w:rsid w:val="0099167E"/>
    <w:rsid w:val="00991682"/>
    <w:rsid w:val="00991725"/>
    <w:rsid w:val="00991733"/>
    <w:rsid w:val="0099173C"/>
    <w:rsid w:val="00991761"/>
    <w:rsid w:val="009917C8"/>
    <w:rsid w:val="0099181A"/>
    <w:rsid w:val="00991A09"/>
    <w:rsid w:val="00991BA0"/>
    <w:rsid w:val="00991C7D"/>
    <w:rsid w:val="00991C80"/>
    <w:rsid w:val="00991CB4"/>
    <w:rsid w:val="00991CED"/>
    <w:rsid w:val="00991D00"/>
    <w:rsid w:val="00991D35"/>
    <w:rsid w:val="00991DA5"/>
    <w:rsid w:val="00991EA5"/>
    <w:rsid w:val="00991EFF"/>
    <w:rsid w:val="00991F33"/>
    <w:rsid w:val="00991F34"/>
    <w:rsid w:val="00991F98"/>
    <w:rsid w:val="00992022"/>
    <w:rsid w:val="00992096"/>
    <w:rsid w:val="00992163"/>
    <w:rsid w:val="0099218D"/>
    <w:rsid w:val="00992191"/>
    <w:rsid w:val="0099222E"/>
    <w:rsid w:val="009922CB"/>
    <w:rsid w:val="00992312"/>
    <w:rsid w:val="0099232D"/>
    <w:rsid w:val="0099236E"/>
    <w:rsid w:val="00992521"/>
    <w:rsid w:val="009925D8"/>
    <w:rsid w:val="00992603"/>
    <w:rsid w:val="0099264B"/>
    <w:rsid w:val="00992667"/>
    <w:rsid w:val="00992678"/>
    <w:rsid w:val="00992691"/>
    <w:rsid w:val="00992724"/>
    <w:rsid w:val="00992777"/>
    <w:rsid w:val="009927F9"/>
    <w:rsid w:val="0099287A"/>
    <w:rsid w:val="00992912"/>
    <w:rsid w:val="009929A5"/>
    <w:rsid w:val="00992B1E"/>
    <w:rsid w:val="00992B40"/>
    <w:rsid w:val="00992B7D"/>
    <w:rsid w:val="00992B8C"/>
    <w:rsid w:val="00992C59"/>
    <w:rsid w:val="00992C6B"/>
    <w:rsid w:val="00992CB6"/>
    <w:rsid w:val="00992D02"/>
    <w:rsid w:val="00992D8D"/>
    <w:rsid w:val="00992DB0"/>
    <w:rsid w:val="00992DF6"/>
    <w:rsid w:val="00992F06"/>
    <w:rsid w:val="00992F44"/>
    <w:rsid w:val="00992FB4"/>
    <w:rsid w:val="0099303E"/>
    <w:rsid w:val="009930D4"/>
    <w:rsid w:val="0099313F"/>
    <w:rsid w:val="009931DE"/>
    <w:rsid w:val="00993279"/>
    <w:rsid w:val="00993291"/>
    <w:rsid w:val="0099329C"/>
    <w:rsid w:val="009932DD"/>
    <w:rsid w:val="00993347"/>
    <w:rsid w:val="0099337E"/>
    <w:rsid w:val="009933A6"/>
    <w:rsid w:val="009933AD"/>
    <w:rsid w:val="00993489"/>
    <w:rsid w:val="009934E7"/>
    <w:rsid w:val="009934F8"/>
    <w:rsid w:val="0099350A"/>
    <w:rsid w:val="00993596"/>
    <w:rsid w:val="00993646"/>
    <w:rsid w:val="0099365D"/>
    <w:rsid w:val="00993693"/>
    <w:rsid w:val="009937B7"/>
    <w:rsid w:val="009937FE"/>
    <w:rsid w:val="0099384C"/>
    <w:rsid w:val="0099391F"/>
    <w:rsid w:val="00993966"/>
    <w:rsid w:val="0099398A"/>
    <w:rsid w:val="00993A1E"/>
    <w:rsid w:val="00993A64"/>
    <w:rsid w:val="00993A75"/>
    <w:rsid w:val="00993AB9"/>
    <w:rsid w:val="00993AED"/>
    <w:rsid w:val="00993B07"/>
    <w:rsid w:val="00993B5F"/>
    <w:rsid w:val="00993BA8"/>
    <w:rsid w:val="00993C2F"/>
    <w:rsid w:val="00993C4C"/>
    <w:rsid w:val="00993C83"/>
    <w:rsid w:val="00993CCE"/>
    <w:rsid w:val="00993D0C"/>
    <w:rsid w:val="00993D46"/>
    <w:rsid w:val="00993DB2"/>
    <w:rsid w:val="00993E18"/>
    <w:rsid w:val="00993E58"/>
    <w:rsid w:val="00993EB4"/>
    <w:rsid w:val="00993F85"/>
    <w:rsid w:val="00993FA5"/>
    <w:rsid w:val="00993FE8"/>
    <w:rsid w:val="00993FEC"/>
    <w:rsid w:val="00993FF6"/>
    <w:rsid w:val="00994013"/>
    <w:rsid w:val="00994033"/>
    <w:rsid w:val="00994062"/>
    <w:rsid w:val="0099406B"/>
    <w:rsid w:val="009940C1"/>
    <w:rsid w:val="00994204"/>
    <w:rsid w:val="0099422A"/>
    <w:rsid w:val="00994244"/>
    <w:rsid w:val="00994383"/>
    <w:rsid w:val="0099454A"/>
    <w:rsid w:val="0099456F"/>
    <w:rsid w:val="009945F1"/>
    <w:rsid w:val="00994642"/>
    <w:rsid w:val="0099465D"/>
    <w:rsid w:val="009946A0"/>
    <w:rsid w:val="009946A7"/>
    <w:rsid w:val="00994760"/>
    <w:rsid w:val="009947BD"/>
    <w:rsid w:val="0099480F"/>
    <w:rsid w:val="009948F7"/>
    <w:rsid w:val="0099499C"/>
    <w:rsid w:val="009949A0"/>
    <w:rsid w:val="009949E2"/>
    <w:rsid w:val="00994A20"/>
    <w:rsid w:val="00994A56"/>
    <w:rsid w:val="00994B09"/>
    <w:rsid w:val="00994BB7"/>
    <w:rsid w:val="00994BB9"/>
    <w:rsid w:val="00994D2D"/>
    <w:rsid w:val="00994D99"/>
    <w:rsid w:val="00994DDA"/>
    <w:rsid w:val="00994E38"/>
    <w:rsid w:val="00994EAC"/>
    <w:rsid w:val="00994EB3"/>
    <w:rsid w:val="00994EB5"/>
    <w:rsid w:val="00994EBF"/>
    <w:rsid w:val="00994F89"/>
    <w:rsid w:val="0099505A"/>
    <w:rsid w:val="009950F9"/>
    <w:rsid w:val="0099510A"/>
    <w:rsid w:val="0099512E"/>
    <w:rsid w:val="009951E8"/>
    <w:rsid w:val="009951FD"/>
    <w:rsid w:val="00995316"/>
    <w:rsid w:val="00995375"/>
    <w:rsid w:val="009953EE"/>
    <w:rsid w:val="00995444"/>
    <w:rsid w:val="009954A2"/>
    <w:rsid w:val="0099557C"/>
    <w:rsid w:val="0099563D"/>
    <w:rsid w:val="0099568C"/>
    <w:rsid w:val="00995790"/>
    <w:rsid w:val="009957A9"/>
    <w:rsid w:val="009957F4"/>
    <w:rsid w:val="00995973"/>
    <w:rsid w:val="00995B3A"/>
    <w:rsid w:val="00995B55"/>
    <w:rsid w:val="00995B85"/>
    <w:rsid w:val="00995B94"/>
    <w:rsid w:val="00995BD0"/>
    <w:rsid w:val="00995C42"/>
    <w:rsid w:val="00995C5C"/>
    <w:rsid w:val="00995E5C"/>
    <w:rsid w:val="00995ED6"/>
    <w:rsid w:val="00995F26"/>
    <w:rsid w:val="0099605B"/>
    <w:rsid w:val="0099609E"/>
    <w:rsid w:val="009960A8"/>
    <w:rsid w:val="009960D5"/>
    <w:rsid w:val="0099613D"/>
    <w:rsid w:val="009961AD"/>
    <w:rsid w:val="009961CD"/>
    <w:rsid w:val="00996212"/>
    <w:rsid w:val="00996271"/>
    <w:rsid w:val="009964D0"/>
    <w:rsid w:val="00996633"/>
    <w:rsid w:val="00996664"/>
    <w:rsid w:val="009968CF"/>
    <w:rsid w:val="0099691B"/>
    <w:rsid w:val="00996969"/>
    <w:rsid w:val="0099699D"/>
    <w:rsid w:val="009969C0"/>
    <w:rsid w:val="00996AAB"/>
    <w:rsid w:val="00996ACF"/>
    <w:rsid w:val="00996B19"/>
    <w:rsid w:val="00996B85"/>
    <w:rsid w:val="00996BED"/>
    <w:rsid w:val="00996C06"/>
    <w:rsid w:val="00996C38"/>
    <w:rsid w:val="00996C39"/>
    <w:rsid w:val="00996C67"/>
    <w:rsid w:val="00996CBB"/>
    <w:rsid w:val="00996DFF"/>
    <w:rsid w:val="00996F12"/>
    <w:rsid w:val="00996FB9"/>
    <w:rsid w:val="00996FEF"/>
    <w:rsid w:val="00996FF1"/>
    <w:rsid w:val="00997023"/>
    <w:rsid w:val="00997037"/>
    <w:rsid w:val="009970AA"/>
    <w:rsid w:val="00997427"/>
    <w:rsid w:val="0099747C"/>
    <w:rsid w:val="00997585"/>
    <w:rsid w:val="0099758A"/>
    <w:rsid w:val="0099773A"/>
    <w:rsid w:val="00997777"/>
    <w:rsid w:val="009977AC"/>
    <w:rsid w:val="009977AD"/>
    <w:rsid w:val="00997840"/>
    <w:rsid w:val="00997863"/>
    <w:rsid w:val="00997884"/>
    <w:rsid w:val="009978FF"/>
    <w:rsid w:val="00997A1D"/>
    <w:rsid w:val="00997A21"/>
    <w:rsid w:val="00997A47"/>
    <w:rsid w:val="00997B09"/>
    <w:rsid w:val="00997B1C"/>
    <w:rsid w:val="00997DA9"/>
    <w:rsid w:val="00997DBF"/>
    <w:rsid w:val="00997DF7"/>
    <w:rsid w:val="00997E67"/>
    <w:rsid w:val="00997E98"/>
    <w:rsid w:val="00997F73"/>
    <w:rsid w:val="009A004B"/>
    <w:rsid w:val="009A0063"/>
    <w:rsid w:val="009A009D"/>
    <w:rsid w:val="009A0129"/>
    <w:rsid w:val="009A013C"/>
    <w:rsid w:val="009A0199"/>
    <w:rsid w:val="009A01D2"/>
    <w:rsid w:val="009A0225"/>
    <w:rsid w:val="009A026C"/>
    <w:rsid w:val="009A02F2"/>
    <w:rsid w:val="009A0381"/>
    <w:rsid w:val="009A04CF"/>
    <w:rsid w:val="009A0539"/>
    <w:rsid w:val="009A05D2"/>
    <w:rsid w:val="009A05E3"/>
    <w:rsid w:val="009A06EA"/>
    <w:rsid w:val="009A06FD"/>
    <w:rsid w:val="009A0728"/>
    <w:rsid w:val="009A0781"/>
    <w:rsid w:val="009A07CD"/>
    <w:rsid w:val="009A07D8"/>
    <w:rsid w:val="009A08A1"/>
    <w:rsid w:val="009A08C7"/>
    <w:rsid w:val="009A08DB"/>
    <w:rsid w:val="009A08E1"/>
    <w:rsid w:val="009A08E2"/>
    <w:rsid w:val="009A08F3"/>
    <w:rsid w:val="009A098C"/>
    <w:rsid w:val="009A0991"/>
    <w:rsid w:val="009A099A"/>
    <w:rsid w:val="009A0B4B"/>
    <w:rsid w:val="009A0B5B"/>
    <w:rsid w:val="009A0B94"/>
    <w:rsid w:val="009A0C15"/>
    <w:rsid w:val="009A0C39"/>
    <w:rsid w:val="009A0C6E"/>
    <w:rsid w:val="009A0DA5"/>
    <w:rsid w:val="009A0E1D"/>
    <w:rsid w:val="009A0E6F"/>
    <w:rsid w:val="009A0EEE"/>
    <w:rsid w:val="009A0F3C"/>
    <w:rsid w:val="009A0F91"/>
    <w:rsid w:val="009A0FDD"/>
    <w:rsid w:val="009A101E"/>
    <w:rsid w:val="009A106A"/>
    <w:rsid w:val="009A106D"/>
    <w:rsid w:val="009A10D4"/>
    <w:rsid w:val="009A1101"/>
    <w:rsid w:val="009A114F"/>
    <w:rsid w:val="009A115F"/>
    <w:rsid w:val="009A11BF"/>
    <w:rsid w:val="009A1276"/>
    <w:rsid w:val="009A128E"/>
    <w:rsid w:val="009A1340"/>
    <w:rsid w:val="009A135F"/>
    <w:rsid w:val="009A1376"/>
    <w:rsid w:val="009A1413"/>
    <w:rsid w:val="009A145C"/>
    <w:rsid w:val="009A149C"/>
    <w:rsid w:val="009A14EE"/>
    <w:rsid w:val="009A152A"/>
    <w:rsid w:val="009A15D9"/>
    <w:rsid w:val="009A15DE"/>
    <w:rsid w:val="009A1633"/>
    <w:rsid w:val="009A1635"/>
    <w:rsid w:val="009A1640"/>
    <w:rsid w:val="009A16E2"/>
    <w:rsid w:val="009A17BD"/>
    <w:rsid w:val="009A1814"/>
    <w:rsid w:val="009A1834"/>
    <w:rsid w:val="009A1875"/>
    <w:rsid w:val="009A1890"/>
    <w:rsid w:val="009A19B2"/>
    <w:rsid w:val="009A1A18"/>
    <w:rsid w:val="009A1ADE"/>
    <w:rsid w:val="009A1C98"/>
    <w:rsid w:val="009A1D0E"/>
    <w:rsid w:val="009A1DD2"/>
    <w:rsid w:val="009A1DDD"/>
    <w:rsid w:val="009A1E2F"/>
    <w:rsid w:val="009A1E68"/>
    <w:rsid w:val="009A1EBC"/>
    <w:rsid w:val="009A1EFA"/>
    <w:rsid w:val="009A1F11"/>
    <w:rsid w:val="009A1FAD"/>
    <w:rsid w:val="009A20DF"/>
    <w:rsid w:val="009A21AA"/>
    <w:rsid w:val="009A2278"/>
    <w:rsid w:val="009A2288"/>
    <w:rsid w:val="009A2290"/>
    <w:rsid w:val="009A235E"/>
    <w:rsid w:val="009A237B"/>
    <w:rsid w:val="009A2399"/>
    <w:rsid w:val="009A23C8"/>
    <w:rsid w:val="009A23FC"/>
    <w:rsid w:val="009A241F"/>
    <w:rsid w:val="009A24D9"/>
    <w:rsid w:val="009A24ED"/>
    <w:rsid w:val="009A257C"/>
    <w:rsid w:val="009A25A9"/>
    <w:rsid w:val="009A2600"/>
    <w:rsid w:val="009A26B7"/>
    <w:rsid w:val="009A2712"/>
    <w:rsid w:val="009A274C"/>
    <w:rsid w:val="009A27C6"/>
    <w:rsid w:val="009A2814"/>
    <w:rsid w:val="009A297E"/>
    <w:rsid w:val="009A2A1E"/>
    <w:rsid w:val="009A2A66"/>
    <w:rsid w:val="009A2A7A"/>
    <w:rsid w:val="009A2ACF"/>
    <w:rsid w:val="009A2B50"/>
    <w:rsid w:val="009A2B8B"/>
    <w:rsid w:val="009A2B93"/>
    <w:rsid w:val="009A2B98"/>
    <w:rsid w:val="009A2D66"/>
    <w:rsid w:val="009A2E19"/>
    <w:rsid w:val="009A2E2D"/>
    <w:rsid w:val="009A2E3C"/>
    <w:rsid w:val="009A2EEA"/>
    <w:rsid w:val="009A2F4D"/>
    <w:rsid w:val="009A2FB1"/>
    <w:rsid w:val="009A2FB4"/>
    <w:rsid w:val="009A2FD5"/>
    <w:rsid w:val="009A3010"/>
    <w:rsid w:val="009A3032"/>
    <w:rsid w:val="009A30E0"/>
    <w:rsid w:val="009A3129"/>
    <w:rsid w:val="009A3157"/>
    <w:rsid w:val="009A31D4"/>
    <w:rsid w:val="009A3227"/>
    <w:rsid w:val="009A3274"/>
    <w:rsid w:val="009A327C"/>
    <w:rsid w:val="009A32BA"/>
    <w:rsid w:val="009A32F1"/>
    <w:rsid w:val="009A3310"/>
    <w:rsid w:val="009A335E"/>
    <w:rsid w:val="009A3363"/>
    <w:rsid w:val="009A355A"/>
    <w:rsid w:val="009A3685"/>
    <w:rsid w:val="009A37A4"/>
    <w:rsid w:val="009A388C"/>
    <w:rsid w:val="009A38DD"/>
    <w:rsid w:val="009A398B"/>
    <w:rsid w:val="009A39B7"/>
    <w:rsid w:val="009A39C3"/>
    <w:rsid w:val="009A3AD5"/>
    <w:rsid w:val="009A3B2A"/>
    <w:rsid w:val="009A3CA2"/>
    <w:rsid w:val="009A3CFA"/>
    <w:rsid w:val="009A3D02"/>
    <w:rsid w:val="009A3DA1"/>
    <w:rsid w:val="009A3E11"/>
    <w:rsid w:val="009A3EAA"/>
    <w:rsid w:val="009A3EF3"/>
    <w:rsid w:val="009A3F02"/>
    <w:rsid w:val="009A3F1B"/>
    <w:rsid w:val="009A3F2E"/>
    <w:rsid w:val="009A3F4D"/>
    <w:rsid w:val="009A4050"/>
    <w:rsid w:val="009A40D1"/>
    <w:rsid w:val="009A418C"/>
    <w:rsid w:val="009A41A9"/>
    <w:rsid w:val="009A423F"/>
    <w:rsid w:val="009A428B"/>
    <w:rsid w:val="009A42DA"/>
    <w:rsid w:val="009A4307"/>
    <w:rsid w:val="009A4357"/>
    <w:rsid w:val="009A4369"/>
    <w:rsid w:val="009A442A"/>
    <w:rsid w:val="009A452C"/>
    <w:rsid w:val="009A453A"/>
    <w:rsid w:val="009A4543"/>
    <w:rsid w:val="009A45D5"/>
    <w:rsid w:val="009A4611"/>
    <w:rsid w:val="009A4632"/>
    <w:rsid w:val="009A4817"/>
    <w:rsid w:val="009A48BC"/>
    <w:rsid w:val="009A48E2"/>
    <w:rsid w:val="009A4A15"/>
    <w:rsid w:val="009A4A74"/>
    <w:rsid w:val="009A4ABF"/>
    <w:rsid w:val="009A4AD8"/>
    <w:rsid w:val="009A4B17"/>
    <w:rsid w:val="009A4B9A"/>
    <w:rsid w:val="009A4CA4"/>
    <w:rsid w:val="009A4DAD"/>
    <w:rsid w:val="009A4DC2"/>
    <w:rsid w:val="009A4E4F"/>
    <w:rsid w:val="009A4EB5"/>
    <w:rsid w:val="009A4EBD"/>
    <w:rsid w:val="009A4EFF"/>
    <w:rsid w:val="009A4F04"/>
    <w:rsid w:val="009A4F62"/>
    <w:rsid w:val="009A4FA1"/>
    <w:rsid w:val="009A513A"/>
    <w:rsid w:val="009A515A"/>
    <w:rsid w:val="009A519B"/>
    <w:rsid w:val="009A5239"/>
    <w:rsid w:val="009A530F"/>
    <w:rsid w:val="009A534F"/>
    <w:rsid w:val="009A53DC"/>
    <w:rsid w:val="009A551A"/>
    <w:rsid w:val="009A566E"/>
    <w:rsid w:val="009A570B"/>
    <w:rsid w:val="009A57AB"/>
    <w:rsid w:val="009A57FB"/>
    <w:rsid w:val="009A5839"/>
    <w:rsid w:val="009A5883"/>
    <w:rsid w:val="009A58B1"/>
    <w:rsid w:val="009A58FE"/>
    <w:rsid w:val="009A5941"/>
    <w:rsid w:val="009A594A"/>
    <w:rsid w:val="009A5986"/>
    <w:rsid w:val="009A59F0"/>
    <w:rsid w:val="009A5A0E"/>
    <w:rsid w:val="009A5A5F"/>
    <w:rsid w:val="009A5AEC"/>
    <w:rsid w:val="009A5C99"/>
    <w:rsid w:val="009A5F31"/>
    <w:rsid w:val="009A5FDB"/>
    <w:rsid w:val="009A6129"/>
    <w:rsid w:val="009A6155"/>
    <w:rsid w:val="009A615C"/>
    <w:rsid w:val="009A620F"/>
    <w:rsid w:val="009A6225"/>
    <w:rsid w:val="009A624B"/>
    <w:rsid w:val="009A626C"/>
    <w:rsid w:val="009A636D"/>
    <w:rsid w:val="009A640B"/>
    <w:rsid w:val="009A6428"/>
    <w:rsid w:val="009A6451"/>
    <w:rsid w:val="009A648F"/>
    <w:rsid w:val="009A65EF"/>
    <w:rsid w:val="009A6647"/>
    <w:rsid w:val="009A6653"/>
    <w:rsid w:val="009A66EF"/>
    <w:rsid w:val="009A6732"/>
    <w:rsid w:val="009A67F5"/>
    <w:rsid w:val="009A686B"/>
    <w:rsid w:val="009A6929"/>
    <w:rsid w:val="009A6963"/>
    <w:rsid w:val="009A6A96"/>
    <w:rsid w:val="009A6AEC"/>
    <w:rsid w:val="009A6AF3"/>
    <w:rsid w:val="009A6B01"/>
    <w:rsid w:val="009A6B30"/>
    <w:rsid w:val="009A6B4F"/>
    <w:rsid w:val="009A6B86"/>
    <w:rsid w:val="009A6C74"/>
    <w:rsid w:val="009A6C84"/>
    <w:rsid w:val="009A6C9F"/>
    <w:rsid w:val="009A6CA1"/>
    <w:rsid w:val="009A6D36"/>
    <w:rsid w:val="009A6D6A"/>
    <w:rsid w:val="009A6E0D"/>
    <w:rsid w:val="009A6E27"/>
    <w:rsid w:val="009A6E44"/>
    <w:rsid w:val="009A6E79"/>
    <w:rsid w:val="009A6E8A"/>
    <w:rsid w:val="009A7079"/>
    <w:rsid w:val="009A70B2"/>
    <w:rsid w:val="009A7108"/>
    <w:rsid w:val="009A7242"/>
    <w:rsid w:val="009A73A8"/>
    <w:rsid w:val="009A73B0"/>
    <w:rsid w:val="009A73D0"/>
    <w:rsid w:val="009A73EF"/>
    <w:rsid w:val="009A7401"/>
    <w:rsid w:val="009A744E"/>
    <w:rsid w:val="009A74DA"/>
    <w:rsid w:val="009A75C2"/>
    <w:rsid w:val="009A75E6"/>
    <w:rsid w:val="009A75FF"/>
    <w:rsid w:val="009A76DF"/>
    <w:rsid w:val="009A776F"/>
    <w:rsid w:val="009A7801"/>
    <w:rsid w:val="009A786C"/>
    <w:rsid w:val="009A78EA"/>
    <w:rsid w:val="009A7989"/>
    <w:rsid w:val="009A79A2"/>
    <w:rsid w:val="009A79F0"/>
    <w:rsid w:val="009A7A0A"/>
    <w:rsid w:val="009A7A11"/>
    <w:rsid w:val="009A7A25"/>
    <w:rsid w:val="009A7A33"/>
    <w:rsid w:val="009A7AB0"/>
    <w:rsid w:val="009A7AB6"/>
    <w:rsid w:val="009A7ABF"/>
    <w:rsid w:val="009A7ADA"/>
    <w:rsid w:val="009A7AFF"/>
    <w:rsid w:val="009A7B05"/>
    <w:rsid w:val="009A7C0B"/>
    <w:rsid w:val="009A7C75"/>
    <w:rsid w:val="009A7D27"/>
    <w:rsid w:val="009A7D3C"/>
    <w:rsid w:val="009A7DDD"/>
    <w:rsid w:val="009A7E9C"/>
    <w:rsid w:val="009A7EF5"/>
    <w:rsid w:val="009A7FF1"/>
    <w:rsid w:val="009B0055"/>
    <w:rsid w:val="009B00C6"/>
    <w:rsid w:val="009B00F0"/>
    <w:rsid w:val="009B018E"/>
    <w:rsid w:val="009B01B7"/>
    <w:rsid w:val="009B02A7"/>
    <w:rsid w:val="009B0311"/>
    <w:rsid w:val="009B033E"/>
    <w:rsid w:val="009B0383"/>
    <w:rsid w:val="009B04A5"/>
    <w:rsid w:val="009B04BF"/>
    <w:rsid w:val="009B0557"/>
    <w:rsid w:val="009B057A"/>
    <w:rsid w:val="009B062F"/>
    <w:rsid w:val="009B0659"/>
    <w:rsid w:val="009B06C5"/>
    <w:rsid w:val="009B0757"/>
    <w:rsid w:val="009B0788"/>
    <w:rsid w:val="009B079D"/>
    <w:rsid w:val="009B07DB"/>
    <w:rsid w:val="009B07EC"/>
    <w:rsid w:val="009B08F7"/>
    <w:rsid w:val="009B0A1E"/>
    <w:rsid w:val="009B0A84"/>
    <w:rsid w:val="009B0B4D"/>
    <w:rsid w:val="009B0B8A"/>
    <w:rsid w:val="009B0B94"/>
    <w:rsid w:val="009B0B9E"/>
    <w:rsid w:val="009B0BA2"/>
    <w:rsid w:val="009B0BFA"/>
    <w:rsid w:val="009B0C1D"/>
    <w:rsid w:val="009B0C2D"/>
    <w:rsid w:val="009B0C61"/>
    <w:rsid w:val="009B0C77"/>
    <w:rsid w:val="009B0CE2"/>
    <w:rsid w:val="009B0D74"/>
    <w:rsid w:val="009B0DF7"/>
    <w:rsid w:val="009B0E84"/>
    <w:rsid w:val="009B0EE4"/>
    <w:rsid w:val="009B0F8D"/>
    <w:rsid w:val="009B1241"/>
    <w:rsid w:val="009B12EF"/>
    <w:rsid w:val="009B1304"/>
    <w:rsid w:val="009B1356"/>
    <w:rsid w:val="009B1369"/>
    <w:rsid w:val="009B1393"/>
    <w:rsid w:val="009B13C3"/>
    <w:rsid w:val="009B13D1"/>
    <w:rsid w:val="009B14AA"/>
    <w:rsid w:val="009B14DE"/>
    <w:rsid w:val="009B15A0"/>
    <w:rsid w:val="009B1678"/>
    <w:rsid w:val="009B16C5"/>
    <w:rsid w:val="009B1712"/>
    <w:rsid w:val="009B172A"/>
    <w:rsid w:val="009B175D"/>
    <w:rsid w:val="009B17EB"/>
    <w:rsid w:val="009B18A1"/>
    <w:rsid w:val="009B18B0"/>
    <w:rsid w:val="009B19D9"/>
    <w:rsid w:val="009B1A54"/>
    <w:rsid w:val="009B1C09"/>
    <w:rsid w:val="009B1C53"/>
    <w:rsid w:val="009B1CA3"/>
    <w:rsid w:val="009B1DEA"/>
    <w:rsid w:val="009B1E37"/>
    <w:rsid w:val="009B1E6C"/>
    <w:rsid w:val="009B1E72"/>
    <w:rsid w:val="009B1EED"/>
    <w:rsid w:val="009B1EF5"/>
    <w:rsid w:val="009B1F70"/>
    <w:rsid w:val="009B1F76"/>
    <w:rsid w:val="009B1F79"/>
    <w:rsid w:val="009B1F7F"/>
    <w:rsid w:val="009B1FC3"/>
    <w:rsid w:val="009B2002"/>
    <w:rsid w:val="009B2010"/>
    <w:rsid w:val="009B215C"/>
    <w:rsid w:val="009B217A"/>
    <w:rsid w:val="009B21A5"/>
    <w:rsid w:val="009B21D2"/>
    <w:rsid w:val="009B23A4"/>
    <w:rsid w:val="009B2413"/>
    <w:rsid w:val="009B241A"/>
    <w:rsid w:val="009B2452"/>
    <w:rsid w:val="009B24C0"/>
    <w:rsid w:val="009B253E"/>
    <w:rsid w:val="009B25F2"/>
    <w:rsid w:val="009B25FB"/>
    <w:rsid w:val="009B275A"/>
    <w:rsid w:val="009B2796"/>
    <w:rsid w:val="009B27A5"/>
    <w:rsid w:val="009B290C"/>
    <w:rsid w:val="009B29B6"/>
    <w:rsid w:val="009B2AAA"/>
    <w:rsid w:val="009B2C16"/>
    <w:rsid w:val="009B2CDC"/>
    <w:rsid w:val="009B2D15"/>
    <w:rsid w:val="009B2D35"/>
    <w:rsid w:val="009B2E33"/>
    <w:rsid w:val="009B2EF2"/>
    <w:rsid w:val="009B2EFD"/>
    <w:rsid w:val="009B2F2C"/>
    <w:rsid w:val="009B2F2E"/>
    <w:rsid w:val="009B2F70"/>
    <w:rsid w:val="009B3098"/>
    <w:rsid w:val="009B30DE"/>
    <w:rsid w:val="009B3106"/>
    <w:rsid w:val="009B31BE"/>
    <w:rsid w:val="009B3262"/>
    <w:rsid w:val="009B32D0"/>
    <w:rsid w:val="009B3314"/>
    <w:rsid w:val="009B335E"/>
    <w:rsid w:val="009B3382"/>
    <w:rsid w:val="009B3454"/>
    <w:rsid w:val="009B3458"/>
    <w:rsid w:val="009B346B"/>
    <w:rsid w:val="009B34CC"/>
    <w:rsid w:val="009B3518"/>
    <w:rsid w:val="009B3538"/>
    <w:rsid w:val="009B356C"/>
    <w:rsid w:val="009B3591"/>
    <w:rsid w:val="009B364F"/>
    <w:rsid w:val="009B36EB"/>
    <w:rsid w:val="009B36FE"/>
    <w:rsid w:val="009B3709"/>
    <w:rsid w:val="009B373A"/>
    <w:rsid w:val="009B3767"/>
    <w:rsid w:val="009B37CB"/>
    <w:rsid w:val="009B38A4"/>
    <w:rsid w:val="009B38E8"/>
    <w:rsid w:val="009B39CF"/>
    <w:rsid w:val="009B39EF"/>
    <w:rsid w:val="009B39F7"/>
    <w:rsid w:val="009B3A51"/>
    <w:rsid w:val="009B3A98"/>
    <w:rsid w:val="009B3B1A"/>
    <w:rsid w:val="009B3BF4"/>
    <w:rsid w:val="009B3C0F"/>
    <w:rsid w:val="009B3C62"/>
    <w:rsid w:val="009B3C6C"/>
    <w:rsid w:val="009B3CC0"/>
    <w:rsid w:val="009B3CC2"/>
    <w:rsid w:val="009B3D11"/>
    <w:rsid w:val="009B3D1A"/>
    <w:rsid w:val="009B3D8C"/>
    <w:rsid w:val="009B3DE8"/>
    <w:rsid w:val="009B3E52"/>
    <w:rsid w:val="009B3E96"/>
    <w:rsid w:val="009B3EC4"/>
    <w:rsid w:val="009B3EF5"/>
    <w:rsid w:val="009B3EF8"/>
    <w:rsid w:val="009B3F35"/>
    <w:rsid w:val="009B3F69"/>
    <w:rsid w:val="009B3F7B"/>
    <w:rsid w:val="009B3FD9"/>
    <w:rsid w:val="009B408E"/>
    <w:rsid w:val="009B40FB"/>
    <w:rsid w:val="009B414D"/>
    <w:rsid w:val="009B415B"/>
    <w:rsid w:val="009B41DF"/>
    <w:rsid w:val="009B4299"/>
    <w:rsid w:val="009B42E1"/>
    <w:rsid w:val="009B43B2"/>
    <w:rsid w:val="009B44A7"/>
    <w:rsid w:val="009B4565"/>
    <w:rsid w:val="009B457F"/>
    <w:rsid w:val="009B466F"/>
    <w:rsid w:val="009B467C"/>
    <w:rsid w:val="009B4731"/>
    <w:rsid w:val="009B474D"/>
    <w:rsid w:val="009B4823"/>
    <w:rsid w:val="009B484D"/>
    <w:rsid w:val="009B4856"/>
    <w:rsid w:val="009B487E"/>
    <w:rsid w:val="009B48C8"/>
    <w:rsid w:val="009B48FF"/>
    <w:rsid w:val="009B4915"/>
    <w:rsid w:val="009B492B"/>
    <w:rsid w:val="009B4956"/>
    <w:rsid w:val="009B4968"/>
    <w:rsid w:val="009B498F"/>
    <w:rsid w:val="009B4A3E"/>
    <w:rsid w:val="009B4A53"/>
    <w:rsid w:val="009B4A78"/>
    <w:rsid w:val="009B4B06"/>
    <w:rsid w:val="009B4B89"/>
    <w:rsid w:val="009B4C9C"/>
    <w:rsid w:val="009B4DCD"/>
    <w:rsid w:val="009B4DFA"/>
    <w:rsid w:val="009B4E70"/>
    <w:rsid w:val="009B4EBF"/>
    <w:rsid w:val="009B4EF4"/>
    <w:rsid w:val="009B4FCD"/>
    <w:rsid w:val="009B4FDA"/>
    <w:rsid w:val="009B5138"/>
    <w:rsid w:val="009B51DF"/>
    <w:rsid w:val="009B51ED"/>
    <w:rsid w:val="009B5301"/>
    <w:rsid w:val="009B5316"/>
    <w:rsid w:val="009B5320"/>
    <w:rsid w:val="009B53C6"/>
    <w:rsid w:val="009B5405"/>
    <w:rsid w:val="009B55EF"/>
    <w:rsid w:val="009B560F"/>
    <w:rsid w:val="009B569D"/>
    <w:rsid w:val="009B56D3"/>
    <w:rsid w:val="009B579A"/>
    <w:rsid w:val="009B57B8"/>
    <w:rsid w:val="009B57D1"/>
    <w:rsid w:val="009B57D9"/>
    <w:rsid w:val="009B57DE"/>
    <w:rsid w:val="009B5883"/>
    <w:rsid w:val="009B58F6"/>
    <w:rsid w:val="009B5984"/>
    <w:rsid w:val="009B59E5"/>
    <w:rsid w:val="009B5B38"/>
    <w:rsid w:val="009B5B39"/>
    <w:rsid w:val="009B5B45"/>
    <w:rsid w:val="009B5B84"/>
    <w:rsid w:val="009B5B8D"/>
    <w:rsid w:val="009B5BFA"/>
    <w:rsid w:val="009B5C35"/>
    <w:rsid w:val="009B5C97"/>
    <w:rsid w:val="009B5CE8"/>
    <w:rsid w:val="009B5D08"/>
    <w:rsid w:val="009B5D75"/>
    <w:rsid w:val="009B5EA8"/>
    <w:rsid w:val="009B60FC"/>
    <w:rsid w:val="009B6142"/>
    <w:rsid w:val="009B61B4"/>
    <w:rsid w:val="009B61B6"/>
    <w:rsid w:val="009B6209"/>
    <w:rsid w:val="009B622B"/>
    <w:rsid w:val="009B634D"/>
    <w:rsid w:val="009B63F4"/>
    <w:rsid w:val="009B6499"/>
    <w:rsid w:val="009B64E0"/>
    <w:rsid w:val="009B6519"/>
    <w:rsid w:val="009B656C"/>
    <w:rsid w:val="009B6594"/>
    <w:rsid w:val="009B6623"/>
    <w:rsid w:val="009B6678"/>
    <w:rsid w:val="009B6796"/>
    <w:rsid w:val="009B6839"/>
    <w:rsid w:val="009B6876"/>
    <w:rsid w:val="009B6886"/>
    <w:rsid w:val="009B6A4A"/>
    <w:rsid w:val="009B6A5D"/>
    <w:rsid w:val="009B6B0F"/>
    <w:rsid w:val="009B6B3C"/>
    <w:rsid w:val="009B6B46"/>
    <w:rsid w:val="009B6B57"/>
    <w:rsid w:val="009B6C10"/>
    <w:rsid w:val="009B6C35"/>
    <w:rsid w:val="009B6C47"/>
    <w:rsid w:val="009B6C83"/>
    <w:rsid w:val="009B6CBE"/>
    <w:rsid w:val="009B6CE0"/>
    <w:rsid w:val="009B6E0A"/>
    <w:rsid w:val="009B6E79"/>
    <w:rsid w:val="009B6F28"/>
    <w:rsid w:val="009B6FDB"/>
    <w:rsid w:val="009B6FE8"/>
    <w:rsid w:val="009B7003"/>
    <w:rsid w:val="009B700B"/>
    <w:rsid w:val="009B703A"/>
    <w:rsid w:val="009B7064"/>
    <w:rsid w:val="009B70E7"/>
    <w:rsid w:val="009B70EA"/>
    <w:rsid w:val="009B719D"/>
    <w:rsid w:val="009B71E1"/>
    <w:rsid w:val="009B71E6"/>
    <w:rsid w:val="009B72F0"/>
    <w:rsid w:val="009B7330"/>
    <w:rsid w:val="009B7376"/>
    <w:rsid w:val="009B73DD"/>
    <w:rsid w:val="009B73E4"/>
    <w:rsid w:val="009B7422"/>
    <w:rsid w:val="009B757F"/>
    <w:rsid w:val="009B75AB"/>
    <w:rsid w:val="009B7615"/>
    <w:rsid w:val="009B76E4"/>
    <w:rsid w:val="009B7866"/>
    <w:rsid w:val="009B78BB"/>
    <w:rsid w:val="009B78E2"/>
    <w:rsid w:val="009B791C"/>
    <w:rsid w:val="009B7A0A"/>
    <w:rsid w:val="009B7A7F"/>
    <w:rsid w:val="009B7B28"/>
    <w:rsid w:val="009B7B55"/>
    <w:rsid w:val="009B7B72"/>
    <w:rsid w:val="009B7B9E"/>
    <w:rsid w:val="009B7C5B"/>
    <w:rsid w:val="009B7D08"/>
    <w:rsid w:val="009B7D09"/>
    <w:rsid w:val="009B7D4E"/>
    <w:rsid w:val="009B7D84"/>
    <w:rsid w:val="009B7DEA"/>
    <w:rsid w:val="009B7E11"/>
    <w:rsid w:val="009B7E59"/>
    <w:rsid w:val="009B7E9A"/>
    <w:rsid w:val="009B7EB7"/>
    <w:rsid w:val="009B7F2C"/>
    <w:rsid w:val="009B7F6E"/>
    <w:rsid w:val="009C00F5"/>
    <w:rsid w:val="009C013B"/>
    <w:rsid w:val="009C019A"/>
    <w:rsid w:val="009C01F5"/>
    <w:rsid w:val="009C0236"/>
    <w:rsid w:val="009C023A"/>
    <w:rsid w:val="009C02B1"/>
    <w:rsid w:val="009C0314"/>
    <w:rsid w:val="009C03BB"/>
    <w:rsid w:val="009C046F"/>
    <w:rsid w:val="009C05D1"/>
    <w:rsid w:val="009C05F3"/>
    <w:rsid w:val="009C065E"/>
    <w:rsid w:val="009C066B"/>
    <w:rsid w:val="009C06BA"/>
    <w:rsid w:val="009C06EB"/>
    <w:rsid w:val="009C082D"/>
    <w:rsid w:val="009C08B5"/>
    <w:rsid w:val="009C08E3"/>
    <w:rsid w:val="009C08E6"/>
    <w:rsid w:val="009C099A"/>
    <w:rsid w:val="009C0A33"/>
    <w:rsid w:val="009C0ABF"/>
    <w:rsid w:val="009C0ACA"/>
    <w:rsid w:val="009C0AED"/>
    <w:rsid w:val="009C0B13"/>
    <w:rsid w:val="009C0BEB"/>
    <w:rsid w:val="009C0C41"/>
    <w:rsid w:val="009C0C79"/>
    <w:rsid w:val="009C0DDE"/>
    <w:rsid w:val="009C0E0F"/>
    <w:rsid w:val="009C0E41"/>
    <w:rsid w:val="009C0E64"/>
    <w:rsid w:val="009C0E6D"/>
    <w:rsid w:val="009C0EC9"/>
    <w:rsid w:val="009C0F30"/>
    <w:rsid w:val="009C0F78"/>
    <w:rsid w:val="009C0F84"/>
    <w:rsid w:val="009C0F94"/>
    <w:rsid w:val="009C0F9C"/>
    <w:rsid w:val="009C0FB3"/>
    <w:rsid w:val="009C0FC0"/>
    <w:rsid w:val="009C0FDE"/>
    <w:rsid w:val="009C1002"/>
    <w:rsid w:val="009C1023"/>
    <w:rsid w:val="009C104B"/>
    <w:rsid w:val="009C1078"/>
    <w:rsid w:val="009C11B8"/>
    <w:rsid w:val="009C11DA"/>
    <w:rsid w:val="009C126D"/>
    <w:rsid w:val="009C12EF"/>
    <w:rsid w:val="009C135F"/>
    <w:rsid w:val="009C13E1"/>
    <w:rsid w:val="009C1564"/>
    <w:rsid w:val="009C15B6"/>
    <w:rsid w:val="009C1605"/>
    <w:rsid w:val="009C1689"/>
    <w:rsid w:val="009C16CC"/>
    <w:rsid w:val="009C16EF"/>
    <w:rsid w:val="009C16F1"/>
    <w:rsid w:val="009C1726"/>
    <w:rsid w:val="009C17AE"/>
    <w:rsid w:val="009C181A"/>
    <w:rsid w:val="009C1996"/>
    <w:rsid w:val="009C1A55"/>
    <w:rsid w:val="009C1A63"/>
    <w:rsid w:val="009C1B22"/>
    <w:rsid w:val="009C1B30"/>
    <w:rsid w:val="009C1B45"/>
    <w:rsid w:val="009C1B6E"/>
    <w:rsid w:val="009C1B90"/>
    <w:rsid w:val="009C1DF8"/>
    <w:rsid w:val="009C1E0E"/>
    <w:rsid w:val="009C1E36"/>
    <w:rsid w:val="009C1E44"/>
    <w:rsid w:val="009C1F61"/>
    <w:rsid w:val="009C1FE9"/>
    <w:rsid w:val="009C2129"/>
    <w:rsid w:val="009C2183"/>
    <w:rsid w:val="009C232B"/>
    <w:rsid w:val="009C2443"/>
    <w:rsid w:val="009C2457"/>
    <w:rsid w:val="009C2460"/>
    <w:rsid w:val="009C246D"/>
    <w:rsid w:val="009C2483"/>
    <w:rsid w:val="009C24BE"/>
    <w:rsid w:val="009C2589"/>
    <w:rsid w:val="009C259F"/>
    <w:rsid w:val="009C25C0"/>
    <w:rsid w:val="009C25CA"/>
    <w:rsid w:val="009C2609"/>
    <w:rsid w:val="009C262B"/>
    <w:rsid w:val="009C26C2"/>
    <w:rsid w:val="009C26C5"/>
    <w:rsid w:val="009C270F"/>
    <w:rsid w:val="009C27C2"/>
    <w:rsid w:val="009C290D"/>
    <w:rsid w:val="009C2B45"/>
    <w:rsid w:val="009C2C25"/>
    <w:rsid w:val="009C2C41"/>
    <w:rsid w:val="009C2C68"/>
    <w:rsid w:val="009C2CCA"/>
    <w:rsid w:val="009C2CCE"/>
    <w:rsid w:val="009C2DAA"/>
    <w:rsid w:val="009C2DC8"/>
    <w:rsid w:val="009C2DE0"/>
    <w:rsid w:val="009C2E57"/>
    <w:rsid w:val="009C2E8E"/>
    <w:rsid w:val="009C2F10"/>
    <w:rsid w:val="009C2F94"/>
    <w:rsid w:val="009C2FE1"/>
    <w:rsid w:val="009C301B"/>
    <w:rsid w:val="009C30E8"/>
    <w:rsid w:val="009C3121"/>
    <w:rsid w:val="009C317C"/>
    <w:rsid w:val="009C3218"/>
    <w:rsid w:val="009C326D"/>
    <w:rsid w:val="009C32B1"/>
    <w:rsid w:val="009C337E"/>
    <w:rsid w:val="009C349A"/>
    <w:rsid w:val="009C34FA"/>
    <w:rsid w:val="009C3506"/>
    <w:rsid w:val="009C3625"/>
    <w:rsid w:val="009C3784"/>
    <w:rsid w:val="009C3874"/>
    <w:rsid w:val="009C387C"/>
    <w:rsid w:val="009C38B7"/>
    <w:rsid w:val="009C395E"/>
    <w:rsid w:val="009C39B7"/>
    <w:rsid w:val="009C3AF0"/>
    <w:rsid w:val="009C3B14"/>
    <w:rsid w:val="009C3C29"/>
    <w:rsid w:val="009C3C90"/>
    <w:rsid w:val="009C3CD5"/>
    <w:rsid w:val="009C3DCD"/>
    <w:rsid w:val="009C3E00"/>
    <w:rsid w:val="009C3E7B"/>
    <w:rsid w:val="009C3F3E"/>
    <w:rsid w:val="009C3F61"/>
    <w:rsid w:val="009C3F94"/>
    <w:rsid w:val="009C3FF1"/>
    <w:rsid w:val="009C4068"/>
    <w:rsid w:val="009C419E"/>
    <w:rsid w:val="009C4234"/>
    <w:rsid w:val="009C4250"/>
    <w:rsid w:val="009C435C"/>
    <w:rsid w:val="009C43B7"/>
    <w:rsid w:val="009C440A"/>
    <w:rsid w:val="009C442A"/>
    <w:rsid w:val="009C446E"/>
    <w:rsid w:val="009C447B"/>
    <w:rsid w:val="009C4498"/>
    <w:rsid w:val="009C4509"/>
    <w:rsid w:val="009C4623"/>
    <w:rsid w:val="009C464D"/>
    <w:rsid w:val="009C46A2"/>
    <w:rsid w:val="009C46F6"/>
    <w:rsid w:val="009C46FB"/>
    <w:rsid w:val="009C47BF"/>
    <w:rsid w:val="009C4856"/>
    <w:rsid w:val="009C48D4"/>
    <w:rsid w:val="009C490F"/>
    <w:rsid w:val="009C494B"/>
    <w:rsid w:val="009C4A2A"/>
    <w:rsid w:val="009C4BC1"/>
    <w:rsid w:val="009C4C12"/>
    <w:rsid w:val="009C4C1D"/>
    <w:rsid w:val="009C4CB4"/>
    <w:rsid w:val="009C4CFB"/>
    <w:rsid w:val="009C4D5E"/>
    <w:rsid w:val="009C4D7F"/>
    <w:rsid w:val="009C4DE2"/>
    <w:rsid w:val="009C4E33"/>
    <w:rsid w:val="009C4EAA"/>
    <w:rsid w:val="009C4EBB"/>
    <w:rsid w:val="009C4EEC"/>
    <w:rsid w:val="009C4F21"/>
    <w:rsid w:val="009C503B"/>
    <w:rsid w:val="009C5051"/>
    <w:rsid w:val="009C50FD"/>
    <w:rsid w:val="009C5124"/>
    <w:rsid w:val="009C5153"/>
    <w:rsid w:val="009C5171"/>
    <w:rsid w:val="009C5253"/>
    <w:rsid w:val="009C5272"/>
    <w:rsid w:val="009C5362"/>
    <w:rsid w:val="009C536E"/>
    <w:rsid w:val="009C5398"/>
    <w:rsid w:val="009C542A"/>
    <w:rsid w:val="009C549D"/>
    <w:rsid w:val="009C5616"/>
    <w:rsid w:val="009C5638"/>
    <w:rsid w:val="009C5788"/>
    <w:rsid w:val="009C579E"/>
    <w:rsid w:val="009C57DC"/>
    <w:rsid w:val="009C57F2"/>
    <w:rsid w:val="009C586F"/>
    <w:rsid w:val="009C589E"/>
    <w:rsid w:val="009C58FF"/>
    <w:rsid w:val="009C5923"/>
    <w:rsid w:val="009C5973"/>
    <w:rsid w:val="009C5A9A"/>
    <w:rsid w:val="009C5A9E"/>
    <w:rsid w:val="009C5AA0"/>
    <w:rsid w:val="009C5BD6"/>
    <w:rsid w:val="009C5C20"/>
    <w:rsid w:val="009C5D0E"/>
    <w:rsid w:val="009C5D48"/>
    <w:rsid w:val="009C5D87"/>
    <w:rsid w:val="009C5D8A"/>
    <w:rsid w:val="009C5E72"/>
    <w:rsid w:val="009C5EA7"/>
    <w:rsid w:val="009C5F53"/>
    <w:rsid w:val="009C5F86"/>
    <w:rsid w:val="009C5FA8"/>
    <w:rsid w:val="009C5FE6"/>
    <w:rsid w:val="009C602C"/>
    <w:rsid w:val="009C60A0"/>
    <w:rsid w:val="009C6103"/>
    <w:rsid w:val="009C6129"/>
    <w:rsid w:val="009C6210"/>
    <w:rsid w:val="009C62A5"/>
    <w:rsid w:val="009C62A7"/>
    <w:rsid w:val="009C62AF"/>
    <w:rsid w:val="009C62D6"/>
    <w:rsid w:val="009C632A"/>
    <w:rsid w:val="009C63A6"/>
    <w:rsid w:val="009C63D5"/>
    <w:rsid w:val="009C6411"/>
    <w:rsid w:val="009C643B"/>
    <w:rsid w:val="009C6477"/>
    <w:rsid w:val="009C64D0"/>
    <w:rsid w:val="009C64D5"/>
    <w:rsid w:val="009C65E1"/>
    <w:rsid w:val="009C65F2"/>
    <w:rsid w:val="009C6629"/>
    <w:rsid w:val="009C66D8"/>
    <w:rsid w:val="009C67D8"/>
    <w:rsid w:val="009C6849"/>
    <w:rsid w:val="009C6874"/>
    <w:rsid w:val="009C6938"/>
    <w:rsid w:val="009C69EC"/>
    <w:rsid w:val="009C6A77"/>
    <w:rsid w:val="009C6B08"/>
    <w:rsid w:val="009C6C8A"/>
    <w:rsid w:val="009C6C8B"/>
    <w:rsid w:val="009C6C9C"/>
    <w:rsid w:val="009C6DA1"/>
    <w:rsid w:val="009C6E2E"/>
    <w:rsid w:val="009C6E38"/>
    <w:rsid w:val="009C6E77"/>
    <w:rsid w:val="009C6EA7"/>
    <w:rsid w:val="009C6EB0"/>
    <w:rsid w:val="009C6F1D"/>
    <w:rsid w:val="009C7108"/>
    <w:rsid w:val="009C711B"/>
    <w:rsid w:val="009C717A"/>
    <w:rsid w:val="009C71DA"/>
    <w:rsid w:val="009C726F"/>
    <w:rsid w:val="009C72B5"/>
    <w:rsid w:val="009C754D"/>
    <w:rsid w:val="009C7690"/>
    <w:rsid w:val="009C77CA"/>
    <w:rsid w:val="009C7810"/>
    <w:rsid w:val="009C7831"/>
    <w:rsid w:val="009C785B"/>
    <w:rsid w:val="009C78AC"/>
    <w:rsid w:val="009C78C2"/>
    <w:rsid w:val="009C78D7"/>
    <w:rsid w:val="009C78F3"/>
    <w:rsid w:val="009C799A"/>
    <w:rsid w:val="009C7AE8"/>
    <w:rsid w:val="009C7B1D"/>
    <w:rsid w:val="009C7B72"/>
    <w:rsid w:val="009C7BAF"/>
    <w:rsid w:val="009C7C2C"/>
    <w:rsid w:val="009C7C7A"/>
    <w:rsid w:val="009C7D2D"/>
    <w:rsid w:val="009C7D4D"/>
    <w:rsid w:val="009C7D56"/>
    <w:rsid w:val="009C7D5A"/>
    <w:rsid w:val="009C7D6F"/>
    <w:rsid w:val="009C7DCA"/>
    <w:rsid w:val="009C7E16"/>
    <w:rsid w:val="009C7E51"/>
    <w:rsid w:val="009C7EA3"/>
    <w:rsid w:val="009C7EAF"/>
    <w:rsid w:val="009C7EB0"/>
    <w:rsid w:val="009C7EC3"/>
    <w:rsid w:val="009C7EC6"/>
    <w:rsid w:val="009C7F3B"/>
    <w:rsid w:val="009C7F57"/>
    <w:rsid w:val="009C7F8D"/>
    <w:rsid w:val="009D0092"/>
    <w:rsid w:val="009D00CF"/>
    <w:rsid w:val="009D00DA"/>
    <w:rsid w:val="009D00EB"/>
    <w:rsid w:val="009D0145"/>
    <w:rsid w:val="009D01A5"/>
    <w:rsid w:val="009D01D2"/>
    <w:rsid w:val="009D0314"/>
    <w:rsid w:val="009D034E"/>
    <w:rsid w:val="009D03B1"/>
    <w:rsid w:val="009D03DC"/>
    <w:rsid w:val="009D041B"/>
    <w:rsid w:val="009D045D"/>
    <w:rsid w:val="009D048A"/>
    <w:rsid w:val="009D04D0"/>
    <w:rsid w:val="009D0550"/>
    <w:rsid w:val="009D0662"/>
    <w:rsid w:val="009D0675"/>
    <w:rsid w:val="009D07F1"/>
    <w:rsid w:val="009D08F5"/>
    <w:rsid w:val="009D099B"/>
    <w:rsid w:val="009D0A52"/>
    <w:rsid w:val="009D0AA5"/>
    <w:rsid w:val="009D0B1A"/>
    <w:rsid w:val="009D0B49"/>
    <w:rsid w:val="009D0B4F"/>
    <w:rsid w:val="009D0B64"/>
    <w:rsid w:val="009D0B84"/>
    <w:rsid w:val="009D0BAE"/>
    <w:rsid w:val="009D0C4A"/>
    <w:rsid w:val="009D0CAE"/>
    <w:rsid w:val="009D0D5B"/>
    <w:rsid w:val="009D0DD3"/>
    <w:rsid w:val="009D0E39"/>
    <w:rsid w:val="009D0E3D"/>
    <w:rsid w:val="009D0EF0"/>
    <w:rsid w:val="009D0F07"/>
    <w:rsid w:val="009D0F50"/>
    <w:rsid w:val="009D0FB1"/>
    <w:rsid w:val="009D10C9"/>
    <w:rsid w:val="009D10D2"/>
    <w:rsid w:val="009D1153"/>
    <w:rsid w:val="009D1326"/>
    <w:rsid w:val="009D13D7"/>
    <w:rsid w:val="009D13F8"/>
    <w:rsid w:val="009D160A"/>
    <w:rsid w:val="009D1784"/>
    <w:rsid w:val="009D1886"/>
    <w:rsid w:val="009D1890"/>
    <w:rsid w:val="009D18AA"/>
    <w:rsid w:val="009D18C4"/>
    <w:rsid w:val="009D1927"/>
    <w:rsid w:val="009D1941"/>
    <w:rsid w:val="009D1957"/>
    <w:rsid w:val="009D199D"/>
    <w:rsid w:val="009D1B7B"/>
    <w:rsid w:val="009D1B88"/>
    <w:rsid w:val="009D1CD1"/>
    <w:rsid w:val="009D1D19"/>
    <w:rsid w:val="009D1DE1"/>
    <w:rsid w:val="009D1DF6"/>
    <w:rsid w:val="009D1E08"/>
    <w:rsid w:val="009D1EE3"/>
    <w:rsid w:val="009D1F83"/>
    <w:rsid w:val="009D1FBA"/>
    <w:rsid w:val="009D1FE1"/>
    <w:rsid w:val="009D1FF1"/>
    <w:rsid w:val="009D1FF2"/>
    <w:rsid w:val="009D200A"/>
    <w:rsid w:val="009D2013"/>
    <w:rsid w:val="009D201A"/>
    <w:rsid w:val="009D2064"/>
    <w:rsid w:val="009D2065"/>
    <w:rsid w:val="009D2143"/>
    <w:rsid w:val="009D2150"/>
    <w:rsid w:val="009D218B"/>
    <w:rsid w:val="009D2283"/>
    <w:rsid w:val="009D22DE"/>
    <w:rsid w:val="009D2317"/>
    <w:rsid w:val="009D2376"/>
    <w:rsid w:val="009D23D6"/>
    <w:rsid w:val="009D23F2"/>
    <w:rsid w:val="009D2535"/>
    <w:rsid w:val="009D2543"/>
    <w:rsid w:val="009D2559"/>
    <w:rsid w:val="009D2561"/>
    <w:rsid w:val="009D28C9"/>
    <w:rsid w:val="009D2904"/>
    <w:rsid w:val="009D2906"/>
    <w:rsid w:val="009D29B3"/>
    <w:rsid w:val="009D2A14"/>
    <w:rsid w:val="009D2B3C"/>
    <w:rsid w:val="009D2BB1"/>
    <w:rsid w:val="009D2BB7"/>
    <w:rsid w:val="009D2BDB"/>
    <w:rsid w:val="009D2BE4"/>
    <w:rsid w:val="009D2C0A"/>
    <w:rsid w:val="009D2D23"/>
    <w:rsid w:val="009D2D3E"/>
    <w:rsid w:val="009D2DE6"/>
    <w:rsid w:val="009D2DF9"/>
    <w:rsid w:val="009D2E12"/>
    <w:rsid w:val="009D2E58"/>
    <w:rsid w:val="009D2EAD"/>
    <w:rsid w:val="009D2F51"/>
    <w:rsid w:val="009D3082"/>
    <w:rsid w:val="009D30CA"/>
    <w:rsid w:val="009D30D0"/>
    <w:rsid w:val="009D3132"/>
    <w:rsid w:val="009D3171"/>
    <w:rsid w:val="009D319F"/>
    <w:rsid w:val="009D321B"/>
    <w:rsid w:val="009D321C"/>
    <w:rsid w:val="009D3262"/>
    <w:rsid w:val="009D3273"/>
    <w:rsid w:val="009D32C3"/>
    <w:rsid w:val="009D32D8"/>
    <w:rsid w:val="009D3382"/>
    <w:rsid w:val="009D34AF"/>
    <w:rsid w:val="009D35C3"/>
    <w:rsid w:val="009D35E6"/>
    <w:rsid w:val="009D3638"/>
    <w:rsid w:val="009D367A"/>
    <w:rsid w:val="009D375A"/>
    <w:rsid w:val="009D3772"/>
    <w:rsid w:val="009D37BC"/>
    <w:rsid w:val="009D37D3"/>
    <w:rsid w:val="009D3830"/>
    <w:rsid w:val="009D3890"/>
    <w:rsid w:val="009D3931"/>
    <w:rsid w:val="009D39B0"/>
    <w:rsid w:val="009D39E9"/>
    <w:rsid w:val="009D3A0D"/>
    <w:rsid w:val="009D3A18"/>
    <w:rsid w:val="009D3A93"/>
    <w:rsid w:val="009D3ACB"/>
    <w:rsid w:val="009D3AD8"/>
    <w:rsid w:val="009D3B09"/>
    <w:rsid w:val="009D3B33"/>
    <w:rsid w:val="009D3C41"/>
    <w:rsid w:val="009D3C50"/>
    <w:rsid w:val="009D3CA4"/>
    <w:rsid w:val="009D3D3A"/>
    <w:rsid w:val="009D3D9E"/>
    <w:rsid w:val="009D3EEC"/>
    <w:rsid w:val="009D3F45"/>
    <w:rsid w:val="009D3F7A"/>
    <w:rsid w:val="009D4055"/>
    <w:rsid w:val="009D40E5"/>
    <w:rsid w:val="009D4140"/>
    <w:rsid w:val="009D4169"/>
    <w:rsid w:val="009D417D"/>
    <w:rsid w:val="009D41A8"/>
    <w:rsid w:val="009D41CB"/>
    <w:rsid w:val="009D4209"/>
    <w:rsid w:val="009D4378"/>
    <w:rsid w:val="009D43C0"/>
    <w:rsid w:val="009D43DC"/>
    <w:rsid w:val="009D4403"/>
    <w:rsid w:val="009D4441"/>
    <w:rsid w:val="009D4469"/>
    <w:rsid w:val="009D44A7"/>
    <w:rsid w:val="009D44F4"/>
    <w:rsid w:val="009D4550"/>
    <w:rsid w:val="009D45A2"/>
    <w:rsid w:val="009D45BA"/>
    <w:rsid w:val="009D4664"/>
    <w:rsid w:val="009D481A"/>
    <w:rsid w:val="009D48A5"/>
    <w:rsid w:val="009D49D5"/>
    <w:rsid w:val="009D4AEE"/>
    <w:rsid w:val="009D4BED"/>
    <w:rsid w:val="009D4BF1"/>
    <w:rsid w:val="009D4C74"/>
    <w:rsid w:val="009D4D70"/>
    <w:rsid w:val="009D4E4F"/>
    <w:rsid w:val="009D4F3E"/>
    <w:rsid w:val="009D5037"/>
    <w:rsid w:val="009D50FE"/>
    <w:rsid w:val="009D50FF"/>
    <w:rsid w:val="009D510B"/>
    <w:rsid w:val="009D512D"/>
    <w:rsid w:val="009D513B"/>
    <w:rsid w:val="009D5280"/>
    <w:rsid w:val="009D532E"/>
    <w:rsid w:val="009D5348"/>
    <w:rsid w:val="009D537E"/>
    <w:rsid w:val="009D53D0"/>
    <w:rsid w:val="009D540F"/>
    <w:rsid w:val="009D543C"/>
    <w:rsid w:val="009D545F"/>
    <w:rsid w:val="009D54A6"/>
    <w:rsid w:val="009D54AB"/>
    <w:rsid w:val="009D54D1"/>
    <w:rsid w:val="009D551A"/>
    <w:rsid w:val="009D5595"/>
    <w:rsid w:val="009D55BF"/>
    <w:rsid w:val="009D5661"/>
    <w:rsid w:val="009D566C"/>
    <w:rsid w:val="009D56F3"/>
    <w:rsid w:val="009D5709"/>
    <w:rsid w:val="009D572D"/>
    <w:rsid w:val="009D5730"/>
    <w:rsid w:val="009D574D"/>
    <w:rsid w:val="009D577D"/>
    <w:rsid w:val="009D57C8"/>
    <w:rsid w:val="009D588D"/>
    <w:rsid w:val="009D58A5"/>
    <w:rsid w:val="009D592E"/>
    <w:rsid w:val="009D5948"/>
    <w:rsid w:val="009D59F8"/>
    <w:rsid w:val="009D5A02"/>
    <w:rsid w:val="009D5A1A"/>
    <w:rsid w:val="009D5A35"/>
    <w:rsid w:val="009D5A6E"/>
    <w:rsid w:val="009D5BB4"/>
    <w:rsid w:val="009D5C24"/>
    <w:rsid w:val="009D5C40"/>
    <w:rsid w:val="009D5DE5"/>
    <w:rsid w:val="009D5E22"/>
    <w:rsid w:val="009D5E41"/>
    <w:rsid w:val="009D5E8A"/>
    <w:rsid w:val="009D5E94"/>
    <w:rsid w:val="009D5ED9"/>
    <w:rsid w:val="009D5F19"/>
    <w:rsid w:val="009D6079"/>
    <w:rsid w:val="009D60CB"/>
    <w:rsid w:val="009D62CA"/>
    <w:rsid w:val="009D634B"/>
    <w:rsid w:val="009D64EA"/>
    <w:rsid w:val="009D6507"/>
    <w:rsid w:val="009D653A"/>
    <w:rsid w:val="009D65DF"/>
    <w:rsid w:val="009D66F5"/>
    <w:rsid w:val="009D6785"/>
    <w:rsid w:val="009D679C"/>
    <w:rsid w:val="009D67D8"/>
    <w:rsid w:val="009D6808"/>
    <w:rsid w:val="009D68BA"/>
    <w:rsid w:val="009D69C8"/>
    <w:rsid w:val="009D6ABA"/>
    <w:rsid w:val="009D6AC7"/>
    <w:rsid w:val="009D6B36"/>
    <w:rsid w:val="009D6B56"/>
    <w:rsid w:val="009D6BFB"/>
    <w:rsid w:val="009D6C0B"/>
    <w:rsid w:val="009D6C46"/>
    <w:rsid w:val="009D6C7D"/>
    <w:rsid w:val="009D6CAF"/>
    <w:rsid w:val="009D6CBC"/>
    <w:rsid w:val="009D6D78"/>
    <w:rsid w:val="009D6D8D"/>
    <w:rsid w:val="009D6E4B"/>
    <w:rsid w:val="009D6EC8"/>
    <w:rsid w:val="009D6F31"/>
    <w:rsid w:val="009D6F5E"/>
    <w:rsid w:val="009D703D"/>
    <w:rsid w:val="009D708E"/>
    <w:rsid w:val="009D70BC"/>
    <w:rsid w:val="009D71B3"/>
    <w:rsid w:val="009D7246"/>
    <w:rsid w:val="009D724F"/>
    <w:rsid w:val="009D72D3"/>
    <w:rsid w:val="009D7357"/>
    <w:rsid w:val="009D73A8"/>
    <w:rsid w:val="009D73C2"/>
    <w:rsid w:val="009D73D1"/>
    <w:rsid w:val="009D73F6"/>
    <w:rsid w:val="009D74BD"/>
    <w:rsid w:val="009D74FA"/>
    <w:rsid w:val="009D7580"/>
    <w:rsid w:val="009D7674"/>
    <w:rsid w:val="009D76A5"/>
    <w:rsid w:val="009D76CA"/>
    <w:rsid w:val="009D7719"/>
    <w:rsid w:val="009D7847"/>
    <w:rsid w:val="009D7870"/>
    <w:rsid w:val="009D7883"/>
    <w:rsid w:val="009D78FD"/>
    <w:rsid w:val="009D791F"/>
    <w:rsid w:val="009D7952"/>
    <w:rsid w:val="009D7A2D"/>
    <w:rsid w:val="009D7A99"/>
    <w:rsid w:val="009D7B7A"/>
    <w:rsid w:val="009D7BC5"/>
    <w:rsid w:val="009D7C3C"/>
    <w:rsid w:val="009D7C67"/>
    <w:rsid w:val="009D7CBE"/>
    <w:rsid w:val="009D7E21"/>
    <w:rsid w:val="009D7E70"/>
    <w:rsid w:val="009D7E93"/>
    <w:rsid w:val="009D7EF0"/>
    <w:rsid w:val="009D7F31"/>
    <w:rsid w:val="009D7F68"/>
    <w:rsid w:val="009D7F79"/>
    <w:rsid w:val="009E0047"/>
    <w:rsid w:val="009E0078"/>
    <w:rsid w:val="009E00A5"/>
    <w:rsid w:val="009E0100"/>
    <w:rsid w:val="009E012B"/>
    <w:rsid w:val="009E0158"/>
    <w:rsid w:val="009E0194"/>
    <w:rsid w:val="009E01EE"/>
    <w:rsid w:val="009E025C"/>
    <w:rsid w:val="009E0297"/>
    <w:rsid w:val="009E0340"/>
    <w:rsid w:val="009E0389"/>
    <w:rsid w:val="009E03D0"/>
    <w:rsid w:val="009E03F5"/>
    <w:rsid w:val="009E0435"/>
    <w:rsid w:val="009E04D7"/>
    <w:rsid w:val="009E053E"/>
    <w:rsid w:val="009E0585"/>
    <w:rsid w:val="009E058B"/>
    <w:rsid w:val="009E05E9"/>
    <w:rsid w:val="009E0610"/>
    <w:rsid w:val="009E0623"/>
    <w:rsid w:val="009E07CB"/>
    <w:rsid w:val="009E0833"/>
    <w:rsid w:val="009E086C"/>
    <w:rsid w:val="009E08AF"/>
    <w:rsid w:val="009E090C"/>
    <w:rsid w:val="009E094A"/>
    <w:rsid w:val="009E0971"/>
    <w:rsid w:val="009E0A32"/>
    <w:rsid w:val="009E0AE6"/>
    <w:rsid w:val="009E0AF6"/>
    <w:rsid w:val="009E0AFB"/>
    <w:rsid w:val="009E0B29"/>
    <w:rsid w:val="009E0C90"/>
    <w:rsid w:val="009E0CDC"/>
    <w:rsid w:val="009E0D0B"/>
    <w:rsid w:val="009E0D97"/>
    <w:rsid w:val="009E0D9F"/>
    <w:rsid w:val="009E0E9B"/>
    <w:rsid w:val="009E0F4D"/>
    <w:rsid w:val="009E0F76"/>
    <w:rsid w:val="009E0FA5"/>
    <w:rsid w:val="009E0FBC"/>
    <w:rsid w:val="009E0FCE"/>
    <w:rsid w:val="009E0FE3"/>
    <w:rsid w:val="009E1023"/>
    <w:rsid w:val="009E1027"/>
    <w:rsid w:val="009E10CB"/>
    <w:rsid w:val="009E10EB"/>
    <w:rsid w:val="009E1284"/>
    <w:rsid w:val="009E12DC"/>
    <w:rsid w:val="009E1482"/>
    <w:rsid w:val="009E148E"/>
    <w:rsid w:val="009E14EC"/>
    <w:rsid w:val="009E15A1"/>
    <w:rsid w:val="009E15D2"/>
    <w:rsid w:val="009E15EA"/>
    <w:rsid w:val="009E1618"/>
    <w:rsid w:val="009E166C"/>
    <w:rsid w:val="009E1675"/>
    <w:rsid w:val="009E170F"/>
    <w:rsid w:val="009E17C4"/>
    <w:rsid w:val="009E1874"/>
    <w:rsid w:val="009E1929"/>
    <w:rsid w:val="009E19A5"/>
    <w:rsid w:val="009E19F0"/>
    <w:rsid w:val="009E1B7B"/>
    <w:rsid w:val="009E1C2A"/>
    <w:rsid w:val="009E1C50"/>
    <w:rsid w:val="009E1C77"/>
    <w:rsid w:val="009E1CE1"/>
    <w:rsid w:val="009E1D4A"/>
    <w:rsid w:val="009E1D60"/>
    <w:rsid w:val="009E1D68"/>
    <w:rsid w:val="009E1D84"/>
    <w:rsid w:val="009E1D9A"/>
    <w:rsid w:val="009E1DBC"/>
    <w:rsid w:val="009E1EA1"/>
    <w:rsid w:val="009E1EA5"/>
    <w:rsid w:val="009E1EAD"/>
    <w:rsid w:val="009E1F8C"/>
    <w:rsid w:val="009E1FD1"/>
    <w:rsid w:val="009E2020"/>
    <w:rsid w:val="009E20DB"/>
    <w:rsid w:val="009E20E7"/>
    <w:rsid w:val="009E212B"/>
    <w:rsid w:val="009E215D"/>
    <w:rsid w:val="009E2169"/>
    <w:rsid w:val="009E2400"/>
    <w:rsid w:val="009E245D"/>
    <w:rsid w:val="009E2537"/>
    <w:rsid w:val="009E2570"/>
    <w:rsid w:val="009E2573"/>
    <w:rsid w:val="009E25D1"/>
    <w:rsid w:val="009E260C"/>
    <w:rsid w:val="009E26C3"/>
    <w:rsid w:val="009E274A"/>
    <w:rsid w:val="009E2764"/>
    <w:rsid w:val="009E281D"/>
    <w:rsid w:val="009E283F"/>
    <w:rsid w:val="009E2925"/>
    <w:rsid w:val="009E29C9"/>
    <w:rsid w:val="009E2B53"/>
    <w:rsid w:val="009E2BA3"/>
    <w:rsid w:val="009E2BA4"/>
    <w:rsid w:val="009E2C80"/>
    <w:rsid w:val="009E2CF4"/>
    <w:rsid w:val="009E2CFE"/>
    <w:rsid w:val="009E2D04"/>
    <w:rsid w:val="009E2D2C"/>
    <w:rsid w:val="009E2DC3"/>
    <w:rsid w:val="009E2DCB"/>
    <w:rsid w:val="009E2F26"/>
    <w:rsid w:val="009E2F2F"/>
    <w:rsid w:val="009E2F58"/>
    <w:rsid w:val="009E2FFE"/>
    <w:rsid w:val="009E30DC"/>
    <w:rsid w:val="009E3168"/>
    <w:rsid w:val="009E3340"/>
    <w:rsid w:val="009E33EC"/>
    <w:rsid w:val="009E3416"/>
    <w:rsid w:val="009E3518"/>
    <w:rsid w:val="009E3643"/>
    <w:rsid w:val="009E36C9"/>
    <w:rsid w:val="009E372D"/>
    <w:rsid w:val="009E377F"/>
    <w:rsid w:val="009E37DF"/>
    <w:rsid w:val="009E386C"/>
    <w:rsid w:val="009E3884"/>
    <w:rsid w:val="009E38D5"/>
    <w:rsid w:val="009E396F"/>
    <w:rsid w:val="009E39AE"/>
    <w:rsid w:val="009E39C5"/>
    <w:rsid w:val="009E3A0E"/>
    <w:rsid w:val="009E3B3D"/>
    <w:rsid w:val="009E3B67"/>
    <w:rsid w:val="009E3C2A"/>
    <w:rsid w:val="009E3C34"/>
    <w:rsid w:val="009E3C4E"/>
    <w:rsid w:val="009E3D32"/>
    <w:rsid w:val="009E3D57"/>
    <w:rsid w:val="009E3D68"/>
    <w:rsid w:val="009E3DB0"/>
    <w:rsid w:val="009E3E28"/>
    <w:rsid w:val="009E3E52"/>
    <w:rsid w:val="009E3F13"/>
    <w:rsid w:val="009E3F50"/>
    <w:rsid w:val="009E3F51"/>
    <w:rsid w:val="009E3FBB"/>
    <w:rsid w:val="009E403D"/>
    <w:rsid w:val="009E4079"/>
    <w:rsid w:val="009E4160"/>
    <w:rsid w:val="009E4164"/>
    <w:rsid w:val="009E41E9"/>
    <w:rsid w:val="009E422B"/>
    <w:rsid w:val="009E44C1"/>
    <w:rsid w:val="009E44D1"/>
    <w:rsid w:val="009E4505"/>
    <w:rsid w:val="009E453D"/>
    <w:rsid w:val="009E45C0"/>
    <w:rsid w:val="009E45CB"/>
    <w:rsid w:val="009E46CC"/>
    <w:rsid w:val="009E46F9"/>
    <w:rsid w:val="009E4764"/>
    <w:rsid w:val="009E4771"/>
    <w:rsid w:val="009E47B4"/>
    <w:rsid w:val="009E47E0"/>
    <w:rsid w:val="009E487A"/>
    <w:rsid w:val="009E48D3"/>
    <w:rsid w:val="009E49EB"/>
    <w:rsid w:val="009E4B36"/>
    <w:rsid w:val="009E4BCC"/>
    <w:rsid w:val="009E4C6A"/>
    <w:rsid w:val="009E4C6E"/>
    <w:rsid w:val="009E4CE0"/>
    <w:rsid w:val="009E4CE9"/>
    <w:rsid w:val="009E4DE0"/>
    <w:rsid w:val="009E4F07"/>
    <w:rsid w:val="009E502F"/>
    <w:rsid w:val="009E50D6"/>
    <w:rsid w:val="009E5120"/>
    <w:rsid w:val="009E515A"/>
    <w:rsid w:val="009E5358"/>
    <w:rsid w:val="009E53DC"/>
    <w:rsid w:val="009E540A"/>
    <w:rsid w:val="009E548B"/>
    <w:rsid w:val="009E54E4"/>
    <w:rsid w:val="009E5555"/>
    <w:rsid w:val="009E5568"/>
    <w:rsid w:val="009E5570"/>
    <w:rsid w:val="009E557F"/>
    <w:rsid w:val="009E560A"/>
    <w:rsid w:val="009E5624"/>
    <w:rsid w:val="009E5641"/>
    <w:rsid w:val="009E5690"/>
    <w:rsid w:val="009E575C"/>
    <w:rsid w:val="009E5782"/>
    <w:rsid w:val="009E5851"/>
    <w:rsid w:val="009E589B"/>
    <w:rsid w:val="009E59A9"/>
    <w:rsid w:val="009E59DF"/>
    <w:rsid w:val="009E5A09"/>
    <w:rsid w:val="009E5A52"/>
    <w:rsid w:val="009E5A70"/>
    <w:rsid w:val="009E5A8C"/>
    <w:rsid w:val="009E5AD3"/>
    <w:rsid w:val="009E5AF4"/>
    <w:rsid w:val="009E5B98"/>
    <w:rsid w:val="009E5BFD"/>
    <w:rsid w:val="009E5D55"/>
    <w:rsid w:val="009E5EAB"/>
    <w:rsid w:val="009E5ECE"/>
    <w:rsid w:val="009E5F78"/>
    <w:rsid w:val="009E5FE9"/>
    <w:rsid w:val="009E600B"/>
    <w:rsid w:val="009E6082"/>
    <w:rsid w:val="009E63D9"/>
    <w:rsid w:val="009E643C"/>
    <w:rsid w:val="009E6516"/>
    <w:rsid w:val="009E654C"/>
    <w:rsid w:val="009E655E"/>
    <w:rsid w:val="009E65CC"/>
    <w:rsid w:val="009E6602"/>
    <w:rsid w:val="009E662D"/>
    <w:rsid w:val="009E6673"/>
    <w:rsid w:val="009E67E6"/>
    <w:rsid w:val="009E67FD"/>
    <w:rsid w:val="009E6813"/>
    <w:rsid w:val="009E6853"/>
    <w:rsid w:val="009E6931"/>
    <w:rsid w:val="009E697A"/>
    <w:rsid w:val="009E6A03"/>
    <w:rsid w:val="009E6A18"/>
    <w:rsid w:val="009E6AA2"/>
    <w:rsid w:val="009E6B4E"/>
    <w:rsid w:val="009E6C79"/>
    <w:rsid w:val="009E6CAA"/>
    <w:rsid w:val="009E6CEE"/>
    <w:rsid w:val="009E6D9C"/>
    <w:rsid w:val="009E6E0B"/>
    <w:rsid w:val="009E6FF0"/>
    <w:rsid w:val="009E70DF"/>
    <w:rsid w:val="009E70EC"/>
    <w:rsid w:val="009E7194"/>
    <w:rsid w:val="009E71ED"/>
    <w:rsid w:val="009E7257"/>
    <w:rsid w:val="009E730D"/>
    <w:rsid w:val="009E7342"/>
    <w:rsid w:val="009E741B"/>
    <w:rsid w:val="009E745A"/>
    <w:rsid w:val="009E74D3"/>
    <w:rsid w:val="009E74DB"/>
    <w:rsid w:val="009E7521"/>
    <w:rsid w:val="009E755E"/>
    <w:rsid w:val="009E75A9"/>
    <w:rsid w:val="009E766E"/>
    <w:rsid w:val="009E76BA"/>
    <w:rsid w:val="009E773A"/>
    <w:rsid w:val="009E77E4"/>
    <w:rsid w:val="009E77FE"/>
    <w:rsid w:val="009E78D3"/>
    <w:rsid w:val="009E78E9"/>
    <w:rsid w:val="009E7922"/>
    <w:rsid w:val="009E7A7B"/>
    <w:rsid w:val="009E7B11"/>
    <w:rsid w:val="009E7B1B"/>
    <w:rsid w:val="009E7B79"/>
    <w:rsid w:val="009E7D43"/>
    <w:rsid w:val="009E7D4F"/>
    <w:rsid w:val="009E7EA7"/>
    <w:rsid w:val="009E7EE9"/>
    <w:rsid w:val="009E7EEA"/>
    <w:rsid w:val="009E7F67"/>
    <w:rsid w:val="009E7FE1"/>
    <w:rsid w:val="009F0068"/>
    <w:rsid w:val="009F00A3"/>
    <w:rsid w:val="009F00A7"/>
    <w:rsid w:val="009F00A9"/>
    <w:rsid w:val="009F00D4"/>
    <w:rsid w:val="009F01BB"/>
    <w:rsid w:val="009F0204"/>
    <w:rsid w:val="009F032E"/>
    <w:rsid w:val="009F0377"/>
    <w:rsid w:val="009F039D"/>
    <w:rsid w:val="009F0423"/>
    <w:rsid w:val="009F04E2"/>
    <w:rsid w:val="009F05A2"/>
    <w:rsid w:val="009F05D2"/>
    <w:rsid w:val="009F0604"/>
    <w:rsid w:val="009F068C"/>
    <w:rsid w:val="009F06F5"/>
    <w:rsid w:val="009F0723"/>
    <w:rsid w:val="009F0749"/>
    <w:rsid w:val="009F079C"/>
    <w:rsid w:val="009F07B3"/>
    <w:rsid w:val="009F08A5"/>
    <w:rsid w:val="009F0946"/>
    <w:rsid w:val="009F09E5"/>
    <w:rsid w:val="009F0A1D"/>
    <w:rsid w:val="009F0A45"/>
    <w:rsid w:val="009F0A5B"/>
    <w:rsid w:val="009F0A82"/>
    <w:rsid w:val="009F0A93"/>
    <w:rsid w:val="009F0B77"/>
    <w:rsid w:val="009F0BA2"/>
    <w:rsid w:val="009F0C47"/>
    <w:rsid w:val="009F0C6D"/>
    <w:rsid w:val="009F0D59"/>
    <w:rsid w:val="009F0D84"/>
    <w:rsid w:val="009F0E23"/>
    <w:rsid w:val="009F0E5A"/>
    <w:rsid w:val="009F0E79"/>
    <w:rsid w:val="009F0ECA"/>
    <w:rsid w:val="009F0FA1"/>
    <w:rsid w:val="009F0FAB"/>
    <w:rsid w:val="009F106E"/>
    <w:rsid w:val="009F1175"/>
    <w:rsid w:val="009F12BB"/>
    <w:rsid w:val="009F12C0"/>
    <w:rsid w:val="009F12F4"/>
    <w:rsid w:val="009F1342"/>
    <w:rsid w:val="009F1399"/>
    <w:rsid w:val="009F13D2"/>
    <w:rsid w:val="009F145F"/>
    <w:rsid w:val="009F1493"/>
    <w:rsid w:val="009F14F7"/>
    <w:rsid w:val="009F1519"/>
    <w:rsid w:val="009F1557"/>
    <w:rsid w:val="009F159D"/>
    <w:rsid w:val="009F15B6"/>
    <w:rsid w:val="009F1728"/>
    <w:rsid w:val="009F173B"/>
    <w:rsid w:val="009F1755"/>
    <w:rsid w:val="009F18A9"/>
    <w:rsid w:val="009F190C"/>
    <w:rsid w:val="009F1980"/>
    <w:rsid w:val="009F1A72"/>
    <w:rsid w:val="009F1AF0"/>
    <w:rsid w:val="009F1B9C"/>
    <w:rsid w:val="009F1BBF"/>
    <w:rsid w:val="009F1BF5"/>
    <w:rsid w:val="009F1C41"/>
    <w:rsid w:val="009F1C7E"/>
    <w:rsid w:val="009F1CCE"/>
    <w:rsid w:val="009F1D1C"/>
    <w:rsid w:val="009F1D1E"/>
    <w:rsid w:val="009F1D4B"/>
    <w:rsid w:val="009F1D80"/>
    <w:rsid w:val="009F1D9C"/>
    <w:rsid w:val="009F1E1E"/>
    <w:rsid w:val="009F1E38"/>
    <w:rsid w:val="009F1F12"/>
    <w:rsid w:val="009F1F29"/>
    <w:rsid w:val="009F2025"/>
    <w:rsid w:val="009F2082"/>
    <w:rsid w:val="009F21BC"/>
    <w:rsid w:val="009F238A"/>
    <w:rsid w:val="009F2438"/>
    <w:rsid w:val="009F25B6"/>
    <w:rsid w:val="009F2602"/>
    <w:rsid w:val="009F29D9"/>
    <w:rsid w:val="009F2AEA"/>
    <w:rsid w:val="009F2B20"/>
    <w:rsid w:val="009F2B72"/>
    <w:rsid w:val="009F2B73"/>
    <w:rsid w:val="009F2BC5"/>
    <w:rsid w:val="009F2BC7"/>
    <w:rsid w:val="009F2C43"/>
    <w:rsid w:val="009F2C83"/>
    <w:rsid w:val="009F2CD0"/>
    <w:rsid w:val="009F2CDB"/>
    <w:rsid w:val="009F2D2B"/>
    <w:rsid w:val="009F2DA7"/>
    <w:rsid w:val="009F2E60"/>
    <w:rsid w:val="009F2E62"/>
    <w:rsid w:val="009F2F3B"/>
    <w:rsid w:val="009F2F70"/>
    <w:rsid w:val="009F2FCA"/>
    <w:rsid w:val="009F2FCE"/>
    <w:rsid w:val="009F30FE"/>
    <w:rsid w:val="009F3141"/>
    <w:rsid w:val="009F3207"/>
    <w:rsid w:val="009F32BD"/>
    <w:rsid w:val="009F335B"/>
    <w:rsid w:val="009F3376"/>
    <w:rsid w:val="009F339B"/>
    <w:rsid w:val="009F33F8"/>
    <w:rsid w:val="009F345C"/>
    <w:rsid w:val="009F34D2"/>
    <w:rsid w:val="009F34E2"/>
    <w:rsid w:val="009F350D"/>
    <w:rsid w:val="009F3511"/>
    <w:rsid w:val="009F352D"/>
    <w:rsid w:val="009F35A2"/>
    <w:rsid w:val="009F35E8"/>
    <w:rsid w:val="009F3632"/>
    <w:rsid w:val="009F3636"/>
    <w:rsid w:val="009F369B"/>
    <w:rsid w:val="009F36F5"/>
    <w:rsid w:val="009F3887"/>
    <w:rsid w:val="009F38DE"/>
    <w:rsid w:val="009F3906"/>
    <w:rsid w:val="009F394C"/>
    <w:rsid w:val="009F39A1"/>
    <w:rsid w:val="009F3A29"/>
    <w:rsid w:val="009F3A46"/>
    <w:rsid w:val="009F3A4E"/>
    <w:rsid w:val="009F3AAF"/>
    <w:rsid w:val="009F3AE4"/>
    <w:rsid w:val="009F3AF1"/>
    <w:rsid w:val="009F3C2C"/>
    <w:rsid w:val="009F3CB9"/>
    <w:rsid w:val="009F3D46"/>
    <w:rsid w:val="009F3D65"/>
    <w:rsid w:val="009F3DB3"/>
    <w:rsid w:val="009F3EE3"/>
    <w:rsid w:val="009F3F43"/>
    <w:rsid w:val="009F3F5D"/>
    <w:rsid w:val="009F3FB2"/>
    <w:rsid w:val="009F4015"/>
    <w:rsid w:val="009F404D"/>
    <w:rsid w:val="009F40DF"/>
    <w:rsid w:val="009F40FC"/>
    <w:rsid w:val="009F4103"/>
    <w:rsid w:val="009F413D"/>
    <w:rsid w:val="009F4142"/>
    <w:rsid w:val="009F4159"/>
    <w:rsid w:val="009F41CF"/>
    <w:rsid w:val="009F42F1"/>
    <w:rsid w:val="009F4320"/>
    <w:rsid w:val="009F432E"/>
    <w:rsid w:val="009F4388"/>
    <w:rsid w:val="009F44A3"/>
    <w:rsid w:val="009F44A6"/>
    <w:rsid w:val="009F44BF"/>
    <w:rsid w:val="009F44C0"/>
    <w:rsid w:val="009F4623"/>
    <w:rsid w:val="009F4646"/>
    <w:rsid w:val="009F46BF"/>
    <w:rsid w:val="009F4731"/>
    <w:rsid w:val="009F47BE"/>
    <w:rsid w:val="009F4882"/>
    <w:rsid w:val="009F496A"/>
    <w:rsid w:val="009F49DA"/>
    <w:rsid w:val="009F4A19"/>
    <w:rsid w:val="009F4A3A"/>
    <w:rsid w:val="009F4AE5"/>
    <w:rsid w:val="009F4AED"/>
    <w:rsid w:val="009F4B1F"/>
    <w:rsid w:val="009F4C36"/>
    <w:rsid w:val="009F4DA5"/>
    <w:rsid w:val="009F4DEB"/>
    <w:rsid w:val="009F4E80"/>
    <w:rsid w:val="009F4E94"/>
    <w:rsid w:val="009F4EA1"/>
    <w:rsid w:val="009F4F6E"/>
    <w:rsid w:val="009F4FC7"/>
    <w:rsid w:val="009F4FEC"/>
    <w:rsid w:val="009F5074"/>
    <w:rsid w:val="009F5086"/>
    <w:rsid w:val="009F50AC"/>
    <w:rsid w:val="009F50BF"/>
    <w:rsid w:val="009F50D5"/>
    <w:rsid w:val="009F50D7"/>
    <w:rsid w:val="009F5127"/>
    <w:rsid w:val="009F516D"/>
    <w:rsid w:val="009F5197"/>
    <w:rsid w:val="009F51BD"/>
    <w:rsid w:val="009F533E"/>
    <w:rsid w:val="009F53AF"/>
    <w:rsid w:val="009F53C6"/>
    <w:rsid w:val="009F53D1"/>
    <w:rsid w:val="009F54B0"/>
    <w:rsid w:val="009F5588"/>
    <w:rsid w:val="009F55F6"/>
    <w:rsid w:val="009F5689"/>
    <w:rsid w:val="009F56FD"/>
    <w:rsid w:val="009F5730"/>
    <w:rsid w:val="009F582B"/>
    <w:rsid w:val="009F583B"/>
    <w:rsid w:val="009F5A0A"/>
    <w:rsid w:val="009F5A3E"/>
    <w:rsid w:val="009F5B21"/>
    <w:rsid w:val="009F5C37"/>
    <w:rsid w:val="009F5C3C"/>
    <w:rsid w:val="009F5C53"/>
    <w:rsid w:val="009F5C83"/>
    <w:rsid w:val="009F5CF2"/>
    <w:rsid w:val="009F5DEF"/>
    <w:rsid w:val="009F5E78"/>
    <w:rsid w:val="009F5EB2"/>
    <w:rsid w:val="009F5EF6"/>
    <w:rsid w:val="009F6047"/>
    <w:rsid w:val="009F6180"/>
    <w:rsid w:val="009F61C2"/>
    <w:rsid w:val="009F621A"/>
    <w:rsid w:val="009F6253"/>
    <w:rsid w:val="009F636C"/>
    <w:rsid w:val="009F637E"/>
    <w:rsid w:val="009F647C"/>
    <w:rsid w:val="009F6510"/>
    <w:rsid w:val="009F6532"/>
    <w:rsid w:val="009F6617"/>
    <w:rsid w:val="009F6639"/>
    <w:rsid w:val="009F668C"/>
    <w:rsid w:val="009F66F5"/>
    <w:rsid w:val="009F6783"/>
    <w:rsid w:val="009F6791"/>
    <w:rsid w:val="009F67AA"/>
    <w:rsid w:val="009F67C9"/>
    <w:rsid w:val="009F6859"/>
    <w:rsid w:val="009F6984"/>
    <w:rsid w:val="009F69C0"/>
    <w:rsid w:val="009F6A31"/>
    <w:rsid w:val="009F6BC1"/>
    <w:rsid w:val="009F6C38"/>
    <w:rsid w:val="009F6CD9"/>
    <w:rsid w:val="009F6D8D"/>
    <w:rsid w:val="009F6DCF"/>
    <w:rsid w:val="009F6E12"/>
    <w:rsid w:val="009F6E3F"/>
    <w:rsid w:val="009F6E71"/>
    <w:rsid w:val="009F6EA8"/>
    <w:rsid w:val="009F6F43"/>
    <w:rsid w:val="009F6F44"/>
    <w:rsid w:val="009F6FCC"/>
    <w:rsid w:val="009F70B6"/>
    <w:rsid w:val="009F70EC"/>
    <w:rsid w:val="009F71FB"/>
    <w:rsid w:val="009F7436"/>
    <w:rsid w:val="009F7462"/>
    <w:rsid w:val="009F7562"/>
    <w:rsid w:val="009F75E2"/>
    <w:rsid w:val="009F7601"/>
    <w:rsid w:val="009F767C"/>
    <w:rsid w:val="009F76BC"/>
    <w:rsid w:val="009F771B"/>
    <w:rsid w:val="009F775F"/>
    <w:rsid w:val="009F77FA"/>
    <w:rsid w:val="009F7909"/>
    <w:rsid w:val="009F793B"/>
    <w:rsid w:val="009F796B"/>
    <w:rsid w:val="009F79C4"/>
    <w:rsid w:val="009F7A00"/>
    <w:rsid w:val="009F7B16"/>
    <w:rsid w:val="009F7B6C"/>
    <w:rsid w:val="009F7B8D"/>
    <w:rsid w:val="009F7C1A"/>
    <w:rsid w:val="009F7C1E"/>
    <w:rsid w:val="009F7C45"/>
    <w:rsid w:val="009F7C80"/>
    <w:rsid w:val="009F7C9B"/>
    <w:rsid w:val="009F7D0E"/>
    <w:rsid w:val="009F7D7F"/>
    <w:rsid w:val="009F7D83"/>
    <w:rsid w:val="009F7E92"/>
    <w:rsid w:val="009F7EBB"/>
    <w:rsid w:val="009F7ECD"/>
    <w:rsid w:val="009F7EE7"/>
    <w:rsid w:val="009F7FBF"/>
    <w:rsid w:val="009F7FC0"/>
    <w:rsid w:val="009F7FD3"/>
    <w:rsid w:val="009F7FF4"/>
    <w:rsid w:val="00A000A4"/>
    <w:rsid w:val="00A000E9"/>
    <w:rsid w:val="00A000FB"/>
    <w:rsid w:val="00A0016E"/>
    <w:rsid w:val="00A001FF"/>
    <w:rsid w:val="00A002B9"/>
    <w:rsid w:val="00A00360"/>
    <w:rsid w:val="00A00382"/>
    <w:rsid w:val="00A0039E"/>
    <w:rsid w:val="00A003A8"/>
    <w:rsid w:val="00A003F7"/>
    <w:rsid w:val="00A003FD"/>
    <w:rsid w:val="00A00553"/>
    <w:rsid w:val="00A00571"/>
    <w:rsid w:val="00A005D2"/>
    <w:rsid w:val="00A00651"/>
    <w:rsid w:val="00A00690"/>
    <w:rsid w:val="00A006CB"/>
    <w:rsid w:val="00A006CF"/>
    <w:rsid w:val="00A006FF"/>
    <w:rsid w:val="00A00714"/>
    <w:rsid w:val="00A00724"/>
    <w:rsid w:val="00A00797"/>
    <w:rsid w:val="00A007BB"/>
    <w:rsid w:val="00A00852"/>
    <w:rsid w:val="00A00928"/>
    <w:rsid w:val="00A0094C"/>
    <w:rsid w:val="00A00955"/>
    <w:rsid w:val="00A0096D"/>
    <w:rsid w:val="00A0099D"/>
    <w:rsid w:val="00A00A06"/>
    <w:rsid w:val="00A00C72"/>
    <w:rsid w:val="00A00ED2"/>
    <w:rsid w:val="00A00EF0"/>
    <w:rsid w:val="00A00EFB"/>
    <w:rsid w:val="00A00F16"/>
    <w:rsid w:val="00A00F1C"/>
    <w:rsid w:val="00A00FE4"/>
    <w:rsid w:val="00A01080"/>
    <w:rsid w:val="00A01081"/>
    <w:rsid w:val="00A010DE"/>
    <w:rsid w:val="00A01100"/>
    <w:rsid w:val="00A0117B"/>
    <w:rsid w:val="00A01184"/>
    <w:rsid w:val="00A011D6"/>
    <w:rsid w:val="00A011E0"/>
    <w:rsid w:val="00A01212"/>
    <w:rsid w:val="00A01243"/>
    <w:rsid w:val="00A01253"/>
    <w:rsid w:val="00A012B9"/>
    <w:rsid w:val="00A012E1"/>
    <w:rsid w:val="00A01301"/>
    <w:rsid w:val="00A01403"/>
    <w:rsid w:val="00A0143F"/>
    <w:rsid w:val="00A01446"/>
    <w:rsid w:val="00A0149C"/>
    <w:rsid w:val="00A014AE"/>
    <w:rsid w:val="00A0164C"/>
    <w:rsid w:val="00A01722"/>
    <w:rsid w:val="00A01745"/>
    <w:rsid w:val="00A017D4"/>
    <w:rsid w:val="00A01863"/>
    <w:rsid w:val="00A0187E"/>
    <w:rsid w:val="00A0190D"/>
    <w:rsid w:val="00A0191F"/>
    <w:rsid w:val="00A01986"/>
    <w:rsid w:val="00A01A25"/>
    <w:rsid w:val="00A01A2F"/>
    <w:rsid w:val="00A01ACF"/>
    <w:rsid w:val="00A01AD7"/>
    <w:rsid w:val="00A01B4B"/>
    <w:rsid w:val="00A01C36"/>
    <w:rsid w:val="00A01C7C"/>
    <w:rsid w:val="00A01C88"/>
    <w:rsid w:val="00A01DD1"/>
    <w:rsid w:val="00A01EBE"/>
    <w:rsid w:val="00A01F9C"/>
    <w:rsid w:val="00A01FA2"/>
    <w:rsid w:val="00A02031"/>
    <w:rsid w:val="00A0208F"/>
    <w:rsid w:val="00A020B7"/>
    <w:rsid w:val="00A02108"/>
    <w:rsid w:val="00A02110"/>
    <w:rsid w:val="00A02133"/>
    <w:rsid w:val="00A0217D"/>
    <w:rsid w:val="00A021DC"/>
    <w:rsid w:val="00A0224D"/>
    <w:rsid w:val="00A0224E"/>
    <w:rsid w:val="00A022B2"/>
    <w:rsid w:val="00A022B5"/>
    <w:rsid w:val="00A022C1"/>
    <w:rsid w:val="00A023D0"/>
    <w:rsid w:val="00A024C4"/>
    <w:rsid w:val="00A024CA"/>
    <w:rsid w:val="00A0250A"/>
    <w:rsid w:val="00A02532"/>
    <w:rsid w:val="00A02667"/>
    <w:rsid w:val="00A0279C"/>
    <w:rsid w:val="00A027F4"/>
    <w:rsid w:val="00A02849"/>
    <w:rsid w:val="00A028D0"/>
    <w:rsid w:val="00A028F1"/>
    <w:rsid w:val="00A02A10"/>
    <w:rsid w:val="00A02AD8"/>
    <w:rsid w:val="00A02ADA"/>
    <w:rsid w:val="00A02BC2"/>
    <w:rsid w:val="00A02C75"/>
    <w:rsid w:val="00A02CD7"/>
    <w:rsid w:val="00A02D3F"/>
    <w:rsid w:val="00A02DBE"/>
    <w:rsid w:val="00A02EEC"/>
    <w:rsid w:val="00A02EF0"/>
    <w:rsid w:val="00A0307D"/>
    <w:rsid w:val="00A030BC"/>
    <w:rsid w:val="00A030FA"/>
    <w:rsid w:val="00A03192"/>
    <w:rsid w:val="00A031E9"/>
    <w:rsid w:val="00A03227"/>
    <w:rsid w:val="00A0322B"/>
    <w:rsid w:val="00A03290"/>
    <w:rsid w:val="00A032FC"/>
    <w:rsid w:val="00A033B6"/>
    <w:rsid w:val="00A034AE"/>
    <w:rsid w:val="00A034C0"/>
    <w:rsid w:val="00A0357B"/>
    <w:rsid w:val="00A035AC"/>
    <w:rsid w:val="00A035D6"/>
    <w:rsid w:val="00A03635"/>
    <w:rsid w:val="00A03699"/>
    <w:rsid w:val="00A03752"/>
    <w:rsid w:val="00A037BC"/>
    <w:rsid w:val="00A037FF"/>
    <w:rsid w:val="00A03880"/>
    <w:rsid w:val="00A03921"/>
    <w:rsid w:val="00A039EF"/>
    <w:rsid w:val="00A03BDF"/>
    <w:rsid w:val="00A03C51"/>
    <w:rsid w:val="00A03CF4"/>
    <w:rsid w:val="00A03DC7"/>
    <w:rsid w:val="00A03E29"/>
    <w:rsid w:val="00A03E9F"/>
    <w:rsid w:val="00A03ED2"/>
    <w:rsid w:val="00A03FA5"/>
    <w:rsid w:val="00A03FFC"/>
    <w:rsid w:val="00A0404A"/>
    <w:rsid w:val="00A040BA"/>
    <w:rsid w:val="00A040F3"/>
    <w:rsid w:val="00A04158"/>
    <w:rsid w:val="00A04385"/>
    <w:rsid w:val="00A04471"/>
    <w:rsid w:val="00A0464D"/>
    <w:rsid w:val="00A04654"/>
    <w:rsid w:val="00A04958"/>
    <w:rsid w:val="00A0496A"/>
    <w:rsid w:val="00A0496F"/>
    <w:rsid w:val="00A04A91"/>
    <w:rsid w:val="00A04A95"/>
    <w:rsid w:val="00A04AA0"/>
    <w:rsid w:val="00A04AC3"/>
    <w:rsid w:val="00A04CC1"/>
    <w:rsid w:val="00A04CDF"/>
    <w:rsid w:val="00A04D0E"/>
    <w:rsid w:val="00A04D1D"/>
    <w:rsid w:val="00A04D20"/>
    <w:rsid w:val="00A04D64"/>
    <w:rsid w:val="00A04D6B"/>
    <w:rsid w:val="00A04DF6"/>
    <w:rsid w:val="00A04E10"/>
    <w:rsid w:val="00A04E5A"/>
    <w:rsid w:val="00A04EEE"/>
    <w:rsid w:val="00A04F47"/>
    <w:rsid w:val="00A04F85"/>
    <w:rsid w:val="00A04FF7"/>
    <w:rsid w:val="00A04FFF"/>
    <w:rsid w:val="00A0503D"/>
    <w:rsid w:val="00A0509F"/>
    <w:rsid w:val="00A05193"/>
    <w:rsid w:val="00A051B1"/>
    <w:rsid w:val="00A051F5"/>
    <w:rsid w:val="00A051F7"/>
    <w:rsid w:val="00A05291"/>
    <w:rsid w:val="00A052EF"/>
    <w:rsid w:val="00A05355"/>
    <w:rsid w:val="00A0540C"/>
    <w:rsid w:val="00A0543A"/>
    <w:rsid w:val="00A0544C"/>
    <w:rsid w:val="00A05456"/>
    <w:rsid w:val="00A05462"/>
    <w:rsid w:val="00A054DE"/>
    <w:rsid w:val="00A05573"/>
    <w:rsid w:val="00A05604"/>
    <w:rsid w:val="00A05606"/>
    <w:rsid w:val="00A05642"/>
    <w:rsid w:val="00A056E5"/>
    <w:rsid w:val="00A056F2"/>
    <w:rsid w:val="00A0579B"/>
    <w:rsid w:val="00A057E4"/>
    <w:rsid w:val="00A0580A"/>
    <w:rsid w:val="00A059AA"/>
    <w:rsid w:val="00A05A54"/>
    <w:rsid w:val="00A05A6A"/>
    <w:rsid w:val="00A05A78"/>
    <w:rsid w:val="00A05AE3"/>
    <w:rsid w:val="00A05AE8"/>
    <w:rsid w:val="00A05C01"/>
    <w:rsid w:val="00A05C37"/>
    <w:rsid w:val="00A05C64"/>
    <w:rsid w:val="00A05D6E"/>
    <w:rsid w:val="00A05DAB"/>
    <w:rsid w:val="00A05DBC"/>
    <w:rsid w:val="00A05DCD"/>
    <w:rsid w:val="00A05E11"/>
    <w:rsid w:val="00A05F14"/>
    <w:rsid w:val="00A05F19"/>
    <w:rsid w:val="00A05F9D"/>
    <w:rsid w:val="00A05FEC"/>
    <w:rsid w:val="00A0604E"/>
    <w:rsid w:val="00A060C2"/>
    <w:rsid w:val="00A06147"/>
    <w:rsid w:val="00A0617A"/>
    <w:rsid w:val="00A06311"/>
    <w:rsid w:val="00A06370"/>
    <w:rsid w:val="00A0640F"/>
    <w:rsid w:val="00A064FE"/>
    <w:rsid w:val="00A06510"/>
    <w:rsid w:val="00A065FB"/>
    <w:rsid w:val="00A06752"/>
    <w:rsid w:val="00A069A0"/>
    <w:rsid w:val="00A06AA4"/>
    <w:rsid w:val="00A06AD4"/>
    <w:rsid w:val="00A06B03"/>
    <w:rsid w:val="00A06B2F"/>
    <w:rsid w:val="00A06B8F"/>
    <w:rsid w:val="00A06BA1"/>
    <w:rsid w:val="00A06BEF"/>
    <w:rsid w:val="00A06C0C"/>
    <w:rsid w:val="00A06C7E"/>
    <w:rsid w:val="00A06C84"/>
    <w:rsid w:val="00A06C91"/>
    <w:rsid w:val="00A06D0E"/>
    <w:rsid w:val="00A06E1C"/>
    <w:rsid w:val="00A06F4E"/>
    <w:rsid w:val="00A07080"/>
    <w:rsid w:val="00A0709D"/>
    <w:rsid w:val="00A070C1"/>
    <w:rsid w:val="00A070DF"/>
    <w:rsid w:val="00A07103"/>
    <w:rsid w:val="00A0710A"/>
    <w:rsid w:val="00A0717A"/>
    <w:rsid w:val="00A07292"/>
    <w:rsid w:val="00A072EE"/>
    <w:rsid w:val="00A07308"/>
    <w:rsid w:val="00A073EB"/>
    <w:rsid w:val="00A074E5"/>
    <w:rsid w:val="00A0751C"/>
    <w:rsid w:val="00A075F0"/>
    <w:rsid w:val="00A0760D"/>
    <w:rsid w:val="00A07624"/>
    <w:rsid w:val="00A07625"/>
    <w:rsid w:val="00A0770F"/>
    <w:rsid w:val="00A07813"/>
    <w:rsid w:val="00A078BB"/>
    <w:rsid w:val="00A078EC"/>
    <w:rsid w:val="00A0798F"/>
    <w:rsid w:val="00A079C1"/>
    <w:rsid w:val="00A079E6"/>
    <w:rsid w:val="00A079ED"/>
    <w:rsid w:val="00A07A76"/>
    <w:rsid w:val="00A07A7A"/>
    <w:rsid w:val="00A07A83"/>
    <w:rsid w:val="00A07B34"/>
    <w:rsid w:val="00A07B64"/>
    <w:rsid w:val="00A07B89"/>
    <w:rsid w:val="00A07C55"/>
    <w:rsid w:val="00A07CA4"/>
    <w:rsid w:val="00A07DAD"/>
    <w:rsid w:val="00A07E1D"/>
    <w:rsid w:val="00A07E3E"/>
    <w:rsid w:val="00A07EC0"/>
    <w:rsid w:val="00A07EE9"/>
    <w:rsid w:val="00A07F11"/>
    <w:rsid w:val="00A07F4A"/>
    <w:rsid w:val="00A07FDB"/>
    <w:rsid w:val="00A07FDF"/>
    <w:rsid w:val="00A1004B"/>
    <w:rsid w:val="00A100BD"/>
    <w:rsid w:val="00A100C1"/>
    <w:rsid w:val="00A100DA"/>
    <w:rsid w:val="00A100F6"/>
    <w:rsid w:val="00A1013D"/>
    <w:rsid w:val="00A10160"/>
    <w:rsid w:val="00A101D3"/>
    <w:rsid w:val="00A10227"/>
    <w:rsid w:val="00A10228"/>
    <w:rsid w:val="00A10278"/>
    <w:rsid w:val="00A103FC"/>
    <w:rsid w:val="00A1040F"/>
    <w:rsid w:val="00A10460"/>
    <w:rsid w:val="00A104A4"/>
    <w:rsid w:val="00A104B5"/>
    <w:rsid w:val="00A104D4"/>
    <w:rsid w:val="00A10510"/>
    <w:rsid w:val="00A1052C"/>
    <w:rsid w:val="00A10539"/>
    <w:rsid w:val="00A1054C"/>
    <w:rsid w:val="00A10646"/>
    <w:rsid w:val="00A10649"/>
    <w:rsid w:val="00A10687"/>
    <w:rsid w:val="00A106A3"/>
    <w:rsid w:val="00A10825"/>
    <w:rsid w:val="00A1086C"/>
    <w:rsid w:val="00A10896"/>
    <w:rsid w:val="00A108C8"/>
    <w:rsid w:val="00A10907"/>
    <w:rsid w:val="00A1092F"/>
    <w:rsid w:val="00A10956"/>
    <w:rsid w:val="00A1095A"/>
    <w:rsid w:val="00A1097A"/>
    <w:rsid w:val="00A109A9"/>
    <w:rsid w:val="00A10A3A"/>
    <w:rsid w:val="00A10A97"/>
    <w:rsid w:val="00A10B09"/>
    <w:rsid w:val="00A10C8D"/>
    <w:rsid w:val="00A10CE3"/>
    <w:rsid w:val="00A10D2D"/>
    <w:rsid w:val="00A10D87"/>
    <w:rsid w:val="00A10E26"/>
    <w:rsid w:val="00A10EED"/>
    <w:rsid w:val="00A10F2D"/>
    <w:rsid w:val="00A10FA8"/>
    <w:rsid w:val="00A10FC3"/>
    <w:rsid w:val="00A1103A"/>
    <w:rsid w:val="00A11157"/>
    <w:rsid w:val="00A11177"/>
    <w:rsid w:val="00A11266"/>
    <w:rsid w:val="00A112A9"/>
    <w:rsid w:val="00A11331"/>
    <w:rsid w:val="00A11463"/>
    <w:rsid w:val="00A11513"/>
    <w:rsid w:val="00A1156B"/>
    <w:rsid w:val="00A115C6"/>
    <w:rsid w:val="00A1163B"/>
    <w:rsid w:val="00A116BB"/>
    <w:rsid w:val="00A1177C"/>
    <w:rsid w:val="00A11781"/>
    <w:rsid w:val="00A11797"/>
    <w:rsid w:val="00A117A0"/>
    <w:rsid w:val="00A117DA"/>
    <w:rsid w:val="00A1183A"/>
    <w:rsid w:val="00A1183D"/>
    <w:rsid w:val="00A11878"/>
    <w:rsid w:val="00A11884"/>
    <w:rsid w:val="00A1195A"/>
    <w:rsid w:val="00A11972"/>
    <w:rsid w:val="00A119B3"/>
    <w:rsid w:val="00A119E8"/>
    <w:rsid w:val="00A11AA3"/>
    <w:rsid w:val="00A11B34"/>
    <w:rsid w:val="00A11C03"/>
    <w:rsid w:val="00A11D26"/>
    <w:rsid w:val="00A11E4B"/>
    <w:rsid w:val="00A11E89"/>
    <w:rsid w:val="00A11EB7"/>
    <w:rsid w:val="00A11EC7"/>
    <w:rsid w:val="00A11F58"/>
    <w:rsid w:val="00A11F8C"/>
    <w:rsid w:val="00A120EE"/>
    <w:rsid w:val="00A1224F"/>
    <w:rsid w:val="00A1241B"/>
    <w:rsid w:val="00A1243E"/>
    <w:rsid w:val="00A124C4"/>
    <w:rsid w:val="00A124CF"/>
    <w:rsid w:val="00A12569"/>
    <w:rsid w:val="00A125C5"/>
    <w:rsid w:val="00A125D1"/>
    <w:rsid w:val="00A1261C"/>
    <w:rsid w:val="00A126ED"/>
    <w:rsid w:val="00A12798"/>
    <w:rsid w:val="00A12893"/>
    <w:rsid w:val="00A128C1"/>
    <w:rsid w:val="00A128E2"/>
    <w:rsid w:val="00A1290C"/>
    <w:rsid w:val="00A1290D"/>
    <w:rsid w:val="00A1299D"/>
    <w:rsid w:val="00A129C7"/>
    <w:rsid w:val="00A12A57"/>
    <w:rsid w:val="00A12ACD"/>
    <w:rsid w:val="00A12B25"/>
    <w:rsid w:val="00A12B58"/>
    <w:rsid w:val="00A12BDE"/>
    <w:rsid w:val="00A12C05"/>
    <w:rsid w:val="00A12C5E"/>
    <w:rsid w:val="00A12CA6"/>
    <w:rsid w:val="00A12D42"/>
    <w:rsid w:val="00A12DD6"/>
    <w:rsid w:val="00A12E43"/>
    <w:rsid w:val="00A12E4A"/>
    <w:rsid w:val="00A12E52"/>
    <w:rsid w:val="00A12E7C"/>
    <w:rsid w:val="00A12E7D"/>
    <w:rsid w:val="00A12EB3"/>
    <w:rsid w:val="00A12FE6"/>
    <w:rsid w:val="00A1307F"/>
    <w:rsid w:val="00A13158"/>
    <w:rsid w:val="00A131BD"/>
    <w:rsid w:val="00A131E0"/>
    <w:rsid w:val="00A1333C"/>
    <w:rsid w:val="00A13391"/>
    <w:rsid w:val="00A133DB"/>
    <w:rsid w:val="00A133F3"/>
    <w:rsid w:val="00A13489"/>
    <w:rsid w:val="00A1348A"/>
    <w:rsid w:val="00A13545"/>
    <w:rsid w:val="00A13637"/>
    <w:rsid w:val="00A13838"/>
    <w:rsid w:val="00A13839"/>
    <w:rsid w:val="00A1384D"/>
    <w:rsid w:val="00A13894"/>
    <w:rsid w:val="00A138BA"/>
    <w:rsid w:val="00A1390F"/>
    <w:rsid w:val="00A13922"/>
    <w:rsid w:val="00A1398C"/>
    <w:rsid w:val="00A139AF"/>
    <w:rsid w:val="00A139B0"/>
    <w:rsid w:val="00A13A07"/>
    <w:rsid w:val="00A13A17"/>
    <w:rsid w:val="00A13A2C"/>
    <w:rsid w:val="00A13B42"/>
    <w:rsid w:val="00A13B49"/>
    <w:rsid w:val="00A13BAC"/>
    <w:rsid w:val="00A13C20"/>
    <w:rsid w:val="00A13C45"/>
    <w:rsid w:val="00A13CAA"/>
    <w:rsid w:val="00A13CDA"/>
    <w:rsid w:val="00A13DC3"/>
    <w:rsid w:val="00A13DDE"/>
    <w:rsid w:val="00A13E34"/>
    <w:rsid w:val="00A13F44"/>
    <w:rsid w:val="00A13F6D"/>
    <w:rsid w:val="00A13FA0"/>
    <w:rsid w:val="00A13FB2"/>
    <w:rsid w:val="00A140DD"/>
    <w:rsid w:val="00A14163"/>
    <w:rsid w:val="00A1418A"/>
    <w:rsid w:val="00A141F9"/>
    <w:rsid w:val="00A14242"/>
    <w:rsid w:val="00A14265"/>
    <w:rsid w:val="00A1429D"/>
    <w:rsid w:val="00A142B3"/>
    <w:rsid w:val="00A14313"/>
    <w:rsid w:val="00A14381"/>
    <w:rsid w:val="00A14390"/>
    <w:rsid w:val="00A14486"/>
    <w:rsid w:val="00A145A9"/>
    <w:rsid w:val="00A147D3"/>
    <w:rsid w:val="00A147FE"/>
    <w:rsid w:val="00A14889"/>
    <w:rsid w:val="00A148C3"/>
    <w:rsid w:val="00A148DE"/>
    <w:rsid w:val="00A14918"/>
    <w:rsid w:val="00A14A76"/>
    <w:rsid w:val="00A14BAD"/>
    <w:rsid w:val="00A14BBB"/>
    <w:rsid w:val="00A14C0E"/>
    <w:rsid w:val="00A14DA3"/>
    <w:rsid w:val="00A14E4D"/>
    <w:rsid w:val="00A14F6D"/>
    <w:rsid w:val="00A15071"/>
    <w:rsid w:val="00A151D3"/>
    <w:rsid w:val="00A151FD"/>
    <w:rsid w:val="00A15259"/>
    <w:rsid w:val="00A15288"/>
    <w:rsid w:val="00A15309"/>
    <w:rsid w:val="00A15320"/>
    <w:rsid w:val="00A1533A"/>
    <w:rsid w:val="00A153C5"/>
    <w:rsid w:val="00A153E6"/>
    <w:rsid w:val="00A154A4"/>
    <w:rsid w:val="00A154E3"/>
    <w:rsid w:val="00A15514"/>
    <w:rsid w:val="00A15582"/>
    <w:rsid w:val="00A155D9"/>
    <w:rsid w:val="00A15641"/>
    <w:rsid w:val="00A15694"/>
    <w:rsid w:val="00A156FD"/>
    <w:rsid w:val="00A15763"/>
    <w:rsid w:val="00A15766"/>
    <w:rsid w:val="00A157C4"/>
    <w:rsid w:val="00A157C5"/>
    <w:rsid w:val="00A15817"/>
    <w:rsid w:val="00A1583E"/>
    <w:rsid w:val="00A15859"/>
    <w:rsid w:val="00A1586A"/>
    <w:rsid w:val="00A15899"/>
    <w:rsid w:val="00A1595A"/>
    <w:rsid w:val="00A15A28"/>
    <w:rsid w:val="00A15A9C"/>
    <w:rsid w:val="00A15AAC"/>
    <w:rsid w:val="00A15BC0"/>
    <w:rsid w:val="00A15BF2"/>
    <w:rsid w:val="00A15C05"/>
    <w:rsid w:val="00A15C13"/>
    <w:rsid w:val="00A15C65"/>
    <w:rsid w:val="00A15D3E"/>
    <w:rsid w:val="00A15D63"/>
    <w:rsid w:val="00A15D6F"/>
    <w:rsid w:val="00A15E0D"/>
    <w:rsid w:val="00A15E2E"/>
    <w:rsid w:val="00A15E5F"/>
    <w:rsid w:val="00A15E6F"/>
    <w:rsid w:val="00A15E81"/>
    <w:rsid w:val="00A15EDA"/>
    <w:rsid w:val="00A15EDF"/>
    <w:rsid w:val="00A15EEF"/>
    <w:rsid w:val="00A15F0D"/>
    <w:rsid w:val="00A15F25"/>
    <w:rsid w:val="00A15FDE"/>
    <w:rsid w:val="00A16027"/>
    <w:rsid w:val="00A160FE"/>
    <w:rsid w:val="00A16125"/>
    <w:rsid w:val="00A161AB"/>
    <w:rsid w:val="00A1624C"/>
    <w:rsid w:val="00A1624E"/>
    <w:rsid w:val="00A16299"/>
    <w:rsid w:val="00A16332"/>
    <w:rsid w:val="00A1634A"/>
    <w:rsid w:val="00A16384"/>
    <w:rsid w:val="00A163A8"/>
    <w:rsid w:val="00A16488"/>
    <w:rsid w:val="00A1648C"/>
    <w:rsid w:val="00A16536"/>
    <w:rsid w:val="00A16545"/>
    <w:rsid w:val="00A165B2"/>
    <w:rsid w:val="00A1667B"/>
    <w:rsid w:val="00A166A4"/>
    <w:rsid w:val="00A166F2"/>
    <w:rsid w:val="00A16707"/>
    <w:rsid w:val="00A16737"/>
    <w:rsid w:val="00A167D4"/>
    <w:rsid w:val="00A16834"/>
    <w:rsid w:val="00A16871"/>
    <w:rsid w:val="00A168BB"/>
    <w:rsid w:val="00A168D4"/>
    <w:rsid w:val="00A168E8"/>
    <w:rsid w:val="00A169DF"/>
    <w:rsid w:val="00A16AB7"/>
    <w:rsid w:val="00A16ADA"/>
    <w:rsid w:val="00A16B3F"/>
    <w:rsid w:val="00A16B46"/>
    <w:rsid w:val="00A16B65"/>
    <w:rsid w:val="00A16BD0"/>
    <w:rsid w:val="00A16BFA"/>
    <w:rsid w:val="00A16C9D"/>
    <w:rsid w:val="00A16CA2"/>
    <w:rsid w:val="00A16CE0"/>
    <w:rsid w:val="00A16CE2"/>
    <w:rsid w:val="00A16DA5"/>
    <w:rsid w:val="00A16DF7"/>
    <w:rsid w:val="00A16E21"/>
    <w:rsid w:val="00A16E98"/>
    <w:rsid w:val="00A16F18"/>
    <w:rsid w:val="00A16FA8"/>
    <w:rsid w:val="00A17033"/>
    <w:rsid w:val="00A17053"/>
    <w:rsid w:val="00A170B7"/>
    <w:rsid w:val="00A170C5"/>
    <w:rsid w:val="00A1710F"/>
    <w:rsid w:val="00A1711E"/>
    <w:rsid w:val="00A17196"/>
    <w:rsid w:val="00A171B5"/>
    <w:rsid w:val="00A17232"/>
    <w:rsid w:val="00A172AF"/>
    <w:rsid w:val="00A1733B"/>
    <w:rsid w:val="00A17350"/>
    <w:rsid w:val="00A173A2"/>
    <w:rsid w:val="00A173B4"/>
    <w:rsid w:val="00A173C2"/>
    <w:rsid w:val="00A17471"/>
    <w:rsid w:val="00A17495"/>
    <w:rsid w:val="00A17528"/>
    <w:rsid w:val="00A175D3"/>
    <w:rsid w:val="00A1774E"/>
    <w:rsid w:val="00A1776A"/>
    <w:rsid w:val="00A17799"/>
    <w:rsid w:val="00A17895"/>
    <w:rsid w:val="00A178A8"/>
    <w:rsid w:val="00A179A8"/>
    <w:rsid w:val="00A179AE"/>
    <w:rsid w:val="00A179C0"/>
    <w:rsid w:val="00A179C7"/>
    <w:rsid w:val="00A179D4"/>
    <w:rsid w:val="00A179D5"/>
    <w:rsid w:val="00A17A06"/>
    <w:rsid w:val="00A17AAC"/>
    <w:rsid w:val="00A17B00"/>
    <w:rsid w:val="00A17B17"/>
    <w:rsid w:val="00A17CB1"/>
    <w:rsid w:val="00A17D82"/>
    <w:rsid w:val="00A17DF8"/>
    <w:rsid w:val="00A17E20"/>
    <w:rsid w:val="00A17E79"/>
    <w:rsid w:val="00A17EA0"/>
    <w:rsid w:val="00A17EF2"/>
    <w:rsid w:val="00A17FE7"/>
    <w:rsid w:val="00A17FEB"/>
    <w:rsid w:val="00A200A4"/>
    <w:rsid w:val="00A200F4"/>
    <w:rsid w:val="00A2015D"/>
    <w:rsid w:val="00A201A1"/>
    <w:rsid w:val="00A201CD"/>
    <w:rsid w:val="00A2022F"/>
    <w:rsid w:val="00A2026B"/>
    <w:rsid w:val="00A203C0"/>
    <w:rsid w:val="00A20430"/>
    <w:rsid w:val="00A2045E"/>
    <w:rsid w:val="00A204E6"/>
    <w:rsid w:val="00A20519"/>
    <w:rsid w:val="00A207B0"/>
    <w:rsid w:val="00A207D3"/>
    <w:rsid w:val="00A207FF"/>
    <w:rsid w:val="00A2085C"/>
    <w:rsid w:val="00A2087F"/>
    <w:rsid w:val="00A208C7"/>
    <w:rsid w:val="00A20967"/>
    <w:rsid w:val="00A209AB"/>
    <w:rsid w:val="00A209C6"/>
    <w:rsid w:val="00A20A12"/>
    <w:rsid w:val="00A20A33"/>
    <w:rsid w:val="00A20A68"/>
    <w:rsid w:val="00A20AB3"/>
    <w:rsid w:val="00A20B6C"/>
    <w:rsid w:val="00A20B90"/>
    <w:rsid w:val="00A20C9A"/>
    <w:rsid w:val="00A20D33"/>
    <w:rsid w:val="00A20D9C"/>
    <w:rsid w:val="00A20DA1"/>
    <w:rsid w:val="00A20DCD"/>
    <w:rsid w:val="00A20E6D"/>
    <w:rsid w:val="00A20F7C"/>
    <w:rsid w:val="00A20FB7"/>
    <w:rsid w:val="00A21026"/>
    <w:rsid w:val="00A2103A"/>
    <w:rsid w:val="00A2107F"/>
    <w:rsid w:val="00A2109A"/>
    <w:rsid w:val="00A21128"/>
    <w:rsid w:val="00A2112B"/>
    <w:rsid w:val="00A21161"/>
    <w:rsid w:val="00A2128F"/>
    <w:rsid w:val="00A212E9"/>
    <w:rsid w:val="00A2130E"/>
    <w:rsid w:val="00A21371"/>
    <w:rsid w:val="00A213AC"/>
    <w:rsid w:val="00A213DB"/>
    <w:rsid w:val="00A21499"/>
    <w:rsid w:val="00A2150B"/>
    <w:rsid w:val="00A2154B"/>
    <w:rsid w:val="00A2157D"/>
    <w:rsid w:val="00A21682"/>
    <w:rsid w:val="00A21749"/>
    <w:rsid w:val="00A21808"/>
    <w:rsid w:val="00A21819"/>
    <w:rsid w:val="00A21877"/>
    <w:rsid w:val="00A21890"/>
    <w:rsid w:val="00A21946"/>
    <w:rsid w:val="00A219BE"/>
    <w:rsid w:val="00A21A18"/>
    <w:rsid w:val="00A21AC4"/>
    <w:rsid w:val="00A21AD3"/>
    <w:rsid w:val="00A21B8C"/>
    <w:rsid w:val="00A21BD7"/>
    <w:rsid w:val="00A21C86"/>
    <w:rsid w:val="00A21C91"/>
    <w:rsid w:val="00A21E1F"/>
    <w:rsid w:val="00A21E2D"/>
    <w:rsid w:val="00A21EDA"/>
    <w:rsid w:val="00A21EF6"/>
    <w:rsid w:val="00A21F1A"/>
    <w:rsid w:val="00A21F7C"/>
    <w:rsid w:val="00A2209F"/>
    <w:rsid w:val="00A220CC"/>
    <w:rsid w:val="00A220CE"/>
    <w:rsid w:val="00A220E7"/>
    <w:rsid w:val="00A221F7"/>
    <w:rsid w:val="00A22230"/>
    <w:rsid w:val="00A2227B"/>
    <w:rsid w:val="00A222B3"/>
    <w:rsid w:val="00A222BF"/>
    <w:rsid w:val="00A2236B"/>
    <w:rsid w:val="00A22373"/>
    <w:rsid w:val="00A22395"/>
    <w:rsid w:val="00A22520"/>
    <w:rsid w:val="00A2259E"/>
    <w:rsid w:val="00A225D9"/>
    <w:rsid w:val="00A22655"/>
    <w:rsid w:val="00A226A6"/>
    <w:rsid w:val="00A227D1"/>
    <w:rsid w:val="00A227F2"/>
    <w:rsid w:val="00A228A9"/>
    <w:rsid w:val="00A228E1"/>
    <w:rsid w:val="00A22932"/>
    <w:rsid w:val="00A229B3"/>
    <w:rsid w:val="00A22AD3"/>
    <w:rsid w:val="00A22BCC"/>
    <w:rsid w:val="00A22D49"/>
    <w:rsid w:val="00A22D8E"/>
    <w:rsid w:val="00A22DC2"/>
    <w:rsid w:val="00A22E4F"/>
    <w:rsid w:val="00A22E55"/>
    <w:rsid w:val="00A22EC7"/>
    <w:rsid w:val="00A22F27"/>
    <w:rsid w:val="00A22F47"/>
    <w:rsid w:val="00A22F6F"/>
    <w:rsid w:val="00A22F80"/>
    <w:rsid w:val="00A22FF5"/>
    <w:rsid w:val="00A2304B"/>
    <w:rsid w:val="00A230FA"/>
    <w:rsid w:val="00A23139"/>
    <w:rsid w:val="00A23178"/>
    <w:rsid w:val="00A23185"/>
    <w:rsid w:val="00A23270"/>
    <w:rsid w:val="00A23415"/>
    <w:rsid w:val="00A23470"/>
    <w:rsid w:val="00A234D7"/>
    <w:rsid w:val="00A23511"/>
    <w:rsid w:val="00A23512"/>
    <w:rsid w:val="00A23622"/>
    <w:rsid w:val="00A2365F"/>
    <w:rsid w:val="00A236EC"/>
    <w:rsid w:val="00A238B0"/>
    <w:rsid w:val="00A238C6"/>
    <w:rsid w:val="00A23930"/>
    <w:rsid w:val="00A23A66"/>
    <w:rsid w:val="00A23A89"/>
    <w:rsid w:val="00A23A93"/>
    <w:rsid w:val="00A23A9D"/>
    <w:rsid w:val="00A23B28"/>
    <w:rsid w:val="00A23B2B"/>
    <w:rsid w:val="00A23B48"/>
    <w:rsid w:val="00A23B56"/>
    <w:rsid w:val="00A23BDD"/>
    <w:rsid w:val="00A23C09"/>
    <w:rsid w:val="00A23C69"/>
    <w:rsid w:val="00A23C7F"/>
    <w:rsid w:val="00A23D1F"/>
    <w:rsid w:val="00A23E0B"/>
    <w:rsid w:val="00A23E42"/>
    <w:rsid w:val="00A23E68"/>
    <w:rsid w:val="00A23E7A"/>
    <w:rsid w:val="00A23EC1"/>
    <w:rsid w:val="00A23F55"/>
    <w:rsid w:val="00A24018"/>
    <w:rsid w:val="00A24024"/>
    <w:rsid w:val="00A2406C"/>
    <w:rsid w:val="00A240C3"/>
    <w:rsid w:val="00A24119"/>
    <w:rsid w:val="00A24187"/>
    <w:rsid w:val="00A241F3"/>
    <w:rsid w:val="00A24212"/>
    <w:rsid w:val="00A24243"/>
    <w:rsid w:val="00A2424B"/>
    <w:rsid w:val="00A24276"/>
    <w:rsid w:val="00A2427B"/>
    <w:rsid w:val="00A24302"/>
    <w:rsid w:val="00A2430F"/>
    <w:rsid w:val="00A24495"/>
    <w:rsid w:val="00A24503"/>
    <w:rsid w:val="00A245E8"/>
    <w:rsid w:val="00A24645"/>
    <w:rsid w:val="00A2466A"/>
    <w:rsid w:val="00A246DC"/>
    <w:rsid w:val="00A24757"/>
    <w:rsid w:val="00A247F5"/>
    <w:rsid w:val="00A2485F"/>
    <w:rsid w:val="00A24902"/>
    <w:rsid w:val="00A24B3B"/>
    <w:rsid w:val="00A24B4B"/>
    <w:rsid w:val="00A24B55"/>
    <w:rsid w:val="00A24B7C"/>
    <w:rsid w:val="00A24B81"/>
    <w:rsid w:val="00A24BE7"/>
    <w:rsid w:val="00A24C09"/>
    <w:rsid w:val="00A24CA6"/>
    <w:rsid w:val="00A24CC4"/>
    <w:rsid w:val="00A24E08"/>
    <w:rsid w:val="00A24E8F"/>
    <w:rsid w:val="00A24EAE"/>
    <w:rsid w:val="00A24F1A"/>
    <w:rsid w:val="00A2502D"/>
    <w:rsid w:val="00A25054"/>
    <w:rsid w:val="00A25066"/>
    <w:rsid w:val="00A2512E"/>
    <w:rsid w:val="00A251A8"/>
    <w:rsid w:val="00A25206"/>
    <w:rsid w:val="00A252BF"/>
    <w:rsid w:val="00A25307"/>
    <w:rsid w:val="00A253E3"/>
    <w:rsid w:val="00A25470"/>
    <w:rsid w:val="00A2547F"/>
    <w:rsid w:val="00A25487"/>
    <w:rsid w:val="00A254E3"/>
    <w:rsid w:val="00A25623"/>
    <w:rsid w:val="00A256AF"/>
    <w:rsid w:val="00A256E0"/>
    <w:rsid w:val="00A25756"/>
    <w:rsid w:val="00A25787"/>
    <w:rsid w:val="00A2580D"/>
    <w:rsid w:val="00A25817"/>
    <w:rsid w:val="00A25841"/>
    <w:rsid w:val="00A25851"/>
    <w:rsid w:val="00A258CE"/>
    <w:rsid w:val="00A25958"/>
    <w:rsid w:val="00A25AB3"/>
    <w:rsid w:val="00A25B1A"/>
    <w:rsid w:val="00A25B46"/>
    <w:rsid w:val="00A25BFC"/>
    <w:rsid w:val="00A25C32"/>
    <w:rsid w:val="00A25C37"/>
    <w:rsid w:val="00A25CA9"/>
    <w:rsid w:val="00A25D05"/>
    <w:rsid w:val="00A25DCC"/>
    <w:rsid w:val="00A25E59"/>
    <w:rsid w:val="00A25F6A"/>
    <w:rsid w:val="00A25F90"/>
    <w:rsid w:val="00A25FC8"/>
    <w:rsid w:val="00A26023"/>
    <w:rsid w:val="00A2607C"/>
    <w:rsid w:val="00A260F0"/>
    <w:rsid w:val="00A2611D"/>
    <w:rsid w:val="00A26123"/>
    <w:rsid w:val="00A26174"/>
    <w:rsid w:val="00A26197"/>
    <w:rsid w:val="00A261F7"/>
    <w:rsid w:val="00A2622F"/>
    <w:rsid w:val="00A26255"/>
    <w:rsid w:val="00A262BE"/>
    <w:rsid w:val="00A2633B"/>
    <w:rsid w:val="00A263C9"/>
    <w:rsid w:val="00A2640A"/>
    <w:rsid w:val="00A26496"/>
    <w:rsid w:val="00A2649D"/>
    <w:rsid w:val="00A26598"/>
    <w:rsid w:val="00A265D1"/>
    <w:rsid w:val="00A26680"/>
    <w:rsid w:val="00A266D9"/>
    <w:rsid w:val="00A266F3"/>
    <w:rsid w:val="00A26888"/>
    <w:rsid w:val="00A268C7"/>
    <w:rsid w:val="00A2699C"/>
    <w:rsid w:val="00A269CE"/>
    <w:rsid w:val="00A269F7"/>
    <w:rsid w:val="00A26A32"/>
    <w:rsid w:val="00A26A8B"/>
    <w:rsid w:val="00A26A97"/>
    <w:rsid w:val="00A26ABF"/>
    <w:rsid w:val="00A26BF4"/>
    <w:rsid w:val="00A26C89"/>
    <w:rsid w:val="00A26D73"/>
    <w:rsid w:val="00A26D8F"/>
    <w:rsid w:val="00A26DA3"/>
    <w:rsid w:val="00A26DFC"/>
    <w:rsid w:val="00A26E5A"/>
    <w:rsid w:val="00A26EE0"/>
    <w:rsid w:val="00A26EF1"/>
    <w:rsid w:val="00A26F4E"/>
    <w:rsid w:val="00A26FC4"/>
    <w:rsid w:val="00A270C5"/>
    <w:rsid w:val="00A272CA"/>
    <w:rsid w:val="00A2731E"/>
    <w:rsid w:val="00A2735C"/>
    <w:rsid w:val="00A2744D"/>
    <w:rsid w:val="00A2745C"/>
    <w:rsid w:val="00A274A7"/>
    <w:rsid w:val="00A274B4"/>
    <w:rsid w:val="00A27503"/>
    <w:rsid w:val="00A27599"/>
    <w:rsid w:val="00A275CF"/>
    <w:rsid w:val="00A2761D"/>
    <w:rsid w:val="00A2769A"/>
    <w:rsid w:val="00A276F3"/>
    <w:rsid w:val="00A2770B"/>
    <w:rsid w:val="00A27735"/>
    <w:rsid w:val="00A27745"/>
    <w:rsid w:val="00A277FC"/>
    <w:rsid w:val="00A27827"/>
    <w:rsid w:val="00A278D6"/>
    <w:rsid w:val="00A27947"/>
    <w:rsid w:val="00A27969"/>
    <w:rsid w:val="00A279FE"/>
    <w:rsid w:val="00A27A0E"/>
    <w:rsid w:val="00A27A92"/>
    <w:rsid w:val="00A27AE4"/>
    <w:rsid w:val="00A27C5C"/>
    <w:rsid w:val="00A27C60"/>
    <w:rsid w:val="00A27D23"/>
    <w:rsid w:val="00A27E1D"/>
    <w:rsid w:val="00A27EC3"/>
    <w:rsid w:val="00A27EEB"/>
    <w:rsid w:val="00A27F55"/>
    <w:rsid w:val="00A27FF6"/>
    <w:rsid w:val="00A3001C"/>
    <w:rsid w:val="00A30035"/>
    <w:rsid w:val="00A30144"/>
    <w:rsid w:val="00A3019F"/>
    <w:rsid w:val="00A30259"/>
    <w:rsid w:val="00A30380"/>
    <w:rsid w:val="00A3039B"/>
    <w:rsid w:val="00A30454"/>
    <w:rsid w:val="00A30490"/>
    <w:rsid w:val="00A30515"/>
    <w:rsid w:val="00A30566"/>
    <w:rsid w:val="00A30574"/>
    <w:rsid w:val="00A30587"/>
    <w:rsid w:val="00A305B1"/>
    <w:rsid w:val="00A305B9"/>
    <w:rsid w:val="00A306E5"/>
    <w:rsid w:val="00A30739"/>
    <w:rsid w:val="00A30742"/>
    <w:rsid w:val="00A307A0"/>
    <w:rsid w:val="00A307DC"/>
    <w:rsid w:val="00A307F1"/>
    <w:rsid w:val="00A307F3"/>
    <w:rsid w:val="00A3084C"/>
    <w:rsid w:val="00A30876"/>
    <w:rsid w:val="00A308AC"/>
    <w:rsid w:val="00A3097E"/>
    <w:rsid w:val="00A309D9"/>
    <w:rsid w:val="00A30A4C"/>
    <w:rsid w:val="00A30A91"/>
    <w:rsid w:val="00A30ADC"/>
    <w:rsid w:val="00A30AF4"/>
    <w:rsid w:val="00A30B94"/>
    <w:rsid w:val="00A30C41"/>
    <w:rsid w:val="00A30C44"/>
    <w:rsid w:val="00A30C65"/>
    <w:rsid w:val="00A30D8D"/>
    <w:rsid w:val="00A30DFA"/>
    <w:rsid w:val="00A30E21"/>
    <w:rsid w:val="00A30E36"/>
    <w:rsid w:val="00A30EAC"/>
    <w:rsid w:val="00A30EAD"/>
    <w:rsid w:val="00A30EFA"/>
    <w:rsid w:val="00A30F31"/>
    <w:rsid w:val="00A30F64"/>
    <w:rsid w:val="00A30F8A"/>
    <w:rsid w:val="00A30FD3"/>
    <w:rsid w:val="00A31054"/>
    <w:rsid w:val="00A31113"/>
    <w:rsid w:val="00A31163"/>
    <w:rsid w:val="00A3117E"/>
    <w:rsid w:val="00A31187"/>
    <w:rsid w:val="00A311F9"/>
    <w:rsid w:val="00A3129A"/>
    <w:rsid w:val="00A312A6"/>
    <w:rsid w:val="00A312AD"/>
    <w:rsid w:val="00A312D3"/>
    <w:rsid w:val="00A31403"/>
    <w:rsid w:val="00A314CF"/>
    <w:rsid w:val="00A3163D"/>
    <w:rsid w:val="00A3174F"/>
    <w:rsid w:val="00A317B9"/>
    <w:rsid w:val="00A31840"/>
    <w:rsid w:val="00A31A22"/>
    <w:rsid w:val="00A31A34"/>
    <w:rsid w:val="00A31A42"/>
    <w:rsid w:val="00A31ACC"/>
    <w:rsid w:val="00A31AE6"/>
    <w:rsid w:val="00A31B16"/>
    <w:rsid w:val="00A31BF1"/>
    <w:rsid w:val="00A31CD4"/>
    <w:rsid w:val="00A31E0C"/>
    <w:rsid w:val="00A31E47"/>
    <w:rsid w:val="00A31E70"/>
    <w:rsid w:val="00A31ECB"/>
    <w:rsid w:val="00A31EF4"/>
    <w:rsid w:val="00A320BC"/>
    <w:rsid w:val="00A3214D"/>
    <w:rsid w:val="00A3216E"/>
    <w:rsid w:val="00A32195"/>
    <w:rsid w:val="00A3222A"/>
    <w:rsid w:val="00A32245"/>
    <w:rsid w:val="00A3234B"/>
    <w:rsid w:val="00A3234C"/>
    <w:rsid w:val="00A323CC"/>
    <w:rsid w:val="00A32475"/>
    <w:rsid w:val="00A3254E"/>
    <w:rsid w:val="00A32560"/>
    <w:rsid w:val="00A325C6"/>
    <w:rsid w:val="00A325E4"/>
    <w:rsid w:val="00A3262B"/>
    <w:rsid w:val="00A32687"/>
    <w:rsid w:val="00A32725"/>
    <w:rsid w:val="00A327AB"/>
    <w:rsid w:val="00A3286F"/>
    <w:rsid w:val="00A328E1"/>
    <w:rsid w:val="00A32A58"/>
    <w:rsid w:val="00A32ABF"/>
    <w:rsid w:val="00A32BB5"/>
    <w:rsid w:val="00A32BB7"/>
    <w:rsid w:val="00A32BC7"/>
    <w:rsid w:val="00A32BE2"/>
    <w:rsid w:val="00A32C22"/>
    <w:rsid w:val="00A32C43"/>
    <w:rsid w:val="00A32C6F"/>
    <w:rsid w:val="00A32CAE"/>
    <w:rsid w:val="00A32DF7"/>
    <w:rsid w:val="00A32E4B"/>
    <w:rsid w:val="00A32E7A"/>
    <w:rsid w:val="00A32EB0"/>
    <w:rsid w:val="00A32F63"/>
    <w:rsid w:val="00A3307D"/>
    <w:rsid w:val="00A330C4"/>
    <w:rsid w:val="00A33137"/>
    <w:rsid w:val="00A33150"/>
    <w:rsid w:val="00A3318E"/>
    <w:rsid w:val="00A3319C"/>
    <w:rsid w:val="00A3322D"/>
    <w:rsid w:val="00A33243"/>
    <w:rsid w:val="00A33244"/>
    <w:rsid w:val="00A33247"/>
    <w:rsid w:val="00A33271"/>
    <w:rsid w:val="00A333A4"/>
    <w:rsid w:val="00A33427"/>
    <w:rsid w:val="00A334A5"/>
    <w:rsid w:val="00A33589"/>
    <w:rsid w:val="00A3358A"/>
    <w:rsid w:val="00A335A9"/>
    <w:rsid w:val="00A335B6"/>
    <w:rsid w:val="00A33713"/>
    <w:rsid w:val="00A3377A"/>
    <w:rsid w:val="00A33791"/>
    <w:rsid w:val="00A337A0"/>
    <w:rsid w:val="00A337AE"/>
    <w:rsid w:val="00A338E8"/>
    <w:rsid w:val="00A3391E"/>
    <w:rsid w:val="00A339E9"/>
    <w:rsid w:val="00A33A03"/>
    <w:rsid w:val="00A33B57"/>
    <w:rsid w:val="00A33B5E"/>
    <w:rsid w:val="00A33B79"/>
    <w:rsid w:val="00A33BA7"/>
    <w:rsid w:val="00A33C3D"/>
    <w:rsid w:val="00A33C6C"/>
    <w:rsid w:val="00A33CA6"/>
    <w:rsid w:val="00A33D81"/>
    <w:rsid w:val="00A33E2C"/>
    <w:rsid w:val="00A33E2F"/>
    <w:rsid w:val="00A33EC6"/>
    <w:rsid w:val="00A33F00"/>
    <w:rsid w:val="00A33F14"/>
    <w:rsid w:val="00A33F55"/>
    <w:rsid w:val="00A33F9D"/>
    <w:rsid w:val="00A33FFF"/>
    <w:rsid w:val="00A34152"/>
    <w:rsid w:val="00A34177"/>
    <w:rsid w:val="00A341FB"/>
    <w:rsid w:val="00A342FD"/>
    <w:rsid w:val="00A34302"/>
    <w:rsid w:val="00A34386"/>
    <w:rsid w:val="00A343E0"/>
    <w:rsid w:val="00A3455E"/>
    <w:rsid w:val="00A34655"/>
    <w:rsid w:val="00A34698"/>
    <w:rsid w:val="00A346CE"/>
    <w:rsid w:val="00A346FC"/>
    <w:rsid w:val="00A3474C"/>
    <w:rsid w:val="00A349ED"/>
    <w:rsid w:val="00A34A9F"/>
    <w:rsid w:val="00A34AE2"/>
    <w:rsid w:val="00A34B46"/>
    <w:rsid w:val="00A34B86"/>
    <w:rsid w:val="00A34BF7"/>
    <w:rsid w:val="00A34C84"/>
    <w:rsid w:val="00A34CC9"/>
    <w:rsid w:val="00A34D76"/>
    <w:rsid w:val="00A34DD5"/>
    <w:rsid w:val="00A34DE1"/>
    <w:rsid w:val="00A34DEC"/>
    <w:rsid w:val="00A34FA7"/>
    <w:rsid w:val="00A34FC8"/>
    <w:rsid w:val="00A35002"/>
    <w:rsid w:val="00A350D5"/>
    <w:rsid w:val="00A351D6"/>
    <w:rsid w:val="00A35371"/>
    <w:rsid w:val="00A354B1"/>
    <w:rsid w:val="00A3562E"/>
    <w:rsid w:val="00A35659"/>
    <w:rsid w:val="00A3571A"/>
    <w:rsid w:val="00A35745"/>
    <w:rsid w:val="00A3574C"/>
    <w:rsid w:val="00A35755"/>
    <w:rsid w:val="00A3576B"/>
    <w:rsid w:val="00A35830"/>
    <w:rsid w:val="00A359DE"/>
    <w:rsid w:val="00A35A88"/>
    <w:rsid w:val="00A35A9A"/>
    <w:rsid w:val="00A35B27"/>
    <w:rsid w:val="00A35B3D"/>
    <w:rsid w:val="00A35CB8"/>
    <w:rsid w:val="00A35CDA"/>
    <w:rsid w:val="00A35D61"/>
    <w:rsid w:val="00A35DB1"/>
    <w:rsid w:val="00A35E08"/>
    <w:rsid w:val="00A35E8F"/>
    <w:rsid w:val="00A35E9B"/>
    <w:rsid w:val="00A35F29"/>
    <w:rsid w:val="00A3600B"/>
    <w:rsid w:val="00A36042"/>
    <w:rsid w:val="00A360B3"/>
    <w:rsid w:val="00A36169"/>
    <w:rsid w:val="00A361A5"/>
    <w:rsid w:val="00A3627A"/>
    <w:rsid w:val="00A362E9"/>
    <w:rsid w:val="00A3637E"/>
    <w:rsid w:val="00A3644F"/>
    <w:rsid w:val="00A3648F"/>
    <w:rsid w:val="00A36490"/>
    <w:rsid w:val="00A36576"/>
    <w:rsid w:val="00A3658E"/>
    <w:rsid w:val="00A36731"/>
    <w:rsid w:val="00A36736"/>
    <w:rsid w:val="00A36751"/>
    <w:rsid w:val="00A36755"/>
    <w:rsid w:val="00A3680B"/>
    <w:rsid w:val="00A36810"/>
    <w:rsid w:val="00A36909"/>
    <w:rsid w:val="00A36997"/>
    <w:rsid w:val="00A36AA5"/>
    <w:rsid w:val="00A36AF6"/>
    <w:rsid w:val="00A36B15"/>
    <w:rsid w:val="00A36B54"/>
    <w:rsid w:val="00A36BED"/>
    <w:rsid w:val="00A36C4E"/>
    <w:rsid w:val="00A36C64"/>
    <w:rsid w:val="00A36C66"/>
    <w:rsid w:val="00A36CD0"/>
    <w:rsid w:val="00A36E5B"/>
    <w:rsid w:val="00A36EF2"/>
    <w:rsid w:val="00A36FB7"/>
    <w:rsid w:val="00A36FE7"/>
    <w:rsid w:val="00A370F5"/>
    <w:rsid w:val="00A37125"/>
    <w:rsid w:val="00A3717A"/>
    <w:rsid w:val="00A371B4"/>
    <w:rsid w:val="00A371BE"/>
    <w:rsid w:val="00A371C6"/>
    <w:rsid w:val="00A3720C"/>
    <w:rsid w:val="00A37288"/>
    <w:rsid w:val="00A372DD"/>
    <w:rsid w:val="00A373AC"/>
    <w:rsid w:val="00A37409"/>
    <w:rsid w:val="00A3741E"/>
    <w:rsid w:val="00A37452"/>
    <w:rsid w:val="00A3746F"/>
    <w:rsid w:val="00A37502"/>
    <w:rsid w:val="00A3751C"/>
    <w:rsid w:val="00A37551"/>
    <w:rsid w:val="00A3758E"/>
    <w:rsid w:val="00A3759E"/>
    <w:rsid w:val="00A37604"/>
    <w:rsid w:val="00A37625"/>
    <w:rsid w:val="00A37798"/>
    <w:rsid w:val="00A3779D"/>
    <w:rsid w:val="00A37860"/>
    <w:rsid w:val="00A378F6"/>
    <w:rsid w:val="00A37903"/>
    <w:rsid w:val="00A37A71"/>
    <w:rsid w:val="00A37A9F"/>
    <w:rsid w:val="00A37ACD"/>
    <w:rsid w:val="00A37AD1"/>
    <w:rsid w:val="00A37B31"/>
    <w:rsid w:val="00A37C0F"/>
    <w:rsid w:val="00A37DA8"/>
    <w:rsid w:val="00A37F02"/>
    <w:rsid w:val="00A37F39"/>
    <w:rsid w:val="00A37F70"/>
    <w:rsid w:val="00A37FA2"/>
    <w:rsid w:val="00A400E3"/>
    <w:rsid w:val="00A4011A"/>
    <w:rsid w:val="00A40120"/>
    <w:rsid w:val="00A40191"/>
    <w:rsid w:val="00A40217"/>
    <w:rsid w:val="00A403A0"/>
    <w:rsid w:val="00A4047D"/>
    <w:rsid w:val="00A40486"/>
    <w:rsid w:val="00A404EE"/>
    <w:rsid w:val="00A4053E"/>
    <w:rsid w:val="00A40599"/>
    <w:rsid w:val="00A4069E"/>
    <w:rsid w:val="00A406F4"/>
    <w:rsid w:val="00A4075D"/>
    <w:rsid w:val="00A40802"/>
    <w:rsid w:val="00A40860"/>
    <w:rsid w:val="00A408D3"/>
    <w:rsid w:val="00A40923"/>
    <w:rsid w:val="00A409BA"/>
    <w:rsid w:val="00A40A35"/>
    <w:rsid w:val="00A40A37"/>
    <w:rsid w:val="00A40AC7"/>
    <w:rsid w:val="00A40AFD"/>
    <w:rsid w:val="00A40B07"/>
    <w:rsid w:val="00A40B16"/>
    <w:rsid w:val="00A40B62"/>
    <w:rsid w:val="00A40B80"/>
    <w:rsid w:val="00A40B85"/>
    <w:rsid w:val="00A40BD8"/>
    <w:rsid w:val="00A40C4E"/>
    <w:rsid w:val="00A40CAB"/>
    <w:rsid w:val="00A40D54"/>
    <w:rsid w:val="00A40D83"/>
    <w:rsid w:val="00A40DB4"/>
    <w:rsid w:val="00A40E02"/>
    <w:rsid w:val="00A40E51"/>
    <w:rsid w:val="00A40E7F"/>
    <w:rsid w:val="00A40EC1"/>
    <w:rsid w:val="00A40F3E"/>
    <w:rsid w:val="00A40F7E"/>
    <w:rsid w:val="00A40FCF"/>
    <w:rsid w:val="00A41077"/>
    <w:rsid w:val="00A410D3"/>
    <w:rsid w:val="00A410D4"/>
    <w:rsid w:val="00A41184"/>
    <w:rsid w:val="00A411C1"/>
    <w:rsid w:val="00A411D1"/>
    <w:rsid w:val="00A411F7"/>
    <w:rsid w:val="00A41225"/>
    <w:rsid w:val="00A412DD"/>
    <w:rsid w:val="00A4135A"/>
    <w:rsid w:val="00A413B7"/>
    <w:rsid w:val="00A41445"/>
    <w:rsid w:val="00A41480"/>
    <w:rsid w:val="00A414A6"/>
    <w:rsid w:val="00A41545"/>
    <w:rsid w:val="00A4157D"/>
    <w:rsid w:val="00A4163D"/>
    <w:rsid w:val="00A41729"/>
    <w:rsid w:val="00A4172B"/>
    <w:rsid w:val="00A41767"/>
    <w:rsid w:val="00A4179D"/>
    <w:rsid w:val="00A417CA"/>
    <w:rsid w:val="00A4180C"/>
    <w:rsid w:val="00A41937"/>
    <w:rsid w:val="00A419A2"/>
    <w:rsid w:val="00A419D4"/>
    <w:rsid w:val="00A41A0F"/>
    <w:rsid w:val="00A41A16"/>
    <w:rsid w:val="00A41B12"/>
    <w:rsid w:val="00A41B15"/>
    <w:rsid w:val="00A41B8B"/>
    <w:rsid w:val="00A41BB4"/>
    <w:rsid w:val="00A41BBE"/>
    <w:rsid w:val="00A41C16"/>
    <w:rsid w:val="00A41C55"/>
    <w:rsid w:val="00A41DB0"/>
    <w:rsid w:val="00A41DF7"/>
    <w:rsid w:val="00A41EB1"/>
    <w:rsid w:val="00A41EC0"/>
    <w:rsid w:val="00A41F87"/>
    <w:rsid w:val="00A41FB6"/>
    <w:rsid w:val="00A4203D"/>
    <w:rsid w:val="00A4206D"/>
    <w:rsid w:val="00A420B2"/>
    <w:rsid w:val="00A4213A"/>
    <w:rsid w:val="00A42161"/>
    <w:rsid w:val="00A421FB"/>
    <w:rsid w:val="00A4220F"/>
    <w:rsid w:val="00A4224A"/>
    <w:rsid w:val="00A422D4"/>
    <w:rsid w:val="00A42364"/>
    <w:rsid w:val="00A42416"/>
    <w:rsid w:val="00A42506"/>
    <w:rsid w:val="00A42566"/>
    <w:rsid w:val="00A4259D"/>
    <w:rsid w:val="00A425EC"/>
    <w:rsid w:val="00A425F2"/>
    <w:rsid w:val="00A42626"/>
    <w:rsid w:val="00A42729"/>
    <w:rsid w:val="00A427D4"/>
    <w:rsid w:val="00A42893"/>
    <w:rsid w:val="00A428B4"/>
    <w:rsid w:val="00A42963"/>
    <w:rsid w:val="00A42AE1"/>
    <w:rsid w:val="00A42AEC"/>
    <w:rsid w:val="00A42B28"/>
    <w:rsid w:val="00A42B97"/>
    <w:rsid w:val="00A42C33"/>
    <w:rsid w:val="00A42C39"/>
    <w:rsid w:val="00A42CAF"/>
    <w:rsid w:val="00A42CC9"/>
    <w:rsid w:val="00A42CDA"/>
    <w:rsid w:val="00A42CFF"/>
    <w:rsid w:val="00A42D09"/>
    <w:rsid w:val="00A42D27"/>
    <w:rsid w:val="00A42D47"/>
    <w:rsid w:val="00A42D65"/>
    <w:rsid w:val="00A42DD4"/>
    <w:rsid w:val="00A42DEB"/>
    <w:rsid w:val="00A42E8A"/>
    <w:rsid w:val="00A42ED0"/>
    <w:rsid w:val="00A42EEA"/>
    <w:rsid w:val="00A42F42"/>
    <w:rsid w:val="00A42FD8"/>
    <w:rsid w:val="00A43021"/>
    <w:rsid w:val="00A4303E"/>
    <w:rsid w:val="00A430CA"/>
    <w:rsid w:val="00A4327D"/>
    <w:rsid w:val="00A432BD"/>
    <w:rsid w:val="00A432CF"/>
    <w:rsid w:val="00A4338D"/>
    <w:rsid w:val="00A433FE"/>
    <w:rsid w:val="00A43401"/>
    <w:rsid w:val="00A434BC"/>
    <w:rsid w:val="00A4353D"/>
    <w:rsid w:val="00A43564"/>
    <w:rsid w:val="00A435AC"/>
    <w:rsid w:val="00A435B0"/>
    <w:rsid w:val="00A435D2"/>
    <w:rsid w:val="00A43609"/>
    <w:rsid w:val="00A43652"/>
    <w:rsid w:val="00A43699"/>
    <w:rsid w:val="00A438C0"/>
    <w:rsid w:val="00A4393E"/>
    <w:rsid w:val="00A43973"/>
    <w:rsid w:val="00A439D0"/>
    <w:rsid w:val="00A439F5"/>
    <w:rsid w:val="00A43B1C"/>
    <w:rsid w:val="00A43B7F"/>
    <w:rsid w:val="00A43B8A"/>
    <w:rsid w:val="00A43BD1"/>
    <w:rsid w:val="00A43C49"/>
    <w:rsid w:val="00A43CAD"/>
    <w:rsid w:val="00A43D1D"/>
    <w:rsid w:val="00A43D30"/>
    <w:rsid w:val="00A43D53"/>
    <w:rsid w:val="00A43D8D"/>
    <w:rsid w:val="00A43E14"/>
    <w:rsid w:val="00A43E51"/>
    <w:rsid w:val="00A43F12"/>
    <w:rsid w:val="00A43F7F"/>
    <w:rsid w:val="00A43F87"/>
    <w:rsid w:val="00A43F8F"/>
    <w:rsid w:val="00A4401F"/>
    <w:rsid w:val="00A44039"/>
    <w:rsid w:val="00A440A6"/>
    <w:rsid w:val="00A440FD"/>
    <w:rsid w:val="00A44121"/>
    <w:rsid w:val="00A441EB"/>
    <w:rsid w:val="00A442B2"/>
    <w:rsid w:val="00A4431D"/>
    <w:rsid w:val="00A44343"/>
    <w:rsid w:val="00A44356"/>
    <w:rsid w:val="00A44358"/>
    <w:rsid w:val="00A444AD"/>
    <w:rsid w:val="00A444E4"/>
    <w:rsid w:val="00A444EB"/>
    <w:rsid w:val="00A44593"/>
    <w:rsid w:val="00A445A1"/>
    <w:rsid w:val="00A445B3"/>
    <w:rsid w:val="00A44607"/>
    <w:rsid w:val="00A4466C"/>
    <w:rsid w:val="00A446A6"/>
    <w:rsid w:val="00A447C8"/>
    <w:rsid w:val="00A4486F"/>
    <w:rsid w:val="00A448DD"/>
    <w:rsid w:val="00A448FD"/>
    <w:rsid w:val="00A44915"/>
    <w:rsid w:val="00A4496D"/>
    <w:rsid w:val="00A449B5"/>
    <w:rsid w:val="00A44ABC"/>
    <w:rsid w:val="00A44B32"/>
    <w:rsid w:val="00A44CEE"/>
    <w:rsid w:val="00A44D0B"/>
    <w:rsid w:val="00A44EAF"/>
    <w:rsid w:val="00A44EC2"/>
    <w:rsid w:val="00A45017"/>
    <w:rsid w:val="00A45179"/>
    <w:rsid w:val="00A451AD"/>
    <w:rsid w:val="00A451C1"/>
    <w:rsid w:val="00A45269"/>
    <w:rsid w:val="00A45290"/>
    <w:rsid w:val="00A45322"/>
    <w:rsid w:val="00A45331"/>
    <w:rsid w:val="00A4534F"/>
    <w:rsid w:val="00A453F8"/>
    <w:rsid w:val="00A45478"/>
    <w:rsid w:val="00A454AB"/>
    <w:rsid w:val="00A454C0"/>
    <w:rsid w:val="00A45513"/>
    <w:rsid w:val="00A4554F"/>
    <w:rsid w:val="00A45579"/>
    <w:rsid w:val="00A4559E"/>
    <w:rsid w:val="00A455C3"/>
    <w:rsid w:val="00A4567F"/>
    <w:rsid w:val="00A456A5"/>
    <w:rsid w:val="00A456AC"/>
    <w:rsid w:val="00A456FB"/>
    <w:rsid w:val="00A4571E"/>
    <w:rsid w:val="00A4596B"/>
    <w:rsid w:val="00A459DA"/>
    <w:rsid w:val="00A45B32"/>
    <w:rsid w:val="00A45C51"/>
    <w:rsid w:val="00A45D12"/>
    <w:rsid w:val="00A45D20"/>
    <w:rsid w:val="00A45DDB"/>
    <w:rsid w:val="00A45E65"/>
    <w:rsid w:val="00A45F0C"/>
    <w:rsid w:val="00A45FF9"/>
    <w:rsid w:val="00A46033"/>
    <w:rsid w:val="00A46047"/>
    <w:rsid w:val="00A4608C"/>
    <w:rsid w:val="00A460CC"/>
    <w:rsid w:val="00A460CE"/>
    <w:rsid w:val="00A4616C"/>
    <w:rsid w:val="00A4619B"/>
    <w:rsid w:val="00A461B9"/>
    <w:rsid w:val="00A461E3"/>
    <w:rsid w:val="00A462DD"/>
    <w:rsid w:val="00A462E7"/>
    <w:rsid w:val="00A463E3"/>
    <w:rsid w:val="00A464BF"/>
    <w:rsid w:val="00A46528"/>
    <w:rsid w:val="00A46560"/>
    <w:rsid w:val="00A4658C"/>
    <w:rsid w:val="00A465DA"/>
    <w:rsid w:val="00A465F0"/>
    <w:rsid w:val="00A46628"/>
    <w:rsid w:val="00A46643"/>
    <w:rsid w:val="00A46691"/>
    <w:rsid w:val="00A46820"/>
    <w:rsid w:val="00A4682D"/>
    <w:rsid w:val="00A46851"/>
    <w:rsid w:val="00A469C9"/>
    <w:rsid w:val="00A46A82"/>
    <w:rsid w:val="00A46AAE"/>
    <w:rsid w:val="00A46C31"/>
    <w:rsid w:val="00A46CFE"/>
    <w:rsid w:val="00A46D19"/>
    <w:rsid w:val="00A46DCD"/>
    <w:rsid w:val="00A46EAB"/>
    <w:rsid w:val="00A46EBF"/>
    <w:rsid w:val="00A46F80"/>
    <w:rsid w:val="00A46FA9"/>
    <w:rsid w:val="00A47016"/>
    <w:rsid w:val="00A4708A"/>
    <w:rsid w:val="00A47137"/>
    <w:rsid w:val="00A47159"/>
    <w:rsid w:val="00A471C3"/>
    <w:rsid w:val="00A4725A"/>
    <w:rsid w:val="00A472C7"/>
    <w:rsid w:val="00A47362"/>
    <w:rsid w:val="00A4741A"/>
    <w:rsid w:val="00A4743D"/>
    <w:rsid w:val="00A4757D"/>
    <w:rsid w:val="00A47596"/>
    <w:rsid w:val="00A475C8"/>
    <w:rsid w:val="00A47606"/>
    <w:rsid w:val="00A47685"/>
    <w:rsid w:val="00A4774F"/>
    <w:rsid w:val="00A47756"/>
    <w:rsid w:val="00A4785A"/>
    <w:rsid w:val="00A4786B"/>
    <w:rsid w:val="00A47935"/>
    <w:rsid w:val="00A4798D"/>
    <w:rsid w:val="00A47B14"/>
    <w:rsid w:val="00A47EDE"/>
    <w:rsid w:val="00A47EDF"/>
    <w:rsid w:val="00A47F4C"/>
    <w:rsid w:val="00A47FB7"/>
    <w:rsid w:val="00A4C7EC"/>
    <w:rsid w:val="00A500D7"/>
    <w:rsid w:val="00A501CA"/>
    <w:rsid w:val="00A5022F"/>
    <w:rsid w:val="00A5024B"/>
    <w:rsid w:val="00A50266"/>
    <w:rsid w:val="00A50356"/>
    <w:rsid w:val="00A5035A"/>
    <w:rsid w:val="00A503AD"/>
    <w:rsid w:val="00A503CF"/>
    <w:rsid w:val="00A503FF"/>
    <w:rsid w:val="00A50492"/>
    <w:rsid w:val="00A50494"/>
    <w:rsid w:val="00A504A0"/>
    <w:rsid w:val="00A50514"/>
    <w:rsid w:val="00A50634"/>
    <w:rsid w:val="00A506C5"/>
    <w:rsid w:val="00A506E8"/>
    <w:rsid w:val="00A5080C"/>
    <w:rsid w:val="00A5096B"/>
    <w:rsid w:val="00A50975"/>
    <w:rsid w:val="00A50A5A"/>
    <w:rsid w:val="00A50AC9"/>
    <w:rsid w:val="00A50BDA"/>
    <w:rsid w:val="00A50BF8"/>
    <w:rsid w:val="00A50C3F"/>
    <w:rsid w:val="00A50D52"/>
    <w:rsid w:val="00A50DF9"/>
    <w:rsid w:val="00A50E4E"/>
    <w:rsid w:val="00A50EDC"/>
    <w:rsid w:val="00A50EDD"/>
    <w:rsid w:val="00A5108B"/>
    <w:rsid w:val="00A510F3"/>
    <w:rsid w:val="00A5117A"/>
    <w:rsid w:val="00A511BF"/>
    <w:rsid w:val="00A511F5"/>
    <w:rsid w:val="00A51250"/>
    <w:rsid w:val="00A51313"/>
    <w:rsid w:val="00A513D4"/>
    <w:rsid w:val="00A513E3"/>
    <w:rsid w:val="00A514A4"/>
    <w:rsid w:val="00A514AD"/>
    <w:rsid w:val="00A514C7"/>
    <w:rsid w:val="00A515EB"/>
    <w:rsid w:val="00A51601"/>
    <w:rsid w:val="00A5163D"/>
    <w:rsid w:val="00A51680"/>
    <w:rsid w:val="00A51685"/>
    <w:rsid w:val="00A517AF"/>
    <w:rsid w:val="00A5180F"/>
    <w:rsid w:val="00A51811"/>
    <w:rsid w:val="00A5188D"/>
    <w:rsid w:val="00A518D1"/>
    <w:rsid w:val="00A51937"/>
    <w:rsid w:val="00A51A3E"/>
    <w:rsid w:val="00A51AAF"/>
    <w:rsid w:val="00A51BB5"/>
    <w:rsid w:val="00A51BB9"/>
    <w:rsid w:val="00A51BEB"/>
    <w:rsid w:val="00A51CA8"/>
    <w:rsid w:val="00A51F47"/>
    <w:rsid w:val="00A51FC5"/>
    <w:rsid w:val="00A51FF1"/>
    <w:rsid w:val="00A52072"/>
    <w:rsid w:val="00A52079"/>
    <w:rsid w:val="00A52139"/>
    <w:rsid w:val="00A5227B"/>
    <w:rsid w:val="00A52294"/>
    <w:rsid w:val="00A522CB"/>
    <w:rsid w:val="00A522F1"/>
    <w:rsid w:val="00A52358"/>
    <w:rsid w:val="00A52458"/>
    <w:rsid w:val="00A524E9"/>
    <w:rsid w:val="00A52575"/>
    <w:rsid w:val="00A525B4"/>
    <w:rsid w:val="00A52669"/>
    <w:rsid w:val="00A52694"/>
    <w:rsid w:val="00A52759"/>
    <w:rsid w:val="00A52811"/>
    <w:rsid w:val="00A528C5"/>
    <w:rsid w:val="00A528CA"/>
    <w:rsid w:val="00A52916"/>
    <w:rsid w:val="00A52927"/>
    <w:rsid w:val="00A5292D"/>
    <w:rsid w:val="00A52935"/>
    <w:rsid w:val="00A52A10"/>
    <w:rsid w:val="00A52BF1"/>
    <w:rsid w:val="00A52C8C"/>
    <w:rsid w:val="00A52CD1"/>
    <w:rsid w:val="00A52CFF"/>
    <w:rsid w:val="00A52D12"/>
    <w:rsid w:val="00A52D15"/>
    <w:rsid w:val="00A52D91"/>
    <w:rsid w:val="00A52E9B"/>
    <w:rsid w:val="00A52FD2"/>
    <w:rsid w:val="00A5302F"/>
    <w:rsid w:val="00A53092"/>
    <w:rsid w:val="00A53105"/>
    <w:rsid w:val="00A5310E"/>
    <w:rsid w:val="00A5312C"/>
    <w:rsid w:val="00A53177"/>
    <w:rsid w:val="00A53199"/>
    <w:rsid w:val="00A5325D"/>
    <w:rsid w:val="00A532E6"/>
    <w:rsid w:val="00A532FC"/>
    <w:rsid w:val="00A53345"/>
    <w:rsid w:val="00A53379"/>
    <w:rsid w:val="00A534DF"/>
    <w:rsid w:val="00A534FF"/>
    <w:rsid w:val="00A53551"/>
    <w:rsid w:val="00A535A0"/>
    <w:rsid w:val="00A535F1"/>
    <w:rsid w:val="00A53634"/>
    <w:rsid w:val="00A536EE"/>
    <w:rsid w:val="00A53765"/>
    <w:rsid w:val="00A537BD"/>
    <w:rsid w:val="00A537C3"/>
    <w:rsid w:val="00A537D9"/>
    <w:rsid w:val="00A5384C"/>
    <w:rsid w:val="00A538B4"/>
    <w:rsid w:val="00A538E1"/>
    <w:rsid w:val="00A539CB"/>
    <w:rsid w:val="00A53A33"/>
    <w:rsid w:val="00A53B1D"/>
    <w:rsid w:val="00A53B84"/>
    <w:rsid w:val="00A53B8D"/>
    <w:rsid w:val="00A53BE0"/>
    <w:rsid w:val="00A53BFA"/>
    <w:rsid w:val="00A53D4E"/>
    <w:rsid w:val="00A53DEA"/>
    <w:rsid w:val="00A53E6F"/>
    <w:rsid w:val="00A53E89"/>
    <w:rsid w:val="00A53E92"/>
    <w:rsid w:val="00A53FA7"/>
    <w:rsid w:val="00A5405D"/>
    <w:rsid w:val="00A5407F"/>
    <w:rsid w:val="00A540A4"/>
    <w:rsid w:val="00A540B4"/>
    <w:rsid w:val="00A540BF"/>
    <w:rsid w:val="00A54187"/>
    <w:rsid w:val="00A5421B"/>
    <w:rsid w:val="00A54329"/>
    <w:rsid w:val="00A54404"/>
    <w:rsid w:val="00A5449E"/>
    <w:rsid w:val="00A544BD"/>
    <w:rsid w:val="00A54528"/>
    <w:rsid w:val="00A54531"/>
    <w:rsid w:val="00A54549"/>
    <w:rsid w:val="00A5455F"/>
    <w:rsid w:val="00A54623"/>
    <w:rsid w:val="00A546D4"/>
    <w:rsid w:val="00A546E1"/>
    <w:rsid w:val="00A546FE"/>
    <w:rsid w:val="00A54749"/>
    <w:rsid w:val="00A54774"/>
    <w:rsid w:val="00A547B8"/>
    <w:rsid w:val="00A5484C"/>
    <w:rsid w:val="00A548B7"/>
    <w:rsid w:val="00A54994"/>
    <w:rsid w:val="00A54A14"/>
    <w:rsid w:val="00A54A93"/>
    <w:rsid w:val="00A54AC2"/>
    <w:rsid w:val="00A54C12"/>
    <w:rsid w:val="00A54C1A"/>
    <w:rsid w:val="00A54CDE"/>
    <w:rsid w:val="00A54CF4"/>
    <w:rsid w:val="00A54DEF"/>
    <w:rsid w:val="00A54DF4"/>
    <w:rsid w:val="00A54EB7"/>
    <w:rsid w:val="00A54EF1"/>
    <w:rsid w:val="00A54F12"/>
    <w:rsid w:val="00A54F3C"/>
    <w:rsid w:val="00A54F41"/>
    <w:rsid w:val="00A54FA8"/>
    <w:rsid w:val="00A55014"/>
    <w:rsid w:val="00A55160"/>
    <w:rsid w:val="00A551C2"/>
    <w:rsid w:val="00A55255"/>
    <w:rsid w:val="00A55271"/>
    <w:rsid w:val="00A5529C"/>
    <w:rsid w:val="00A552D2"/>
    <w:rsid w:val="00A5531C"/>
    <w:rsid w:val="00A55322"/>
    <w:rsid w:val="00A5534C"/>
    <w:rsid w:val="00A553A2"/>
    <w:rsid w:val="00A5545A"/>
    <w:rsid w:val="00A5557C"/>
    <w:rsid w:val="00A555C6"/>
    <w:rsid w:val="00A555CD"/>
    <w:rsid w:val="00A555FF"/>
    <w:rsid w:val="00A55637"/>
    <w:rsid w:val="00A55666"/>
    <w:rsid w:val="00A556A1"/>
    <w:rsid w:val="00A55774"/>
    <w:rsid w:val="00A557A7"/>
    <w:rsid w:val="00A557B6"/>
    <w:rsid w:val="00A557BD"/>
    <w:rsid w:val="00A557CC"/>
    <w:rsid w:val="00A557F4"/>
    <w:rsid w:val="00A558A0"/>
    <w:rsid w:val="00A55917"/>
    <w:rsid w:val="00A55928"/>
    <w:rsid w:val="00A55939"/>
    <w:rsid w:val="00A55950"/>
    <w:rsid w:val="00A559AB"/>
    <w:rsid w:val="00A55B0D"/>
    <w:rsid w:val="00A55B17"/>
    <w:rsid w:val="00A55C1B"/>
    <w:rsid w:val="00A55C2B"/>
    <w:rsid w:val="00A55CCB"/>
    <w:rsid w:val="00A55E4E"/>
    <w:rsid w:val="00A55E6D"/>
    <w:rsid w:val="00A55F22"/>
    <w:rsid w:val="00A55FE0"/>
    <w:rsid w:val="00A5606A"/>
    <w:rsid w:val="00A5619D"/>
    <w:rsid w:val="00A5619E"/>
    <w:rsid w:val="00A561B3"/>
    <w:rsid w:val="00A561B8"/>
    <w:rsid w:val="00A561EA"/>
    <w:rsid w:val="00A5620F"/>
    <w:rsid w:val="00A56224"/>
    <w:rsid w:val="00A56258"/>
    <w:rsid w:val="00A5627F"/>
    <w:rsid w:val="00A56354"/>
    <w:rsid w:val="00A563C2"/>
    <w:rsid w:val="00A56427"/>
    <w:rsid w:val="00A564D2"/>
    <w:rsid w:val="00A56514"/>
    <w:rsid w:val="00A56592"/>
    <w:rsid w:val="00A565EA"/>
    <w:rsid w:val="00A56668"/>
    <w:rsid w:val="00A567E7"/>
    <w:rsid w:val="00A56846"/>
    <w:rsid w:val="00A5686C"/>
    <w:rsid w:val="00A568B1"/>
    <w:rsid w:val="00A5697D"/>
    <w:rsid w:val="00A569DB"/>
    <w:rsid w:val="00A56A20"/>
    <w:rsid w:val="00A56A25"/>
    <w:rsid w:val="00A56A26"/>
    <w:rsid w:val="00A56AA1"/>
    <w:rsid w:val="00A56B30"/>
    <w:rsid w:val="00A56B54"/>
    <w:rsid w:val="00A56C1D"/>
    <w:rsid w:val="00A56CF8"/>
    <w:rsid w:val="00A56D5F"/>
    <w:rsid w:val="00A56DA9"/>
    <w:rsid w:val="00A56DF7"/>
    <w:rsid w:val="00A56EA1"/>
    <w:rsid w:val="00A56EA4"/>
    <w:rsid w:val="00A56F47"/>
    <w:rsid w:val="00A56F51"/>
    <w:rsid w:val="00A56F74"/>
    <w:rsid w:val="00A57058"/>
    <w:rsid w:val="00A57061"/>
    <w:rsid w:val="00A5706D"/>
    <w:rsid w:val="00A570A1"/>
    <w:rsid w:val="00A570DE"/>
    <w:rsid w:val="00A57124"/>
    <w:rsid w:val="00A57182"/>
    <w:rsid w:val="00A57265"/>
    <w:rsid w:val="00A57347"/>
    <w:rsid w:val="00A573D3"/>
    <w:rsid w:val="00A573E7"/>
    <w:rsid w:val="00A574B3"/>
    <w:rsid w:val="00A574D4"/>
    <w:rsid w:val="00A574E0"/>
    <w:rsid w:val="00A575BD"/>
    <w:rsid w:val="00A5760B"/>
    <w:rsid w:val="00A57690"/>
    <w:rsid w:val="00A57761"/>
    <w:rsid w:val="00A57769"/>
    <w:rsid w:val="00A577D8"/>
    <w:rsid w:val="00A57842"/>
    <w:rsid w:val="00A5792F"/>
    <w:rsid w:val="00A57969"/>
    <w:rsid w:val="00A57995"/>
    <w:rsid w:val="00A57AAA"/>
    <w:rsid w:val="00A57B0A"/>
    <w:rsid w:val="00A57B6A"/>
    <w:rsid w:val="00A57B89"/>
    <w:rsid w:val="00A57C90"/>
    <w:rsid w:val="00A57CA8"/>
    <w:rsid w:val="00A57CC7"/>
    <w:rsid w:val="00A57D88"/>
    <w:rsid w:val="00A57D9A"/>
    <w:rsid w:val="00A57F02"/>
    <w:rsid w:val="00A57F98"/>
    <w:rsid w:val="00A60005"/>
    <w:rsid w:val="00A60022"/>
    <w:rsid w:val="00A60047"/>
    <w:rsid w:val="00A60050"/>
    <w:rsid w:val="00A600B7"/>
    <w:rsid w:val="00A60134"/>
    <w:rsid w:val="00A601ED"/>
    <w:rsid w:val="00A601EF"/>
    <w:rsid w:val="00A60229"/>
    <w:rsid w:val="00A602EF"/>
    <w:rsid w:val="00A60386"/>
    <w:rsid w:val="00A603DD"/>
    <w:rsid w:val="00A6040F"/>
    <w:rsid w:val="00A6042A"/>
    <w:rsid w:val="00A60472"/>
    <w:rsid w:val="00A6047B"/>
    <w:rsid w:val="00A604CF"/>
    <w:rsid w:val="00A6054D"/>
    <w:rsid w:val="00A605D5"/>
    <w:rsid w:val="00A60695"/>
    <w:rsid w:val="00A606AB"/>
    <w:rsid w:val="00A606B8"/>
    <w:rsid w:val="00A606EB"/>
    <w:rsid w:val="00A606ED"/>
    <w:rsid w:val="00A6073A"/>
    <w:rsid w:val="00A60790"/>
    <w:rsid w:val="00A607A2"/>
    <w:rsid w:val="00A60820"/>
    <w:rsid w:val="00A608AF"/>
    <w:rsid w:val="00A608DF"/>
    <w:rsid w:val="00A608F0"/>
    <w:rsid w:val="00A6098F"/>
    <w:rsid w:val="00A609A9"/>
    <w:rsid w:val="00A609D7"/>
    <w:rsid w:val="00A609F5"/>
    <w:rsid w:val="00A60A20"/>
    <w:rsid w:val="00A60AF0"/>
    <w:rsid w:val="00A60C24"/>
    <w:rsid w:val="00A60C9C"/>
    <w:rsid w:val="00A60CEB"/>
    <w:rsid w:val="00A60D60"/>
    <w:rsid w:val="00A60D6A"/>
    <w:rsid w:val="00A60D73"/>
    <w:rsid w:val="00A60D77"/>
    <w:rsid w:val="00A60DB3"/>
    <w:rsid w:val="00A60DD0"/>
    <w:rsid w:val="00A60DE1"/>
    <w:rsid w:val="00A60DEC"/>
    <w:rsid w:val="00A60DF3"/>
    <w:rsid w:val="00A60E2B"/>
    <w:rsid w:val="00A60E81"/>
    <w:rsid w:val="00A60EFB"/>
    <w:rsid w:val="00A60F0F"/>
    <w:rsid w:val="00A60F9C"/>
    <w:rsid w:val="00A60FA7"/>
    <w:rsid w:val="00A60FE4"/>
    <w:rsid w:val="00A610A6"/>
    <w:rsid w:val="00A61119"/>
    <w:rsid w:val="00A6114A"/>
    <w:rsid w:val="00A6121D"/>
    <w:rsid w:val="00A61263"/>
    <w:rsid w:val="00A6146F"/>
    <w:rsid w:val="00A61497"/>
    <w:rsid w:val="00A61512"/>
    <w:rsid w:val="00A61516"/>
    <w:rsid w:val="00A61527"/>
    <w:rsid w:val="00A61592"/>
    <w:rsid w:val="00A615FF"/>
    <w:rsid w:val="00A61667"/>
    <w:rsid w:val="00A61678"/>
    <w:rsid w:val="00A6168E"/>
    <w:rsid w:val="00A6172A"/>
    <w:rsid w:val="00A61730"/>
    <w:rsid w:val="00A61779"/>
    <w:rsid w:val="00A61790"/>
    <w:rsid w:val="00A617AF"/>
    <w:rsid w:val="00A617C7"/>
    <w:rsid w:val="00A617FA"/>
    <w:rsid w:val="00A619A1"/>
    <w:rsid w:val="00A619BE"/>
    <w:rsid w:val="00A61A42"/>
    <w:rsid w:val="00A61B62"/>
    <w:rsid w:val="00A61CB1"/>
    <w:rsid w:val="00A61CBC"/>
    <w:rsid w:val="00A61DE7"/>
    <w:rsid w:val="00A61E0C"/>
    <w:rsid w:val="00A61E2B"/>
    <w:rsid w:val="00A61F2A"/>
    <w:rsid w:val="00A61FED"/>
    <w:rsid w:val="00A62061"/>
    <w:rsid w:val="00A62070"/>
    <w:rsid w:val="00A6208C"/>
    <w:rsid w:val="00A620A5"/>
    <w:rsid w:val="00A62153"/>
    <w:rsid w:val="00A62163"/>
    <w:rsid w:val="00A621C7"/>
    <w:rsid w:val="00A621CA"/>
    <w:rsid w:val="00A62269"/>
    <w:rsid w:val="00A6228A"/>
    <w:rsid w:val="00A62341"/>
    <w:rsid w:val="00A6234C"/>
    <w:rsid w:val="00A62368"/>
    <w:rsid w:val="00A6240B"/>
    <w:rsid w:val="00A6248D"/>
    <w:rsid w:val="00A625A6"/>
    <w:rsid w:val="00A625BA"/>
    <w:rsid w:val="00A625C0"/>
    <w:rsid w:val="00A625D8"/>
    <w:rsid w:val="00A62607"/>
    <w:rsid w:val="00A6264D"/>
    <w:rsid w:val="00A62693"/>
    <w:rsid w:val="00A627D9"/>
    <w:rsid w:val="00A6287A"/>
    <w:rsid w:val="00A628C8"/>
    <w:rsid w:val="00A628D1"/>
    <w:rsid w:val="00A628ED"/>
    <w:rsid w:val="00A629A3"/>
    <w:rsid w:val="00A629EB"/>
    <w:rsid w:val="00A62A07"/>
    <w:rsid w:val="00A62A2F"/>
    <w:rsid w:val="00A62A90"/>
    <w:rsid w:val="00A62ACF"/>
    <w:rsid w:val="00A62B75"/>
    <w:rsid w:val="00A62B86"/>
    <w:rsid w:val="00A62BBF"/>
    <w:rsid w:val="00A62C33"/>
    <w:rsid w:val="00A62CC6"/>
    <w:rsid w:val="00A62CCB"/>
    <w:rsid w:val="00A62CD5"/>
    <w:rsid w:val="00A62D0D"/>
    <w:rsid w:val="00A62D2E"/>
    <w:rsid w:val="00A62D30"/>
    <w:rsid w:val="00A62D7A"/>
    <w:rsid w:val="00A62D90"/>
    <w:rsid w:val="00A62D93"/>
    <w:rsid w:val="00A62DA1"/>
    <w:rsid w:val="00A62DBE"/>
    <w:rsid w:val="00A62DC8"/>
    <w:rsid w:val="00A62E6A"/>
    <w:rsid w:val="00A62EA8"/>
    <w:rsid w:val="00A62EAD"/>
    <w:rsid w:val="00A62EE8"/>
    <w:rsid w:val="00A62F39"/>
    <w:rsid w:val="00A62F47"/>
    <w:rsid w:val="00A62FEB"/>
    <w:rsid w:val="00A63124"/>
    <w:rsid w:val="00A63163"/>
    <w:rsid w:val="00A6325F"/>
    <w:rsid w:val="00A63275"/>
    <w:rsid w:val="00A63321"/>
    <w:rsid w:val="00A63325"/>
    <w:rsid w:val="00A6337B"/>
    <w:rsid w:val="00A6343D"/>
    <w:rsid w:val="00A6347C"/>
    <w:rsid w:val="00A63628"/>
    <w:rsid w:val="00A63693"/>
    <w:rsid w:val="00A63754"/>
    <w:rsid w:val="00A6375D"/>
    <w:rsid w:val="00A637A4"/>
    <w:rsid w:val="00A637BB"/>
    <w:rsid w:val="00A6381E"/>
    <w:rsid w:val="00A63895"/>
    <w:rsid w:val="00A638E6"/>
    <w:rsid w:val="00A63923"/>
    <w:rsid w:val="00A6397F"/>
    <w:rsid w:val="00A639C8"/>
    <w:rsid w:val="00A63A8F"/>
    <w:rsid w:val="00A63AAE"/>
    <w:rsid w:val="00A63B72"/>
    <w:rsid w:val="00A63B74"/>
    <w:rsid w:val="00A63C44"/>
    <w:rsid w:val="00A63D19"/>
    <w:rsid w:val="00A63D26"/>
    <w:rsid w:val="00A63D2D"/>
    <w:rsid w:val="00A63D75"/>
    <w:rsid w:val="00A63E4A"/>
    <w:rsid w:val="00A63E7A"/>
    <w:rsid w:val="00A63E81"/>
    <w:rsid w:val="00A63ECC"/>
    <w:rsid w:val="00A63F62"/>
    <w:rsid w:val="00A63FB0"/>
    <w:rsid w:val="00A63FCD"/>
    <w:rsid w:val="00A63FD2"/>
    <w:rsid w:val="00A63FF8"/>
    <w:rsid w:val="00A640E6"/>
    <w:rsid w:val="00A64106"/>
    <w:rsid w:val="00A64166"/>
    <w:rsid w:val="00A64168"/>
    <w:rsid w:val="00A6417F"/>
    <w:rsid w:val="00A641E7"/>
    <w:rsid w:val="00A643CA"/>
    <w:rsid w:val="00A6442A"/>
    <w:rsid w:val="00A64464"/>
    <w:rsid w:val="00A644B8"/>
    <w:rsid w:val="00A64528"/>
    <w:rsid w:val="00A6463B"/>
    <w:rsid w:val="00A64660"/>
    <w:rsid w:val="00A64679"/>
    <w:rsid w:val="00A646F4"/>
    <w:rsid w:val="00A64818"/>
    <w:rsid w:val="00A6483D"/>
    <w:rsid w:val="00A64852"/>
    <w:rsid w:val="00A64A30"/>
    <w:rsid w:val="00A64A46"/>
    <w:rsid w:val="00A64AC7"/>
    <w:rsid w:val="00A64ACA"/>
    <w:rsid w:val="00A64B54"/>
    <w:rsid w:val="00A64B73"/>
    <w:rsid w:val="00A64C09"/>
    <w:rsid w:val="00A64C23"/>
    <w:rsid w:val="00A64C45"/>
    <w:rsid w:val="00A64FC5"/>
    <w:rsid w:val="00A64FF5"/>
    <w:rsid w:val="00A6500D"/>
    <w:rsid w:val="00A65126"/>
    <w:rsid w:val="00A651A9"/>
    <w:rsid w:val="00A651EE"/>
    <w:rsid w:val="00A6524C"/>
    <w:rsid w:val="00A6528A"/>
    <w:rsid w:val="00A65331"/>
    <w:rsid w:val="00A6537C"/>
    <w:rsid w:val="00A653AA"/>
    <w:rsid w:val="00A65524"/>
    <w:rsid w:val="00A65536"/>
    <w:rsid w:val="00A655D0"/>
    <w:rsid w:val="00A65635"/>
    <w:rsid w:val="00A656D0"/>
    <w:rsid w:val="00A65753"/>
    <w:rsid w:val="00A65799"/>
    <w:rsid w:val="00A6588D"/>
    <w:rsid w:val="00A6595A"/>
    <w:rsid w:val="00A6598D"/>
    <w:rsid w:val="00A659E6"/>
    <w:rsid w:val="00A65AD6"/>
    <w:rsid w:val="00A65BCF"/>
    <w:rsid w:val="00A65C14"/>
    <w:rsid w:val="00A65CC3"/>
    <w:rsid w:val="00A65CD0"/>
    <w:rsid w:val="00A65D14"/>
    <w:rsid w:val="00A65D8E"/>
    <w:rsid w:val="00A65DC2"/>
    <w:rsid w:val="00A65E2B"/>
    <w:rsid w:val="00A65F26"/>
    <w:rsid w:val="00A65F31"/>
    <w:rsid w:val="00A6605F"/>
    <w:rsid w:val="00A6609C"/>
    <w:rsid w:val="00A660AC"/>
    <w:rsid w:val="00A66154"/>
    <w:rsid w:val="00A661C6"/>
    <w:rsid w:val="00A6632A"/>
    <w:rsid w:val="00A66333"/>
    <w:rsid w:val="00A66388"/>
    <w:rsid w:val="00A663AF"/>
    <w:rsid w:val="00A663F3"/>
    <w:rsid w:val="00A66414"/>
    <w:rsid w:val="00A664A6"/>
    <w:rsid w:val="00A664D7"/>
    <w:rsid w:val="00A664E9"/>
    <w:rsid w:val="00A66546"/>
    <w:rsid w:val="00A66586"/>
    <w:rsid w:val="00A665F1"/>
    <w:rsid w:val="00A6670D"/>
    <w:rsid w:val="00A6672F"/>
    <w:rsid w:val="00A66774"/>
    <w:rsid w:val="00A667D6"/>
    <w:rsid w:val="00A667E6"/>
    <w:rsid w:val="00A66816"/>
    <w:rsid w:val="00A66856"/>
    <w:rsid w:val="00A66859"/>
    <w:rsid w:val="00A6687B"/>
    <w:rsid w:val="00A6692F"/>
    <w:rsid w:val="00A66991"/>
    <w:rsid w:val="00A669E6"/>
    <w:rsid w:val="00A669F0"/>
    <w:rsid w:val="00A66A0C"/>
    <w:rsid w:val="00A66A6E"/>
    <w:rsid w:val="00A66AC8"/>
    <w:rsid w:val="00A66C0D"/>
    <w:rsid w:val="00A66C22"/>
    <w:rsid w:val="00A66D71"/>
    <w:rsid w:val="00A66D9B"/>
    <w:rsid w:val="00A66DE7"/>
    <w:rsid w:val="00A66E0C"/>
    <w:rsid w:val="00A66E23"/>
    <w:rsid w:val="00A66EA1"/>
    <w:rsid w:val="00A66F3A"/>
    <w:rsid w:val="00A66FE4"/>
    <w:rsid w:val="00A67069"/>
    <w:rsid w:val="00A6707F"/>
    <w:rsid w:val="00A670B2"/>
    <w:rsid w:val="00A67112"/>
    <w:rsid w:val="00A67179"/>
    <w:rsid w:val="00A6724A"/>
    <w:rsid w:val="00A673D9"/>
    <w:rsid w:val="00A67404"/>
    <w:rsid w:val="00A6749C"/>
    <w:rsid w:val="00A674ED"/>
    <w:rsid w:val="00A67523"/>
    <w:rsid w:val="00A67551"/>
    <w:rsid w:val="00A67578"/>
    <w:rsid w:val="00A67582"/>
    <w:rsid w:val="00A67633"/>
    <w:rsid w:val="00A676DA"/>
    <w:rsid w:val="00A676E5"/>
    <w:rsid w:val="00A6780F"/>
    <w:rsid w:val="00A67814"/>
    <w:rsid w:val="00A678B7"/>
    <w:rsid w:val="00A6792C"/>
    <w:rsid w:val="00A67986"/>
    <w:rsid w:val="00A67A14"/>
    <w:rsid w:val="00A67ABC"/>
    <w:rsid w:val="00A67AFE"/>
    <w:rsid w:val="00A67B2E"/>
    <w:rsid w:val="00A67BD1"/>
    <w:rsid w:val="00A67C2C"/>
    <w:rsid w:val="00A67D02"/>
    <w:rsid w:val="00A67DBA"/>
    <w:rsid w:val="00A67E90"/>
    <w:rsid w:val="00A67F32"/>
    <w:rsid w:val="00A67FA0"/>
    <w:rsid w:val="00A67FAA"/>
    <w:rsid w:val="00A67FD8"/>
    <w:rsid w:val="00A7000B"/>
    <w:rsid w:val="00A70021"/>
    <w:rsid w:val="00A70041"/>
    <w:rsid w:val="00A70049"/>
    <w:rsid w:val="00A7009E"/>
    <w:rsid w:val="00A70115"/>
    <w:rsid w:val="00A7022D"/>
    <w:rsid w:val="00A7028F"/>
    <w:rsid w:val="00A702A5"/>
    <w:rsid w:val="00A7034F"/>
    <w:rsid w:val="00A703AA"/>
    <w:rsid w:val="00A703E4"/>
    <w:rsid w:val="00A7044D"/>
    <w:rsid w:val="00A704BA"/>
    <w:rsid w:val="00A70509"/>
    <w:rsid w:val="00A70524"/>
    <w:rsid w:val="00A70549"/>
    <w:rsid w:val="00A7054C"/>
    <w:rsid w:val="00A7057F"/>
    <w:rsid w:val="00A7058B"/>
    <w:rsid w:val="00A705E5"/>
    <w:rsid w:val="00A70712"/>
    <w:rsid w:val="00A70797"/>
    <w:rsid w:val="00A707AB"/>
    <w:rsid w:val="00A70814"/>
    <w:rsid w:val="00A708D6"/>
    <w:rsid w:val="00A708E7"/>
    <w:rsid w:val="00A7099E"/>
    <w:rsid w:val="00A70A20"/>
    <w:rsid w:val="00A70AFF"/>
    <w:rsid w:val="00A70C4B"/>
    <w:rsid w:val="00A70CC7"/>
    <w:rsid w:val="00A70DC1"/>
    <w:rsid w:val="00A70F39"/>
    <w:rsid w:val="00A70F3F"/>
    <w:rsid w:val="00A70FD0"/>
    <w:rsid w:val="00A70FEB"/>
    <w:rsid w:val="00A71013"/>
    <w:rsid w:val="00A710D7"/>
    <w:rsid w:val="00A7112B"/>
    <w:rsid w:val="00A71164"/>
    <w:rsid w:val="00A711B4"/>
    <w:rsid w:val="00A7125B"/>
    <w:rsid w:val="00A71278"/>
    <w:rsid w:val="00A71324"/>
    <w:rsid w:val="00A71375"/>
    <w:rsid w:val="00A713FD"/>
    <w:rsid w:val="00A7144B"/>
    <w:rsid w:val="00A7150E"/>
    <w:rsid w:val="00A715FD"/>
    <w:rsid w:val="00A7167D"/>
    <w:rsid w:val="00A71685"/>
    <w:rsid w:val="00A71687"/>
    <w:rsid w:val="00A716C5"/>
    <w:rsid w:val="00A7174E"/>
    <w:rsid w:val="00A71782"/>
    <w:rsid w:val="00A7186F"/>
    <w:rsid w:val="00A71873"/>
    <w:rsid w:val="00A7187A"/>
    <w:rsid w:val="00A71A63"/>
    <w:rsid w:val="00A71C42"/>
    <w:rsid w:val="00A71C5C"/>
    <w:rsid w:val="00A71C77"/>
    <w:rsid w:val="00A71CC0"/>
    <w:rsid w:val="00A71CD3"/>
    <w:rsid w:val="00A71D17"/>
    <w:rsid w:val="00A71D7D"/>
    <w:rsid w:val="00A71DB9"/>
    <w:rsid w:val="00A71DFA"/>
    <w:rsid w:val="00A71E87"/>
    <w:rsid w:val="00A71EE4"/>
    <w:rsid w:val="00A71F21"/>
    <w:rsid w:val="00A71F24"/>
    <w:rsid w:val="00A71F84"/>
    <w:rsid w:val="00A7200C"/>
    <w:rsid w:val="00A72012"/>
    <w:rsid w:val="00A72042"/>
    <w:rsid w:val="00A72094"/>
    <w:rsid w:val="00A720A2"/>
    <w:rsid w:val="00A720FB"/>
    <w:rsid w:val="00A72129"/>
    <w:rsid w:val="00A72163"/>
    <w:rsid w:val="00A7219D"/>
    <w:rsid w:val="00A721E3"/>
    <w:rsid w:val="00A7222A"/>
    <w:rsid w:val="00A7225A"/>
    <w:rsid w:val="00A72331"/>
    <w:rsid w:val="00A7235E"/>
    <w:rsid w:val="00A72364"/>
    <w:rsid w:val="00A7239E"/>
    <w:rsid w:val="00A723AC"/>
    <w:rsid w:val="00A723BA"/>
    <w:rsid w:val="00A72408"/>
    <w:rsid w:val="00A72421"/>
    <w:rsid w:val="00A724A7"/>
    <w:rsid w:val="00A724D1"/>
    <w:rsid w:val="00A725B1"/>
    <w:rsid w:val="00A72602"/>
    <w:rsid w:val="00A72639"/>
    <w:rsid w:val="00A72666"/>
    <w:rsid w:val="00A72688"/>
    <w:rsid w:val="00A726BE"/>
    <w:rsid w:val="00A727D0"/>
    <w:rsid w:val="00A7281B"/>
    <w:rsid w:val="00A7289E"/>
    <w:rsid w:val="00A728B7"/>
    <w:rsid w:val="00A72917"/>
    <w:rsid w:val="00A72A2D"/>
    <w:rsid w:val="00A72A34"/>
    <w:rsid w:val="00A72AF8"/>
    <w:rsid w:val="00A72B63"/>
    <w:rsid w:val="00A72C4B"/>
    <w:rsid w:val="00A72CC3"/>
    <w:rsid w:val="00A72CCC"/>
    <w:rsid w:val="00A72D03"/>
    <w:rsid w:val="00A72D14"/>
    <w:rsid w:val="00A72D65"/>
    <w:rsid w:val="00A72D93"/>
    <w:rsid w:val="00A72DEA"/>
    <w:rsid w:val="00A72EFA"/>
    <w:rsid w:val="00A72F22"/>
    <w:rsid w:val="00A73114"/>
    <w:rsid w:val="00A73149"/>
    <w:rsid w:val="00A73310"/>
    <w:rsid w:val="00A73471"/>
    <w:rsid w:val="00A73491"/>
    <w:rsid w:val="00A7349E"/>
    <w:rsid w:val="00A734E1"/>
    <w:rsid w:val="00A7350F"/>
    <w:rsid w:val="00A73511"/>
    <w:rsid w:val="00A735B9"/>
    <w:rsid w:val="00A73635"/>
    <w:rsid w:val="00A737F9"/>
    <w:rsid w:val="00A73856"/>
    <w:rsid w:val="00A73881"/>
    <w:rsid w:val="00A738CE"/>
    <w:rsid w:val="00A738F7"/>
    <w:rsid w:val="00A73959"/>
    <w:rsid w:val="00A739FC"/>
    <w:rsid w:val="00A739FD"/>
    <w:rsid w:val="00A73A65"/>
    <w:rsid w:val="00A73A74"/>
    <w:rsid w:val="00A73A9C"/>
    <w:rsid w:val="00A73AA9"/>
    <w:rsid w:val="00A73AB1"/>
    <w:rsid w:val="00A73B25"/>
    <w:rsid w:val="00A73C18"/>
    <w:rsid w:val="00A73C4E"/>
    <w:rsid w:val="00A73C70"/>
    <w:rsid w:val="00A73CB5"/>
    <w:rsid w:val="00A73CC7"/>
    <w:rsid w:val="00A73D73"/>
    <w:rsid w:val="00A73DCB"/>
    <w:rsid w:val="00A73DD4"/>
    <w:rsid w:val="00A73E24"/>
    <w:rsid w:val="00A73E32"/>
    <w:rsid w:val="00A73E38"/>
    <w:rsid w:val="00A73E41"/>
    <w:rsid w:val="00A73E98"/>
    <w:rsid w:val="00A73ECB"/>
    <w:rsid w:val="00A73F0E"/>
    <w:rsid w:val="00A7401B"/>
    <w:rsid w:val="00A74033"/>
    <w:rsid w:val="00A74058"/>
    <w:rsid w:val="00A74078"/>
    <w:rsid w:val="00A7417B"/>
    <w:rsid w:val="00A7418B"/>
    <w:rsid w:val="00A74198"/>
    <w:rsid w:val="00A74199"/>
    <w:rsid w:val="00A7421E"/>
    <w:rsid w:val="00A742CF"/>
    <w:rsid w:val="00A742FC"/>
    <w:rsid w:val="00A7433C"/>
    <w:rsid w:val="00A74345"/>
    <w:rsid w:val="00A74374"/>
    <w:rsid w:val="00A743CD"/>
    <w:rsid w:val="00A7442B"/>
    <w:rsid w:val="00A7451E"/>
    <w:rsid w:val="00A74628"/>
    <w:rsid w:val="00A74701"/>
    <w:rsid w:val="00A74770"/>
    <w:rsid w:val="00A74799"/>
    <w:rsid w:val="00A7486D"/>
    <w:rsid w:val="00A74909"/>
    <w:rsid w:val="00A74929"/>
    <w:rsid w:val="00A74941"/>
    <w:rsid w:val="00A7494C"/>
    <w:rsid w:val="00A74957"/>
    <w:rsid w:val="00A74981"/>
    <w:rsid w:val="00A749AF"/>
    <w:rsid w:val="00A749FE"/>
    <w:rsid w:val="00A74B07"/>
    <w:rsid w:val="00A74B23"/>
    <w:rsid w:val="00A74B30"/>
    <w:rsid w:val="00A74B3E"/>
    <w:rsid w:val="00A74B43"/>
    <w:rsid w:val="00A74B48"/>
    <w:rsid w:val="00A74C54"/>
    <w:rsid w:val="00A74C82"/>
    <w:rsid w:val="00A74D83"/>
    <w:rsid w:val="00A74E3E"/>
    <w:rsid w:val="00A74E9D"/>
    <w:rsid w:val="00A74EBE"/>
    <w:rsid w:val="00A74F04"/>
    <w:rsid w:val="00A74F67"/>
    <w:rsid w:val="00A74F7A"/>
    <w:rsid w:val="00A74F84"/>
    <w:rsid w:val="00A74FAD"/>
    <w:rsid w:val="00A74FC7"/>
    <w:rsid w:val="00A74FC8"/>
    <w:rsid w:val="00A7503F"/>
    <w:rsid w:val="00A75052"/>
    <w:rsid w:val="00A751F8"/>
    <w:rsid w:val="00A7525B"/>
    <w:rsid w:val="00A752F0"/>
    <w:rsid w:val="00A75395"/>
    <w:rsid w:val="00A753BA"/>
    <w:rsid w:val="00A75525"/>
    <w:rsid w:val="00A7555E"/>
    <w:rsid w:val="00A7556C"/>
    <w:rsid w:val="00A7564C"/>
    <w:rsid w:val="00A75661"/>
    <w:rsid w:val="00A7569B"/>
    <w:rsid w:val="00A756AD"/>
    <w:rsid w:val="00A75762"/>
    <w:rsid w:val="00A75830"/>
    <w:rsid w:val="00A75982"/>
    <w:rsid w:val="00A75A64"/>
    <w:rsid w:val="00A75A8F"/>
    <w:rsid w:val="00A75B16"/>
    <w:rsid w:val="00A75B55"/>
    <w:rsid w:val="00A75B6A"/>
    <w:rsid w:val="00A75C03"/>
    <w:rsid w:val="00A75C4A"/>
    <w:rsid w:val="00A75D2A"/>
    <w:rsid w:val="00A75D2E"/>
    <w:rsid w:val="00A75D87"/>
    <w:rsid w:val="00A75DB7"/>
    <w:rsid w:val="00A75DF3"/>
    <w:rsid w:val="00A75DF6"/>
    <w:rsid w:val="00A75F0C"/>
    <w:rsid w:val="00A75FE1"/>
    <w:rsid w:val="00A760F3"/>
    <w:rsid w:val="00A7612B"/>
    <w:rsid w:val="00A761D5"/>
    <w:rsid w:val="00A762E4"/>
    <w:rsid w:val="00A763BC"/>
    <w:rsid w:val="00A763E4"/>
    <w:rsid w:val="00A76406"/>
    <w:rsid w:val="00A76413"/>
    <w:rsid w:val="00A764E9"/>
    <w:rsid w:val="00A76569"/>
    <w:rsid w:val="00A765B4"/>
    <w:rsid w:val="00A7668E"/>
    <w:rsid w:val="00A766AE"/>
    <w:rsid w:val="00A766C4"/>
    <w:rsid w:val="00A76753"/>
    <w:rsid w:val="00A76791"/>
    <w:rsid w:val="00A767AF"/>
    <w:rsid w:val="00A7687A"/>
    <w:rsid w:val="00A768DF"/>
    <w:rsid w:val="00A76925"/>
    <w:rsid w:val="00A7694B"/>
    <w:rsid w:val="00A76992"/>
    <w:rsid w:val="00A76ACF"/>
    <w:rsid w:val="00A76B05"/>
    <w:rsid w:val="00A76B3B"/>
    <w:rsid w:val="00A76B49"/>
    <w:rsid w:val="00A76B60"/>
    <w:rsid w:val="00A76CB5"/>
    <w:rsid w:val="00A76D0D"/>
    <w:rsid w:val="00A76DCA"/>
    <w:rsid w:val="00A76E4D"/>
    <w:rsid w:val="00A76F06"/>
    <w:rsid w:val="00A76F4E"/>
    <w:rsid w:val="00A76FC2"/>
    <w:rsid w:val="00A7700E"/>
    <w:rsid w:val="00A77024"/>
    <w:rsid w:val="00A7703F"/>
    <w:rsid w:val="00A7716D"/>
    <w:rsid w:val="00A77179"/>
    <w:rsid w:val="00A77199"/>
    <w:rsid w:val="00A77237"/>
    <w:rsid w:val="00A7728E"/>
    <w:rsid w:val="00A772F8"/>
    <w:rsid w:val="00A7735B"/>
    <w:rsid w:val="00A77400"/>
    <w:rsid w:val="00A77408"/>
    <w:rsid w:val="00A77411"/>
    <w:rsid w:val="00A77425"/>
    <w:rsid w:val="00A7748C"/>
    <w:rsid w:val="00A77498"/>
    <w:rsid w:val="00A7749B"/>
    <w:rsid w:val="00A774B0"/>
    <w:rsid w:val="00A774CB"/>
    <w:rsid w:val="00A775CA"/>
    <w:rsid w:val="00A776EC"/>
    <w:rsid w:val="00A77797"/>
    <w:rsid w:val="00A7780E"/>
    <w:rsid w:val="00A77871"/>
    <w:rsid w:val="00A7789A"/>
    <w:rsid w:val="00A778FD"/>
    <w:rsid w:val="00A7792C"/>
    <w:rsid w:val="00A77951"/>
    <w:rsid w:val="00A77A02"/>
    <w:rsid w:val="00A77A9F"/>
    <w:rsid w:val="00A77ABD"/>
    <w:rsid w:val="00A77AC1"/>
    <w:rsid w:val="00A77BA3"/>
    <w:rsid w:val="00A77C91"/>
    <w:rsid w:val="00A77D03"/>
    <w:rsid w:val="00A77DF8"/>
    <w:rsid w:val="00A77EFD"/>
    <w:rsid w:val="00A77F4C"/>
    <w:rsid w:val="00A77FD7"/>
    <w:rsid w:val="00A77FE5"/>
    <w:rsid w:val="00A8000F"/>
    <w:rsid w:val="00A80054"/>
    <w:rsid w:val="00A80082"/>
    <w:rsid w:val="00A8019C"/>
    <w:rsid w:val="00A801AA"/>
    <w:rsid w:val="00A801EF"/>
    <w:rsid w:val="00A802DC"/>
    <w:rsid w:val="00A802DE"/>
    <w:rsid w:val="00A8035A"/>
    <w:rsid w:val="00A8038D"/>
    <w:rsid w:val="00A8039C"/>
    <w:rsid w:val="00A803FC"/>
    <w:rsid w:val="00A80451"/>
    <w:rsid w:val="00A804AE"/>
    <w:rsid w:val="00A8050F"/>
    <w:rsid w:val="00A80551"/>
    <w:rsid w:val="00A8055D"/>
    <w:rsid w:val="00A805EF"/>
    <w:rsid w:val="00A80637"/>
    <w:rsid w:val="00A80724"/>
    <w:rsid w:val="00A80780"/>
    <w:rsid w:val="00A80894"/>
    <w:rsid w:val="00A80952"/>
    <w:rsid w:val="00A809E3"/>
    <w:rsid w:val="00A80A3A"/>
    <w:rsid w:val="00A80A57"/>
    <w:rsid w:val="00A80AD2"/>
    <w:rsid w:val="00A80C0E"/>
    <w:rsid w:val="00A80CC9"/>
    <w:rsid w:val="00A80D46"/>
    <w:rsid w:val="00A80D6F"/>
    <w:rsid w:val="00A80DBE"/>
    <w:rsid w:val="00A80DF7"/>
    <w:rsid w:val="00A80E2B"/>
    <w:rsid w:val="00A80E5E"/>
    <w:rsid w:val="00A80EA0"/>
    <w:rsid w:val="00A80ECD"/>
    <w:rsid w:val="00A8100B"/>
    <w:rsid w:val="00A81100"/>
    <w:rsid w:val="00A81149"/>
    <w:rsid w:val="00A8119D"/>
    <w:rsid w:val="00A8121A"/>
    <w:rsid w:val="00A81286"/>
    <w:rsid w:val="00A81361"/>
    <w:rsid w:val="00A8136A"/>
    <w:rsid w:val="00A8137F"/>
    <w:rsid w:val="00A8138D"/>
    <w:rsid w:val="00A813F0"/>
    <w:rsid w:val="00A81444"/>
    <w:rsid w:val="00A81540"/>
    <w:rsid w:val="00A81545"/>
    <w:rsid w:val="00A81626"/>
    <w:rsid w:val="00A81641"/>
    <w:rsid w:val="00A81650"/>
    <w:rsid w:val="00A8169F"/>
    <w:rsid w:val="00A8174F"/>
    <w:rsid w:val="00A8177C"/>
    <w:rsid w:val="00A817F9"/>
    <w:rsid w:val="00A81866"/>
    <w:rsid w:val="00A81886"/>
    <w:rsid w:val="00A818A3"/>
    <w:rsid w:val="00A818A7"/>
    <w:rsid w:val="00A8192F"/>
    <w:rsid w:val="00A81A00"/>
    <w:rsid w:val="00A81A75"/>
    <w:rsid w:val="00A81ACA"/>
    <w:rsid w:val="00A81ADD"/>
    <w:rsid w:val="00A81B3E"/>
    <w:rsid w:val="00A81B70"/>
    <w:rsid w:val="00A81B8E"/>
    <w:rsid w:val="00A81C0E"/>
    <w:rsid w:val="00A81C65"/>
    <w:rsid w:val="00A81D3F"/>
    <w:rsid w:val="00A81D4B"/>
    <w:rsid w:val="00A81DB4"/>
    <w:rsid w:val="00A81E48"/>
    <w:rsid w:val="00A81EEC"/>
    <w:rsid w:val="00A820AB"/>
    <w:rsid w:val="00A820D8"/>
    <w:rsid w:val="00A820F6"/>
    <w:rsid w:val="00A8210A"/>
    <w:rsid w:val="00A821D9"/>
    <w:rsid w:val="00A8230A"/>
    <w:rsid w:val="00A823A9"/>
    <w:rsid w:val="00A824B1"/>
    <w:rsid w:val="00A824B9"/>
    <w:rsid w:val="00A824C9"/>
    <w:rsid w:val="00A82503"/>
    <w:rsid w:val="00A82659"/>
    <w:rsid w:val="00A827E4"/>
    <w:rsid w:val="00A8280A"/>
    <w:rsid w:val="00A82818"/>
    <w:rsid w:val="00A82860"/>
    <w:rsid w:val="00A82916"/>
    <w:rsid w:val="00A829D1"/>
    <w:rsid w:val="00A82AF7"/>
    <w:rsid w:val="00A82B65"/>
    <w:rsid w:val="00A82C2D"/>
    <w:rsid w:val="00A82C32"/>
    <w:rsid w:val="00A82C4D"/>
    <w:rsid w:val="00A82CD0"/>
    <w:rsid w:val="00A82CF7"/>
    <w:rsid w:val="00A82D6A"/>
    <w:rsid w:val="00A82DE3"/>
    <w:rsid w:val="00A82F86"/>
    <w:rsid w:val="00A830A8"/>
    <w:rsid w:val="00A831DB"/>
    <w:rsid w:val="00A831E5"/>
    <w:rsid w:val="00A83200"/>
    <w:rsid w:val="00A83207"/>
    <w:rsid w:val="00A8326E"/>
    <w:rsid w:val="00A83291"/>
    <w:rsid w:val="00A83316"/>
    <w:rsid w:val="00A8331A"/>
    <w:rsid w:val="00A83336"/>
    <w:rsid w:val="00A8333D"/>
    <w:rsid w:val="00A833C1"/>
    <w:rsid w:val="00A833E1"/>
    <w:rsid w:val="00A83411"/>
    <w:rsid w:val="00A834AB"/>
    <w:rsid w:val="00A83506"/>
    <w:rsid w:val="00A83529"/>
    <w:rsid w:val="00A8353D"/>
    <w:rsid w:val="00A8355E"/>
    <w:rsid w:val="00A83617"/>
    <w:rsid w:val="00A83657"/>
    <w:rsid w:val="00A83676"/>
    <w:rsid w:val="00A83684"/>
    <w:rsid w:val="00A8369F"/>
    <w:rsid w:val="00A836BF"/>
    <w:rsid w:val="00A83785"/>
    <w:rsid w:val="00A8379E"/>
    <w:rsid w:val="00A837A2"/>
    <w:rsid w:val="00A8382B"/>
    <w:rsid w:val="00A83876"/>
    <w:rsid w:val="00A838C3"/>
    <w:rsid w:val="00A838CF"/>
    <w:rsid w:val="00A8394E"/>
    <w:rsid w:val="00A8396B"/>
    <w:rsid w:val="00A83A81"/>
    <w:rsid w:val="00A83AD9"/>
    <w:rsid w:val="00A83B85"/>
    <w:rsid w:val="00A83C09"/>
    <w:rsid w:val="00A83DC0"/>
    <w:rsid w:val="00A83DF1"/>
    <w:rsid w:val="00A83E68"/>
    <w:rsid w:val="00A83F4E"/>
    <w:rsid w:val="00A83F72"/>
    <w:rsid w:val="00A83F85"/>
    <w:rsid w:val="00A83F94"/>
    <w:rsid w:val="00A84018"/>
    <w:rsid w:val="00A8405E"/>
    <w:rsid w:val="00A8409B"/>
    <w:rsid w:val="00A84143"/>
    <w:rsid w:val="00A8414A"/>
    <w:rsid w:val="00A8419D"/>
    <w:rsid w:val="00A8425F"/>
    <w:rsid w:val="00A84291"/>
    <w:rsid w:val="00A8429B"/>
    <w:rsid w:val="00A84366"/>
    <w:rsid w:val="00A8453B"/>
    <w:rsid w:val="00A845AB"/>
    <w:rsid w:val="00A845D6"/>
    <w:rsid w:val="00A845E4"/>
    <w:rsid w:val="00A84698"/>
    <w:rsid w:val="00A84721"/>
    <w:rsid w:val="00A8472B"/>
    <w:rsid w:val="00A847A7"/>
    <w:rsid w:val="00A84804"/>
    <w:rsid w:val="00A8486B"/>
    <w:rsid w:val="00A84966"/>
    <w:rsid w:val="00A849C4"/>
    <w:rsid w:val="00A849CD"/>
    <w:rsid w:val="00A84A22"/>
    <w:rsid w:val="00A84A85"/>
    <w:rsid w:val="00A84A8A"/>
    <w:rsid w:val="00A84AA8"/>
    <w:rsid w:val="00A84B29"/>
    <w:rsid w:val="00A84C54"/>
    <w:rsid w:val="00A84C69"/>
    <w:rsid w:val="00A84CDB"/>
    <w:rsid w:val="00A84CDF"/>
    <w:rsid w:val="00A84D2D"/>
    <w:rsid w:val="00A84D60"/>
    <w:rsid w:val="00A84D78"/>
    <w:rsid w:val="00A84DC5"/>
    <w:rsid w:val="00A84E0D"/>
    <w:rsid w:val="00A84E1F"/>
    <w:rsid w:val="00A84E3B"/>
    <w:rsid w:val="00A84E79"/>
    <w:rsid w:val="00A84E90"/>
    <w:rsid w:val="00A84E94"/>
    <w:rsid w:val="00A84ECE"/>
    <w:rsid w:val="00A84ED6"/>
    <w:rsid w:val="00A8501F"/>
    <w:rsid w:val="00A850D7"/>
    <w:rsid w:val="00A850F7"/>
    <w:rsid w:val="00A851B0"/>
    <w:rsid w:val="00A851E9"/>
    <w:rsid w:val="00A8522A"/>
    <w:rsid w:val="00A85275"/>
    <w:rsid w:val="00A852E1"/>
    <w:rsid w:val="00A85302"/>
    <w:rsid w:val="00A85313"/>
    <w:rsid w:val="00A85387"/>
    <w:rsid w:val="00A8540B"/>
    <w:rsid w:val="00A8545B"/>
    <w:rsid w:val="00A85496"/>
    <w:rsid w:val="00A85512"/>
    <w:rsid w:val="00A8552E"/>
    <w:rsid w:val="00A855DC"/>
    <w:rsid w:val="00A85626"/>
    <w:rsid w:val="00A85666"/>
    <w:rsid w:val="00A856FB"/>
    <w:rsid w:val="00A857EC"/>
    <w:rsid w:val="00A85881"/>
    <w:rsid w:val="00A8588A"/>
    <w:rsid w:val="00A858FC"/>
    <w:rsid w:val="00A85AA1"/>
    <w:rsid w:val="00A85AD0"/>
    <w:rsid w:val="00A85ADC"/>
    <w:rsid w:val="00A85AF4"/>
    <w:rsid w:val="00A85B77"/>
    <w:rsid w:val="00A85C2B"/>
    <w:rsid w:val="00A85C85"/>
    <w:rsid w:val="00A85C91"/>
    <w:rsid w:val="00A85E7D"/>
    <w:rsid w:val="00A85EA1"/>
    <w:rsid w:val="00A85F62"/>
    <w:rsid w:val="00A85FDC"/>
    <w:rsid w:val="00A86083"/>
    <w:rsid w:val="00A860E5"/>
    <w:rsid w:val="00A8625B"/>
    <w:rsid w:val="00A86310"/>
    <w:rsid w:val="00A8635C"/>
    <w:rsid w:val="00A86406"/>
    <w:rsid w:val="00A86433"/>
    <w:rsid w:val="00A8652F"/>
    <w:rsid w:val="00A86532"/>
    <w:rsid w:val="00A86694"/>
    <w:rsid w:val="00A867C9"/>
    <w:rsid w:val="00A867F6"/>
    <w:rsid w:val="00A8688A"/>
    <w:rsid w:val="00A868C2"/>
    <w:rsid w:val="00A86912"/>
    <w:rsid w:val="00A86914"/>
    <w:rsid w:val="00A869B7"/>
    <w:rsid w:val="00A869B8"/>
    <w:rsid w:val="00A869C9"/>
    <w:rsid w:val="00A86A15"/>
    <w:rsid w:val="00A86A7A"/>
    <w:rsid w:val="00A86ABE"/>
    <w:rsid w:val="00A86B2B"/>
    <w:rsid w:val="00A86C5D"/>
    <w:rsid w:val="00A86CE8"/>
    <w:rsid w:val="00A86CF5"/>
    <w:rsid w:val="00A86D3F"/>
    <w:rsid w:val="00A86DA9"/>
    <w:rsid w:val="00A86FBD"/>
    <w:rsid w:val="00A87022"/>
    <w:rsid w:val="00A87089"/>
    <w:rsid w:val="00A87092"/>
    <w:rsid w:val="00A87224"/>
    <w:rsid w:val="00A872B1"/>
    <w:rsid w:val="00A872C3"/>
    <w:rsid w:val="00A872CF"/>
    <w:rsid w:val="00A872D5"/>
    <w:rsid w:val="00A872E7"/>
    <w:rsid w:val="00A872FD"/>
    <w:rsid w:val="00A8735F"/>
    <w:rsid w:val="00A87381"/>
    <w:rsid w:val="00A8739C"/>
    <w:rsid w:val="00A873BF"/>
    <w:rsid w:val="00A87422"/>
    <w:rsid w:val="00A87523"/>
    <w:rsid w:val="00A8754A"/>
    <w:rsid w:val="00A87615"/>
    <w:rsid w:val="00A876BB"/>
    <w:rsid w:val="00A876CA"/>
    <w:rsid w:val="00A876DD"/>
    <w:rsid w:val="00A877EB"/>
    <w:rsid w:val="00A878C4"/>
    <w:rsid w:val="00A878CF"/>
    <w:rsid w:val="00A8799C"/>
    <w:rsid w:val="00A87A5E"/>
    <w:rsid w:val="00A87B90"/>
    <w:rsid w:val="00A87B9A"/>
    <w:rsid w:val="00A87BB1"/>
    <w:rsid w:val="00A87C35"/>
    <w:rsid w:val="00A87C82"/>
    <w:rsid w:val="00A87C92"/>
    <w:rsid w:val="00A87C9E"/>
    <w:rsid w:val="00A87DB6"/>
    <w:rsid w:val="00A87DCC"/>
    <w:rsid w:val="00A87E0A"/>
    <w:rsid w:val="00A87E22"/>
    <w:rsid w:val="00A87E76"/>
    <w:rsid w:val="00A87E96"/>
    <w:rsid w:val="00A87EFA"/>
    <w:rsid w:val="00A87FDB"/>
    <w:rsid w:val="00A90089"/>
    <w:rsid w:val="00A900C9"/>
    <w:rsid w:val="00A90107"/>
    <w:rsid w:val="00A90134"/>
    <w:rsid w:val="00A9015E"/>
    <w:rsid w:val="00A901A9"/>
    <w:rsid w:val="00A90238"/>
    <w:rsid w:val="00A902C0"/>
    <w:rsid w:val="00A902D1"/>
    <w:rsid w:val="00A90462"/>
    <w:rsid w:val="00A9048E"/>
    <w:rsid w:val="00A90514"/>
    <w:rsid w:val="00A9053A"/>
    <w:rsid w:val="00A905C7"/>
    <w:rsid w:val="00A906A8"/>
    <w:rsid w:val="00A9074E"/>
    <w:rsid w:val="00A907A1"/>
    <w:rsid w:val="00A907D1"/>
    <w:rsid w:val="00A90848"/>
    <w:rsid w:val="00A90876"/>
    <w:rsid w:val="00A9087B"/>
    <w:rsid w:val="00A908A2"/>
    <w:rsid w:val="00A90925"/>
    <w:rsid w:val="00A9093B"/>
    <w:rsid w:val="00A9094A"/>
    <w:rsid w:val="00A909C0"/>
    <w:rsid w:val="00A909CD"/>
    <w:rsid w:val="00A909FB"/>
    <w:rsid w:val="00A90A0A"/>
    <w:rsid w:val="00A90A58"/>
    <w:rsid w:val="00A90AB9"/>
    <w:rsid w:val="00A90AC2"/>
    <w:rsid w:val="00A90B6A"/>
    <w:rsid w:val="00A90CB2"/>
    <w:rsid w:val="00A90CB7"/>
    <w:rsid w:val="00A90D1D"/>
    <w:rsid w:val="00A90D61"/>
    <w:rsid w:val="00A90D7F"/>
    <w:rsid w:val="00A90E6B"/>
    <w:rsid w:val="00A90F08"/>
    <w:rsid w:val="00A90FC4"/>
    <w:rsid w:val="00A90FFA"/>
    <w:rsid w:val="00A9101D"/>
    <w:rsid w:val="00A91076"/>
    <w:rsid w:val="00A91078"/>
    <w:rsid w:val="00A910A6"/>
    <w:rsid w:val="00A910FE"/>
    <w:rsid w:val="00A9125F"/>
    <w:rsid w:val="00A91296"/>
    <w:rsid w:val="00A913BD"/>
    <w:rsid w:val="00A9141B"/>
    <w:rsid w:val="00A915BF"/>
    <w:rsid w:val="00A9161E"/>
    <w:rsid w:val="00A91621"/>
    <w:rsid w:val="00A916E9"/>
    <w:rsid w:val="00A916FA"/>
    <w:rsid w:val="00A91711"/>
    <w:rsid w:val="00A91714"/>
    <w:rsid w:val="00A9189A"/>
    <w:rsid w:val="00A9190E"/>
    <w:rsid w:val="00A91995"/>
    <w:rsid w:val="00A919B5"/>
    <w:rsid w:val="00A919C2"/>
    <w:rsid w:val="00A919E0"/>
    <w:rsid w:val="00A91A1A"/>
    <w:rsid w:val="00A91A69"/>
    <w:rsid w:val="00A91ABD"/>
    <w:rsid w:val="00A91AC0"/>
    <w:rsid w:val="00A91B33"/>
    <w:rsid w:val="00A91B7B"/>
    <w:rsid w:val="00A91C0F"/>
    <w:rsid w:val="00A91C72"/>
    <w:rsid w:val="00A91D46"/>
    <w:rsid w:val="00A91D65"/>
    <w:rsid w:val="00A91D6D"/>
    <w:rsid w:val="00A91DC7"/>
    <w:rsid w:val="00A91E05"/>
    <w:rsid w:val="00A91E2B"/>
    <w:rsid w:val="00A91E7C"/>
    <w:rsid w:val="00A91F45"/>
    <w:rsid w:val="00A9207E"/>
    <w:rsid w:val="00A92123"/>
    <w:rsid w:val="00A9214F"/>
    <w:rsid w:val="00A92184"/>
    <w:rsid w:val="00A921BC"/>
    <w:rsid w:val="00A921F9"/>
    <w:rsid w:val="00A9224E"/>
    <w:rsid w:val="00A9225E"/>
    <w:rsid w:val="00A922B1"/>
    <w:rsid w:val="00A92367"/>
    <w:rsid w:val="00A92398"/>
    <w:rsid w:val="00A923A8"/>
    <w:rsid w:val="00A923B5"/>
    <w:rsid w:val="00A9240E"/>
    <w:rsid w:val="00A9243A"/>
    <w:rsid w:val="00A924C2"/>
    <w:rsid w:val="00A925C7"/>
    <w:rsid w:val="00A925F6"/>
    <w:rsid w:val="00A925FA"/>
    <w:rsid w:val="00A926BB"/>
    <w:rsid w:val="00A92726"/>
    <w:rsid w:val="00A9275A"/>
    <w:rsid w:val="00A92841"/>
    <w:rsid w:val="00A92873"/>
    <w:rsid w:val="00A92998"/>
    <w:rsid w:val="00A929A8"/>
    <w:rsid w:val="00A92A2B"/>
    <w:rsid w:val="00A92A71"/>
    <w:rsid w:val="00A92AA4"/>
    <w:rsid w:val="00A92B7D"/>
    <w:rsid w:val="00A92BD0"/>
    <w:rsid w:val="00A92C6B"/>
    <w:rsid w:val="00A92D07"/>
    <w:rsid w:val="00A92D45"/>
    <w:rsid w:val="00A92D9A"/>
    <w:rsid w:val="00A92DFA"/>
    <w:rsid w:val="00A92EBA"/>
    <w:rsid w:val="00A92EEA"/>
    <w:rsid w:val="00A92F06"/>
    <w:rsid w:val="00A92F2D"/>
    <w:rsid w:val="00A92F2F"/>
    <w:rsid w:val="00A93006"/>
    <w:rsid w:val="00A93011"/>
    <w:rsid w:val="00A930DC"/>
    <w:rsid w:val="00A9311C"/>
    <w:rsid w:val="00A93221"/>
    <w:rsid w:val="00A93255"/>
    <w:rsid w:val="00A93299"/>
    <w:rsid w:val="00A9330A"/>
    <w:rsid w:val="00A9336A"/>
    <w:rsid w:val="00A93384"/>
    <w:rsid w:val="00A933EC"/>
    <w:rsid w:val="00A93432"/>
    <w:rsid w:val="00A93442"/>
    <w:rsid w:val="00A9345F"/>
    <w:rsid w:val="00A93535"/>
    <w:rsid w:val="00A93581"/>
    <w:rsid w:val="00A935C8"/>
    <w:rsid w:val="00A935D7"/>
    <w:rsid w:val="00A935F7"/>
    <w:rsid w:val="00A9374C"/>
    <w:rsid w:val="00A937AC"/>
    <w:rsid w:val="00A9381A"/>
    <w:rsid w:val="00A938B0"/>
    <w:rsid w:val="00A93939"/>
    <w:rsid w:val="00A9399C"/>
    <w:rsid w:val="00A93A03"/>
    <w:rsid w:val="00A93A0B"/>
    <w:rsid w:val="00A93A68"/>
    <w:rsid w:val="00A93A6E"/>
    <w:rsid w:val="00A93A71"/>
    <w:rsid w:val="00A93A8A"/>
    <w:rsid w:val="00A93AB0"/>
    <w:rsid w:val="00A93B25"/>
    <w:rsid w:val="00A93B3A"/>
    <w:rsid w:val="00A93BF3"/>
    <w:rsid w:val="00A93C53"/>
    <w:rsid w:val="00A93CB1"/>
    <w:rsid w:val="00A93E3B"/>
    <w:rsid w:val="00A93EC8"/>
    <w:rsid w:val="00A93F14"/>
    <w:rsid w:val="00A93FBF"/>
    <w:rsid w:val="00A94042"/>
    <w:rsid w:val="00A9405B"/>
    <w:rsid w:val="00A940B6"/>
    <w:rsid w:val="00A94126"/>
    <w:rsid w:val="00A94168"/>
    <w:rsid w:val="00A941BA"/>
    <w:rsid w:val="00A94227"/>
    <w:rsid w:val="00A9424B"/>
    <w:rsid w:val="00A94296"/>
    <w:rsid w:val="00A94307"/>
    <w:rsid w:val="00A94309"/>
    <w:rsid w:val="00A94338"/>
    <w:rsid w:val="00A943D5"/>
    <w:rsid w:val="00A943F4"/>
    <w:rsid w:val="00A94457"/>
    <w:rsid w:val="00A944FE"/>
    <w:rsid w:val="00A9455B"/>
    <w:rsid w:val="00A945AF"/>
    <w:rsid w:val="00A94603"/>
    <w:rsid w:val="00A9463F"/>
    <w:rsid w:val="00A946C9"/>
    <w:rsid w:val="00A946F3"/>
    <w:rsid w:val="00A94713"/>
    <w:rsid w:val="00A9478E"/>
    <w:rsid w:val="00A947C2"/>
    <w:rsid w:val="00A94808"/>
    <w:rsid w:val="00A9481B"/>
    <w:rsid w:val="00A9487D"/>
    <w:rsid w:val="00A948BD"/>
    <w:rsid w:val="00A948D7"/>
    <w:rsid w:val="00A94971"/>
    <w:rsid w:val="00A949E2"/>
    <w:rsid w:val="00A94B1E"/>
    <w:rsid w:val="00A94B99"/>
    <w:rsid w:val="00A94C34"/>
    <w:rsid w:val="00A94D5D"/>
    <w:rsid w:val="00A94DC2"/>
    <w:rsid w:val="00A94DFB"/>
    <w:rsid w:val="00A94E06"/>
    <w:rsid w:val="00A94E4D"/>
    <w:rsid w:val="00A94E68"/>
    <w:rsid w:val="00A94E89"/>
    <w:rsid w:val="00A95060"/>
    <w:rsid w:val="00A95068"/>
    <w:rsid w:val="00A950FF"/>
    <w:rsid w:val="00A95162"/>
    <w:rsid w:val="00A951A3"/>
    <w:rsid w:val="00A95313"/>
    <w:rsid w:val="00A95322"/>
    <w:rsid w:val="00A95324"/>
    <w:rsid w:val="00A95349"/>
    <w:rsid w:val="00A953BA"/>
    <w:rsid w:val="00A953FD"/>
    <w:rsid w:val="00A9542B"/>
    <w:rsid w:val="00A954D6"/>
    <w:rsid w:val="00A954E4"/>
    <w:rsid w:val="00A95504"/>
    <w:rsid w:val="00A95605"/>
    <w:rsid w:val="00A9562C"/>
    <w:rsid w:val="00A9562F"/>
    <w:rsid w:val="00A9567A"/>
    <w:rsid w:val="00A956A4"/>
    <w:rsid w:val="00A956E8"/>
    <w:rsid w:val="00A95730"/>
    <w:rsid w:val="00A959A0"/>
    <w:rsid w:val="00A959C8"/>
    <w:rsid w:val="00A95A2C"/>
    <w:rsid w:val="00A95A40"/>
    <w:rsid w:val="00A95AA0"/>
    <w:rsid w:val="00A95ABD"/>
    <w:rsid w:val="00A95AF1"/>
    <w:rsid w:val="00A95B8C"/>
    <w:rsid w:val="00A95BCC"/>
    <w:rsid w:val="00A95BD0"/>
    <w:rsid w:val="00A95C13"/>
    <w:rsid w:val="00A95C6A"/>
    <w:rsid w:val="00A95CAA"/>
    <w:rsid w:val="00A95D47"/>
    <w:rsid w:val="00A95D5C"/>
    <w:rsid w:val="00A95D7B"/>
    <w:rsid w:val="00A95DA6"/>
    <w:rsid w:val="00A95E2B"/>
    <w:rsid w:val="00A95EA8"/>
    <w:rsid w:val="00A95F43"/>
    <w:rsid w:val="00A960B0"/>
    <w:rsid w:val="00A960BD"/>
    <w:rsid w:val="00A962A4"/>
    <w:rsid w:val="00A96356"/>
    <w:rsid w:val="00A9644A"/>
    <w:rsid w:val="00A964D1"/>
    <w:rsid w:val="00A9651B"/>
    <w:rsid w:val="00A9658B"/>
    <w:rsid w:val="00A965A8"/>
    <w:rsid w:val="00A965DD"/>
    <w:rsid w:val="00A965FA"/>
    <w:rsid w:val="00A96618"/>
    <w:rsid w:val="00A96649"/>
    <w:rsid w:val="00A96673"/>
    <w:rsid w:val="00A966B0"/>
    <w:rsid w:val="00A966BB"/>
    <w:rsid w:val="00A966D1"/>
    <w:rsid w:val="00A96737"/>
    <w:rsid w:val="00A9673F"/>
    <w:rsid w:val="00A9675B"/>
    <w:rsid w:val="00A96766"/>
    <w:rsid w:val="00A967A0"/>
    <w:rsid w:val="00A967FC"/>
    <w:rsid w:val="00A967FF"/>
    <w:rsid w:val="00A96A2C"/>
    <w:rsid w:val="00A96B73"/>
    <w:rsid w:val="00A96BB0"/>
    <w:rsid w:val="00A96BC7"/>
    <w:rsid w:val="00A96C0B"/>
    <w:rsid w:val="00A96C16"/>
    <w:rsid w:val="00A96C93"/>
    <w:rsid w:val="00A96D58"/>
    <w:rsid w:val="00A96D69"/>
    <w:rsid w:val="00A96D96"/>
    <w:rsid w:val="00A96E5A"/>
    <w:rsid w:val="00A96F9D"/>
    <w:rsid w:val="00A96FB1"/>
    <w:rsid w:val="00A97033"/>
    <w:rsid w:val="00A9708F"/>
    <w:rsid w:val="00A9711A"/>
    <w:rsid w:val="00A97155"/>
    <w:rsid w:val="00A971A8"/>
    <w:rsid w:val="00A9720F"/>
    <w:rsid w:val="00A9724B"/>
    <w:rsid w:val="00A9724F"/>
    <w:rsid w:val="00A97282"/>
    <w:rsid w:val="00A973A8"/>
    <w:rsid w:val="00A973E9"/>
    <w:rsid w:val="00A9745E"/>
    <w:rsid w:val="00A97517"/>
    <w:rsid w:val="00A9758F"/>
    <w:rsid w:val="00A9759C"/>
    <w:rsid w:val="00A975BE"/>
    <w:rsid w:val="00A97629"/>
    <w:rsid w:val="00A97633"/>
    <w:rsid w:val="00A9763F"/>
    <w:rsid w:val="00A976F1"/>
    <w:rsid w:val="00A97719"/>
    <w:rsid w:val="00A9777E"/>
    <w:rsid w:val="00A977AD"/>
    <w:rsid w:val="00A977BE"/>
    <w:rsid w:val="00A977E5"/>
    <w:rsid w:val="00A9789E"/>
    <w:rsid w:val="00A9797A"/>
    <w:rsid w:val="00A979DC"/>
    <w:rsid w:val="00A979F0"/>
    <w:rsid w:val="00A97A0B"/>
    <w:rsid w:val="00A97AE2"/>
    <w:rsid w:val="00A97AF0"/>
    <w:rsid w:val="00A97B35"/>
    <w:rsid w:val="00A97D04"/>
    <w:rsid w:val="00A97D30"/>
    <w:rsid w:val="00A97D6D"/>
    <w:rsid w:val="00A97DEB"/>
    <w:rsid w:val="00A97E01"/>
    <w:rsid w:val="00A97E63"/>
    <w:rsid w:val="00A97E7E"/>
    <w:rsid w:val="00A97F01"/>
    <w:rsid w:val="00A97F2A"/>
    <w:rsid w:val="00A97F52"/>
    <w:rsid w:val="00A97FBE"/>
    <w:rsid w:val="00AA0015"/>
    <w:rsid w:val="00AA0177"/>
    <w:rsid w:val="00AA021E"/>
    <w:rsid w:val="00AA0241"/>
    <w:rsid w:val="00AA0310"/>
    <w:rsid w:val="00AA0357"/>
    <w:rsid w:val="00AA04E1"/>
    <w:rsid w:val="00AA05F7"/>
    <w:rsid w:val="00AA0634"/>
    <w:rsid w:val="00AA075C"/>
    <w:rsid w:val="00AA0868"/>
    <w:rsid w:val="00AA0875"/>
    <w:rsid w:val="00AA0877"/>
    <w:rsid w:val="00AA09DE"/>
    <w:rsid w:val="00AA09E2"/>
    <w:rsid w:val="00AA0AE8"/>
    <w:rsid w:val="00AA0B2B"/>
    <w:rsid w:val="00AA0B34"/>
    <w:rsid w:val="00AA0B41"/>
    <w:rsid w:val="00AA0B71"/>
    <w:rsid w:val="00AA0B98"/>
    <w:rsid w:val="00AA0C1C"/>
    <w:rsid w:val="00AA0CE7"/>
    <w:rsid w:val="00AA0D28"/>
    <w:rsid w:val="00AA0D2E"/>
    <w:rsid w:val="00AA0E42"/>
    <w:rsid w:val="00AA0E4E"/>
    <w:rsid w:val="00AA0EC0"/>
    <w:rsid w:val="00AA0F1C"/>
    <w:rsid w:val="00AA0F92"/>
    <w:rsid w:val="00AA0F9B"/>
    <w:rsid w:val="00AA0FE6"/>
    <w:rsid w:val="00AA1086"/>
    <w:rsid w:val="00AA10C7"/>
    <w:rsid w:val="00AA1126"/>
    <w:rsid w:val="00AA1130"/>
    <w:rsid w:val="00AA1140"/>
    <w:rsid w:val="00AA1174"/>
    <w:rsid w:val="00AA11C3"/>
    <w:rsid w:val="00AA11F6"/>
    <w:rsid w:val="00AA1342"/>
    <w:rsid w:val="00AA137F"/>
    <w:rsid w:val="00AA13E2"/>
    <w:rsid w:val="00AA13ED"/>
    <w:rsid w:val="00AA15A6"/>
    <w:rsid w:val="00AA15BD"/>
    <w:rsid w:val="00AA15C5"/>
    <w:rsid w:val="00AA15F0"/>
    <w:rsid w:val="00AA15F9"/>
    <w:rsid w:val="00AA1634"/>
    <w:rsid w:val="00AA1658"/>
    <w:rsid w:val="00AA170E"/>
    <w:rsid w:val="00AA1765"/>
    <w:rsid w:val="00AA1799"/>
    <w:rsid w:val="00AA17C9"/>
    <w:rsid w:val="00AA18A7"/>
    <w:rsid w:val="00AA18BD"/>
    <w:rsid w:val="00AA192B"/>
    <w:rsid w:val="00AA1952"/>
    <w:rsid w:val="00AA19A6"/>
    <w:rsid w:val="00AA19B5"/>
    <w:rsid w:val="00AA19FB"/>
    <w:rsid w:val="00AA1A34"/>
    <w:rsid w:val="00AA1A69"/>
    <w:rsid w:val="00AA1A94"/>
    <w:rsid w:val="00AA1AA6"/>
    <w:rsid w:val="00AA1AC2"/>
    <w:rsid w:val="00AA1B62"/>
    <w:rsid w:val="00AA1BA3"/>
    <w:rsid w:val="00AA1BB3"/>
    <w:rsid w:val="00AA1D08"/>
    <w:rsid w:val="00AA1D16"/>
    <w:rsid w:val="00AA1DC1"/>
    <w:rsid w:val="00AA1E14"/>
    <w:rsid w:val="00AA1F35"/>
    <w:rsid w:val="00AA2086"/>
    <w:rsid w:val="00AA2162"/>
    <w:rsid w:val="00AA21C6"/>
    <w:rsid w:val="00AA2250"/>
    <w:rsid w:val="00AA2333"/>
    <w:rsid w:val="00AA2342"/>
    <w:rsid w:val="00AA234D"/>
    <w:rsid w:val="00AA2362"/>
    <w:rsid w:val="00AA246D"/>
    <w:rsid w:val="00AA2483"/>
    <w:rsid w:val="00AA24DD"/>
    <w:rsid w:val="00AA252C"/>
    <w:rsid w:val="00AA2553"/>
    <w:rsid w:val="00AA2584"/>
    <w:rsid w:val="00AA260D"/>
    <w:rsid w:val="00AA2622"/>
    <w:rsid w:val="00AA262F"/>
    <w:rsid w:val="00AA264C"/>
    <w:rsid w:val="00AA2741"/>
    <w:rsid w:val="00AA2891"/>
    <w:rsid w:val="00AA28FC"/>
    <w:rsid w:val="00AA2946"/>
    <w:rsid w:val="00AA2A0A"/>
    <w:rsid w:val="00AA2A4F"/>
    <w:rsid w:val="00AA2A95"/>
    <w:rsid w:val="00AA2AAB"/>
    <w:rsid w:val="00AA2AF9"/>
    <w:rsid w:val="00AA2B89"/>
    <w:rsid w:val="00AA2BE4"/>
    <w:rsid w:val="00AA2BEF"/>
    <w:rsid w:val="00AA2C46"/>
    <w:rsid w:val="00AA2CBB"/>
    <w:rsid w:val="00AA2D3E"/>
    <w:rsid w:val="00AA2E28"/>
    <w:rsid w:val="00AA2EEB"/>
    <w:rsid w:val="00AA2EF7"/>
    <w:rsid w:val="00AA2F19"/>
    <w:rsid w:val="00AA2F4C"/>
    <w:rsid w:val="00AA2F90"/>
    <w:rsid w:val="00AA307A"/>
    <w:rsid w:val="00AA307E"/>
    <w:rsid w:val="00AA30F3"/>
    <w:rsid w:val="00AA31C4"/>
    <w:rsid w:val="00AA31CA"/>
    <w:rsid w:val="00AA3216"/>
    <w:rsid w:val="00AA3298"/>
    <w:rsid w:val="00AA32D9"/>
    <w:rsid w:val="00AA352E"/>
    <w:rsid w:val="00AA35C5"/>
    <w:rsid w:val="00AA363B"/>
    <w:rsid w:val="00AA3686"/>
    <w:rsid w:val="00AA3782"/>
    <w:rsid w:val="00AA3892"/>
    <w:rsid w:val="00AA395B"/>
    <w:rsid w:val="00AA3962"/>
    <w:rsid w:val="00AA398C"/>
    <w:rsid w:val="00AA3A05"/>
    <w:rsid w:val="00AA3A94"/>
    <w:rsid w:val="00AA3B1F"/>
    <w:rsid w:val="00AA3B96"/>
    <w:rsid w:val="00AA3B9B"/>
    <w:rsid w:val="00AA3C54"/>
    <w:rsid w:val="00AA3CFB"/>
    <w:rsid w:val="00AA3D1E"/>
    <w:rsid w:val="00AA3D2D"/>
    <w:rsid w:val="00AA3D51"/>
    <w:rsid w:val="00AA3DEA"/>
    <w:rsid w:val="00AA3E76"/>
    <w:rsid w:val="00AA3F4F"/>
    <w:rsid w:val="00AA3F7E"/>
    <w:rsid w:val="00AA3FB5"/>
    <w:rsid w:val="00AA401A"/>
    <w:rsid w:val="00AA405F"/>
    <w:rsid w:val="00AA4078"/>
    <w:rsid w:val="00AA4087"/>
    <w:rsid w:val="00AA40D9"/>
    <w:rsid w:val="00AA4182"/>
    <w:rsid w:val="00AA41B7"/>
    <w:rsid w:val="00AA42B6"/>
    <w:rsid w:val="00AA42D5"/>
    <w:rsid w:val="00AA4336"/>
    <w:rsid w:val="00AA4340"/>
    <w:rsid w:val="00AA4363"/>
    <w:rsid w:val="00AA4372"/>
    <w:rsid w:val="00AA4380"/>
    <w:rsid w:val="00AA440A"/>
    <w:rsid w:val="00AA4432"/>
    <w:rsid w:val="00AA44E9"/>
    <w:rsid w:val="00AA45C0"/>
    <w:rsid w:val="00AA45D8"/>
    <w:rsid w:val="00AA45FA"/>
    <w:rsid w:val="00AA4608"/>
    <w:rsid w:val="00AA4664"/>
    <w:rsid w:val="00AA46B2"/>
    <w:rsid w:val="00AA46BB"/>
    <w:rsid w:val="00AA46D1"/>
    <w:rsid w:val="00AA4715"/>
    <w:rsid w:val="00AA4761"/>
    <w:rsid w:val="00AA47E5"/>
    <w:rsid w:val="00AA483F"/>
    <w:rsid w:val="00AA498F"/>
    <w:rsid w:val="00AA4A20"/>
    <w:rsid w:val="00AA4A55"/>
    <w:rsid w:val="00AA4ACA"/>
    <w:rsid w:val="00AA4C22"/>
    <w:rsid w:val="00AA4C44"/>
    <w:rsid w:val="00AA4D1A"/>
    <w:rsid w:val="00AA4D3B"/>
    <w:rsid w:val="00AA4DBB"/>
    <w:rsid w:val="00AA4DC0"/>
    <w:rsid w:val="00AA4EA9"/>
    <w:rsid w:val="00AA5022"/>
    <w:rsid w:val="00AA504C"/>
    <w:rsid w:val="00AA5108"/>
    <w:rsid w:val="00AA5133"/>
    <w:rsid w:val="00AA51CF"/>
    <w:rsid w:val="00AA5219"/>
    <w:rsid w:val="00AA524E"/>
    <w:rsid w:val="00AA5299"/>
    <w:rsid w:val="00AA5314"/>
    <w:rsid w:val="00AA5349"/>
    <w:rsid w:val="00AA5364"/>
    <w:rsid w:val="00AA5365"/>
    <w:rsid w:val="00AA5436"/>
    <w:rsid w:val="00AA544C"/>
    <w:rsid w:val="00AA5489"/>
    <w:rsid w:val="00AA5498"/>
    <w:rsid w:val="00AA549C"/>
    <w:rsid w:val="00AA54D5"/>
    <w:rsid w:val="00AA54F6"/>
    <w:rsid w:val="00AA5516"/>
    <w:rsid w:val="00AA5520"/>
    <w:rsid w:val="00AA55E9"/>
    <w:rsid w:val="00AA5602"/>
    <w:rsid w:val="00AA564C"/>
    <w:rsid w:val="00AA56A6"/>
    <w:rsid w:val="00AA56DA"/>
    <w:rsid w:val="00AA56DF"/>
    <w:rsid w:val="00AA56E2"/>
    <w:rsid w:val="00AA5794"/>
    <w:rsid w:val="00AA585C"/>
    <w:rsid w:val="00AA5887"/>
    <w:rsid w:val="00AA598E"/>
    <w:rsid w:val="00AA59A4"/>
    <w:rsid w:val="00AA5ADF"/>
    <w:rsid w:val="00AA5B61"/>
    <w:rsid w:val="00AA5B75"/>
    <w:rsid w:val="00AA5CF5"/>
    <w:rsid w:val="00AA5D88"/>
    <w:rsid w:val="00AA5DAA"/>
    <w:rsid w:val="00AA5DF7"/>
    <w:rsid w:val="00AA5E52"/>
    <w:rsid w:val="00AA5ED4"/>
    <w:rsid w:val="00AA5F15"/>
    <w:rsid w:val="00AA6004"/>
    <w:rsid w:val="00AA602D"/>
    <w:rsid w:val="00AA60D0"/>
    <w:rsid w:val="00AA613D"/>
    <w:rsid w:val="00AA61A3"/>
    <w:rsid w:val="00AA6202"/>
    <w:rsid w:val="00AA6284"/>
    <w:rsid w:val="00AA6289"/>
    <w:rsid w:val="00AA632F"/>
    <w:rsid w:val="00AA6430"/>
    <w:rsid w:val="00AA64E2"/>
    <w:rsid w:val="00AA64FE"/>
    <w:rsid w:val="00AA6521"/>
    <w:rsid w:val="00AA656B"/>
    <w:rsid w:val="00AA65A1"/>
    <w:rsid w:val="00AA65C7"/>
    <w:rsid w:val="00AA6651"/>
    <w:rsid w:val="00AA6747"/>
    <w:rsid w:val="00AA6807"/>
    <w:rsid w:val="00AA680C"/>
    <w:rsid w:val="00AA6849"/>
    <w:rsid w:val="00AA68FD"/>
    <w:rsid w:val="00AA6A79"/>
    <w:rsid w:val="00AA6A7C"/>
    <w:rsid w:val="00AA6A83"/>
    <w:rsid w:val="00AA6A89"/>
    <w:rsid w:val="00AA6AD1"/>
    <w:rsid w:val="00AA6B1D"/>
    <w:rsid w:val="00AA6B42"/>
    <w:rsid w:val="00AA6BEF"/>
    <w:rsid w:val="00AA6C22"/>
    <w:rsid w:val="00AA6C38"/>
    <w:rsid w:val="00AA6C40"/>
    <w:rsid w:val="00AA6C45"/>
    <w:rsid w:val="00AA6CB3"/>
    <w:rsid w:val="00AA6D2A"/>
    <w:rsid w:val="00AA6D3E"/>
    <w:rsid w:val="00AA6DF6"/>
    <w:rsid w:val="00AA6E03"/>
    <w:rsid w:val="00AA6E22"/>
    <w:rsid w:val="00AA6E25"/>
    <w:rsid w:val="00AA6E8D"/>
    <w:rsid w:val="00AA6EC6"/>
    <w:rsid w:val="00AA6F04"/>
    <w:rsid w:val="00AA6F1C"/>
    <w:rsid w:val="00AA6F50"/>
    <w:rsid w:val="00AA6F91"/>
    <w:rsid w:val="00AA6FD8"/>
    <w:rsid w:val="00AA705A"/>
    <w:rsid w:val="00AA7211"/>
    <w:rsid w:val="00AA7279"/>
    <w:rsid w:val="00AA730A"/>
    <w:rsid w:val="00AA734F"/>
    <w:rsid w:val="00AA7379"/>
    <w:rsid w:val="00AA742A"/>
    <w:rsid w:val="00AA74A6"/>
    <w:rsid w:val="00AA750F"/>
    <w:rsid w:val="00AA7531"/>
    <w:rsid w:val="00AA755C"/>
    <w:rsid w:val="00AA75F6"/>
    <w:rsid w:val="00AA76EB"/>
    <w:rsid w:val="00AA771C"/>
    <w:rsid w:val="00AA77E1"/>
    <w:rsid w:val="00AA7827"/>
    <w:rsid w:val="00AA7966"/>
    <w:rsid w:val="00AA796F"/>
    <w:rsid w:val="00AA79EA"/>
    <w:rsid w:val="00AA79F2"/>
    <w:rsid w:val="00AA7A4E"/>
    <w:rsid w:val="00AA7B66"/>
    <w:rsid w:val="00AA7BA6"/>
    <w:rsid w:val="00AA7C84"/>
    <w:rsid w:val="00AA7CF0"/>
    <w:rsid w:val="00AA7D7F"/>
    <w:rsid w:val="00AA7E0E"/>
    <w:rsid w:val="00AA7E10"/>
    <w:rsid w:val="00AA7E41"/>
    <w:rsid w:val="00AA7EA2"/>
    <w:rsid w:val="00AA7F0D"/>
    <w:rsid w:val="00AA7FE4"/>
    <w:rsid w:val="00AB0193"/>
    <w:rsid w:val="00AB0195"/>
    <w:rsid w:val="00AB01E0"/>
    <w:rsid w:val="00AB0213"/>
    <w:rsid w:val="00AB0328"/>
    <w:rsid w:val="00AB0341"/>
    <w:rsid w:val="00AB038D"/>
    <w:rsid w:val="00AB0462"/>
    <w:rsid w:val="00AB04D3"/>
    <w:rsid w:val="00AB05E3"/>
    <w:rsid w:val="00AB0681"/>
    <w:rsid w:val="00AB06A1"/>
    <w:rsid w:val="00AB06B9"/>
    <w:rsid w:val="00AB0710"/>
    <w:rsid w:val="00AB0750"/>
    <w:rsid w:val="00AB0850"/>
    <w:rsid w:val="00AB0851"/>
    <w:rsid w:val="00AB08DD"/>
    <w:rsid w:val="00AB091F"/>
    <w:rsid w:val="00AB0950"/>
    <w:rsid w:val="00AB0A38"/>
    <w:rsid w:val="00AB0A4D"/>
    <w:rsid w:val="00AB0BD4"/>
    <w:rsid w:val="00AB0C58"/>
    <w:rsid w:val="00AB0C63"/>
    <w:rsid w:val="00AB0CD8"/>
    <w:rsid w:val="00AB0DCD"/>
    <w:rsid w:val="00AB0DED"/>
    <w:rsid w:val="00AB0E56"/>
    <w:rsid w:val="00AB103D"/>
    <w:rsid w:val="00AB10A7"/>
    <w:rsid w:val="00AB1137"/>
    <w:rsid w:val="00AB113C"/>
    <w:rsid w:val="00AB117C"/>
    <w:rsid w:val="00AB11C2"/>
    <w:rsid w:val="00AB1399"/>
    <w:rsid w:val="00AB139E"/>
    <w:rsid w:val="00AB13B8"/>
    <w:rsid w:val="00AB13C8"/>
    <w:rsid w:val="00AB1499"/>
    <w:rsid w:val="00AB1513"/>
    <w:rsid w:val="00AB1554"/>
    <w:rsid w:val="00AB15B5"/>
    <w:rsid w:val="00AB1615"/>
    <w:rsid w:val="00AB161D"/>
    <w:rsid w:val="00AB163E"/>
    <w:rsid w:val="00AB16B7"/>
    <w:rsid w:val="00AB16F5"/>
    <w:rsid w:val="00AB17DD"/>
    <w:rsid w:val="00AB17E1"/>
    <w:rsid w:val="00AB182C"/>
    <w:rsid w:val="00AB183F"/>
    <w:rsid w:val="00AB18AE"/>
    <w:rsid w:val="00AB18DD"/>
    <w:rsid w:val="00AB18E8"/>
    <w:rsid w:val="00AB190B"/>
    <w:rsid w:val="00AB1943"/>
    <w:rsid w:val="00AB19DC"/>
    <w:rsid w:val="00AB19F5"/>
    <w:rsid w:val="00AB1A58"/>
    <w:rsid w:val="00AB1AB3"/>
    <w:rsid w:val="00AB1AB4"/>
    <w:rsid w:val="00AB1ABC"/>
    <w:rsid w:val="00AB1C0D"/>
    <w:rsid w:val="00AB1C56"/>
    <w:rsid w:val="00AB1C90"/>
    <w:rsid w:val="00AB1CE3"/>
    <w:rsid w:val="00AB203A"/>
    <w:rsid w:val="00AB207A"/>
    <w:rsid w:val="00AB21F7"/>
    <w:rsid w:val="00AB24A7"/>
    <w:rsid w:val="00AB24EA"/>
    <w:rsid w:val="00AB24EB"/>
    <w:rsid w:val="00AB263C"/>
    <w:rsid w:val="00AB26B2"/>
    <w:rsid w:val="00AB2716"/>
    <w:rsid w:val="00AB2739"/>
    <w:rsid w:val="00AB278C"/>
    <w:rsid w:val="00AB27A1"/>
    <w:rsid w:val="00AB27C6"/>
    <w:rsid w:val="00AB280B"/>
    <w:rsid w:val="00AB281F"/>
    <w:rsid w:val="00AB2841"/>
    <w:rsid w:val="00AB28BA"/>
    <w:rsid w:val="00AB29DE"/>
    <w:rsid w:val="00AB29E0"/>
    <w:rsid w:val="00AB2A4E"/>
    <w:rsid w:val="00AB2A65"/>
    <w:rsid w:val="00AB2A68"/>
    <w:rsid w:val="00AB2AC6"/>
    <w:rsid w:val="00AB2B09"/>
    <w:rsid w:val="00AB2BBF"/>
    <w:rsid w:val="00AB2C8C"/>
    <w:rsid w:val="00AB2CAC"/>
    <w:rsid w:val="00AB2E51"/>
    <w:rsid w:val="00AB2F30"/>
    <w:rsid w:val="00AB2F4D"/>
    <w:rsid w:val="00AB2F59"/>
    <w:rsid w:val="00AB2FC2"/>
    <w:rsid w:val="00AB303E"/>
    <w:rsid w:val="00AB3095"/>
    <w:rsid w:val="00AB30E9"/>
    <w:rsid w:val="00AB315F"/>
    <w:rsid w:val="00AB319C"/>
    <w:rsid w:val="00AB31A8"/>
    <w:rsid w:val="00AB31CD"/>
    <w:rsid w:val="00AB320B"/>
    <w:rsid w:val="00AB32E8"/>
    <w:rsid w:val="00AB3311"/>
    <w:rsid w:val="00AB334A"/>
    <w:rsid w:val="00AB3377"/>
    <w:rsid w:val="00AB3385"/>
    <w:rsid w:val="00AB33AA"/>
    <w:rsid w:val="00AB33D4"/>
    <w:rsid w:val="00AB33FF"/>
    <w:rsid w:val="00AB342C"/>
    <w:rsid w:val="00AB3677"/>
    <w:rsid w:val="00AB36C8"/>
    <w:rsid w:val="00AB36C9"/>
    <w:rsid w:val="00AB36ED"/>
    <w:rsid w:val="00AB3762"/>
    <w:rsid w:val="00AB3815"/>
    <w:rsid w:val="00AB383A"/>
    <w:rsid w:val="00AB38A9"/>
    <w:rsid w:val="00AB3A06"/>
    <w:rsid w:val="00AB3A35"/>
    <w:rsid w:val="00AB3A38"/>
    <w:rsid w:val="00AB3AB5"/>
    <w:rsid w:val="00AB3AD2"/>
    <w:rsid w:val="00AB3B65"/>
    <w:rsid w:val="00AB3B83"/>
    <w:rsid w:val="00AB3B95"/>
    <w:rsid w:val="00AB3B9C"/>
    <w:rsid w:val="00AB3CBE"/>
    <w:rsid w:val="00AB3CE5"/>
    <w:rsid w:val="00AB3CF8"/>
    <w:rsid w:val="00AB3D06"/>
    <w:rsid w:val="00AB3D63"/>
    <w:rsid w:val="00AB3D6F"/>
    <w:rsid w:val="00AB3DF3"/>
    <w:rsid w:val="00AB3E3B"/>
    <w:rsid w:val="00AB3E62"/>
    <w:rsid w:val="00AB3EAF"/>
    <w:rsid w:val="00AB3EF3"/>
    <w:rsid w:val="00AB3F45"/>
    <w:rsid w:val="00AB3F56"/>
    <w:rsid w:val="00AB3F70"/>
    <w:rsid w:val="00AB3F7D"/>
    <w:rsid w:val="00AB3FB0"/>
    <w:rsid w:val="00AB3FEA"/>
    <w:rsid w:val="00AB4075"/>
    <w:rsid w:val="00AB4084"/>
    <w:rsid w:val="00AB40D3"/>
    <w:rsid w:val="00AB4117"/>
    <w:rsid w:val="00AB4173"/>
    <w:rsid w:val="00AB41BC"/>
    <w:rsid w:val="00AB4201"/>
    <w:rsid w:val="00AB4220"/>
    <w:rsid w:val="00AB42F5"/>
    <w:rsid w:val="00AB43E4"/>
    <w:rsid w:val="00AB4432"/>
    <w:rsid w:val="00AB44E4"/>
    <w:rsid w:val="00AB45A4"/>
    <w:rsid w:val="00AB45C7"/>
    <w:rsid w:val="00AB45CF"/>
    <w:rsid w:val="00AB45F8"/>
    <w:rsid w:val="00AB4683"/>
    <w:rsid w:val="00AB4688"/>
    <w:rsid w:val="00AB46EC"/>
    <w:rsid w:val="00AB47F2"/>
    <w:rsid w:val="00AB482F"/>
    <w:rsid w:val="00AB4856"/>
    <w:rsid w:val="00AB486F"/>
    <w:rsid w:val="00AB4909"/>
    <w:rsid w:val="00AB490F"/>
    <w:rsid w:val="00AB497C"/>
    <w:rsid w:val="00AB49C8"/>
    <w:rsid w:val="00AB49D9"/>
    <w:rsid w:val="00AB4A80"/>
    <w:rsid w:val="00AB4AFE"/>
    <w:rsid w:val="00AB4C0E"/>
    <w:rsid w:val="00AB4C37"/>
    <w:rsid w:val="00AB4C72"/>
    <w:rsid w:val="00AB4CCC"/>
    <w:rsid w:val="00AB4D10"/>
    <w:rsid w:val="00AB4DA3"/>
    <w:rsid w:val="00AB4DB4"/>
    <w:rsid w:val="00AB4DDB"/>
    <w:rsid w:val="00AB4E37"/>
    <w:rsid w:val="00AB4E60"/>
    <w:rsid w:val="00AB4E92"/>
    <w:rsid w:val="00AB4EE9"/>
    <w:rsid w:val="00AB4F53"/>
    <w:rsid w:val="00AB50E0"/>
    <w:rsid w:val="00AB52C8"/>
    <w:rsid w:val="00AB52DA"/>
    <w:rsid w:val="00AB530A"/>
    <w:rsid w:val="00AB5387"/>
    <w:rsid w:val="00AB53C6"/>
    <w:rsid w:val="00AB5440"/>
    <w:rsid w:val="00AB5536"/>
    <w:rsid w:val="00AB55D6"/>
    <w:rsid w:val="00AB55F3"/>
    <w:rsid w:val="00AB5675"/>
    <w:rsid w:val="00AB5769"/>
    <w:rsid w:val="00AB576F"/>
    <w:rsid w:val="00AB5793"/>
    <w:rsid w:val="00AB583B"/>
    <w:rsid w:val="00AB5884"/>
    <w:rsid w:val="00AB5903"/>
    <w:rsid w:val="00AB5966"/>
    <w:rsid w:val="00AB597A"/>
    <w:rsid w:val="00AB5A2E"/>
    <w:rsid w:val="00AB5A9F"/>
    <w:rsid w:val="00AB5ABD"/>
    <w:rsid w:val="00AB5AD9"/>
    <w:rsid w:val="00AB5B0A"/>
    <w:rsid w:val="00AB5BF6"/>
    <w:rsid w:val="00AB5C53"/>
    <w:rsid w:val="00AB5D81"/>
    <w:rsid w:val="00AB5DAE"/>
    <w:rsid w:val="00AB5DF1"/>
    <w:rsid w:val="00AB5DF9"/>
    <w:rsid w:val="00AB5E23"/>
    <w:rsid w:val="00AB5E9E"/>
    <w:rsid w:val="00AB5FF7"/>
    <w:rsid w:val="00AB6065"/>
    <w:rsid w:val="00AB607D"/>
    <w:rsid w:val="00AB610C"/>
    <w:rsid w:val="00AB6117"/>
    <w:rsid w:val="00AB61B1"/>
    <w:rsid w:val="00AB61E5"/>
    <w:rsid w:val="00AB61FA"/>
    <w:rsid w:val="00AB628C"/>
    <w:rsid w:val="00AB644F"/>
    <w:rsid w:val="00AB653C"/>
    <w:rsid w:val="00AB65C5"/>
    <w:rsid w:val="00AB65C9"/>
    <w:rsid w:val="00AB660B"/>
    <w:rsid w:val="00AB6625"/>
    <w:rsid w:val="00AB66E4"/>
    <w:rsid w:val="00AB6800"/>
    <w:rsid w:val="00AB686C"/>
    <w:rsid w:val="00AB6895"/>
    <w:rsid w:val="00AB699A"/>
    <w:rsid w:val="00AB6AC4"/>
    <w:rsid w:val="00AB6AD8"/>
    <w:rsid w:val="00AB6C3F"/>
    <w:rsid w:val="00AB6C6A"/>
    <w:rsid w:val="00AB6C96"/>
    <w:rsid w:val="00AB6CB6"/>
    <w:rsid w:val="00AB6CC4"/>
    <w:rsid w:val="00AB6D32"/>
    <w:rsid w:val="00AB6EDF"/>
    <w:rsid w:val="00AB6F15"/>
    <w:rsid w:val="00AB6F8B"/>
    <w:rsid w:val="00AB7000"/>
    <w:rsid w:val="00AB7069"/>
    <w:rsid w:val="00AB70E3"/>
    <w:rsid w:val="00AB714E"/>
    <w:rsid w:val="00AB71AC"/>
    <w:rsid w:val="00AB71B0"/>
    <w:rsid w:val="00AB721B"/>
    <w:rsid w:val="00AB7299"/>
    <w:rsid w:val="00AB72B9"/>
    <w:rsid w:val="00AB731D"/>
    <w:rsid w:val="00AB738D"/>
    <w:rsid w:val="00AB74F3"/>
    <w:rsid w:val="00AB7502"/>
    <w:rsid w:val="00AB753D"/>
    <w:rsid w:val="00AB75FC"/>
    <w:rsid w:val="00AB7659"/>
    <w:rsid w:val="00AB767C"/>
    <w:rsid w:val="00AB76C0"/>
    <w:rsid w:val="00AB76D6"/>
    <w:rsid w:val="00AB77D1"/>
    <w:rsid w:val="00AB77D3"/>
    <w:rsid w:val="00AB7811"/>
    <w:rsid w:val="00AB7844"/>
    <w:rsid w:val="00AB78CE"/>
    <w:rsid w:val="00AB79C5"/>
    <w:rsid w:val="00AB7A37"/>
    <w:rsid w:val="00AB7ACA"/>
    <w:rsid w:val="00AB7ACD"/>
    <w:rsid w:val="00AB7AFA"/>
    <w:rsid w:val="00AB7AFC"/>
    <w:rsid w:val="00AB7B14"/>
    <w:rsid w:val="00AB7B7C"/>
    <w:rsid w:val="00AB7C03"/>
    <w:rsid w:val="00AB7C38"/>
    <w:rsid w:val="00AB7C74"/>
    <w:rsid w:val="00AB7D87"/>
    <w:rsid w:val="00AB7DB7"/>
    <w:rsid w:val="00AB7E23"/>
    <w:rsid w:val="00AB7E6C"/>
    <w:rsid w:val="00AB7E9A"/>
    <w:rsid w:val="00AB7EE9"/>
    <w:rsid w:val="00AC006C"/>
    <w:rsid w:val="00AC007B"/>
    <w:rsid w:val="00AC0086"/>
    <w:rsid w:val="00AC0149"/>
    <w:rsid w:val="00AC0205"/>
    <w:rsid w:val="00AC0239"/>
    <w:rsid w:val="00AC025B"/>
    <w:rsid w:val="00AC02BA"/>
    <w:rsid w:val="00AC02DC"/>
    <w:rsid w:val="00AC02F2"/>
    <w:rsid w:val="00AC0311"/>
    <w:rsid w:val="00AC0388"/>
    <w:rsid w:val="00AC03D6"/>
    <w:rsid w:val="00AC040B"/>
    <w:rsid w:val="00AC04C8"/>
    <w:rsid w:val="00AC05CF"/>
    <w:rsid w:val="00AC0617"/>
    <w:rsid w:val="00AC061D"/>
    <w:rsid w:val="00AC0695"/>
    <w:rsid w:val="00AC0788"/>
    <w:rsid w:val="00AC0794"/>
    <w:rsid w:val="00AC07AA"/>
    <w:rsid w:val="00AC07B1"/>
    <w:rsid w:val="00AC07C1"/>
    <w:rsid w:val="00AC081D"/>
    <w:rsid w:val="00AC092F"/>
    <w:rsid w:val="00AC09DD"/>
    <w:rsid w:val="00AC0A6A"/>
    <w:rsid w:val="00AC0A89"/>
    <w:rsid w:val="00AC0ACC"/>
    <w:rsid w:val="00AC0AE9"/>
    <w:rsid w:val="00AC0AED"/>
    <w:rsid w:val="00AC0B3A"/>
    <w:rsid w:val="00AC0B72"/>
    <w:rsid w:val="00AC0BA8"/>
    <w:rsid w:val="00AC0C0D"/>
    <w:rsid w:val="00AC0C50"/>
    <w:rsid w:val="00AC0CB1"/>
    <w:rsid w:val="00AC0D3E"/>
    <w:rsid w:val="00AC0E67"/>
    <w:rsid w:val="00AC0E6B"/>
    <w:rsid w:val="00AC0E92"/>
    <w:rsid w:val="00AC0F20"/>
    <w:rsid w:val="00AC0F25"/>
    <w:rsid w:val="00AC0F49"/>
    <w:rsid w:val="00AC0FA4"/>
    <w:rsid w:val="00AC0FBF"/>
    <w:rsid w:val="00AC11B1"/>
    <w:rsid w:val="00AC11C2"/>
    <w:rsid w:val="00AC11DB"/>
    <w:rsid w:val="00AC1260"/>
    <w:rsid w:val="00AC12B5"/>
    <w:rsid w:val="00AC13C5"/>
    <w:rsid w:val="00AC1483"/>
    <w:rsid w:val="00AC14CE"/>
    <w:rsid w:val="00AC1506"/>
    <w:rsid w:val="00AC151C"/>
    <w:rsid w:val="00AC1545"/>
    <w:rsid w:val="00AC15FA"/>
    <w:rsid w:val="00AC1600"/>
    <w:rsid w:val="00AC168E"/>
    <w:rsid w:val="00AC180D"/>
    <w:rsid w:val="00AC185C"/>
    <w:rsid w:val="00AC1869"/>
    <w:rsid w:val="00AC189B"/>
    <w:rsid w:val="00AC19C2"/>
    <w:rsid w:val="00AC1A08"/>
    <w:rsid w:val="00AC1A64"/>
    <w:rsid w:val="00AC1A88"/>
    <w:rsid w:val="00AC1AA0"/>
    <w:rsid w:val="00AC1AF9"/>
    <w:rsid w:val="00AC1B7A"/>
    <w:rsid w:val="00AC1BC2"/>
    <w:rsid w:val="00AC1C02"/>
    <w:rsid w:val="00AC1C28"/>
    <w:rsid w:val="00AC1DF6"/>
    <w:rsid w:val="00AC1E1C"/>
    <w:rsid w:val="00AC1E95"/>
    <w:rsid w:val="00AC205E"/>
    <w:rsid w:val="00AC20D2"/>
    <w:rsid w:val="00AC2162"/>
    <w:rsid w:val="00AC2233"/>
    <w:rsid w:val="00AC22A1"/>
    <w:rsid w:val="00AC232C"/>
    <w:rsid w:val="00AC236B"/>
    <w:rsid w:val="00AC238B"/>
    <w:rsid w:val="00AC23BC"/>
    <w:rsid w:val="00AC24BD"/>
    <w:rsid w:val="00AC2546"/>
    <w:rsid w:val="00AC2690"/>
    <w:rsid w:val="00AC275C"/>
    <w:rsid w:val="00AC2781"/>
    <w:rsid w:val="00AC284B"/>
    <w:rsid w:val="00AC28EB"/>
    <w:rsid w:val="00AC2904"/>
    <w:rsid w:val="00AC2952"/>
    <w:rsid w:val="00AC2A8F"/>
    <w:rsid w:val="00AC2ADC"/>
    <w:rsid w:val="00AC2B0E"/>
    <w:rsid w:val="00AC2B1C"/>
    <w:rsid w:val="00AC2B22"/>
    <w:rsid w:val="00AC2B49"/>
    <w:rsid w:val="00AC2BB3"/>
    <w:rsid w:val="00AC2C13"/>
    <w:rsid w:val="00AC2C44"/>
    <w:rsid w:val="00AC2C97"/>
    <w:rsid w:val="00AC2CA9"/>
    <w:rsid w:val="00AC2D39"/>
    <w:rsid w:val="00AC2D4C"/>
    <w:rsid w:val="00AC2D53"/>
    <w:rsid w:val="00AC2D9B"/>
    <w:rsid w:val="00AC2F21"/>
    <w:rsid w:val="00AC2F5C"/>
    <w:rsid w:val="00AC2F66"/>
    <w:rsid w:val="00AC2FB8"/>
    <w:rsid w:val="00AC2FD4"/>
    <w:rsid w:val="00AC2FDF"/>
    <w:rsid w:val="00AC30FA"/>
    <w:rsid w:val="00AC310F"/>
    <w:rsid w:val="00AC318C"/>
    <w:rsid w:val="00AC3245"/>
    <w:rsid w:val="00AC324D"/>
    <w:rsid w:val="00AC3284"/>
    <w:rsid w:val="00AC32AC"/>
    <w:rsid w:val="00AC32DB"/>
    <w:rsid w:val="00AC32DD"/>
    <w:rsid w:val="00AC32E6"/>
    <w:rsid w:val="00AC3303"/>
    <w:rsid w:val="00AC330C"/>
    <w:rsid w:val="00AC3328"/>
    <w:rsid w:val="00AC33CB"/>
    <w:rsid w:val="00AC33DA"/>
    <w:rsid w:val="00AC33EB"/>
    <w:rsid w:val="00AC341A"/>
    <w:rsid w:val="00AC34CA"/>
    <w:rsid w:val="00AC35AB"/>
    <w:rsid w:val="00AC35BF"/>
    <w:rsid w:val="00AC3676"/>
    <w:rsid w:val="00AC3733"/>
    <w:rsid w:val="00AC37C6"/>
    <w:rsid w:val="00AC37FE"/>
    <w:rsid w:val="00AC3861"/>
    <w:rsid w:val="00AC38AA"/>
    <w:rsid w:val="00AC39F1"/>
    <w:rsid w:val="00AC3A0B"/>
    <w:rsid w:val="00AC3ABA"/>
    <w:rsid w:val="00AC3AD2"/>
    <w:rsid w:val="00AC3AF9"/>
    <w:rsid w:val="00AC3B1F"/>
    <w:rsid w:val="00AC3BCD"/>
    <w:rsid w:val="00AC3BD2"/>
    <w:rsid w:val="00AC3BE6"/>
    <w:rsid w:val="00AC3C66"/>
    <w:rsid w:val="00AC3C78"/>
    <w:rsid w:val="00AC3CDF"/>
    <w:rsid w:val="00AC3CFF"/>
    <w:rsid w:val="00AC3D13"/>
    <w:rsid w:val="00AC3D37"/>
    <w:rsid w:val="00AC3D87"/>
    <w:rsid w:val="00AC3DB9"/>
    <w:rsid w:val="00AC3E6F"/>
    <w:rsid w:val="00AC3EB9"/>
    <w:rsid w:val="00AC3FF2"/>
    <w:rsid w:val="00AC4055"/>
    <w:rsid w:val="00AC4067"/>
    <w:rsid w:val="00AC407C"/>
    <w:rsid w:val="00AC4123"/>
    <w:rsid w:val="00AC412E"/>
    <w:rsid w:val="00AC414C"/>
    <w:rsid w:val="00AC419A"/>
    <w:rsid w:val="00AC41E9"/>
    <w:rsid w:val="00AC4220"/>
    <w:rsid w:val="00AC4287"/>
    <w:rsid w:val="00AC4335"/>
    <w:rsid w:val="00AC4347"/>
    <w:rsid w:val="00AC43E1"/>
    <w:rsid w:val="00AC43FA"/>
    <w:rsid w:val="00AC43FD"/>
    <w:rsid w:val="00AC445F"/>
    <w:rsid w:val="00AC4479"/>
    <w:rsid w:val="00AC4510"/>
    <w:rsid w:val="00AC45E5"/>
    <w:rsid w:val="00AC4650"/>
    <w:rsid w:val="00AC468A"/>
    <w:rsid w:val="00AC4871"/>
    <w:rsid w:val="00AC488F"/>
    <w:rsid w:val="00AC48BC"/>
    <w:rsid w:val="00AC48D5"/>
    <w:rsid w:val="00AC4931"/>
    <w:rsid w:val="00AC4967"/>
    <w:rsid w:val="00AC49F7"/>
    <w:rsid w:val="00AC4ADC"/>
    <w:rsid w:val="00AC4BA3"/>
    <w:rsid w:val="00AC4BB3"/>
    <w:rsid w:val="00AC4C40"/>
    <w:rsid w:val="00AC4C86"/>
    <w:rsid w:val="00AC4CE5"/>
    <w:rsid w:val="00AC4CFF"/>
    <w:rsid w:val="00AC4D44"/>
    <w:rsid w:val="00AC4E4D"/>
    <w:rsid w:val="00AC4E6F"/>
    <w:rsid w:val="00AC4EC1"/>
    <w:rsid w:val="00AC4F76"/>
    <w:rsid w:val="00AC50D2"/>
    <w:rsid w:val="00AC517A"/>
    <w:rsid w:val="00AC5201"/>
    <w:rsid w:val="00AC538E"/>
    <w:rsid w:val="00AC5449"/>
    <w:rsid w:val="00AC5459"/>
    <w:rsid w:val="00AC546E"/>
    <w:rsid w:val="00AC54AE"/>
    <w:rsid w:val="00AC54E1"/>
    <w:rsid w:val="00AC5508"/>
    <w:rsid w:val="00AC5522"/>
    <w:rsid w:val="00AC55B1"/>
    <w:rsid w:val="00AC55CD"/>
    <w:rsid w:val="00AC5602"/>
    <w:rsid w:val="00AC5654"/>
    <w:rsid w:val="00AC565B"/>
    <w:rsid w:val="00AC565E"/>
    <w:rsid w:val="00AC571C"/>
    <w:rsid w:val="00AC579A"/>
    <w:rsid w:val="00AC57F7"/>
    <w:rsid w:val="00AC5821"/>
    <w:rsid w:val="00AC5868"/>
    <w:rsid w:val="00AC588C"/>
    <w:rsid w:val="00AC591C"/>
    <w:rsid w:val="00AC5978"/>
    <w:rsid w:val="00AC5995"/>
    <w:rsid w:val="00AC59DB"/>
    <w:rsid w:val="00AC5A16"/>
    <w:rsid w:val="00AC5AFD"/>
    <w:rsid w:val="00AC5B32"/>
    <w:rsid w:val="00AC5DF8"/>
    <w:rsid w:val="00AC5E27"/>
    <w:rsid w:val="00AC5E48"/>
    <w:rsid w:val="00AC5EAB"/>
    <w:rsid w:val="00AC5EC3"/>
    <w:rsid w:val="00AC5F53"/>
    <w:rsid w:val="00AC6130"/>
    <w:rsid w:val="00AC614D"/>
    <w:rsid w:val="00AC6224"/>
    <w:rsid w:val="00AC6281"/>
    <w:rsid w:val="00AC62A5"/>
    <w:rsid w:val="00AC6301"/>
    <w:rsid w:val="00AC631B"/>
    <w:rsid w:val="00AC64C2"/>
    <w:rsid w:val="00AC64D3"/>
    <w:rsid w:val="00AC65D2"/>
    <w:rsid w:val="00AC6660"/>
    <w:rsid w:val="00AC66B5"/>
    <w:rsid w:val="00AC66F5"/>
    <w:rsid w:val="00AC66F6"/>
    <w:rsid w:val="00AC6858"/>
    <w:rsid w:val="00AC6897"/>
    <w:rsid w:val="00AC6961"/>
    <w:rsid w:val="00AC6967"/>
    <w:rsid w:val="00AC6998"/>
    <w:rsid w:val="00AC69C0"/>
    <w:rsid w:val="00AC69DF"/>
    <w:rsid w:val="00AC6A40"/>
    <w:rsid w:val="00AC6A88"/>
    <w:rsid w:val="00AC6A8B"/>
    <w:rsid w:val="00AC6B5F"/>
    <w:rsid w:val="00AC6BCB"/>
    <w:rsid w:val="00AC6C10"/>
    <w:rsid w:val="00AC6C64"/>
    <w:rsid w:val="00AC6C80"/>
    <w:rsid w:val="00AC6D28"/>
    <w:rsid w:val="00AC6D2F"/>
    <w:rsid w:val="00AC6DB2"/>
    <w:rsid w:val="00AC6DDE"/>
    <w:rsid w:val="00AC6DEC"/>
    <w:rsid w:val="00AC6EF7"/>
    <w:rsid w:val="00AC6F5B"/>
    <w:rsid w:val="00AC6F80"/>
    <w:rsid w:val="00AC6F84"/>
    <w:rsid w:val="00AC7094"/>
    <w:rsid w:val="00AC7172"/>
    <w:rsid w:val="00AC723D"/>
    <w:rsid w:val="00AC72F1"/>
    <w:rsid w:val="00AC7368"/>
    <w:rsid w:val="00AC73A1"/>
    <w:rsid w:val="00AC7434"/>
    <w:rsid w:val="00AC746F"/>
    <w:rsid w:val="00AC75A6"/>
    <w:rsid w:val="00AC75E7"/>
    <w:rsid w:val="00AC7822"/>
    <w:rsid w:val="00AC7853"/>
    <w:rsid w:val="00AC7875"/>
    <w:rsid w:val="00AC7909"/>
    <w:rsid w:val="00AC7995"/>
    <w:rsid w:val="00AC7A0F"/>
    <w:rsid w:val="00AC7A32"/>
    <w:rsid w:val="00AC7A93"/>
    <w:rsid w:val="00AC7ADD"/>
    <w:rsid w:val="00AC7AF3"/>
    <w:rsid w:val="00AC7AF5"/>
    <w:rsid w:val="00AC7B40"/>
    <w:rsid w:val="00AC7BB7"/>
    <w:rsid w:val="00AC7C24"/>
    <w:rsid w:val="00AC7CA0"/>
    <w:rsid w:val="00AC7D8F"/>
    <w:rsid w:val="00AC7EC2"/>
    <w:rsid w:val="00AC7F1A"/>
    <w:rsid w:val="00AC7F5F"/>
    <w:rsid w:val="00AC7F6E"/>
    <w:rsid w:val="00AD005A"/>
    <w:rsid w:val="00AD0065"/>
    <w:rsid w:val="00AD00AB"/>
    <w:rsid w:val="00AD00F1"/>
    <w:rsid w:val="00AD01FA"/>
    <w:rsid w:val="00AD0230"/>
    <w:rsid w:val="00AD024A"/>
    <w:rsid w:val="00AD02F6"/>
    <w:rsid w:val="00AD0367"/>
    <w:rsid w:val="00AD037E"/>
    <w:rsid w:val="00AD03B3"/>
    <w:rsid w:val="00AD03E3"/>
    <w:rsid w:val="00AD0419"/>
    <w:rsid w:val="00AD055E"/>
    <w:rsid w:val="00AD05C0"/>
    <w:rsid w:val="00AD0617"/>
    <w:rsid w:val="00AD069A"/>
    <w:rsid w:val="00AD074C"/>
    <w:rsid w:val="00AD0782"/>
    <w:rsid w:val="00AD07AE"/>
    <w:rsid w:val="00AD081D"/>
    <w:rsid w:val="00AD09F4"/>
    <w:rsid w:val="00AD0A28"/>
    <w:rsid w:val="00AD0AF0"/>
    <w:rsid w:val="00AD0B17"/>
    <w:rsid w:val="00AD0C06"/>
    <w:rsid w:val="00AD0C19"/>
    <w:rsid w:val="00AD0C36"/>
    <w:rsid w:val="00AD0CAB"/>
    <w:rsid w:val="00AD0D60"/>
    <w:rsid w:val="00AD0DA1"/>
    <w:rsid w:val="00AD0EE9"/>
    <w:rsid w:val="00AD0F65"/>
    <w:rsid w:val="00AD1012"/>
    <w:rsid w:val="00AD1029"/>
    <w:rsid w:val="00AD10FA"/>
    <w:rsid w:val="00AD1167"/>
    <w:rsid w:val="00AD1282"/>
    <w:rsid w:val="00AD12E4"/>
    <w:rsid w:val="00AD12EA"/>
    <w:rsid w:val="00AD1436"/>
    <w:rsid w:val="00AD143F"/>
    <w:rsid w:val="00AD146F"/>
    <w:rsid w:val="00AD14F5"/>
    <w:rsid w:val="00AD1544"/>
    <w:rsid w:val="00AD1605"/>
    <w:rsid w:val="00AD16AE"/>
    <w:rsid w:val="00AD1766"/>
    <w:rsid w:val="00AD18D6"/>
    <w:rsid w:val="00AD19D1"/>
    <w:rsid w:val="00AD19FC"/>
    <w:rsid w:val="00AD1B27"/>
    <w:rsid w:val="00AD1B28"/>
    <w:rsid w:val="00AD1B2E"/>
    <w:rsid w:val="00AD1B96"/>
    <w:rsid w:val="00AD1BAE"/>
    <w:rsid w:val="00AD1C75"/>
    <w:rsid w:val="00AD1CBC"/>
    <w:rsid w:val="00AD1CE5"/>
    <w:rsid w:val="00AD1CE6"/>
    <w:rsid w:val="00AD1D25"/>
    <w:rsid w:val="00AD1D39"/>
    <w:rsid w:val="00AD1D3A"/>
    <w:rsid w:val="00AD1E85"/>
    <w:rsid w:val="00AD1F99"/>
    <w:rsid w:val="00AD1FEF"/>
    <w:rsid w:val="00AD1FF7"/>
    <w:rsid w:val="00AD212E"/>
    <w:rsid w:val="00AD21DD"/>
    <w:rsid w:val="00AD21E1"/>
    <w:rsid w:val="00AD222C"/>
    <w:rsid w:val="00AD24B1"/>
    <w:rsid w:val="00AD24E3"/>
    <w:rsid w:val="00AD24FD"/>
    <w:rsid w:val="00AD2514"/>
    <w:rsid w:val="00AD25CD"/>
    <w:rsid w:val="00AD2663"/>
    <w:rsid w:val="00AD26B6"/>
    <w:rsid w:val="00AD2757"/>
    <w:rsid w:val="00AD27CF"/>
    <w:rsid w:val="00AD282A"/>
    <w:rsid w:val="00AD283E"/>
    <w:rsid w:val="00AD2871"/>
    <w:rsid w:val="00AD29D7"/>
    <w:rsid w:val="00AD2AA1"/>
    <w:rsid w:val="00AD2C5D"/>
    <w:rsid w:val="00AD2D63"/>
    <w:rsid w:val="00AD2D72"/>
    <w:rsid w:val="00AD2D9B"/>
    <w:rsid w:val="00AD2DB1"/>
    <w:rsid w:val="00AD3129"/>
    <w:rsid w:val="00AD3170"/>
    <w:rsid w:val="00AD32DB"/>
    <w:rsid w:val="00AD332D"/>
    <w:rsid w:val="00AD335A"/>
    <w:rsid w:val="00AD338B"/>
    <w:rsid w:val="00AD33F6"/>
    <w:rsid w:val="00AD3481"/>
    <w:rsid w:val="00AD34A6"/>
    <w:rsid w:val="00AD3503"/>
    <w:rsid w:val="00AD35F7"/>
    <w:rsid w:val="00AD3676"/>
    <w:rsid w:val="00AD36CF"/>
    <w:rsid w:val="00AD37E3"/>
    <w:rsid w:val="00AD385D"/>
    <w:rsid w:val="00AD38FB"/>
    <w:rsid w:val="00AD394C"/>
    <w:rsid w:val="00AD3966"/>
    <w:rsid w:val="00AD3A7F"/>
    <w:rsid w:val="00AD3AA1"/>
    <w:rsid w:val="00AD3AF4"/>
    <w:rsid w:val="00AD3B2C"/>
    <w:rsid w:val="00AD3B5C"/>
    <w:rsid w:val="00AD3BDE"/>
    <w:rsid w:val="00AD3C19"/>
    <w:rsid w:val="00AD3DE8"/>
    <w:rsid w:val="00AD3DEF"/>
    <w:rsid w:val="00AD3E98"/>
    <w:rsid w:val="00AD4060"/>
    <w:rsid w:val="00AD407A"/>
    <w:rsid w:val="00AD40A9"/>
    <w:rsid w:val="00AD4178"/>
    <w:rsid w:val="00AD4186"/>
    <w:rsid w:val="00AD4234"/>
    <w:rsid w:val="00AD4267"/>
    <w:rsid w:val="00AD43C3"/>
    <w:rsid w:val="00AD440D"/>
    <w:rsid w:val="00AD442C"/>
    <w:rsid w:val="00AD442D"/>
    <w:rsid w:val="00AD44EE"/>
    <w:rsid w:val="00AD44FF"/>
    <w:rsid w:val="00AD4540"/>
    <w:rsid w:val="00AD46A7"/>
    <w:rsid w:val="00AD4725"/>
    <w:rsid w:val="00AD4734"/>
    <w:rsid w:val="00AD47A3"/>
    <w:rsid w:val="00AD47AE"/>
    <w:rsid w:val="00AD47E0"/>
    <w:rsid w:val="00AD4864"/>
    <w:rsid w:val="00AD49B3"/>
    <w:rsid w:val="00AD49BD"/>
    <w:rsid w:val="00AD4A65"/>
    <w:rsid w:val="00AD4ACF"/>
    <w:rsid w:val="00AD4AF2"/>
    <w:rsid w:val="00AD4B7B"/>
    <w:rsid w:val="00AD4BC4"/>
    <w:rsid w:val="00AD4CB8"/>
    <w:rsid w:val="00AD4D15"/>
    <w:rsid w:val="00AD4DB5"/>
    <w:rsid w:val="00AD4E52"/>
    <w:rsid w:val="00AD4ED5"/>
    <w:rsid w:val="00AD4EE5"/>
    <w:rsid w:val="00AD4F30"/>
    <w:rsid w:val="00AD5095"/>
    <w:rsid w:val="00AD50BC"/>
    <w:rsid w:val="00AD50C0"/>
    <w:rsid w:val="00AD50DA"/>
    <w:rsid w:val="00AD51D5"/>
    <w:rsid w:val="00AD52EE"/>
    <w:rsid w:val="00AD53E0"/>
    <w:rsid w:val="00AD5419"/>
    <w:rsid w:val="00AD5451"/>
    <w:rsid w:val="00AD5482"/>
    <w:rsid w:val="00AD5550"/>
    <w:rsid w:val="00AD55AE"/>
    <w:rsid w:val="00AD55F9"/>
    <w:rsid w:val="00AD5617"/>
    <w:rsid w:val="00AD563B"/>
    <w:rsid w:val="00AD5674"/>
    <w:rsid w:val="00AD5691"/>
    <w:rsid w:val="00AD56AA"/>
    <w:rsid w:val="00AD56B7"/>
    <w:rsid w:val="00AD56D0"/>
    <w:rsid w:val="00AD576A"/>
    <w:rsid w:val="00AD5817"/>
    <w:rsid w:val="00AD5851"/>
    <w:rsid w:val="00AD587E"/>
    <w:rsid w:val="00AD589A"/>
    <w:rsid w:val="00AD58EF"/>
    <w:rsid w:val="00AD58FA"/>
    <w:rsid w:val="00AD5930"/>
    <w:rsid w:val="00AD5936"/>
    <w:rsid w:val="00AD5963"/>
    <w:rsid w:val="00AD5A15"/>
    <w:rsid w:val="00AD5A6A"/>
    <w:rsid w:val="00AD5A9A"/>
    <w:rsid w:val="00AD5C59"/>
    <w:rsid w:val="00AD5C9C"/>
    <w:rsid w:val="00AD5D79"/>
    <w:rsid w:val="00AD5DB6"/>
    <w:rsid w:val="00AD5DE3"/>
    <w:rsid w:val="00AD5E05"/>
    <w:rsid w:val="00AD5F19"/>
    <w:rsid w:val="00AD5F58"/>
    <w:rsid w:val="00AD5FCE"/>
    <w:rsid w:val="00AD5FE1"/>
    <w:rsid w:val="00AD6007"/>
    <w:rsid w:val="00AD60EA"/>
    <w:rsid w:val="00AD6154"/>
    <w:rsid w:val="00AD62AA"/>
    <w:rsid w:val="00AD62B6"/>
    <w:rsid w:val="00AD631F"/>
    <w:rsid w:val="00AD6394"/>
    <w:rsid w:val="00AD63B4"/>
    <w:rsid w:val="00AD6434"/>
    <w:rsid w:val="00AD65B0"/>
    <w:rsid w:val="00AD65F2"/>
    <w:rsid w:val="00AD6618"/>
    <w:rsid w:val="00AD6664"/>
    <w:rsid w:val="00AD666E"/>
    <w:rsid w:val="00AD6694"/>
    <w:rsid w:val="00AD66F2"/>
    <w:rsid w:val="00AD66F8"/>
    <w:rsid w:val="00AD6719"/>
    <w:rsid w:val="00AD67F6"/>
    <w:rsid w:val="00AD682E"/>
    <w:rsid w:val="00AD68BF"/>
    <w:rsid w:val="00AD692C"/>
    <w:rsid w:val="00AD697F"/>
    <w:rsid w:val="00AD699E"/>
    <w:rsid w:val="00AD69D7"/>
    <w:rsid w:val="00AD69F8"/>
    <w:rsid w:val="00AD6ACC"/>
    <w:rsid w:val="00AD6B6B"/>
    <w:rsid w:val="00AD6BEF"/>
    <w:rsid w:val="00AD6C29"/>
    <w:rsid w:val="00AD6C4C"/>
    <w:rsid w:val="00AD6CDE"/>
    <w:rsid w:val="00AD6D81"/>
    <w:rsid w:val="00AD6DC1"/>
    <w:rsid w:val="00AD6DD1"/>
    <w:rsid w:val="00AD6EFF"/>
    <w:rsid w:val="00AD6FB9"/>
    <w:rsid w:val="00AD7053"/>
    <w:rsid w:val="00AD7068"/>
    <w:rsid w:val="00AD70A5"/>
    <w:rsid w:val="00AD70F9"/>
    <w:rsid w:val="00AD710D"/>
    <w:rsid w:val="00AD7168"/>
    <w:rsid w:val="00AD71A2"/>
    <w:rsid w:val="00AD71D1"/>
    <w:rsid w:val="00AD721B"/>
    <w:rsid w:val="00AD7231"/>
    <w:rsid w:val="00AD7265"/>
    <w:rsid w:val="00AD72D1"/>
    <w:rsid w:val="00AD741B"/>
    <w:rsid w:val="00AD742F"/>
    <w:rsid w:val="00AD7452"/>
    <w:rsid w:val="00AD7483"/>
    <w:rsid w:val="00AD7532"/>
    <w:rsid w:val="00AD7555"/>
    <w:rsid w:val="00AD756A"/>
    <w:rsid w:val="00AD75F4"/>
    <w:rsid w:val="00AD7684"/>
    <w:rsid w:val="00AD76E4"/>
    <w:rsid w:val="00AD77C4"/>
    <w:rsid w:val="00AD77E0"/>
    <w:rsid w:val="00AD7830"/>
    <w:rsid w:val="00AD7831"/>
    <w:rsid w:val="00AD78A5"/>
    <w:rsid w:val="00AD797F"/>
    <w:rsid w:val="00AD79CC"/>
    <w:rsid w:val="00AD7A5E"/>
    <w:rsid w:val="00AD7AD8"/>
    <w:rsid w:val="00AD7B19"/>
    <w:rsid w:val="00AD7B8B"/>
    <w:rsid w:val="00AD7BF2"/>
    <w:rsid w:val="00AD7C7C"/>
    <w:rsid w:val="00AD7CDF"/>
    <w:rsid w:val="00AD7D02"/>
    <w:rsid w:val="00AD7D2F"/>
    <w:rsid w:val="00AD7D89"/>
    <w:rsid w:val="00AD7D99"/>
    <w:rsid w:val="00AD7DB3"/>
    <w:rsid w:val="00AD7DCB"/>
    <w:rsid w:val="00AD7DDA"/>
    <w:rsid w:val="00AD7DF0"/>
    <w:rsid w:val="00AD7E7F"/>
    <w:rsid w:val="00AD7EB4"/>
    <w:rsid w:val="00AD7F34"/>
    <w:rsid w:val="00AD7F46"/>
    <w:rsid w:val="00AD7F7D"/>
    <w:rsid w:val="00AE0101"/>
    <w:rsid w:val="00AE0169"/>
    <w:rsid w:val="00AE01B8"/>
    <w:rsid w:val="00AE01DA"/>
    <w:rsid w:val="00AE0333"/>
    <w:rsid w:val="00AE0369"/>
    <w:rsid w:val="00AE036F"/>
    <w:rsid w:val="00AE03C2"/>
    <w:rsid w:val="00AE03FA"/>
    <w:rsid w:val="00AE0407"/>
    <w:rsid w:val="00AE047D"/>
    <w:rsid w:val="00AE04B0"/>
    <w:rsid w:val="00AE04B9"/>
    <w:rsid w:val="00AE04CC"/>
    <w:rsid w:val="00AE04D5"/>
    <w:rsid w:val="00AE0536"/>
    <w:rsid w:val="00AE0558"/>
    <w:rsid w:val="00AE05B6"/>
    <w:rsid w:val="00AE06C9"/>
    <w:rsid w:val="00AE075B"/>
    <w:rsid w:val="00AE07C3"/>
    <w:rsid w:val="00AE08C8"/>
    <w:rsid w:val="00AE092A"/>
    <w:rsid w:val="00AE0947"/>
    <w:rsid w:val="00AE09A0"/>
    <w:rsid w:val="00AE0A39"/>
    <w:rsid w:val="00AE0AC1"/>
    <w:rsid w:val="00AE0ADF"/>
    <w:rsid w:val="00AE0B43"/>
    <w:rsid w:val="00AE0B78"/>
    <w:rsid w:val="00AE0C14"/>
    <w:rsid w:val="00AE0C85"/>
    <w:rsid w:val="00AE0CE5"/>
    <w:rsid w:val="00AE0D0F"/>
    <w:rsid w:val="00AE0D78"/>
    <w:rsid w:val="00AE0EA8"/>
    <w:rsid w:val="00AE0EF2"/>
    <w:rsid w:val="00AE0F23"/>
    <w:rsid w:val="00AE0F8B"/>
    <w:rsid w:val="00AE0FA8"/>
    <w:rsid w:val="00AE0FC3"/>
    <w:rsid w:val="00AE0FC8"/>
    <w:rsid w:val="00AE1035"/>
    <w:rsid w:val="00AE1096"/>
    <w:rsid w:val="00AE109F"/>
    <w:rsid w:val="00AE1130"/>
    <w:rsid w:val="00AE114C"/>
    <w:rsid w:val="00AE1247"/>
    <w:rsid w:val="00AE12B6"/>
    <w:rsid w:val="00AE12C2"/>
    <w:rsid w:val="00AE1327"/>
    <w:rsid w:val="00AE134B"/>
    <w:rsid w:val="00AE1447"/>
    <w:rsid w:val="00AE1530"/>
    <w:rsid w:val="00AE1556"/>
    <w:rsid w:val="00AE1570"/>
    <w:rsid w:val="00AE159B"/>
    <w:rsid w:val="00AE15AD"/>
    <w:rsid w:val="00AE15B5"/>
    <w:rsid w:val="00AE16BA"/>
    <w:rsid w:val="00AE174E"/>
    <w:rsid w:val="00AE1772"/>
    <w:rsid w:val="00AE1774"/>
    <w:rsid w:val="00AE17DF"/>
    <w:rsid w:val="00AE1806"/>
    <w:rsid w:val="00AE1871"/>
    <w:rsid w:val="00AE1885"/>
    <w:rsid w:val="00AE1898"/>
    <w:rsid w:val="00AE1A46"/>
    <w:rsid w:val="00AE1B08"/>
    <w:rsid w:val="00AE1B4E"/>
    <w:rsid w:val="00AE1B55"/>
    <w:rsid w:val="00AE1B67"/>
    <w:rsid w:val="00AE1B83"/>
    <w:rsid w:val="00AE1CCF"/>
    <w:rsid w:val="00AE1D1F"/>
    <w:rsid w:val="00AE1D7E"/>
    <w:rsid w:val="00AE1DE5"/>
    <w:rsid w:val="00AE1E4C"/>
    <w:rsid w:val="00AE2009"/>
    <w:rsid w:val="00AE2012"/>
    <w:rsid w:val="00AE201F"/>
    <w:rsid w:val="00AE20BE"/>
    <w:rsid w:val="00AE215B"/>
    <w:rsid w:val="00AE21C6"/>
    <w:rsid w:val="00AE21E4"/>
    <w:rsid w:val="00AE2206"/>
    <w:rsid w:val="00AE231D"/>
    <w:rsid w:val="00AE235D"/>
    <w:rsid w:val="00AE24CF"/>
    <w:rsid w:val="00AE24DB"/>
    <w:rsid w:val="00AE2505"/>
    <w:rsid w:val="00AE251B"/>
    <w:rsid w:val="00AE253D"/>
    <w:rsid w:val="00AE2635"/>
    <w:rsid w:val="00AE2675"/>
    <w:rsid w:val="00AE274A"/>
    <w:rsid w:val="00AE27F2"/>
    <w:rsid w:val="00AE286A"/>
    <w:rsid w:val="00AE290D"/>
    <w:rsid w:val="00AE2940"/>
    <w:rsid w:val="00AE2945"/>
    <w:rsid w:val="00AE2979"/>
    <w:rsid w:val="00AE29B0"/>
    <w:rsid w:val="00AE2A1C"/>
    <w:rsid w:val="00AE2BD9"/>
    <w:rsid w:val="00AE2E38"/>
    <w:rsid w:val="00AE2E5D"/>
    <w:rsid w:val="00AE2F2C"/>
    <w:rsid w:val="00AE2FE2"/>
    <w:rsid w:val="00AE2FE3"/>
    <w:rsid w:val="00AE3144"/>
    <w:rsid w:val="00AE3172"/>
    <w:rsid w:val="00AE3200"/>
    <w:rsid w:val="00AE32FC"/>
    <w:rsid w:val="00AE3400"/>
    <w:rsid w:val="00AE3440"/>
    <w:rsid w:val="00AE34CF"/>
    <w:rsid w:val="00AE34D9"/>
    <w:rsid w:val="00AE34DD"/>
    <w:rsid w:val="00AE35A2"/>
    <w:rsid w:val="00AE36DE"/>
    <w:rsid w:val="00AE36F2"/>
    <w:rsid w:val="00AE3839"/>
    <w:rsid w:val="00AE38B8"/>
    <w:rsid w:val="00AE38EE"/>
    <w:rsid w:val="00AE38F0"/>
    <w:rsid w:val="00AE38F2"/>
    <w:rsid w:val="00AE3922"/>
    <w:rsid w:val="00AE392E"/>
    <w:rsid w:val="00AE3930"/>
    <w:rsid w:val="00AE3A60"/>
    <w:rsid w:val="00AE3BD2"/>
    <w:rsid w:val="00AE3CDF"/>
    <w:rsid w:val="00AE3D38"/>
    <w:rsid w:val="00AE3D58"/>
    <w:rsid w:val="00AE3D9C"/>
    <w:rsid w:val="00AE3DED"/>
    <w:rsid w:val="00AE3EC6"/>
    <w:rsid w:val="00AE3F3B"/>
    <w:rsid w:val="00AE3FD8"/>
    <w:rsid w:val="00AE3FF0"/>
    <w:rsid w:val="00AE4016"/>
    <w:rsid w:val="00AE4030"/>
    <w:rsid w:val="00AE40B7"/>
    <w:rsid w:val="00AE40EE"/>
    <w:rsid w:val="00AE4174"/>
    <w:rsid w:val="00AE4191"/>
    <w:rsid w:val="00AE41D9"/>
    <w:rsid w:val="00AE41EE"/>
    <w:rsid w:val="00AE41F9"/>
    <w:rsid w:val="00AE4207"/>
    <w:rsid w:val="00AE4230"/>
    <w:rsid w:val="00AE424B"/>
    <w:rsid w:val="00AE4261"/>
    <w:rsid w:val="00AE42C3"/>
    <w:rsid w:val="00AE432A"/>
    <w:rsid w:val="00AE4375"/>
    <w:rsid w:val="00AE43B2"/>
    <w:rsid w:val="00AE43F3"/>
    <w:rsid w:val="00AE43F4"/>
    <w:rsid w:val="00AE442C"/>
    <w:rsid w:val="00AE4445"/>
    <w:rsid w:val="00AE4485"/>
    <w:rsid w:val="00AE448A"/>
    <w:rsid w:val="00AE44CD"/>
    <w:rsid w:val="00AE451B"/>
    <w:rsid w:val="00AE45BF"/>
    <w:rsid w:val="00AE45EB"/>
    <w:rsid w:val="00AE4612"/>
    <w:rsid w:val="00AE462A"/>
    <w:rsid w:val="00AE464F"/>
    <w:rsid w:val="00AE4681"/>
    <w:rsid w:val="00AE4786"/>
    <w:rsid w:val="00AE4810"/>
    <w:rsid w:val="00AE48CC"/>
    <w:rsid w:val="00AE4954"/>
    <w:rsid w:val="00AE4B17"/>
    <w:rsid w:val="00AE4B59"/>
    <w:rsid w:val="00AE4B74"/>
    <w:rsid w:val="00AE4BF3"/>
    <w:rsid w:val="00AE4C2C"/>
    <w:rsid w:val="00AE4C34"/>
    <w:rsid w:val="00AE4C7B"/>
    <w:rsid w:val="00AE4CAB"/>
    <w:rsid w:val="00AE4CCE"/>
    <w:rsid w:val="00AE4D70"/>
    <w:rsid w:val="00AE4D83"/>
    <w:rsid w:val="00AE4DFD"/>
    <w:rsid w:val="00AE4EDA"/>
    <w:rsid w:val="00AE4F18"/>
    <w:rsid w:val="00AE4F9C"/>
    <w:rsid w:val="00AE5058"/>
    <w:rsid w:val="00AE50E3"/>
    <w:rsid w:val="00AE5155"/>
    <w:rsid w:val="00AE5242"/>
    <w:rsid w:val="00AE529E"/>
    <w:rsid w:val="00AE52BF"/>
    <w:rsid w:val="00AE52DE"/>
    <w:rsid w:val="00AE531B"/>
    <w:rsid w:val="00AE532A"/>
    <w:rsid w:val="00AE5331"/>
    <w:rsid w:val="00AE535E"/>
    <w:rsid w:val="00AE5456"/>
    <w:rsid w:val="00AE547A"/>
    <w:rsid w:val="00AE547E"/>
    <w:rsid w:val="00AE54E8"/>
    <w:rsid w:val="00AE5506"/>
    <w:rsid w:val="00AE552A"/>
    <w:rsid w:val="00AE5568"/>
    <w:rsid w:val="00AE55C7"/>
    <w:rsid w:val="00AE55ED"/>
    <w:rsid w:val="00AE5600"/>
    <w:rsid w:val="00AE566C"/>
    <w:rsid w:val="00AE56BA"/>
    <w:rsid w:val="00AE573A"/>
    <w:rsid w:val="00AE57D3"/>
    <w:rsid w:val="00AE57F4"/>
    <w:rsid w:val="00AE58FB"/>
    <w:rsid w:val="00AE5939"/>
    <w:rsid w:val="00AE5993"/>
    <w:rsid w:val="00AE5A0E"/>
    <w:rsid w:val="00AE5AFC"/>
    <w:rsid w:val="00AE5B46"/>
    <w:rsid w:val="00AE5C0B"/>
    <w:rsid w:val="00AE5C58"/>
    <w:rsid w:val="00AE5C61"/>
    <w:rsid w:val="00AE5D7B"/>
    <w:rsid w:val="00AE5DF5"/>
    <w:rsid w:val="00AE5E7B"/>
    <w:rsid w:val="00AE5EAE"/>
    <w:rsid w:val="00AE5F85"/>
    <w:rsid w:val="00AE6042"/>
    <w:rsid w:val="00AE6053"/>
    <w:rsid w:val="00AE6067"/>
    <w:rsid w:val="00AE60C1"/>
    <w:rsid w:val="00AE610C"/>
    <w:rsid w:val="00AE6174"/>
    <w:rsid w:val="00AE617F"/>
    <w:rsid w:val="00AE6191"/>
    <w:rsid w:val="00AE61E9"/>
    <w:rsid w:val="00AE6284"/>
    <w:rsid w:val="00AE62D0"/>
    <w:rsid w:val="00AE63A0"/>
    <w:rsid w:val="00AE63AE"/>
    <w:rsid w:val="00AE63F9"/>
    <w:rsid w:val="00AE6556"/>
    <w:rsid w:val="00AE657B"/>
    <w:rsid w:val="00AE6594"/>
    <w:rsid w:val="00AE664D"/>
    <w:rsid w:val="00AE66BF"/>
    <w:rsid w:val="00AE69E0"/>
    <w:rsid w:val="00AE6A6D"/>
    <w:rsid w:val="00AE6ABB"/>
    <w:rsid w:val="00AE6BB0"/>
    <w:rsid w:val="00AE6C53"/>
    <w:rsid w:val="00AE6D8A"/>
    <w:rsid w:val="00AE6DC3"/>
    <w:rsid w:val="00AE6E1E"/>
    <w:rsid w:val="00AE6E78"/>
    <w:rsid w:val="00AE6E86"/>
    <w:rsid w:val="00AE7070"/>
    <w:rsid w:val="00AE7081"/>
    <w:rsid w:val="00AE70AD"/>
    <w:rsid w:val="00AE70B8"/>
    <w:rsid w:val="00AE71A4"/>
    <w:rsid w:val="00AE71C0"/>
    <w:rsid w:val="00AE71C1"/>
    <w:rsid w:val="00AE7217"/>
    <w:rsid w:val="00AE7250"/>
    <w:rsid w:val="00AE726A"/>
    <w:rsid w:val="00AE72CC"/>
    <w:rsid w:val="00AE72CE"/>
    <w:rsid w:val="00AE7319"/>
    <w:rsid w:val="00AE736C"/>
    <w:rsid w:val="00AE74A8"/>
    <w:rsid w:val="00AE74B1"/>
    <w:rsid w:val="00AE7570"/>
    <w:rsid w:val="00AE75AF"/>
    <w:rsid w:val="00AE75B9"/>
    <w:rsid w:val="00AE75BB"/>
    <w:rsid w:val="00AE75CA"/>
    <w:rsid w:val="00AE764E"/>
    <w:rsid w:val="00AE765B"/>
    <w:rsid w:val="00AE7691"/>
    <w:rsid w:val="00AE77D9"/>
    <w:rsid w:val="00AE7825"/>
    <w:rsid w:val="00AE78B1"/>
    <w:rsid w:val="00AE7A51"/>
    <w:rsid w:val="00AE7A77"/>
    <w:rsid w:val="00AE7B04"/>
    <w:rsid w:val="00AE7B98"/>
    <w:rsid w:val="00AE7BA7"/>
    <w:rsid w:val="00AE7BF4"/>
    <w:rsid w:val="00AE7D87"/>
    <w:rsid w:val="00AE7DB4"/>
    <w:rsid w:val="00AE7EB2"/>
    <w:rsid w:val="00AE7ED7"/>
    <w:rsid w:val="00AE7FE2"/>
    <w:rsid w:val="00AE7FEF"/>
    <w:rsid w:val="00AF00CE"/>
    <w:rsid w:val="00AF00E3"/>
    <w:rsid w:val="00AF00F2"/>
    <w:rsid w:val="00AF00FC"/>
    <w:rsid w:val="00AF012A"/>
    <w:rsid w:val="00AF0203"/>
    <w:rsid w:val="00AF024A"/>
    <w:rsid w:val="00AF031A"/>
    <w:rsid w:val="00AF033D"/>
    <w:rsid w:val="00AF03AA"/>
    <w:rsid w:val="00AF03D5"/>
    <w:rsid w:val="00AF04E3"/>
    <w:rsid w:val="00AF04FE"/>
    <w:rsid w:val="00AF0581"/>
    <w:rsid w:val="00AF05C3"/>
    <w:rsid w:val="00AF062D"/>
    <w:rsid w:val="00AF0649"/>
    <w:rsid w:val="00AF076B"/>
    <w:rsid w:val="00AF07C7"/>
    <w:rsid w:val="00AF07E2"/>
    <w:rsid w:val="00AF08A1"/>
    <w:rsid w:val="00AF08C0"/>
    <w:rsid w:val="00AF094B"/>
    <w:rsid w:val="00AF0953"/>
    <w:rsid w:val="00AF0992"/>
    <w:rsid w:val="00AF0A21"/>
    <w:rsid w:val="00AF0A54"/>
    <w:rsid w:val="00AF0A87"/>
    <w:rsid w:val="00AF0AB4"/>
    <w:rsid w:val="00AF0ABF"/>
    <w:rsid w:val="00AF0CB2"/>
    <w:rsid w:val="00AF0CB7"/>
    <w:rsid w:val="00AF0D63"/>
    <w:rsid w:val="00AF0E3D"/>
    <w:rsid w:val="00AF0E61"/>
    <w:rsid w:val="00AF0E7B"/>
    <w:rsid w:val="00AF0EAA"/>
    <w:rsid w:val="00AF0EE6"/>
    <w:rsid w:val="00AF1011"/>
    <w:rsid w:val="00AF104C"/>
    <w:rsid w:val="00AF1052"/>
    <w:rsid w:val="00AF106B"/>
    <w:rsid w:val="00AF1095"/>
    <w:rsid w:val="00AF10A0"/>
    <w:rsid w:val="00AF10D8"/>
    <w:rsid w:val="00AF1126"/>
    <w:rsid w:val="00AF1133"/>
    <w:rsid w:val="00AF1146"/>
    <w:rsid w:val="00AF1179"/>
    <w:rsid w:val="00AF117A"/>
    <w:rsid w:val="00AF11A3"/>
    <w:rsid w:val="00AF1257"/>
    <w:rsid w:val="00AF1264"/>
    <w:rsid w:val="00AF12A4"/>
    <w:rsid w:val="00AF12FB"/>
    <w:rsid w:val="00AF12FC"/>
    <w:rsid w:val="00AF1361"/>
    <w:rsid w:val="00AF1409"/>
    <w:rsid w:val="00AF143C"/>
    <w:rsid w:val="00AF147F"/>
    <w:rsid w:val="00AF1483"/>
    <w:rsid w:val="00AF1488"/>
    <w:rsid w:val="00AF14B1"/>
    <w:rsid w:val="00AF1590"/>
    <w:rsid w:val="00AF15A5"/>
    <w:rsid w:val="00AF1612"/>
    <w:rsid w:val="00AF166D"/>
    <w:rsid w:val="00AF172E"/>
    <w:rsid w:val="00AF1764"/>
    <w:rsid w:val="00AF1772"/>
    <w:rsid w:val="00AF1774"/>
    <w:rsid w:val="00AF1862"/>
    <w:rsid w:val="00AF1883"/>
    <w:rsid w:val="00AF1904"/>
    <w:rsid w:val="00AF192E"/>
    <w:rsid w:val="00AF1970"/>
    <w:rsid w:val="00AF1B9D"/>
    <w:rsid w:val="00AF1BF3"/>
    <w:rsid w:val="00AF1CD6"/>
    <w:rsid w:val="00AF1EC7"/>
    <w:rsid w:val="00AF1F2C"/>
    <w:rsid w:val="00AF1F3D"/>
    <w:rsid w:val="00AF1F9D"/>
    <w:rsid w:val="00AF1FC5"/>
    <w:rsid w:val="00AF219C"/>
    <w:rsid w:val="00AF2244"/>
    <w:rsid w:val="00AF2304"/>
    <w:rsid w:val="00AF2348"/>
    <w:rsid w:val="00AF2408"/>
    <w:rsid w:val="00AF2464"/>
    <w:rsid w:val="00AF25E7"/>
    <w:rsid w:val="00AF2611"/>
    <w:rsid w:val="00AF2645"/>
    <w:rsid w:val="00AF26FE"/>
    <w:rsid w:val="00AF27FF"/>
    <w:rsid w:val="00AF2937"/>
    <w:rsid w:val="00AF29E2"/>
    <w:rsid w:val="00AF2A09"/>
    <w:rsid w:val="00AF2A5F"/>
    <w:rsid w:val="00AF2A64"/>
    <w:rsid w:val="00AF2B70"/>
    <w:rsid w:val="00AF2B8E"/>
    <w:rsid w:val="00AF2BEC"/>
    <w:rsid w:val="00AF2C0C"/>
    <w:rsid w:val="00AF2C86"/>
    <w:rsid w:val="00AF2CA9"/>
    <w:rsid w:val="00AF2CE8"/>
    <w:rsid w:val="00AF2CFC"/>
    <w:rsid w:val="00AF2DE3"/>
    <w:rsid w:val="00AF2E4D"/>
    <w:rsid w:val="00AF2E87"/>
    <w:rsid w:val="00AF2F1F"/>
    <w:rsid w:val="00AF2FD3"/>
    <w:rsid w:val="00AF2FE0"/>
    <w:rsid w:val="00AF30BA"/>
    <w:rsid w:val="00AF3170"/>
    <w:rsid w:val="00AF31E1"/>
    <w:rsid w:val="00AF32BD"/>
    <w:rsid w:val="00AF32F1"/>
    <w:rsid w:val="00AF333A"/>
    <w:rsid w:val="00AF33D8"/>
    <w:rsid w:val="00AF345C"/>
    <w:rsid w:val="00AF34B8"/>
    <w:rsid w:val="00AF34FD"/>
    <w:rsid w:val="00AF350E"/>
    <w:rsid w:val="00AF3529"/>
    <w:rsid w:val="00AF353B"/>
    <w:rsid w:val="00AF3588"/>
    <w:rsid w:val="00AF35AE"/>
    <w:rsid w:val="00AF368F"/>
    <w:rsid w:val="00AF36D4"/>
    <w:rsid w:val="00AF36D9"/>
    <w:rsid w:val="00AF36EA"/>
    <w:rsid w:val="00AF3712"/>
    <w:rsid w:val="00AF3725"/>
    <w:rsid w:val="00AF37A4"/>
    <w:rsid w:val="00AF37FC"/>
    <w:rsid w:val="00AF3882"/>
    <w:rsid w:val="00AF396D"/>
    <w:rsid w:val="00AF396E"/>
    <w:rsid w:val="00AF39CC"/>
    <w:rsid w:val="00AF3ABB"/>
    <w:rsid w:val="00AF3AC5"/>
    <w:rsid w:val="00AF3B2C"/>
    <w:rsid w:val="00AF3BC6"/>
    <w:rsid w:val="00AF3C08"/>
    <w:rsid w:val="00AF3C4D"/>
    <w:rsid w:val="00AF3D2B"/>
    <w:rsid w:val="00AF3D9E"/>
    <w:rsid w:val="00AF3DCD"/>
    <w:rsid w:val="00AF3E5A"/>
    <w:rsid w:val="00AF3E94"/>
    <w:rsid w:val="00AF3F5F"/>
    <w:rsid w:val="00AF3FBB"/>
    <w:rsid w:val="00AF4094"/>
    <w:rsid w:val="00AF40A3"/>
    <w:rsid w:val="00AF4148"/>
    <w:rsid w:val="00AF41AC"/>
    <w:rsid w:val="00AF420E"/>
    <w:rsid w:val="00AF428A"/>
    <w:rsid w:val="00AF42BE"/>
    <w:rsid w:val="00AF42BF"/>
    <w:rsid w:val="00AF42CC"/>
    <w:rsid w:val="00AF4358"/>
    <w:rsid w:val="00AF43CC"/>
    <w:rsid w:val="00AF43D2"/>
    <w:rsid w:val="00AF43EA"/>
    <w:rsid w:val="00AF44D0"/>
    <w:rsid w:val="00AF455D"/>
    <w:rsid w:val="00AF467C"/>
    <w:rsid w:val="00AF46BD"/>
    <w:rsid w:val="00AF4746"/>
    <w:rsid w:val="00AF48F6"/>
    <w:rsid w:val="00AF49F8"/>
    <w:rsid w:val="00AF4BF3"/>
    <w:rsid w:val="00AF4C27"/>
    <w:rsid w:val="00AF4D71"/>
    <w:rsid w:val="00AF4DB3"/>
    <w:rsid w:val="00AF4DDD"/>
    <w:rsid w:val="00AF4DFE"/>
    <w:rsid w:val="00AF4F1F"/>
    <w:rsid w:val="00AF513C"/>
    <w:rsid w:val="00AF51BC"/>
    <w:rsid w:val="00AF5227"/>
    <w:rsid w:val="00AF5291"/>
    <w:rsid w:val="00AF52F3"/>
    <w:rsid w:val="00AF5305"/>
    <w:rsid w:val="00AF532F"/>
    <w:rsid w:val="00AF5346"/>
    <w:rsid w:val="00AF5369"/>
    <w:rsid w:val="00AF53E0"/>
    <w:rsid w:val="00AF54D9"/>
    <w:rsid w:val="00AF56AE"/>
    <w:rsid w:val="00AF5711"/>
    <w:rsid w:val="00AF5722"/>
    <w:rsid w:val="00AF574F"/>
    <w:rsid w:val="00AF5775"/>
    <w:rsid w:val="00AF57BF"/>
    <w:rsid w:val="00AF5874"/>
    <w:rsid w:val="00AF58C2"/>
    <w:rsid w:val="00AF58D4"/>
    <w:rsid w:val="00AF5910"/>
    <w:rsid w:val="00AF5929"/>
    <w:rsid w:val="00AF595C"/>
    <w:rsid w:val="00AF598A"/>
    <w:rsid w:val="00AF59B1"/>
    <w:rsid w:val="00AF59B4"/>
    <w:rsid w:val="00AF59D3"/>
    <w:rsid w:val="00AF59D5"/>
    <w:rsid w:val="00AF59E5"/>
    <w:rsid w:val="00AF5A33"/>
    <w:rsid w:val="00AF5A4C"/>
    <w:rsid w:val="00AF5A4F"/>
    <w:rsid w:val="00AF5AF7"/>
    <w:rsid w:val="00AF5B93"/>
    <w:rsid w:val="00AF5B9F"/>
    <w:rsid w:val="00AF5BE2"/>
    <w:rsid w:val="00AF5BE5"/>
    <w:rsid w:val="00AF5C1A"/>
    <w:rsid w:val="00AF5C23"/>
    <w:rsid w:val="00AF5C50"/>
    <w:rsid w:val="00AF5C7B"/>
    <w:rsid w:val="00AF5CB7"/>
    <w:rsid w:val="00AF5CC5"/>
    <w:rsid w:val="00AF5DB6"/>
    <w:rsid w:val="00AF5DCF"/>
    <w:rsid w:val="00AF5DFB"/>
    <w:rsid w:val="00AF5EE6"/>
    <w:rsid w:val="00AF5F4F"/>
    <w:rsid w:val="00AF5FC0"/>
    <w:rsid w:val="00AF60D7"/>
    <w:rsid w:val="00AF610F"/>
    <w:rsid w:val="00AF61AE"/>
    <w:rsid w:val="00AF6227"/>
    <w:rsid w:val="00AF625A"/>
    <w:rsid w:val="00AF6260"/>
    <w:rsid w:val="00AF64B2"/>
    <w:rsid w:val="00AF64FD"/>
    <w:rsid w:val="00AF651D"/>
    <w:rsid w:val="00AF6525"/>
    <w:rsid w:val="00AF65DB"/>
    <w:rsid w:val="00AF6602"/>
    <w:rsid w:val="00AF6639"/>
    <w:rsid w:val="00AF663F"/>
    <w:rsid w:val="00AF6642"/>
    <w:rsid w:val="00AF666B"/>
    <w:rsid w:val="00AF668B"/>
    <w:rsid w:val="00AF676F"/>
    <w:rsid w:val="00AF677A"/>
    <w:rsid w:val="00AF67BD"/>
    <w:rsid w:val="00AF67EC"/>
    <w:rsid w:val="00AF6A41"/>
    <w:rsid w:val="00AF6A94"/>
    <w:rsid w:val="00AF6AA2"/>
    <w:rsid w:val="00AF6AED"/>
    <w:rsid w:val="00AF6AF9"/>
    <w:rsid w:val="00AF6B0E"/>
    <w:rsid w:val="00AF6B84"/>
    <w:rsid w:val="00AF6BA6"/>
    <w:rsid w:val="00AF6DF8"/>
    <w:rsid w:val="00AF6E03"/>
    <w:rsid w:val="00AF6E95"/>
    <w:rsid w:val="00AF6F6C"/>
    <w:rsid w:val="00AF6F8A"/>
    <w:rsid w:val="00AF7019"/>
    <w:rsid w:val="00AF703D"/>
    <w:rsid w:val="00AF712A"/>
    <w:rsid w:val="00AF7203"/>
    <w:rsid w:val="00AF720C"/>
    <w:rsid w:val="00AF7236"/>
    <w:rsid w:val="00AF725C"/>
    <w:rsid w:val="00AF726E"/>
    <w:rsid w:val="00AF7294"/>
    <w:rsid w:val="00AF72AD"/>
    <w:rsid w:val="00AF72C8"/>
    <w:rsid w:val="00AF7316"/>
    <w:rsid w:val="00AF731D"/>
    <w:rsid w:val="00AF736E"/>
    <w:rsid w:val="00AF7371"/>
    <w:rsid w:val="00AF73CE"/>
    <w:rsid w:val="00AF741B"/>
    <w:rsid w:val="00AF751F"/>
    <w:rsid w:val="00AF7575"/>
    <w:rsid w:val="00AF75CA"/>
    <w:rsid w:val="00AF764D"/>
    <w:rsid w:val="00AF76C9"/>
    <w:rsid w:val="00AF76CF"/>
    <w:rsid w:val="00AF770A"/>
    <w:rsid w:val="00AF7765"/>
    <w:rsid w:val="00AF77FD"/>
    <w:rsid w:val="00AF7916"/>
    <w:rsid w:val="00AF7927"/>
    <w:rsid w:val="00AF79A2"/>
    <w:rsid w:val="00AF79DA"/>
    <w:rsid w:val="00AF7AB9"/>
    <w:rsid w:val="00AF7AED"/>
    <w:rsid w:val="00AF7AF8"/>
    <w:rsid w:val="00AF7BF7"/>
    <w:rsid w:val="00AF7C07"/>
    <w:rsid w:val="00AF7CAB"/>
    <w:rsid w:val="00AF7D5E"/>
    <w:rsid w:val="00AF7D60"/>
    <w:rsid w:val="00AF7DA1"/>
    <w:rsid w:val="00AF7DE5"/>
    <w:rsid w:val="00AF7E4B"/>
    <w:rsid w:val="00AF7F65"/>
    <w:rsid w:val="00AF7F7C"/>
    <w:rsid w:val="00AF7FCA"/>
    <w:rsid w:val="00AF7FF1"/>
    <w:rsid w:val="00AFF3A4"/>
    <w:rsid w:val="00B00014"/>
    <w:rsid w:val="00B00169"/>
    <w:rsid w:val="00B0026F"/>
    <w:rsid w:val="00B002DA"/>
    <w:rsid w:val="00B00336"/>
    <w:rsid w:val="00B0035A"/>
    <w:rsid w:val="00B004AA"/>
    <w:rsid w:val="00B0051C"/>
    <w:rsid w:val="00B00597"/>
    <w:rsid w:val="00B0059B"/>
    <w:rsid w:val="00B005A2"/>
    <w:rsid w:val="00B006CF"/>
    <w:rsid w:val="00B006D3"/>
    <w:rsid w:val="00B00720"/>
    <w:rsid w:val="00B0072C"/>
    <w:rsid w:val="00B00739"/>
    <w:rsid w:val="00B00742"/>
    <w:rsid w:val="00B00765"/>
    <w:rsid w:val="00B00773"/>
    <w:rsid w:val="00B0078B"/>
    <w:rsid w:val="00B007A9"/>
    <w:rsid w:val="00B0080D"/>
    <w:rsid w:val="00B0085C"/>
    <w:rsid w:val="00B008AA"/>
    <w:rsid w:val="00B009DC"/>
    <w:rsid w:val="00B00AA4"/>
    <w:rsid w:val="00B00BFA"/>
    <w:rsid w:val="00B00C0C"/>
    <w:rsid w:val="00B00C30"/>
    <w:rsid w:val="00B00C75"/>
    <w:rsid w:val="00B00CA9"/>
    <w:rsid w:val="00B00CD0"/>
    <w:rsid w:val="00B00D30"/>
    <w:rsid w:val="00B00D5F"/>
    <w:rsid w:val="00B00E10"/>
    <w:rsid w:val="00B00E13"/>
    <w:rsid w:val="00B00E31"/>
    <w:rsid w:val="00B00EF2"/>
    <w:rsid w:val="00B00F0B"/>
    <w:rsid w:val="00B00FBC"/>
    <w:rsid w:val="00B00FD2"/>
    <w:rsid w:val="00B00FF8"/>
    <w:rsid w:val="00B0120C"/>
    <w:rsid w:val="00B0121C"/>
    <w:rsid w:val="00B012A0"/>
    <w:rsid w:val="00B01312"/>
    <w:rsid w:val="00B013FD"/>
    <w:rsid w:val="00B014AD"/>
    <w:rsid w:val="00B014D9"/>
    <w:rsid w:val="00B01526"/>
    <w:rsid w:val="00B01574"/>
    <w:rsid w:val="00B015C2"/>
    <w:rsid w:val="00B015EF"/>
    <w:rsid w:val="00B01624"/>
    <w:rsid w:val="00B0167D"/>
    <w:rsid w:val="00B01749"/>
    <w:rsid w:val="00B0176A"/>
    <w:rsid w:val="00B017C5"/>
    <w:rsid w:val="00B01818"/>
    <w:rsid w:val="00B0184B"/>
    <w:rsid w:val="00B018C5"/>
    <w:rsid w:val="00B018FD"/>
    <w:rsid w:val="00B0190B"/>
    <w:rsid w:val="00B01978"/>
    <w:rsid w:val="00B01A18"/>
    <w:rsid w:val="00B01A32"/>
    <w:rsid w:val="00B01A85"/>
    <w:rsid w:val="00B01AAF"/>
    <w:rsid w:val="00B01B15"/>
    <w:rsid w:val="00B01B2B"/>
    <w:rsid w:val="00B01B9B"/>
    <w:rsid w:val="00B01C19"/>
    <w:rsid w:val="00B01C32"/>
    <w:rsid w:val="00B01C8E"/>
    <w:rsid w:val="00B01CBB"/>
    <w:rsid w:val="00B01CDE"/>
    <w:rsid w:val="00B01D26"/>
    <w:rsid w:val="00B01D42"/>
    <w:rsid w:val="00B01D55"/>
    <w:rsid w:val="00B01DF9"/>
    <w:rsid w:val="00B01E3E"/>
    <w:rsid w:val="00B01E46"/>
    <w:rsid w:val="00B01EAB"/>
    <w:rsid w:val="00B01EFB"/>
    <w:rsid w:val="00B01FE4"/>
    <w:rsid w:val="00B0209B"/>
    <w:rsid w:val="00B020DA"/>
    <w:rsid w:val="00B0210F"/>
    <w:rsid w:val="00B02213"/>
    <w:rsid w:val="00B02214"/>
    <w:rsid w:val="00B022D7"/>
    <w:rsid w:val="00B02325"/>
    <w:rsid w:val="00B02337"/>
    <w:rsid w:val="00B023C5"/>
    <w:rsid w:val="00B023D7"/>
    <w:rsid w:val="00B02400"/>
    <w:rsid w:val="00B024CB"/>
    <w:rsid w:val="00B02532"/>
    <w:rsid w:val="00B02594"/>
    <w:rsid w:val="00B025F5"/>
    <w:rsid w:val="00B0266D"/>
    <w:rsid w:val="00B02714"/>
    <w:rsid w:val="00B02767"/>
    <w:rsid w:val="00B027EB"/>
    <w:rsid w:val="00B02817"/>
    <w:rsid w:val="00B0285A"/>
    <w:rsid w:val="00B0293E"/>
    <w:rsid w:val="00B02977"/>
    <w:rsid w:val="00B029BA"/>
    <w:rsid w:val="00B02A1B"/>
    <w:rsid w:val="00B02BE1"/>
    <w:rsid w:val="00B02C1B"/>
    <w:rsid w:val="00B02C44"/>
    <w:rsid w:val="00B02C5C"/>
    <w:rsid w:val="00B02C62"/>
    <w:rsid w:val="00B02C95"/>
    <w:rsid w:val="00B02C9C"/>
    <w:rsid w:val="00B02CE5"/>
    <w:rsid w:val="00B02E4F"/>
    <w:rsid w:val="00B02E57"/>
    <w:rsid w:val="00B02EA9"/>
    <w:rsid w:val="00B02F2A"/>
    <w:rsid w:val="00B02F2E"/>
    <w:rsid w:val="00B02FD1"/>
    <w:rsid w:val="00B03023"/>
    <w:rsid w:val="00B03141"/>
    <w:rsid w:val="00B03166"/>
    <w:rsid w:val="00B03210"/>
    <w:rsid w:val="00B0328B"/>
    <w:rsid w:val="00B03320"/>
    <w:rsid w:val="00B03349"/>
    <w:rsid w:val="00B0335B"/>
    <w:rsid w:val="00B0337C"/>
    <w:rsid w:val="00B03423"/>
    <w:rsid w:val="00B03429"/>
    <w:rsid w:val="00B03475"/>
    <w:rsid w:val="00B0352A"/>
    <w:rsid w:val="00B03538"/>
    <w:rsid w:val="00B0354F"/>
    <w:rsid w:val="00B03570"/>
    <w:rsid w:val="00B03593"/>
    <w:rsid w:val="00B03595"/>
    <w:rsid w:val="00B035B2"/>
    <w:rsid w:val="00B036A7"/>
    <w:rsid w:val="00B036B3"/>
    <w:rsid w:val="00B036E2"/>
    <w:rsid w:val="00B036F2"/>
    <w:rsid w:val="00B03747"/>
    <w:rsid w:val="00B03784"/>
    <w:rsid w:val="00B037F6"/>
    <w:rsid w:val="00B038AB"/>
    <w:rsid w:val="00B038F2"/>
    <w:rsid w:val="00B03ACE"/>
    <w:rsid w:val="00B03ADD"/>
    <w:rsid w:val="00B03B09"/>
    <w:rsid w:val="00B03BD6"/>
    <w:rsid w:val="00B03C0F"/>
    <w:rsid w:val="00B03C19"/>
    <w:rsid w:val="00B03C1C"/>
    <w:rsid w:val="00B03C2D"/>
    <w:rsid w:val="00B03CD6"/>
    <w:rsid w:val="00B03D1D"/>
    <w:rsid w:val="00B03DAC"/>
    <w:rsid w:val="00B03DE0"/>
    <w:rsid w:val="00B03E5F"/>
    <w:rsid w:val="00B03F4A"/>
    <w:rsid w:val="00B03F50"/>
    <w:rsid w:val="00B03F6F"/>
    <w:rsid w:val="00B0400C"/>
    <w:rsid w:val="00B0412F"/>
    <w:rsid w:val="00B041C2"/>
    <w:rsid w:val="00B0425B"/>
    <w:rsid w:val="00B04263"/>
    <w:rsid w:val="00B042AB"/>
    <w:rsid w:val="00B042ED"/>
    <w:rsid w:val="00B0438E"/>
    <w:rsid w:val="00B043CC"/>
    <w:rsid w:val="00B043E6"/>
    <w:rsid w:val="00B0440F"/>
    <w:rsid w:val="00B04533"/>
    <w:rsid w:val="00B04565"/>
    <w:rsid w:val="00B0456D"/>
    <w:rsid w:val="00B04573"/>
    <w:rsid w:val="00B045BA"/>
    <w:rsid w:val="00B04648"/>
    <w:rsid w:val="00B04649"/>
    <w:rsid w:val="00B0465B"/>
    <w:rsid w:val="00B046BA"/>
    <w:rsid w:val="00B04715"/>
    <w:rsid w:val="00B04756"/>
    <w:rsid w:val="00B047C7"/>
    <w:rsid w:val="00B04825"/>
    <w:rsid w:val="00B0483B"/>
    <w:rsid w:val="00B0484B"/>
    <w:rsid w:val="00B048EC"/>
    <w:rsid w:val="00B049A0"/>
    <w:rsid w:val="00B049AA"/>
    <w:rsid w:val="00B04A5F"/>
    <w:rsid w:val="00B04AA4"/>
    <w:rsid w:val="00B04B04"/>
    <w:rsid w:val="00B04B08"/>
    <w:rsid w:val="00B04B23"/>
    <w:rsid w:val="00B04B52"/>
    <w:rsid w:val="00B04B9C"/>
    <w:rsid w:val="00B04BAB"/>
    <w:rsid w:val="00B04C06"/>
    <w:rsid w:val="00B04C24"/>
    <w:rsid w:val="00B04C37"/>
    <w:rsid w:val="00B04CAC"/>
    <w:rsid w:val="00B04D99"/>
    <w:rsid w:val="00B04E03"/>
    <w:rsid w:val="00B04F64"/>
    <w:rsid w:val="00B04FBE"/>
    <w:rsid w:val="00B04FCA"/>
    <w:rsid w:val="00B051C1"/>
    <w:rsid w:val="00B051F1"/>
    <w:rsid w:val="00B05274"/>
    <w:rsid w:val="00B05280"/>
    <w:rsid w:val="00B0530A"/>
    <w:rsid w:val="00B0548B"/>
    <w:rsid w:val="00B054BB"/>
    <w:rsid w:val="00B05591"/>
    <w:rsid w:val="00B055C3"/>
    <w:rsid w:val="00B055DC"/>
    <w:rsid w:val="00B05603"/>
    <w:rsid w:val="00B05605"/>
    <w:rsid w:val="00B0560C"/>
    <w:rsid w:val="00B0561C"/>
    <w:rsid w:val="00B0562D"/>
    <w:rsid w:val="00B05652"/>
    <w:rsid w:val="00B05693"/>
    <w:rsid w:val="00B0569A"/>
    <w:rsid w:val="00B056FE"/>
    <w:rsid w:val="00B058FF"/>
    <w:rsid w:val="00B05972"/>
    <w:rsid w:val="00B05A3C"/>
    <w:rsid w:val="00B05A8B"/>
    <w:rsid w:val="00B05A9F"/>
    <w:rsid w:val="00B05C23"/>
    <w:rsid w:val="00B05C3F"/>
    <w:rsid w:val="00B05C82"/>
    <w:rsid w:val="00B05C91"/>
    <w:rsid w:val="00B05C9D"/>
    <w:rsid w:val="00B05DB6"/>
    <w:rsid w:val="00B05DBF"/>
    <w:rsid w:val="00B05DEC"/>
    <w:rsid w:val="00B05E4B"/>
    <w:rsid w:val="00B05F4C"/>
    <w:rsid w:val="00B05F7D"/>
    <w:rsid w:val="00B06105"/>
    <w:rsid w:val="00B0611C"/>
    <w:rsid w:val="00B06153"/>
    <w:rsid w:val="00B06161"/>
    <w:rsid w:val="00B061BC"/>
    <w:rsid w:val="00B06230"/>
    <w:rsid w:val="00B06235"/>
    <w:rsid w:val="00B0626E"/>
    <w:rsid w:val="00B062CD"/>
    <w:rsid w:val="00B06307"/>
    <w:rsid w:val="00B06356"/>
    <w:rsid w:val="00B063C9"/>
    <w:rsid w:val="00B06405"/>
    <w:rsid w:val="00B06462"/>
    <w:rsid w:val="00B0646E"/>
    <w:rsid w:val="00B064F3"/>
    <w:rsid w:val="00B0653D"/>
    <w:rsid w:val="00B06552"/>
    <w:rsid w:val="00B065BF"/>
    <w:rsid w:val="00B06649"/>
    <w:rsid w:val="00B06729"/>
    <w:rsid w:val="00B06737"/>
    <w:rsid w:val="00B067CD"/>
    <w:rsid w:val="00B068AD"/>
    <w:rsid w:val="00B068CB"/>
    <w:rsid w:val="00B0691C"/>
    <w:rsid w:val="00B069CD"/>
    <w:rsid w:val="00B06A2D"/>
    <w:rsid w:val="00B06A8C"/>
    <w:rsid w:val="00B06B09"/>
    <w:rsid w:val="00B06B20"/>
    <w:rsid w:val="00B06B9F"/>
    <w:rsid w:val="00B06BEF"/>
    <w:rsid w:val="00B06CC3"/>
    <w:rsid w:val="00B06D0D"/>
    <w:rsid w:val="00B06D7F"/>
    <w:rsid w:val="00B06DA1"/>
    <w:rsid w:val="00B06DE8"/>
    <w:rsid w:val="00B06DEC"/>
    <w:rsid w:val="00B06E04"/>
    <w:rsid w:val="00B06E33"/>
    <w:rsid w:val="00B06E58"/>
    <w:rsid w:val="00B06E88"/>
    <w:rsid w:val="00B06F13"/>
    <w:rsid w:val="00B06F49"/>
    <w:rsid w:val="00B06F88"/>
    <w:rsid w:val="00B07021"/>
    <w:rsid w:val="00B0708A"/>
    <w:rsid w:val="00B07128"/>
    <w:rsid w:val="00B071F4"/>
    <w:rsid w:val="00B071F9"/>
    <w:rsid w:val="00B07229"/>
    <w:rsid w:val="00B07246"/>
    <w:rsid w:val="00B07293"/>
    <w:rsid w:val="00B07344"/>
    <w:rsid w:val="00B07470"/>
    <w:rsid w:val="00B0752E"/>
    <w:rsid w:val="00B07552"/>
    <w:rsid w:val="00B0757B"/>
    <w:rsid w:val="00B07631"/>
    <w:rsid w:val="00B0776A"/>
    <w:rsid w:val="00B0784B"/>
    <w:rsid w:val="00B078A7"/>
    <w:rsid w:val="00B07948"/>
    <w:rsid w:val="00B07A49"/>
    <w:rsid w:val="00B07A85"/>
    <w:rsid w:val="00B07ACB"/>
    <w:rsid w:val="00B07AF2"/>
    <w:rsid w:val="00B07B0B"/>
    <w:rsid w:val="00B07B2A"/>
    <w:rsid w:val="00B07BD0"/>
    <w:rsid w:val="00B07BD2"/>
    <w:rsid w:val="00B07C1E"/>
    <w:rsid w:val="00B07C57"/>
    <w:rsid w:val="00B07D30"/>
    <w:rsid w:val="00B07D9F"/>
    <w:rsid w:val="00B07DB2"/>
    <w:rsid w:val="00B07DC8"/>
    <w:rsid w:val="00B07E10"/>
    <w:rsid w:val="00B07F4E"/>
    <w:rsid w:val="00B07F61"/>
    <w:rsid w:val="00B10081"/>
    <w:rsid w:val="00B100FD"/>
    <w:rsid w:val="00B10143"/>
    <w:rsid w:val="00B101CD"/>
    <w:rsid w:val="00B10241"/>
    <w:rsid w:val="00B104A3"/>
    <w:rsid w:val="00B1056A"/>
    <w:rsid w:val="00B1058C"/>
    <w:rsid w:val="00B10595"/>
    <w:rsid w:val="00B106DA"/>
    <w:rsid w:val="00B1072F"/>
    <w:rsid w:val="00B1076C"/>
    <w:rsid w:val="00B107AF"/>
    <w:rsid w:val="00B10846"/>
    <w:rsid w:val="00B1098B"/>
    <w:rsid w:val="00B109BD"/>
    <w:rsid w:val="00B10AEB"/>
    <w:rsid w:val="00B10B72"/>
    <w:rsid w:val="00B10BC6"/>
    <w:rsid w:val="00B10C39"/>
    <w:rsid w:val="00B10CF1"/>
    <w:rsid w:val="00B10D21"/>
    <w:rsid w:val="00B10D3F"/>
    <w:rsid w:val="00B10D78"/>
    <w:rsid w:val="00B10E0A"/>
    <w:rsid w:val="00B10E28"/>
    <w:rsid w:val="00B10E2E"/>
    <w:rsid w:val="00B10E4D"/>
    <w:rsid w:val="00B10EBB"/>
    <w:rsid w:val="00B110BA"/>
    <w:rsid w:val="00B110D2"/>
    <w:rsid w:val="00B110E2"/>
    <w:rsid w:val="00B11182"/>
    <w:rsid w:val="00B1121E"/>
    <w:rsid w:val="00B112BD"/>
    <w:rsid w:val="00B1139D"/>
    <w:rsid w:val="00B1143F"/>
    <w:rsid w:val="00B11478"/>
    <w:rsid w:val="00B114AB"/>
    <w:rsid w:val="00B114DD"/>
    <w:rsid w:val="00B114DF"/>
    <w:rsid w:val="00B11520"/>
    <w:rsid w:val="00B11555"/>
    <w:rsid w:val="00B1155F"/>
    <w:rsid w:val="00B1158C"/>
    <w:rsid w:val="00B115F0"/>
    <w:rsid w:val="00B1160C"/>
    <w:rsid w:val="00B11684"/>
    <w:rsid w:val="00B11942"/>
    <w:rsid w:val="00B11961"/>
    <w:rsid w:val="00B1197A"/>
    <w:rsid w:val="00B119AC"/>
    <w:rsid w:val="00B119E1"/>
    <w:rsid w:val="00B11A8B"/>
    <w:rsid w:val="00B11AAC"/>
    <w:rsid w:val="00B11B0E"/>
    <w:rsid w:val="00B11B33"/>
    <w:rsid w:val="00B11B40"/>
    <w:rsid w:val="00B11C14"/>
    <w:rsid w:val="00B11CA6"/>
    <w:rsid w:val="00B11CC9"/>
    <w:rsid w:val="00B11D88"/>
    <w:rsid w:val="00B11DBB"/>
    <w:rsid w:val="00B11E20"/>
    <w:rsid w:val="00B11E29"/>
    <w:rsid w:val="00B11E37"/>
    <w:rsid w:val="00B11E46"/>
    <w:rsid w:val="00B11E8C"/>
    <w:rsid w:val="00B11ED5"/>
    <w:rsid w:val="00B11EE9"/>
    <w:rsid w:val="00B11F21"/>
    <w:rsid w:val="00B11F47"/>
    <w:rsid w:val="00B11F7A"/>
    <w:rsid w:val="00B12011"/>
    <w:rsid w:val="00B120B8"/>
    <w:rsid w:val="00B1211D"/>
    <w:rsid w:val="00B1215A"/>
    <w:rsid w:val="00B12247"/>
    <w:rsid w:val="00B122C4"/>
    <w:rsid w:val="00B124A9"/>
    <w:rsid w:val="00B124E7"/>
    <w:rsid w:val="00B125CE"/>
    <w:rsid w:val="00B12625"/>
    <w:rsid w:val="00B12641"/>
    <w:rsid w:val="00B12771"/>
    <w:rsid w:val="00B1286B"/>
    <w:rsid w:val="00B12876"/>
    <w:rsid w:val="00B12893"/>
    <w:rsid w:val="00B128A5"/>
    <w:rsid w:val="00B128E1"/>
    <w:rsid w:val="00B1297E"/>
    <w:rsid w:val="00B12A2D"/>
    <w:rsid w:val="00B12A9B"/>
    <w:rsid w:val="00B12B00"/>
    <w:rsid w:val="00B12BCF"/>
    <w:rsid w:val="00B12CA0"/>
    <w:rsid w:val="00B12D7C"/>
    <w:rsid w:val="00B12EA8"/>
    <w:rsid w:val="00B12EDE"/>
    <w:rsid w:val="00B12EEE"/>
    <w:rsid w:val="00B12F5B"/>
    <w:rsid w:val="00B12F67"/>
    <w:rsid w:val="00B12F6B"/>
    <w:rsid w:val="00B12F98"/>
    <w:rsid w:val="00B12FA8"/>
    <w:rsid w:val="00B13017"/>
    <w:rsid w:val="00B13028"/>
    <w:rsid w:val="00B1304F"/>
    <w:rsid w:val="00B13079"/>
    <w:rsid w:val="00B130BF"/>
    <w:rsid w:val="00B131C5"/>
    <w:rsid w:val="00B131D2"/>
    <w:rsid w:val="00B131ED"/>
    <w:rsid w:val="00B13272"/>
    <w:rsid w:val="00B1327B"/>
    <w:rsid w:val="00B1329A"/>
    <w:rsid w:val="00B133CF"/>
    <w:rsid w:val="00B134A1"/>
    <w:rsid w:val="00B134D8"/>
    <w:rsid w:val="00B1352D"/>
    <w:rsid w:val="00B13580"/>
    <w:rsid w:val="00B135D9"/>
    <w:rsid w:val="00B1372C"/>
    <w:rsid w:val="00B1373C"/>
    <w:rsid w:val="00B13762"/>
    <w:rsid w:val="00B13815"/>
    <w:rsid w:val="00B13839"/>
    <w:rsid w:val="00B13957"/>
    <w:rsid w:val="00B13963"/>
    <w:rsid w:val="00B139D9"/>
    <w:rsid w:val="00B13A14"/>
    <w:rsid w:val="00B13B4F"/>
    <w:rsid w:val="00B13B56"/>
    <w:rsid w:val="00B13CF4"/>
    <w:rsid w:val="00B13D18"/>
    <w:rsid w:val="00B13D3C"/>
    <w:rsid w:val="00B13D6F"/>
    <w:rsid w:val="00B13E4E"/>
    <w:rsid w:val="00B13ED4"/>
    <w:rsid w:val="00B13F5F"/>
    <w:rsid w:val="00B13F72"/>
    <w:rsid w:val="00B13FAA"/>
    <w:rsid w:val="00B13FFE"/>
    <w:rsid w:val="00B140F9"/>
    <w:rsid w:val="00B14101"/>
    <w:rsid w:val="00B14127"/>
    <w:rsid w:val="00B14183"/>
    <w:rsid w:val="00B14284"/>
    <w:rsid w:val="00B142DD"/>
    <w:rsid w:val="00B142F6"/>
    <w:rsid w:val="00B1432D"/>
    <w:rsid w:val="00B1434B"/>
    <w:rsid w:val="00B14369"/>
    <w:rsid w:val="00B14388"/>
    <w:rsid w:val="00B143BE"/>
    <w:rsid w:val="00B143DE"/>
    <w:rsid w:val="00B14488"/>
    <w:rsid w:val="00B144A2"/>
    <w:rsid w:val="00B1453F"/>
    <w:rsid w:val="00B14638"/>
    <w:rsid w:val="00B1463E"/>
    <w:rsid w:val="00B14689"/>
    <w:rsid w:val="00B146CC"/>
    <w:rsid w:val="00B146E9"/>
    <w:rsid w:val="00B14756"/>
    <w:rsid w:val="00B147DB"/>
    <w:rsid w:val="00B1481D"/>
    <w:rsid w:val="00B148AE"/>
    <w:rsid w:val="00B14943"/>
    <w:rsid w:val="00B149A5"/>
    <w:rsid w:val="00B149A9"/>
    <w:rsid w:val="00B14A0C"/>
    <w:rsid w:val="00B14A7E"/>
    <w:rsid w:val="00B14AB4"/>
    <w:rsid w:val="00B14AB8"/>
    <w:rsid w:val="00B14BA3"/>
    <w:rsid w:val="00B14C88"/>
    <w:rsid w:val="00B14C8D"/>
    <w:rsid w:val="00B14D3F"/>
    <w:rsid w:val="00B14DE0"/>
    <w:rsid w:val="00B14E25"/>
    <w:rsid w:val="00B14E96"/>
    <w:rsid w:val="00B14EAA"/>
    <w:rsid w:val="00B14EED"/>
    <w:rsid w:val="00B14F2A"/>
    <w:rsid w:val="00B14F69"/>
    <w:rsid w:val="00B1501E"/>
    <w:rsid w:val="00B1508E"/>
    <w:rsid w:val="00B150EE"/>
    <w:rsid w:val="00B15131"/>
    <w:rsid w:val="00B15181"/>
    <w:rsid w:val="00B1521B"/>
    <w:rsid w:val="00B15284"/>
    <w:rsid w:val="00B152D6"/>
    <w:rsid w:val="00B153A8"/>
    <w:rsid w:val="00B153BF"/>
    <w:rsid w:val="00B155A5"/>
    <w:rsid w:val="00B155A7"/>
    <w:rsid w:val="00B1564B"/>
    <w:rsid w:val="00B15666"/>
    <w:rsid w:val="00B156D4"/>
    <w:rsid w:val="00B1573F"/>
    <w:rsid w:val="00B1587D"/>
    <w:rsid w:val="00B159AD"/>
    <w:rsid w:val="00B159BF"/>
    <w:rsid w:val="00B159F7"/>
    <w:rsid w:val="00B15ABA"/>
    <w:rsid w:val="00B15AE3"/>
    <w:rsid w:val="00B15AEC"/>
    <w:rsid w:val="00B15B3A"/>
    <w:rsid w:val="00B15C8E"/>
    <w:rsid w:val="00B15CEE"/>
    <w:rsid w:val="00B15D10"/>
    <w:rsid w:val="00B15D8C"/>
    <w:rsid w:val="00B15DA0"/>
    <w:rsid w:val="00B15DC6"/>
    <w:rsid w:val="00B15E37"/>
    <w:rsid w:val="00B15F11"/>
    <w:rsid w:val="00B15F6E"/>
    <w:rsid w:val="00B15F93"/>
    <w:rsid w:val="00B16039"/>
    <w:rsid w:val="00B160F7"/>
    <w:rsid w:val="00B16163"/>
    <w:rsid w:val="00B161A1"/>
    <w:rsid w:val="00B161DA"/>
    <w:rsid w:val="00B161E4"/>
    <w:rsid w:val="00B16222"/>
    <w:rsid w:val="00B16236"/>
    <w:rsid w:val="00B1624E"/>
    <w:rsid w:val="00B16253"/>
    <w:rsid w:val="00B16264"/>
    <w:rsid w:val="00B1629F"/>
    <w:rsid w:val="00B16358"/>
    <w:rsid w:val="00B1637A"/>
    <w:rsid w:val="00B1640B"/>
    <w:rsid w:val="00B164D0"/>
    <w:rsid w:val="00B164DF"/>
    <w:rsid w:val="00B16503"/>
    <w:rsid w:val="00B16517"/>
    <w:rsid w:val="00B16543"/>
    <w:rsid w:val="00B1654B"/>
    <w:rsid w:val="00B16588"/>
    <w:rsid w:val="00B165B1"/>
    <w:rsid w:val="00B16682"/>
    <w:rsid w:val="00B1679C"/>
    <w:rsid w:val="00B167AE"/>
    <w:rsid w:val="00B167C1"/>
    <w:rsid w:val="00B167FA"/>
    <w:rsid w:val="00B16826"/>
    <w:rsid w:val="00B16839"/>
    <w:rsid w:val="00B16867"/>
    <w:rsid w:val="00B16921"/>
    <w:rsid w:val="00B169C4"/>
    <w:rsid w:val="00B169F4"/>
    <w:rsid w:val="00B16A22"/>
    <w:rsid w:val="00B16A53"/>
    <w:rsid w:val="00B16A69"/>
    <w:rsid w:val="00B16BCE"/>
    <w:rsid w:val="00B16C40"/>
    <w:rsid w:val="00B16CCC"/>
    <w:rsid w:val="00B16D39"/>
    <w:rsid w:val="00B16E2F"/>
    <w:rsid w:val="00B16EBA"/>
    <w:rsid w:val="00B16EDA"/>
    <w:rsid w:val="00B16F1D"/>
    <w:rsid w:val="00B16F2A"/>
    <w:rsid w:val="00B16F3F"/>
    <w:rsid w:val="00B16F96"/>
    <w:rsid w:val="00B16FD5"/>
    <w:rsid w:val="00B1703D"/>
    <w:rsid w:val="00B17087"/>
    <w:rsid w:val="00B1708F"/>
    <w:rsid w:val="00B17096"/>
    <w:rsid w:val="00B170DF"/>
    <w:rsid w:val="00B1715B"/>
    <w:rsid w:val="00B17415"/>
    <w:rsid w:val="00B17564"/>
    <w:rsid w:val="00B1758D"/>
    <w:rsid w:val="00B175D8"/>
    <w:rsid w:val="00B175FD"/>
    <w:rsid w:val="00B17613"/>
    <w:rsid w:val="00B17634"/>
    <w:rsid w:val="00B17677"/>
    <w:rsid w:val="00B17685"/>
    <w:rsid w:val="00B1776F"/>
    <w:rsid w:val="00B17776"/>
    <w:rsid w:val="00B17794"/>
    <w:rsid w:val="00B177A0"/>
    <w:rsid w:val="00B177A3"/>
    <w:rsid w:val="00B177C1"/>
    <w:rsid w:val="00B177E9"/>
    <w:rsid w:val="00B1780A"/>
    <w:rsid w:val="00B17824"/>
    <w:rsid w:val="00B1787F"/>
    <w:rsid w:val="00B178C0"/>
    <w:rsid w:val="00B17973"/>
    <w:rsid w:val="00B17A03"/>
    <w:rsid w:val="00B17A93"/>
    <w:rsid w:val="00B17AB2"/>
    <w:rsid w:val="00B17B1B"/>
    <w:rsid w:val="00B17B75"/>
    <w:rsid w:val="00B17BF2"/>
    <w:rsid w:val="00B17CA4"/>
    <w:rsid w:val="00B17D79"/>
    <w:rsid w:val="00B17DAE"/>
    <w:rsid w:val="00B17F84"/>
    <w:rsid w:val="00B200AA"/>
    <w:rsid w:val="00B2012F"/>
    <w:rsid w:val="00B201C1"/>
    <w:rsid w:val="00B201E6"/>
    <w:rsid w:val="00B202EA"/>
    <w:rsid w:val="00B2036D"/>
    <w:rsid w:val="00B203E4"/>
    <w:rsid w:val="00B20457"/>
    <w:rsid w:val="00B20499"/>
    <w:rsid w:val="00B204E3"/>
    <w:rsid w:val="00B205D2"/>
    <w:rsid w:val="00B205D9"/>
    <w:rsid w:val="00B20665"/>
    <w:rsid w:val="00B20679"/>
    <w:rsid w:val="00B20688"/>
    <w:rsid w:val="00B206C9"/>
    <w:rsid w:val="00B2077C"/>
    <w:rsid w:val="00B2078B"/>
    <w:rsid w:val="00B207B5"/>
    <w:rsid w:val="00B207D9"/>
    <w:rsid w:val="00B20832"/>
    <w:rsid w:val="00B20833"/>
    <w:rsid w:val="00B208FA"/>
    <w:rsid w:val="00B209C4"/>
    <w:rsid w:val="00B20A56"/>
    <w:rsid w:val="00B20A9F"/>
    <w:rsid w:val="00B20AA6"/>
    <w:rsid w:val="00B20AD4"/>
    <w:rsid w:val="00B20CFA"/>
    <w:rsid w:val="00B20D81"/>
    <w:rsid w:val="00B20EA3"/>
    <w:rsid w:val="00B20F26"/>
    <w:rsid w:val="00B20F7D"/>
    <w:rsid w:val="00B20FEA"/>
    <w:rsid w:val="00B2105F"/>
    <w:rsid w:val="00B210AE"/>
    <w:rsid w:val="00B210E0"/>
    <w:rsid w:val="00B210F4"/>
    <w:rsid w:val="00B21129"/>
    <w:rsid w:val="00B2114F"/>
    <w:rsid w:val="00B2116E"/>
    <w:rsid w:val="00B211DE"/>
    <w:rsid w:val="00B21413"/>
    <w:rsid w:val="00B2150B"/>
    <w:rsid w:val="00B2163F"/>
    <w:rsid w:val="00B21708"/>
    <w:rsid w:val="00B2176F"/>
    <w:rsid w:val="00B2177B"/>
    <w:rsid w:val="00B21787"/>
    <w:rsid w:val="00B21815"/>
    <w:rsid w:val="00B21885"/>
    <w:rsid w:val="00B218ED"/>
    <w:rsid w:val="00B21952"/>
    <w:rsid w:val="00B21A02"/>
    <w:rsid w:val="00B21B34"/>
    <w:rsid w:val="00B21BBB"/>
    <w:rsid w:val="00B21BE4"/>
    <w:rsid w:val="00B21BF7"/>
    <w:rsid w:val="00B21C1E"/>
    <w:rsid w:val="00B21CD2"/>
    <w:rsid w:val="00B21D30"/>
    <w:rsid w:val="00B21D86"/>
    <w:rsid w:val="00B21E0A"/>
    <w:rsid w:val="00B21F47"/>
    <w:rsid w:val="00B21FE6"/>
    <w:rsid w:val="00B21FEF"/>
    <w:rsid w:val="00B2202D"/>
    <w:rsid w:val="00B22045"/>
    <w:rsid w:val="00B2204B"/>
    <w:rsid w:val="00B22106"/>
    <w:rsid w:val="00B221AD"/>
    <w:rsid w:val="00B2225E"/>
    <w:rsid w:val="00B222D8"/>
    <w:rsid w:val="00B2239F"/>
    <w:rsid w:val="00B22416"/>
    <w:rsid w:val="00B2246E"/>
    <w:rsid w:val="00B225AD"/>
    <w:rsid w:val="00B225BF"/>
    <w:rsid w:val="00B225C6"/>
    <w:rsid w:val="00B225F1"/>
    <w:rsid w:val="00B22811"/>
    <w:rsid w:val="00B2281D"/>
    <w:rsid w:val="00B22879"/>
    <w:rsid w:val="00B2289A"/>
    <w:rsid w:val="00B228CF"/>
    <w:rsid w:val="00B22976"/>
    <w:rsid w:val="00B229C8"/>
    <w:rsid w:val="00B22AB1"/>
    <w:rsid w:val="00B22B36"/>
    <w:rsid w:val="00B22B4F"/>
    <w:rsid w:val="00B22BAB"/>
    <w:rsid w:val="00B22BDA"/>
    <w:rsid w:val="00B22CD5"/>
    <w:rsid w:val="00B22CD7"/>
    <w:rsid w:val="00B22D4C"/>
    <w:rsid w:val="00B22D5B"/>
    <w:rsid w:val="00B22D67"/>
    <w:rsid w:val="00B22D76"/>
    <w:rsid w:val="00B22E49"/>
    <w:rsid w:val="00B22E7F"/>
    <w:rsid w:val="00B22EAF"/>
    <w:rsid w:val="00B22F70"/>
    <w:rsid w:val="00B22FB2"/>
    <w:rsid w:val="00B22FD9"/>
    <w:rsid w:val="00B23028"/>
    <w:rsid w:val="00B23092"/>
    <w:rsid w:val="00B23095"/>
    <w:rsid w:val="00B230ED"/>
    <w:rsid w:val="00B230F4"/>
    <w:rsid w:val="00B23240"/>
    <w:rsid w:val="00B23242"/>
    <w:rsid w:val="00B23288"/>
    <w:rsid w:val="00B233F1"/>
    <w:rsid w:val="00B23443"/>
    <w:rsid w:val="00B2347F"/>
    <w:rsid w:val="00B2349E"/>
    <w:rsid w:val="00B234A6"/>
    <w:rsid w:val="00B234E6"/>
    <w:rsid w:val="00B234EB"/>
    <w:rsid w:val="00B2350B"/>
    <w:rsid w:val="00B2350C"/>
    <w:rsid w:val="00B2357C"/>
    <w:rsid w:val="00B23601"/>
    <w:rsid w:val="00B23621"/>
    <w:rsid w:val="00B2363A"/>
    <w:rsid w:val="00B2363F"/>
    <w:rsid w:val="00B23679"/>
    <w:rsid w:val="00B236BB"/>
    <w:rsid w:val="00B236C1"/>
    <w:rsid w:val="00B236F0"/>
    <w:rsid w:val="00B2371A"/>
    <w:rsid w:val="00B23749"/>
    <w:rsid w:val="00B23828"/>
    <w:rsid w:val="00B23829"/>
    <w:rsid w:val="00B23847"/>
    <w:rsid w:val="00B2386A"/>
    <w:rsid w:val="00B23896"/>
    <w:rsid w:val="00B239EE"/>
    <w:rsid w:val="00B23A01"/>
    <w:rsid w:val="00B23A55"/>
    <w:rsid w:val="00B23A84"/>
    <w:rsid w:val="00B23A8A"/>
    <w:rsid w:val="00B23AF1"/>
    <w:rsid w:val="00B23BD5"/>
    <w:rsid w:val="00B23C09"/>
    <w:rsid w:val="00B23D6A"/>
    <w:rsid w:val="00B23F21"/>
    <w:rsid w:val="00B23F50"/>
    <w:rsid w:val="00B2407A"/>
    <w:rsid w:val="00B240CC"/>
    <w:rsid w:val="00B240DA"/>
    <w:rsid w:val="00B24127"/>
    <w:rsid w:val="00B24157"/>
    <w:rsid w:val="00B2419D"/>
    <w:rsid w:val="00B2419E"/>
    <w:rsid w:val="00B241CD"/>
    <w:rsid w:val="00B241DF"/>
    <w:rsid w:val="00B241EE"/>
    <w:rsid w:val="00B2420D"/>
    <w:rsid w:val="00B2420F"/>
    <w:rsid w:val="00B24263"/>
    <w:rsid w:val="00B24307"/>
    <w:rsid w:val="00B24377"/>
    <w:rsid w:val="00B243FF"/>
    <w:rsid w:val="00B24484"/>
    <w:rsid w:val="00B244F3"/>
    <w:rsid w:val="00B2450C"/>
    <w:rsid w:val="00B245D9"/>
    <w:rsid w:val="00B24676"/>
    <w:rsid w:val="00B246BB"/>
    <w:rsid w:val="00B24761"/>
    <w:rsid w:val="00B2476B"/>
    <w:rsid w:val="00B2478A"/>
    <w:rsid w:val="00B247BE"/>
    <w:rsid w:val="00B247E1"/>
    <w:rsid w:val="00B2487F"/>
    <w:rsid w:val="00B248C9"/>
    <w:rsid w:val="00B2491D"/>
    <w:rsid w:val="00B24A29"/>
    <w:rsid w:val="00B24AED"/>
    <w:rsid w:val="00B24BE0"/>
    <w:rsid w:val="00B24BF8"/>
    <w:rsid w:val="00B24C06"/>
    <w:rsid w:val="00B24CC4"/>
    <w:rsid w:val="00B24CD7"/>
    <w:rsid w:val="00B24DFC"/>
    <w:rsid w:val="00B24F06"/>
    <w:rsid w:val="00B24F90"/>
    <w:rsid w:val="00B24FD1"/>
    <w:rsid w:val="00B24FFC"/>
    <w:rsid w:val="00B25008"/>
    <w:rsid w:val="00B2506C"/>
    <w:rsid w:val="00B25080"/>
    <w:rsid w:val="00B25087"/>
    <w:rsid w:val="00B250CF"/>
    <w:rsid w:val="00B2514F"/>
    <w:rsid w:val="00B251BD"/>
    <w:rsid w:val="00B251D6"/>
    <w:rsid w:val="00B25218"/>
    <w:rsid w:val="00B25231"/>
    <w:rsid w:val="00B25257"/>
    <w:rsid w:val="00B25263"/>
    <w:rsid w:val="00B252BD"/>
    <w:rsid w:val="00B25312"/>
    <w:rsid w:val="00B25469"/>
    <w:rsid w:val="00B2547F"/>
    <w:rsid w:val="00B254D8"/>
    <w:rsid w:val="00B25551"/>
    <w:rsid w:val="00B25566"/>
    <w:rsid w:val="00B255E2"/>
    <w:rsid w:val="00B255F0"/>
    <w:rsid w:val="00B2562F"/>
    <w:rsid w:val="00B25668"/>
    <w:rsid w:val="00B256C5"/>
    <w:rsid w:val="00B256DB"/>
    <w:rsid w:val="00B256ED"/>
    <w:rsid w:val="00B256FA"/>
    <w:rsid w:val="00B258EF"/>
    <w:rsid w:val="00B25941"/>
    <w:rsid w:val="00B25972"/>
    <w:rsid w:val="00B259EB"/>
    <w:rsid w:val="00B25AB7"/>
    <w:rsid w:val="00B25D17"/>
    <w:rsid w:val="00B25D19"/>
    <w:rsid w:val="00B25DA9"/>
    <w:rsid w:val="00B25F28"/>
    <w:rsid w:val="00B26073"/>
    <w:rsid w:val="00B2616D"/>
    <w:rsid w:val="00B26241"/>
    <w:rsid w:val="00B26280"/>
    <w:rsid w:val="00B26380"/>
    <w:rsid w:val="00B26389"/>
    <w:rsid w:val="00B2639F"/>
    <w:rsid w:val="00B263E1"/>
    <w:rsid w:val="00B2643E"/>
    <w:rsid w:val="00B26442"/>
    <w:rsid w:val="00B26443"/>
    <w:rsid w:val="00B264D4"/>
    <w:rsid w:val="00B265E1"/>
    <w:rsid w:val="00B265ED"/>
    <w:rsid w:val="00B26603"/>
    <w:rsid w:val="00B26608"/>
    <w:rsid w:val="00B26648"/>
    <w:rsid w:val="00B26735"/>
    <w:rsid w:val="00B26767"/>
    <w:rsid w:val="00B26784"/>
    <w:rsid w:val="00B26874"/>
    <w:rsid w:val="00B2688D"/>
    <w:rsid w:val="00B26894"/>
    <w:rsid w:val="00B268AF"/>
    <w:rsid w:val="00B268D2"/>
    <w:rsid w:val="00B268DD"/>
    <w:rsid w:val="00B268E8"/>
    <w:rsid w:val="00B268EC"/>
    <w:rsid w:val="00B26900"/>
    <w:rsid w:val="00B269D4"/>
    <w:rsid w:val="00B269EF"/>
    <w:rsid w:val="00B26A34"/>
    <w:rsid w:val="00B26AE4"/>
    <w:rsid w:val="00B26B47"/>
    <w:rsid w:val="00B26BEB"/>
    <w:rsid w:val="00B26C58"/>
    <w:rsid w:val="00B26CC5"/>
    <w:rsid w:val="00B26D42"/>
    <w:rsid w:val="00B26DF7"/>
    <w:rsid w:val="00B26E03"/>
    <w:rsid w:val="00B26E67"/>
    <w:rsid w:val="00B26E97"/>
    <w:rsid w:val="00B26EAA"/>
    <w:rsid w:val="00B26EB3"/>
    <w:rsid w:val="00B26F2A"/>
    <w:rsid w:val="00B2700A"/>
    <w:rsid w:val="00B27053"/>
    <w:rsid w:val="00B27131"/>
    <w:rsid w:val="00B2719B"/>
    <w:rsid w:val="00B272E1"/>
    <w:rsid w:val="00B273AA"/>
    <w:rsid w:val="00B273E2"/>
    <w:rsid w:val="00B274DC"/>
    <w:rsid w:val="00B275A9"/>
    <w:rsid w:val="00B275F3"/>
    <w:rsid w:val="00B2760E"/>
    <w:rsid w:val="00B27627"/>
    <w:rsid w:val="00B276A1"/>
    <w:rsid w:val="00B276CA"/>
    <w:rsid w:val="00B276E3"/>
    <w:rsid w:val="00B27719"/>
    <w:rsid w:val="00B27749"/>
    <w:rsid w:val="00B2775D"/>
    <w:rsid w:val="00B2780C"/>
    <w:rsid w:val="00B2790B"/>
    <w:rsid w:val="00B27A0D"/>
    <w:rsid w:val="00B27A5B"/>
    <w:rsid w:val="00B27A8F"/>
    <w:rsid w:val="00B27B24"/>
    <w:rsid w:val="00B27C44"/>
    <w:rsid w:val="00B27C58"/>
    <w:rsid w:val="00B27C75"/>
    <w:rsid w:val="00B27CA2"/>
    <w:rsid w:val="00B27CEC"/>
    <w:rsid w:val="00B27D69"/>
    <w:rsid w:val="00B27EA2"/>
    <w:rsid w:val="00B27F27"/>
    <w:rsid w:val="00B27F43"/>
    <w:rsid w:val="00B27F7B"/>
    <w:rsid w:val="00B27FB0"/>
    <w:rsid w:val="00B30003"/>
    <w:rsid w:val="00B30004"/>
    <w:rsid w:val="00B3007E"/>
    <w:rsid w:val="00B300BC"/>
    <w:rsid w:val="00B300F7"/>
    <w:rsid w:val="00B30123"/>
    <w:rsid w:val="00B30255"/>
    <w:rsid w:val="00B30307"/>
    <w:rsid w:val="00B3030F"/>
    <w:rsid w:val="00B303B1"/>
    <w:rsid w:val="00B30434"/>
    <w:rsid w:val="00B3045C"/>
    <w:rsid w:val="00B304AE"/>
    <w:rsid w:val="00B304F9"/>
    <w:rsid w:val="00B3053D"/>
    <w:rsid w:val="00B3068F"/>
    <w:rsid w:val="00B306B2"/>
    <w:rsid w:val="00B306EA"/>
    <w:rsid w:val="00B3075B"/>
    <w:rsid w:val="00B30770"/>
    <w:rsid w:val="00B3078C"/>
    <w:rsid w:val="00B30853"/>
    <w:rsid w:val="00B30868"/>
    <w:rsid w:val="00B308E4"/>
    <w:rsid w:val="00B30972"/>
    <w:rsid w:val="00B30A3A"/>
    <w:rsid w:val="00B30ABF"/>
    <w:rsid w:val="00B30B13"/>
    <w:rsid w:val="00B30B19"/>
    <w:rsid w:val="00B30B70"/>
    <w:rsid w:val="00B30BEC"/>
    <w:rsid w:val="00B30C06"/>
    <w:rsid w:val="00B30CA6"/>
    <w:rsid w:val="00B30D42"/>
    <w:rsid w:val="00B30D69"/>
    <w:rsid w:val="00B30D84"/>
    <w:rsid w:val="00B30DA3"/>
    <w:rsid w:val="00B30DD0"/>
    <w:rsid w:val="00B30F33"/>
    <w:rsid w:val="00B30F43"/>
    <w:rsid w:val="00B30FA9"/>
    <w:rsid w:val="00B31021"/>
    <w:rsid w:val="00B31039"/>
    <w:rsid w:val="00B31090"/>
    <w:rsid w:val="00B310A3"/>
    <w:rsid w:val="00B31178"/>
    <w:rsid w:val="00B311AA"/>
    <w:rsid w:val="00B31218"/>
    <w:rsid w:val="00B3125B"/>
    <w:rsid w:val="00B31298"/>
    <w:rsid w:val="00B312A3"/>
    <w:rsid w:val="00B312EA"/>
    <w:rsid w:val="00B31395"/>
    <w:rsid w:val="00B3139E"/>
    <w:rsid w:val="00B313D9"/>
    <w:rsid w:val="00B313DA"/>
    <w:rsid w:val="00B313DD"/>
    <w:rsid w:val="00B31543"/>
    <w:rsid w:val="00B3159A"/>
    <w:rsid w:val="00B31651"/>
    <w:rsid w:val="00B31756"/>
    <w:rsid w:val="00B31816"/>
    <w:rsid w:val="00B31866"/>
    <w:rsid w:val="00B31920"/>
    <w:rsid w:val="00B319E8"/>
    <w:rsid w:val="00B31A77"/>
    <w:rsid w:val="00B31A9E"/>
    <w:rsid w:val="00B31B81"/>
    <w:rsid w:val="00B31B82"/>
    <w:rsid w:val="00B31DC4"/>
    <w:rsid w:val="00B31DC9"/>
    <w:rsid w:val="00B31E62"/>
    <w:rsid w:val="00B31EC4"/>
    <w:rsid w:val="00B31ED1"/>
    <w:rsid w:val="00B31F6D"/>
    <w:rsid w:val="00B31FE2"/>
    <w:rsid w:val="00B32022"/>
    <w:rsid w:val="00B32086"/>
    <w:rsid w:val="00B32175"/>
    <w:rsid w:val="00B32213"/>
    <w:rsid w:val="00B3228B"/>
    <w:rsid w:val="00B322CD"/>
    <w:rsid w:val="00B32342"/>
    <w:rsid w:val="00B32366"/>
    <w:rsid w:val="00B323D1"/>
    <w:rsid w:val="00B3256E"/>
    <w:rsid w:val="00B3260E"/>
    <w:rsid w:val="00B32684"/>
    <w:rsid w:val="00B326D3"/>
    <w:rsid w:val="00B3276A"/>
    <w:rsid w:val="00B3284A"/>
    <w:rsid w:val="00B32A8C"/>
    <w:rsid w:val="00B32AF1"/>
    <w:rsid w:val="00B32C5F"/>
    <w:rsid w:val="00B32DDF"/>
    <w:rsid w:val="00B32EAF"/>
    <w:rsid w:val="00B32EC0"/>
    <w:rsid w:val="00B32ED3"/>
    <w:rsid w:val="00B32F46"/>
    <w:rsid w:val="00B32FE7"/>
    <w:rsid w:val="00B33024"/>
    <w:rsid w:val="00B3316E"/>
    <w:rsid w:val="00B33232"/>
    <w:rsid w:val="00B333B8"/>
    <w:rsid w:val="00B335CD"/>
    <w:rsid w:val="00B335D2"/>
    <w:rsid w:val="00B335DF"/>
    <w:rsid w:val="00B33672"/>
    <w:rsid w:val="00B337A3"/>
    <w:rsid w:val="00B33848"/>
    <w:rsid w:val="00B33866"/>
    <w:rsid w:val="00B338FA"/>
    <w:rsid w:val="00B3395C"/>
    <w:rsid w:val="00B339D6"/>
    <w:rsid w:val="00B339FD"/>
    <w:rsid w:val="00B33A3A"/>
    <w:rsid w:val="00B33ABC"/>
    <w:rsid w:val="00B33B19"/>
    <w:rsid w:val="00B33B5D"/>
    <w:rsid w:val="00B33B7F"/>
    <w:rsid w:val="00B33B87"/>
    <w:rsid w:val="00B33C0C"/>
    <w:rsid w:val="00B33C20"/>
    <w:rsid w:val="00B33C3B"/>
    <w:rsid w:val="00B33C5F"/>
    <w:rsid w:val="00B33C85"/>
    <w:rsid w:val="00B33E9F"/>
    <w:rsid w:val="00B33F55"/>
    <w:rsid w:val="00B33F63"/>
    <w:rsid w:val="00B33FD2"/>
    <w:rsid w:val="00B3405F"/>
    <w:rsid w:val="00B3416A"/>
    <w:rsid w:val="00B34173"/>
    <w:rsid w:val="00B34184"/>
    <w:rsid w:val="00B34202"/>
    <w:rsid w:val="00B3425D"/>
    <w:rsid w:val="00B3429F"/>
    <w:rsid w:val="00B342C5"/>
    <w:rsid w:val="00B342DB"/>
    <w:rsid w:val="00B342FA"/>
    <w:rsid w:val="00B3435F"/>
    <w:rsid w:val="00B34380"/>
    <w:rsid w:val="00B343CB"/>
    <w:rsid w:val="00B3440B"/>
    <w:rsid w:val="00B3440F"/>
    <w:rsid w:val="00B34489"/>
    <w:rsid w:val="00B34568"/>
    <w:rsid w:val="00B34587"/>
    <w:rsid w:val="00B345E7"/>
    <w:rsid w:val="00B3473E"/>
    <w:rsid w:val="00B3477C"/>
    <w:rsid w:val="00B3482C"/>
    <w:rsid w:val="00B34836"/>
    <w:rsid w:val="00B348FB"/>
    <w:rsid w:val="00B34935"/>
    <w:rsid w:val="00B34965"/>
    <w:rsid w:val="00B34A68"/>
    <w:rsid w:val="00B34B25"/>
    <w:rsid w:val="00B34B97"/>
    <w:rsid w:val="00B34BBB"/>
    <w:rsid w:val="00B34C76"/>
    <w:rsid w:val="00B34D27"/>
    <w:rsid w:val="00B34D58"/>
    <w:rsid w:val="00B34D81"/>
    <w:rsid w:val="00B34DDE"/>
    <w:rsid w:val="00B34E58"/>
    <w:rsid w:val="00B34E8C"/>
    <w:rsid w:val="00B34EA4"/>
    <w:rsid w:val="00B34EF0"/>
    <w:rsid w:val="00B34FC0"/>
    <w:rsid w:val="00B34FFC"/>
    <w:rsid w:val="00B35100"/>
    <w:rsid w:val="00B3519C"/>
    <w:rsid w:val="00B351DF"/>
    <w:rsid w:val="00B35249"/>
    <w:rsid w:val="00B35259"/>
    <w:rsid w:val="00B35261"/>
    <w:rsid w:val="00B35278"/>
    <w:rsid w:val="00B353C9"/>
    <w:rsid w:val="00B353FE"/>
    <w:rsid w:val="00B35401"/>
    <w:rsid w:val="00B355CB"/>
    <w:rsid w:val="00B355DF"/>
    <w:rsid w:val="00B355E2"/>
    <w:rsid w:val="00B356CA"/>
    <w:rsid w:val="00B356CC"/>
    <w:rsid w:val="00B35739"/>
    <w:rsid w:val="00B357D7"/>
    <w:rsid w:val="00B3581B"/>
    <w:rsid w:val="00B3582E"/>
    <w:rsid w:val="00B3583C"/>
    <w:rsid w:val="00B35885"/>
    <w:rsid w:val="00B35889"/>
    <w:rsid w:val="00B358A9"/>
    <w:rsid w:val="00B358C8"/>
    <w:rsid w:val="00B359CA"/>
    <w:rsid w:val="00B35A7F"/>
    <w:rsid w:val="00B35A97"/>
    <w:rsid w:val="00B35AAE"/>
    <w:rsid w:val="00B35B0E"/>
    <w:rsid w:val="00B35B3F"/>
    <w:rsid w:val="00B35C17"/>
    <w:rsid w:val="00B35C46"/>
    <w:rsid w:val="00B35C52"/>
    <w:rsid w:val="00B35C81"/>
    <w:rsid w:val="00B35CB8"/>
    <w:rsid w:val="00B35DA8"/>
    <w:rsid w:val="00B35DD0"/>
    <w:rsid w:val="00B35DD7"/>
    <w:rsid w:val="00B35E63"/>
    <w:rsid w:val="00B35E6D"/>
    <w:rsid w:val="00B35EAE"/>
    <w:rsid w:val="00B35F99"/>
    <w:rsid w:val="00B35FA1"/>
    <w:rsid w:val="00B36063"/>
    <w:rsid w:val="00B36084"/>
    <w:rsid w:val="00B360AA"/>
    <w:rsid w:val="00B360C5"/>
    <w:rsid w:val="00B360EA"/>
    <w:rsid w:val="00B36116"/>
    <w:rsid w:val="00B36128"/>
    <w:rsid w:val="00B361B7"/>
    <w:rsid w:val="00B362A2"/>
    <w:rsid w:val="00B363D4"/>
    <w:rsid w:val="00B36423"/>
    <w:rsid w:val="00B3656C"/>
    <w:rsid w:val="00B365BF"/>
    <w:rsid w:val="00B365C0"/>
    <w:rsid w:val="00B36609"/>
    <w:rsid w:val="00B3666C"/>
    <w:rsid w:val="00B3667E"/>
    <w:rsid w:val="00B36783"/>
    <w:rsid w:val="00B367E7"/>
    <w:rsid w:val="00B3681D"/>
    <w:rsid w:val="00B36820"/>
    <w:rsid w:val="00B36918"/>
    <w:rsid w:val="00B3691A"/>
    <w:rsid w:val="00B369B2"/>
    <w:rsid w:val="00B36A41"/>
    <w:rsid w:val="00B36ABC"/>
    <w:rsid w:val="00B36AD3"/>
    <w:rsid w:val="00B36ADA"/>
    <w:rsid w:val="00B36B32"/>
    <w:rsid w:val="00B36B64"/>
    <w:rsid w:val="00B36D1F"/>
    <w:rsid w:val="00B36D65"/>
    <w:rsid w:val="00B36D6F"/>
    <w:rsid w:val="00B36F00"/>
    <w:rsid w:val="00B36F1C"/>
    <w:rsid w:val="00B36F86"/>
    <w:rsid w:val="00B36FE3"/>
    <w:rsid w:val="00B3703C"/>
    <w:rsid w:val="00B37098"/>
    <w:rsid w:val="00B370CA"/>
    <w:rsid w:val="00B37129"/>
    <w:rsid w:val="00B3718F"/>
    <w:rsid w:val="00B371A0"/>
    <w:rsid w:val="00B371B7"/>
    <w:rsid w:val="00B371CD"/>
    <w:rsid w:val="00B37230"/>
    <w:rsid w:val="00B37296"/>
    <w:rsid w:val="00B372BD"/>
    <w:rsid w:val="00B373DE"/>
    <w:rsid w:val="00B375FD"/>
    <w:rsid w:val="00B376D1"/>
    <w:rsid w:val="00B376E6"/>
    <w:rsid w:val="00B37782"/>
    <w:rsid w:val="00B377BC"/>
    <w:rsid w:val="00B37861"/>
    <w:rsid w:val="00B378E3"/>
    <w:rsid w:val="00B37903"/>
    <w:rsid w:val="00B37A07"/>
    <w:rsid w:val="00B37A1C"/>
    <w:rsid w:val="00B37A2B"/>
    <w:rsid w:val="00B37A72"/>
    <w:rsid w:val="00B37AD4"/>
    <w:rsid w:val="00B37B5F"/>
    <w:rsid w:val="00B37B91"/>
    <w:rsid w:val="00B37B9D"/>
    <w:rsid w:val="00B37C12"/>
    <w:rsid w:val="00B37C58"/>
    <w:rsid w:val="00B37DA3"/>
    <w:rsid w:val="00B37E4E"/>
    <w:rsid w:val="00B37ED9"/>
    <w:rsid w:val="00B37FC5"/>
    <w:rsid w:val="00B38BBA"/>
    <w:rsid w:val="00B40007"/>
    <w:rsid w:val="00B4000F"/>
    <w:rsid w:val="00B40011"/>
    <w:rsid w:val="00B400B4"/>
    <w:rsid w:val="00B400E5"/>
    <w:rsid w:val="00B401EC"/>
    <w:rsid w:val="00B40332"/>
    <w:rsid w:val="00B40491"/>
    <w:rsid w:val="00B404F3"/>
    <w:rsid w:val="00B4057A"/>
    <w:rsid w:val="00B4058F"/>
    <w:rsid w:val="00B405F7"/>
    <w:rsid w:val="00B4064E"/>
    <w:rsid w:val="00B407AD"/>
    <w:rsid w:val="00B407C8"/>
    <w:rsid w:val="00B4091C"/>
    <w:rsid w:val="00B4093C"/>
    <w:rsid w:val="00B409EF"/>
    <w:rsid w:val="00B40A00"/>
    <w:rsid w:val="00B40A26"/>
    <w:rsid w:val="00B40A64"/>
    <w:rsid w:val="00B40CAF"/>
    <w:rsid w:val="00B40CF2"/>
    <w:rsid w:val="00B40D61"/>
    <w:rsid w:val="00B40EB5"/>
    <w:rsid w:val="00B40F63"/>
    <w:rsid w:val="00B410DE"/>
    <w:rsid w:val="00B4124D"/>
    <w:rsid w:val="00B4126F"/>
    <w:rsid w:val="00B41295"/>
    <w:rsid w:val="00B41305"/>
    <w:rsid w:val="00B41318"/>
    <w:rsid w:val="00B41367"/>
    <w:rsid w:val="00B41383"/>
    <w:rsid w:val="00B413B0"/>
    <w:rsid w:val="00B413D3"/>
    <w:rsid w:val="00B413F4"/>
    <w:rsid w:val="00B4157F"/>
    <w:rsid w:val="00B415D6"/>
    <w:rsid w:val="00B415FD"/>
    <w:rsid w:val="00B41681"/>
    <w:rsid w:val="00B416B2"/>
    <w:rsid w:val="00B417F0"/>
    <w:rsid w:val="00B418AC"/>
    <w:rsid w:val="00B4192F"/>
    <w:rsid w:val="00B41A6A"/>
    <w:rsid w:val="00B41A6B"/>
    <w:rsid w:val="00B41A7B"/>
    <w:rsid w:val="00B41AF2"/>
    <w:rsid w:val="00B41B0B"/>
    <w:rsid w:val="00B41B45"/>
    <w:rsid w:val="00B41B46"/>
    <w:rsid w:val="00B41BFF"/>
    <w:rsid w:val="00B41C7F"/>
    <w:rsid w:val="00B41D2B"/>
    <w:rsid w:val="00B41D78"/>
    <w:rsid w:val="00B41D88"/>
    <w:rsid w:val="00B41D8E"/>
    <w:rsid w:val="00B41E17"/>
    <w:rsid w:val="00B41E81"/>
    <w:rsid w:val="00B41ECE"/>
    <w:rsid w:val="00B41F39"/>
    <w:rsid w:val="00B41FD5"/>
    <w:rsid w:val="00B42084"/>
    <w:rsid w:val="00B4208B"/>
    <w:rsid w:val="00B42156"/>
    <w:rsid w:val="00B4217D"/>
    <w:rsid w:val="00B42185"/>
    <w:rsid w:val="00B421CF"/>
    <w:rsid w:val="00B42229"/>
    <w:rsid w:val="00B4228A"/>
    <w:rsid w:val="00B422A2"/>
    <w:rsid w:val="00B422F0"/>
    <w:rsid w:val="00B42332"/>
    <w:rsid w:val="00B42372"/>
    <w:rsid w:val="00B423C3"/>
    <w:rsid w:val="00B424F7"/>
    <w:rsid w:val="00B42505"/>
    <w:rsid w:val="00B425E1"/>
    <w:rsid w:val="00B4264A"/>
    <w:rsid w:val="00B4268E"/>
    <w:rsid w:val="00B42697"/>
    <w:rsid w:val="00B42714"/>
    <w:rsid w:val="00B4274E"/>
    <w:rsid w:val="00B4274F"/>
    <w:rsid w:val="00B4288D"/>
    <w:rsid w:val="00B428AB"/>
    <w:rsid w:val="00B428E8"/>
    <w:rsid w:val="00B428F5"/>
    <w:rsid w:val="00B4291A"/>
    <w:rsid w:val="00B42946"/>
    <w:rsid w:val="00B4299D"/>
    <w:rsid w:val="00B429CE"/>
    <w:rsid w:val="00B429F3"/>
    <w:rsid w:val="00B42B6A"/>
    <w:rsid w:val="00B42B8D"/>
    <w:rsid w:val="00B42BAF"/>
    <w:rsid w:val="00B42C54"/>
    <w:rsid w:val="00B42C5C"/>
    <w:rsid w:val="00B42D77"/>
    <w:rsid w:val="00B42DCD"/>
    <w:rsid w:val="00B42EEA"/>
    <w:rsid w:val="00B43106"/>
    <w:rsid w:val="00B43227"/>
    <w:rsid w:val="00B43297"/>
    <w:rsid w:val="00B432CF"/>
    <w:rsid w:val="00B432D3"/>
    <w:rsid w:val="00B4332A"/>
    <w:rsid w:val="00B43369"/>
    <w:rsid w:val="00B4338D"/>
    <w:rsid w:val="00B434B8"/>
    <w:rsid w:val="00B43501"/>
    <w:rsid w:val="00B4350C"/>
    <w:rsid w:val="00B435B1"/>
    <w:rsid w:val="00B43615"/>
    <w:rsid w:val="00B4365A"/>
    <w:rsid w:val="00B4377E"/>
    <w:rsid w:val="00B437E4"/>
    <w:rsid w:val="00B43961"/>
    <w:rsid w:val="00B439CC"/>
    <w:rsid w:val="00B43BF5"/>
    <w:rsid w:val="00B43C7A"/>
    <w:rsid w:val="00B43D26"/>
    <w:rsid w:val="00B43D74"/>
    <w:rsid w:val="00B43DAC"/>
    <w:rsid w:val="00B43DB5"/>
    <w:rsid w:val="00B43DCE"/>
    <w:rsid w:val="00B43E10"/>
    <w:rsid w:val="00B43FE5"/>
    <w:rsid w:val="00B44005"/>
    <w:rsid w:val="00B4403C"/>
    <w:rsid w:val="00B44042"/>
    <w:rsid w:val="00B44103"/>
    <w:rsid w:val="00B4421B"/>
    <w:rsid w:val="00B44284"/>
    <w:rsid w:val="00B442CC"/>
    <w:rsid w:val="00B442DB"/>
    <w:rsid w:val="00B442E9"/>
    <w:rsid w:val="00B44386"/>
    <w:rsid w:val="00B4439E"/>
    <w:rsid w:val="00B443A2"/>
    <w:rsid w:val="00B444EE"/>
    <w:rsid w:val="00B44509"/>
    <w:rsid w:val="00B445D2"/>
    <w:rsid w:val="00B4469A"/>
    <w:rsid w:val="00B44804"/>
    <w:rsid w:val="00B448C7"/>
    <w:rsid w:val="00B44917"/>
    <w:rsid w:val="00B449B9"/>
    <w:rsid w:val="00B449BC"/>
    <w:rsid w:val="00B44AE2"/>
    <w:rsid w:val="00B44B4E"/>
    <w:rsid w:val="00B44B53"/>
    <w:rsid w:val="00B44B6B"/>
    <w:rsid w:val="00B44B70"/>
    <w:rsid w:val="00B44B7B"/>
    <w:rsid w:val="00B44C08"/>
    <w:rsid w:val="00B44C6F"/>
    <w:rsid w:val="00B44D12"/>
    <w:rsid w:val="00B44E09"/>
    <w:rsid w:val="00B44E90"/>
    <w:rsid w:val="00B44EC0"/>
    <w:rsid w:val="00B44F27"/>
    <w:rsid w:val="00B44FDE"/>
    <w:rsid w:val="00B4500E"/>
    <w:rsid w:val="00B45197"/>
    <w:rsid w:val="00B451BA"/>
    <w:rsid w:val="00B451E2"/>
    <w:rsid w:val="00B4533E"/>
    <w:rsid w:val="00B453F1"/>
    <w:rsid w:val="00B45405"/>
    <w:rsid w:val="00B45453"/>
    <w:rsid w:val="00B45468"/>
    <w:rsid w:val="00B4554B"/>
    <w:rsid w:val="00B45629"/>
    <w:rsid w:val="00B457D3"/>
    <w:rsid w:val="00B4582A"/>
    <w:rsid w:val="00B4584F"/>
    <w:rsid w:val="00B458A4"/>
    <w:rsid w:val="00B45919"/>
    <w:rsid w:val="00B459CE"/>
    <w:rsid w:val="00B45A10"/>
    <w:rsid w:val="00B45A3A"/>
    <w:rsid w:val="00B45A59"/>
    <w:rsid w:val="00B45A8D"/>
    <w:rsid w:val="00B45B67"/>
    <w:rsid w:val="00B45BAD"/>
    <w:rsid w:val="00B45BCC"/>
    <w:rsid w:val="00B45C69"/>
    <w:rsid w:val="00B45C70"/>
    <w:rsid w:val="00B45D1A"/>
    <w:rsid w:val="00B45D28"/>
    <w:rsid w:val="00B45D7C"/>
    <w:rsid w:val="00B45DCC"/>
    <w:rsid w:val="00B45DFA"/>
    <w:rsid w:val="00B45E1D"/>
    <w:rsid w:val="00B45E25"/>
    <w:rsid w:val="00B45E34"/>
    <w:rsid w:val="00B45E56"/>
    <w:rsid w:val="00B45E95"/>
    <w:rsid w:val="00B45EF8"/>
    <w:rsid w:val="00B45F58"/>
    <w:rsid w:val="00B45FF0"/>
    <w:rsid w:val="00B45FF6"/>
    <w:rsid w:val="00B46006"/>
    <w:rsid w:val="00B4601E"/>
    <w:rsid w:val="00B46030"/>
    <w:rsid w:val="00B46038"/>
    <w:rsid w:val="00B460DC"/>
    <w:rsid w:val="00B46124"/>
    <w:rsid w:val="00B461B3"/>
    <w:rsid w:val="00B46299"/>
    <w:rsid w:val="00B46339"/>
    <w:rsid w:val="00B4633F"/>
    <w:rsid w:val="00B4634C"/>
    <w:rsid w:val="00B46358"/>
    <w:rsid w:val="00B4643B"/>
    <w:rsid w:val="00B4647A"/>
    <w:rsid w:val="00B464D0"/>
    <w:rsid w:val="00B46503"/>
    <w:rsid w:val="00B46551"/>
    <w:rsid w:val="00B46566"/>
    <w:rsid w:val="00B465A0"/>
    <w:rsid w:val="00B46669"/>
    <w:rsid w:val="00B46671"/>
    <w:rsid w:val="00B46692"/>
    <w:rsid w:val="00B466DA"/>
    <w:rsid w:val="00B4671D"/>
    <w:rsid w:val="00B467DD"/>
    <w:rsid w:val="00B46804"/>
    <w:rsid w:val="00B4684F"/>
    <w:rsid w:val="00B4685B"/>
    <w:rsid w:val="00B4685E"/>
    <w:rsid w:val="00B46897"/>
    <w:rsid w:val="00B46927"/>
    <w:rsid w:val="00B4696C"/>
    <w:rsid w:val="00B4696E"/>
    <w:rsid w:val="00B46983"/>
    <w:rsid w:val="00B46A5A"/>
    <w:rsid w:val="00B46AAC"/>
    <w:rsid w:val="00B46ABC"/>
    <w:rsid w:val="00B46ADC"/>
    <w:rsid w:val="00B46B6E"/>
    <w:rsid w:val="00B46BF9"/>
    <w:rsid w:val="00B46C2E"/>
    <w:rsid w:val="00B46C80"/>
    <w:rsid w:val="00B46C8E"/>
    <w:rsid w:val="00B46CA0"/>
    <w:rsid w:val="00B46CE0"/>
    <w:rsid w:val="00B46D17"/>
    <w:rsid w:val="00B46D7E"/>
    <w:rsid w:val="00B46E39"/>
    <w:rsid w:val="00B46E59"/>
    <w:rsid w:val="00B46F04"/>
    <w:rsid w:val="00B46FF9"/>
    <w:rsid w:val="00B47009"/>
    <w:rsid w:val="00B4709F"/>
    <w:rsid w:val="00B47154"/>
    <w:rsid w:val="00B471FB"/>
    <w:rsid w:val="00B47255"/>
    <w:rsid w:val="00B472F2"/>
    <w:rsid w:val="00B4740E"/>
    <w:rsid w:val="00B4744E"/>
    <w:rsid w:val="00B47451"/>
    <w:rsid w:val="00B47474"/>
    <w:rsid w:val="00B474E9"/>
    <w:rsid w:val="00B47522"/>
    <w:rsid w:val="00B47526"/>
    <w:rsid w:val="00B4766C"/>
    <w:rsid w:val="00B47691"/>
    <w:rsid w:val="00B476D6"/>
    <w:rsid w:val="00B47735"/>
    <w:rsid w:val="00B477D1"/>
    <w:rsid w:val="00B4782D"/>
    <w:rsid w:val="00B4789A"/>
    <w:rsid w:val="00B478C1"/>
    <w:rsid w:val="00B47978"/>
    <w:rsid w:val="00B47993"/>
    <w:rsid w:val="00B47994"/>
    <w:rsid w:val="00B479A3"/>
    <w:rsid w:val="00B47A0A"/>
    <w:rsid w:val="00B47A3B"/>
    <w:rsid w:val="00B47A74"/>
    <w:rsid w:val="00B47AB9"/>
    <w:rsid w:val="00B47B18"/>
    <w:rsid w:val="00B47B22"/>
    <w:rsid w:val="00B47B56"/>
    <w:rsid w:val="00B47C11"/>
    <w:rsid w:val="00B47C38"/>
    <w:rsid w:val="00B47C67"/>
    <w:rsid w:val="00B47CB1"/>
    <w:rsid w:val="00B47D6A"/>
    <w:rsid w:val="00B47E7F"/>
    <w:rsid w:val="00B5000E"/>
    <w:rsid w:val="00B50091"/>
    <w:rsid w:val="00B50095"/>
    <w:rsid w:val="00B50181"/>
    <w:rsid w:val="00B5021F"/>
    <w:rsid w:val="00B5023D"/>
    <w:rsid w:val="00B5024A"/>
    <w:rsid w:val="00B50344"/>
    <w:rsid w:val="00B50345"/>
    <w:rsid w:val="00B50382"/>
    <w:rsid w:val="00B503C6"/>
    <w:rsid w:val="00B5044C"/>
    <w:rsid w:val="00B504B0"/>
    <w:rsid w:val="00B50551"/>
    <w:rsid w:val="00B50676"/>
    <w:rsid w:val="00B50788"/>
    <w:rsid w:val="00B507CE"/>
    <w:rsid w:val="00B5082F"/>
    <w:rsid w:val="00B508ED"/>
    <w:rsid w:val="00B50921"/>
    <w:rsid w:val="00B509B5"/>
    <w:rsid w:val="00B509DF"/>
    <w:rsid w:val="00B50B25"/>
    <w:rsid w:val="00B50B5D"/>
    <w:rsid w:val="00B50BD0"/>
    <w:rsid w:val="00B50C3A"/>
    <w:rsid w:val="00B50C87"/>
    <w:rsid w:val="00B50DAC"/>
    <w:rsid w:val="00B50DD7"/>
    <w:rsid w:val="00B50EA6"/>
    <w:rsid w:val="00B50EA8"/>
    <w:rsid w:val="00B50F78"/>
    <w:rsid w:val="00B50F90"/>
    <w:rsid w:val="00B50FE3"/>
    <w:rsid w:val="00B5108C"/>
    <w:rsid w:val="00B510D2"/>
    <w:rsid w:val="00B5110A"/>
    <w:rsid w:val="00B51274"/>
    <w:rsid w:val="00B51275"/>
    <w:rsid w:val="00B5128C"/>
    <w:rsid w:val="00B51318"/>
    <w:rsid w:val="00B51345"/>
    <w:rsid w:val="00B51355"/>
    <w:rsid w:val="00B513F2"/>
    <w:rsid w:val="00B514BB"/>
    <w:rsid w:val="00B514C4"/>
    <w:rsid w:val="00B514C6"/>
    <w:rsid w:val="00B51546"/>
    <w:rsid w:val="00B51576"/>
    <w:rsid w:val="00B51580"/>
    <w:rsid w:val="00B51636"/>
    <w:rsid w:val="00B51672"/>
    <w:rsid w:val="00B516B3"/>
    <w:rsid w:val="00B516C3"/>
    <w:rsid w:val="00B518D1"/>
    <w:rsid w:val="00B518F9"/>
    <w:rsid w:val="00B519C6"/>
    <w:rsid w:val="00B51A88"/>
    <w:rsid w:val="00B51B3F"/>
    <w:rsid w:val="00B51B50"/>
    <w:rsid w:val="00B51D0C"/>
    <w:rsid w:val="00B51D21"/>
    <w:rsid w:val="00B51E53"/>
    <w:rsid w:val="00B51EE6"/>
    <w:rsid w:val="00B52260"/>
    <w:rsid w:val="00B52296"/>
    <w:rsid w:val="00B522AB"/>
    <w:rsid w:val="00B522B8"/>
    <w:rsid w:val="00B52372"/>
    <w:rsid w:val="00B52480"/>
    <w:rsid w:val="00B525CC"/>
    <w:rsid w:val="00B52648"/>
    <w:rsid w:val="00B52692"/>
    <w:rsid w:val="00B526F2"/>
    <w:rsid w:val="00B527A9"/>
    <w:rsid w:val="00B527F5"/>
    <w:rsid w:val="00B5280F"/>
    <w:rsid w:val="00B52820"/>
    <w:rsid w:val="00B52847"/>
    <w:rsid w:val="00B52870"/>
    <w:rsid w:val="00B528C0"/>
    <w:rsid w:val="00B528E0"/>
    <w:rsid w:val="00B52A10"/>
    <w:rsid w:val="00B52A1D"/>
    <w:rsid w:val="00B52AE3"/>
    <w:rsid w:val="00B52B72"/>
    <w:rsid w:val="00B52C30"/>
    <w:rsid w:val="00B52C4C"/>
    <w:rsid w:val="00B52CAC"/>
    <w:rsid w:val="00B52D9E"/>
    <w:rsid w:val="00B52DA0"/>
    <w:rsid w:val="00B52E6F"/>
    <w:rsid w:val="00B52E7E"/>
    <w:rsid w:val="00B52E85"/>
    <w:rsid w:val="00B52E95"/>
    <w:rsid w:val="00B52F72"/>
    <w:rsid w:val="00B52FDF"/>
    <w:rsid w:val="00B5300F"/>
    <w:rsid w:val="00B5302C"/>
    <w:rsid w:val="00B53089"/>
    <w:rsid w:val="00B53093"/>
    <w:rsid w:val="00B53107"/>
    <w:rsid w:val="00B53156"/>
    <w:rsid w:val="00B53242"/>
    <w:rsid w:val="00B53250"/>
    <w:rsid w:val="00B532FB"/>
    <w:rsid w:val="00B53300"/>
    <w:rsid w:val="00B53380"/>
    <w:rsid w:val="00B53470"/>
    <w:rsid w:val="00B534AE"/>
    <w:rsid w:val="00B534F9"/>
    <w:rsid w:val="00B535D6"/>
    <w:rsid w:val="00B53682"/>
    <w:rsid w:val="00B536AE"/>
    <w:rsid w:val="00B53870"/>
    <w:rsid w:val="00B538A7"/>
    <w:rsid w:val="00B538B9"/>
    <w:rsid w:val="00B538D4"/>
    <w:rsid w:val="00B53979"/>
    <w:rsid w:val="00B53AFF"/>
    <w:rsid w:val="00B53C70"/>
    <w:rsid w:val="00B53C87"/>
    <w:rsid w:val="00B53CA0"/>
    <w:rsid w:val="00B53CA3"/>
    <w:rsid w:val="00B53D47"/>
    <w:rsid w:val="00B53E28"/>
    <w:rsid w:val="00B53E9C"/>
    <w:rsid w:val="00B53EE9"/>
    <w:rsid w:val="00B53F46"/>
    <w:rsid w:val="00B53F80"/>
    <w:rsid w:val="00B53FD1"/>
    <w:rsid w:val="00B5402A"/>
    <w:rsid w:val="00B54044"/>
    <w:rsid w:val="00B540D5"/>
    <w:rsid w:val="00B540E4"/>
    <w:rsid w:val="00B54128"/>
    <w:rsid w:val="00B542EA"/>
    <w:rsid w:val="00B54381"/>
    <w:rsid w:val="00B543DB"/>
    <w:rsid w:val="00B54484"/>
    <w:rsid w:val="00B5449F"/>
    <w:rsid w:val="00B544C0"/>
    <w:rsid w:val="00B544FA"/>
    <w:rsid w:val="00B54518"/>
    <w:rsid w:val="00B54534"/>
    <w:rsid w:val="00B54545"/>
    <w:rsid w:val="00B54562"/>
    <w:rsid w:val="00B54591"/>
    <w:rsid w:val="00B545E8"/>
    <w:rsid w:val="00B54606"/>
    <w:rsid w:val="00B54645"/>
    <w:rsid w:val="00B546BF"/>
    <w:rsid w:val="00B546CB"/>
    <w:rsid w:val="00B546FF"/>
    <w:rsid w:val="00B54727"/>
    <w:rsid w:val="00B54743"/>
    <w:rsid w:val="00B54885"/>
    <w:rsid w:val="00B548DA"/>
    <w:rsid w:val="00B548E1"/>
    <w:rsid w:val="00B54933"/>
    <w:rsid w:val="00B54959"/>
    <w:rsid w:val="00B549AA"/>
    <w:rsid w:val="00B549C3"/>
    <w:rsid w:val="00B54A68"/>
    <w:rsid w:val="00B54BC4"/>
    <w:rsid w:val="00B54C70"/>
    <w:rsid w:val="00B54D2F"/>
    <w:rsid w:val="00B54D96"/>
    <w:rsid w:val="00B54DE0"/>
    <w:rsid w:val="00B54DE4"/>
    <w:rsid w:val="00B54DFA"/>
    <w:rsid w:val="00B54E72"/>
    <w:rsid w:val="00B54E7D"/>
    <w:rsid w:val="00B54F02"/>
    <w:rsid w:val="00B54F0B"/>
    <w:rsid w:val="00B55069"/>
    <w:rsid w:val="00B550E7"/>
    <w:rsid w:val="00B55194"/>
    <w:rsid w:val="00B551A1"/>
    <w:rsid w:val="00B553F4"/>
    <w:rsid w:val="00B553F9"/>
    <w:rsid w:val="00B5545E"/>
    <w:rsid w:val="00B5546E"/>
    <w:rsid w:val="00B554D2"/>
    <w:rsid w:val="00B55573"/>
    <w:rsid w:val="00B556FF"/>
    <w:rsid w:val="00B55713"/>
    <w:rsid w:val="00B55743"/>
    <w:rsid w:val="00B55783"/>
    <w:rsid w:val="00B557A2"/>
    <w:rsid w:val="00B557BC"/>
    <w:rsid w:val="00B557C5"/>
    <w:rsid w:val="00B55802"/>
    <w:rsid w:val="00B55832"/>
    <w:rsid w:val="00B55962"/>
    <w:rsid w:val="00B5598E"/>
    <w:rsid w:val="00B559FA"/>
    <w:rsid w:val="00B55A4F"/>
    <w:rsid w:val="00B55B6A"/>
    <w:rsid w:val="00B55B79"/>
    <w:rsid w:val="00B55D3C"/>
    <w:rsid w:val="00B55DBC"/>
    <w:rsid w:val="00B55E0B"/>
    <w:rsid w:val="00B55E57"/>
    <w:rsid w:val="00B55F3A"/>
    <w:rsid w:val="00B55F9F"/>
    <w:rsid w:val="00B55FFC"/>
    <w:rsid w:val="00B560DD"/>
    <w:rsid w:val="00B56128"/>
    <w:rsid w:val="00B56153"/>
    <w:rsid w:val="00B561B7"/>
    <w:rsid w:val="00B561C5"/>
    <w:rsid w:val="00B561F4"/>
    <w:rsid w:val="00B5621B"/>
    <w:rsid w:val="00B56234"/>
    <w:rsid w:val="00B563BA"/>
    <w:rsid w:val="00B5640F"/>
    <w:rsid w:val="00B5645C"/>
    <w:rsid w:val="00B5646F"/>
    <w:rsid w:val="00B56479"/>
    <w:rsid w:val="00B5658D"/>
    <w:rsid w:val="00B565B5"/>
    <w:rsid w:val="00B565B9"/>
    <w:rsid w:val="00B565E5"/>
    <w:rsid w:val="00B566EF"/>
    <w:rsid w:val="00B566F4"/>
    <w:rsid w:val="00B56763"/>
    <w:rsid w:val="00B567BF"/>
    <w:rsid w:val="00B567F2"/>
    <w:rsid w:val="00B568B5"/>
    <w:rsid w:val="00B568D1"/>
    <w:rsid w:val="00B5695E"/>
    <w:rsid w:val="00B56A27"/>
    <w:rsid w:val="00B56B51"/>
    <w:rsid w:val="00B56B70"/>
    <w:rsid w:val="00B56B8D"/>
    <w:rsid w:val="00B56BE0"/>
    <w:rsid w:val="00B56C6E"/>
    <w:rsid w:val="00B56C9B"/>
    <w:rsid w:val="00B56CAC"/>
    <w:rsid w:val="00B56D2B"/>
    <w:rsid w:val="00B56D92"/>
    <w:rsid w:val="00B56E01"/>
    <w:rsid w:val="00B56E12"/>
    <w:rsid w:val="00B56E75"/>
    <w:rsid w:val="00B56E77"/>
    <w:rsid w:val="00B57132"/>
    <w:rsid w:val="00B571FC"/>
    <w:rsid w:val="00B57293"/>
    <w:rsid w:val="00B573A9"/>
    <w:rsid w:val="00B5740B"/>
    <w:rsid w:val="00B57482"/>
    <w:rsid w:val="00B575DB"/>
    <w:rsid w:val="00B57651"/>
    <w:rsid w:val="00B576DA"/>
    <w:rsid w:val="00B5779A"/>
    <w:rsid w:val="00B57866"/>
    <w:rsid w:val="00B578EA"/>
    <w:rsid w:val="00B57900"/>
    <w:rsid w:val="00B579B1"/>
    <w:rsid w:val="00B579C1"/>
    <w:rsid w:val="00B579D1"/>
    <w:rsid w:val="00B579D5"/>
    <w:rsid w:val="00B57A36"/>
    <w:rsid w:val="00B57A63"/>
    <w:rsid w:val="00B57A96"/>
    <w:rsid w:val="00B57B08"/>
    <w:rsid w:val="00B57B5E"/>
    <w:rsid w:val="00B57B87"/>
    <w:rsid w:val="00B57BA0"/>
    <w:rsid w:val="00B57D8D"/>
    <w:rsid w:val="00B57DC5"/>
    <w:rsid w:val="00B57E72"/>
    <w:rsid w:val="00B57E8E"/>
    <w:rsid w:val="00B57F34"/>
    <w:rsid w:val="00B57FC6"/>
    <w:rsid w:val="00B57FCD"/>
    <w:rsid w:val="00B57FEF"/>
    <w:rsid w:val="00B600BE"/>
    <w:rsid w:val="00B6011B"/>
    <w:rsid w:val="00B60142"/>
    <w:rsid w:val="00B601B3"/>
    <w:rsid w:val="00B601B8"/>
    <w:rsid w:val="00B601DA"/>
    <w:rsid w:val="00B603AE"/>
    <w:rsid w:val="00B603C8"/>
    <w:rsid w:val="00B603EA"/>
    <w:rsid w:val="00B60594"/>
    <w:rsid w:val="00B605B3"/>
    <w:rsid w:val="00B605B8"/>
    <w:rsid w:val="00B6062E"/>
    <w:rsid w:val="00B6066B"/>
    <w:rsid w:val="00B606F6"/>
    <w:rsid w:val="00B608D7"/>
    <w:rsid w:val="00B60927"/>
    <w:rsid w:val="00B6096E"/>
    <w:rsid w:val="00B609AD"/>
    <w:rsid w:val="00B609C5"/>
    <w:rsid w:val="00B609E9"/>
    <w:rsid w:val="00B60A2D"/>
    <w:rsid w:val="00B60B07"/>
    <w:rsid w:val="00B60C50"/>
    <w:rsid w:val="00B60C8C"/>
    <w:rsid w:val="00B60CDC"/>
    <w:rsid w:val="00B60CDE"/>
    <w:rsid w:val="00B60E1F"/>
    <w:rsid w:val="00B60F32"/>
    <w:rsid w:val="00B61021"/>
    <w:rsid w:val="00B61071"/>
    <w:rsid w:val="00B610A7"/>
    <w:rsid w:val="00B61143"/>
    <w:rsid w:val="00B61171"/>
    <w:rsid w:val="00B611C5"/>
    <w:rsid w:val="00B611E2"/>
    <w:rsid w:val="00B6130F"/>
    <w:rsid w:val="00B61327"/>
    <w:rsid w:val="00B6138D"/>
    <w:rsid w:val="00B613AF"/>
    <w:rsid w:val="00B613BA"/>
    <w:rsid w:val="00B61403"/>
    <w:rsid w:val="00B6153D"/>
    <w:rsid w:val="00B616F8"/>
    <w:rsid w:val="00B61800"/>
    <w:rsid w:val="00B618F8"/>
    <w:rsid w:val="00B619C6"/>
    <w:rsid w:val="00B619F1"/>
    <w:rsid w:val="00B61AA4"/>
    <w:rsid w:val="00B61B92"/>
    <w:rsid w:val="00B61B94"/>
    <w:rsid w:val="00B61BDA"/>
    <w:rsid w:val="00B61BE0"/>
    <w:rsid w:val="00B61BE4"/>
    <w:rsid w:val="00B61C89"/>
    <w:rsid w:val="00B61CD4"/>
    <w:rsid w:val="00B61D6F"/>
    <w:rsid w:val="00B61D95"/>
    <w:rsid w:val="00B61DBB"/>
    <w:rsid w:val="00B61DD5"/>
    <w:rsid w:val="00B61DDC"/>
    <w:rsid w:val="00B61DE7"/>
    <w:rsid w:val="00B61F05"/>
    <w:rsid w:val="00B61F42"/>
    <w:rsid w:val="00B61FDD"/>
    <w:rsid w:val="00B62091"/>
    <w:rsid w:val="00B620B6"/>
    <w:rsid w:val="00B620CE"/>
    <w:rsid w:val="00B621AE"/>
    <w:rsid w:val="00B621F5"/>
    <w:rsid w:val="00B62206"/>
    <w:rsid w:val="00B6227E"/>
    <w:rsid w:val="00B622ED"/>
    <w:rsid w:val="00B622F6"/>
    <w:rsid w:val="00B622FF"/>
    <w:rsid w:val="00B62335"/>
    <w:rsid w:val="00B62438"/>
    <w:rsid w:val="00B624B1"/>
    <w:rsid w:val="00B624D2"/>
    <w:rsid w:val="00B624E2"/>
    <w:rsid w:val="00B62560"/>
    <w:rsid w:val="00B625A9"/>
    <w:rsid w:val="00B625FA"/>
    <w:rsid w:val="00B62614"/>
    <w:rsid w:val="00B62651"/>
    <w:rsid w:val="00B62696"/>
    <w:rsid w:val="00B626CE"/>
    <w:rsid w:val="00B62700"/>
    <w:rsid w:val="00B62731"/>
    <w:rsid w:val="00B62793"/>
    <w:rsid w:val="00B627CA"/>
    <w:rsid w:val="00B62826"/>
    <w:rsid w:val="00B62847"/>
    <w:rsid w:val="00B6285A"/>
    <w:rsid w:val="00B62934"/>
    <w:rsid w:val="00B62944"/>
    <w:rsid w:val="00B629C8"/>
    <w:rsid w:val="00B629CE"/>
    <w:rsid w:val="00B62A05"/>
    <w:rsid w:val="00B62A1A"/>
    <w:rsid w:val="00B62A6B"/>
    <w:rsid w:val="00B62A91"/>
    <w:rsid w:val="00B62AB1"/>
    <w:rsid w:val="00B62AC2"/>
    <w:rsid w:val="00B62AD6"/>
    <w:rsid w:val="00B62AF7"/>
    <w:rsid w:val="00B62B21"/>
    <w:rsid w:val="00B62CC7"/>
    <w:rsid w:val="00B62D43"/>
    <w:rsid w:val="00B62E42"/>
    <w:rsid w:val="00B62F8A"/>
    <w:rsid w:val="00B62FC4"/>
    <w:rsid w:val="00B6300C"/>
    <w:rsid w:val="00B63029"/>
    <w:rsid w:val="00B630E2"/>
    <w:rsid w:val="00B631EB"/>
    <w:rsid w:val="00B6322F"/>
    <w:rsid w:val="00B63248"/>
    <w:rsid w:val="00B633B4"/>
    <w:rsid w:val="00B63400"/>
    <w:rsid w:val="00B63427"/>
    <w:rsid w:val="00B63508"/>
    <w:rsid w:val="00B63526"/>
    <w:rsid w:val="00B6356E"/>
    <w:rsid w:val="00B635CC"/>
    <w:rsid w:val="00B63635"/>
    <w:rsid w:val="00B63703"/>
    <w:rsid w:val="00B6381B"/>
    <w:rsid w:val="00B63839"/>
    <w:rsid w:val="00B6383A"/>
    <w:rsid w:val="00B63899"/>
    <w:rsid w:val="00B638BA"/>
    <w:rsid w:val="00B638CC"/>
    <w:rsid w:val="00B638E3"/>
    <w:rsid w:val="00B639A0"/>
    <w:rsid w:val="00B639E5"/>
    <w:rsid w:val="00B63A1B"/>
    <w:rsid w:val="00B63AA9"/>
    <w:rsid w:val="00B63AF5"/>
    <w:rsid w:val="00B63C3F"/>
    <w:rsid w:val="00B63C7C"/>
    <w:rsid w:val="00B63DE3"/>
    <w:rsid w:val="00B63E44"/>
    <w:rsid w:val="00B63E64"/>
    <w:rsid w:val="00B63E8B"/>
    <w:rsid w:val="00B63EDF"/>
    <w:rsid w:val="00B63F18"/>
    <w:rsid w:val="00B63F3F"/>
    <w:rsid w:val="00B63F56"/>
    <w:rsid w:val="00B63F6D"/>
    <w:rsid w:val="00B63FA2"/>
    <w:rsid w:val="00B64122"/>
    <w:rsid w:val="00B64169"/>
    <w:rsid w:val="00B641B9"/>
    <w:rsid w:val="00B64261"/>
    <w:rsid w:val="00B64320"/>
    <w:rsid w:val="00B64383"/>
    <w:rsid w:val="00B643F0"/>
    <w:rsid w:val="00B643F9"/>
    <w:rsid w:val="00B64416"/>
    <w:rsid w:val="00B64495"/>
    <w:rsid w:val="00B644A1"/>
    <w:rsid w:val="00B644AD"/>
    <w:rsid w:val="00B644BA"/>
    <w:rsid w:val="00B64552"/>
    <w:rsid w:val="00B64585"/>
    <w:rsid w:val="00B6461C"/>
    <w:rsid w:val="00B6466C"/>
    <w:rsid w:val="00B64670"/>
    <w:rsid w:val="00B64679"/>
    <w:rsid w:val="00B646A9"/>
    <w:rsid w:val="00B646E6"/>
    <w:rsid w:val="00B64726"/>
    <w:rsid w:val="00B64767"/>
    <w:rsid w:val="00B647C8"/>
    <w:rsid w:val="00B647F5"/>
    <w:rsid w:val="00B648C7"/>
    <w:rsid w:val="00B6491A"/>
    <w:rsid w:val="00B6495F"/>
    <w:rsid w:val="00B649A5"/>
    <w:rsid w:val="00B64A00"/>
    <w:rsid w:val="00B64A0A"/>
    <w:rsid w:val="00B64A6C"/>
    <w:rsid w:val="00B64B29"/>
    <w:rsid w:val="00B64BC6"/>
    <w:rsid w:val="00B64BF2"/>
    <w:rsid w:val="00B64C1E"/>
    <w:rsid w:val="00B64C43"/>
    <w:rsid w:val="00B64C5B"/>
    <w:rsid w:val="00B64DC7"/>
    <w:rsid w:val="00B64E3B"/>
    <w:rsid w:val="00B64E4E"/>
    <w:rsid w:val="00B64E88"/>
    <w:rsid w:val="00B64F37"/>
    <w:rsid w:val="00B6508D"/>
    <w:rsid w:val="00B650F3"/>
    <w:rsid w:val="00B652DE"/>
    <w:rsid w:val="00B65405"/>
    <w:rsid w:val="00B65422"/>
    <w:rsid w:val="00B65433"/>
    <w:rsid w:val="00B65440"/>
    <w:rsid w:val="00B65490"/>
    <w:rsid w:val="00B65536"/>
    <w:rsid w:val="00B65570"/>
    <w:rsid w:val="00B655C3"/>
    <w:rsid w:val="00B655D0"/>
    <w:rsid w:val="00B65629"/>
    <w:rsid w:val="00B6568E"/>
    <w:rsid w:val="00B65778"/>
    <w:rsid w:val="00B657F9"/>
    <w:rsid w:val="00B65817"/>
    <w:rsid w:val="00B65822"/>
    <w:rsid w:val="00B6596C"/>
    <w:rsid w:val="00B65A63"/>
    <w:rsid w:val="00B65B03"/>
    <w:rsid w:val="00B65B5D"/>
    <w:rsid w:val="00B65B67"/>
    <w:rsid w:val="00B65B78"/>
    <w:rsid w:val="00B65BAF"/>
    <w:rsid w:val="00B65C22"/>
    <w:rsid w:val="00B65C8F"/>
    <w:rsid w:val="00B65CAD"/>
    <w:rsid w:val="00B65DC2"/>
    <w:rsid w:val="00B65DD7"/>
    <w:rsid w:val="00B65E13"/>
    <w:rsid w:val="00B65E15"/>
    <w:rsid w:val="00B65EA5"/>
    <w:rsid w:val="00B66031"/>
    <w:rsid w:val="00B66052"/>
    <w:rsid w:val="00B660F8"/>
    <w:rsid w:val="00B660FF"/>
    <w:rsid w:val="00B66102"/>
    <w:rsid w:val="00B6617B"/>
    <w:rsid w:val="00B66326"/>
    <w:rsid w:val="00B663D5"/>
    <w:rsid w:val="00B663F6"/>
    <w:rsid w:val="00B6643F"/>
    <w:rsid w:val="00B66449"/>
    <w:rsid w:val="00B664C6"/>
    <w:rsid w:val="00B66546"/>
    <w:rsid w:val="00B66558"/>
    <w:rsid w:val="00B6656F"/>
    <w:rsid w:val="00B6658C"/>
    <w:rsid w:val="00B6660F"/>
    <w:rsid w:val="00B66623"/>
    <w:rsid w:val="00B666B4"/>
    <w:rsid w:val="00B6676B"/>
    <w:rsid w:val="00B6679A"/>
    <w:rsid w:val="00B667C5"/>
    <w:rsid w:val="00B667D0"/>
    <w:rsid w:val="00B66862"/>
    <w:rsid w:val="00B668F0"/>
    <w:rsid w:val="00B6694A"/>
    <w:rsid w:val="00B66958"/>
    <w:rsid w:val="00B669A2"/>
    <w:rsid w:val="00B66A3E"/>
    <w:rsid w:val="00B66A7E"/>
    <w:rsid w:val="00B66AAA"/>
    <w:rsid w:val="00B66B4B"/>
    <w:rsid w:val="00B66B80"/>
    <w:rsid w:val="00B66BB3"/>
    <w:rsid w:val="00B66BB9"/>
    <w:rsid w:val="00B66BFD"/>
    <w:rsid w:val="00B66C34"/>
    <w:rsid w:val="00B66D22"/>
    <w:rsid w:val="00B66D6F"/>
    <w:rsid w:val="00B66E18"/>
    <w:rsid w:val="00B66E1D"/>
    <w:rsid w:val="00B66E8D"/>
    <w:rsid w:val="00B66F0A"/>
    <w:rsid w:val="00B67010"/>
    <w:rsid w:val="00B67032"/>
    <w:rsid w:val="00B670C0"/>
    <w:rsid w:val="00B67143"/>
    <w:rsid w:val="00B67153"/>
    <w:rsid w:val="00B671A8"/>
    <w:rsid w:val="00B6723F"/>
    <w:rsid w:val="00B67277"/>
    <w:rsid w:val="00B67287"/>
    <w:rsid w:val="00B6732F"/>
    <w:rsid w:val="00B6738E"/>
    <w:rsid w:val="00B673B9"/>
    <w:rsid w:val="00B6741D"/>
    <w:rsid w:val="00B6747D"/>
    <w:rsid w:val="00B6750C"/>
    <w:rsid w:val="00B6752A"/>
    <w:rsid w:val="00B67534"/>
    <w:rsid w:val="00B675AF"/>
    <w:rsid w:val="00B675D9"/>
    <w:rsid w:val="00B676F1"/>
    <w:rsid w:val="00B67712"/>
    <w:rsid w:val="00B67732"/>
    <w:rsid w:val="00B67739"/>
    <w:rsid w:val="00B6773E"/>
    <w:rsid w:val="00B677B8"/>
    <w:rsid w:val="00B679F6"/>
    <w:rsid w:val="00B67ACF"/>
    <w:rsid w:val="00B67B0B"/>
    <w:rsid w:val="00B67BBA"/>
    <w:rsid w:val="00B67BDC"/>
    <w:rsid w:val="00B67C2D"/>
    <w:rsid w:val="00B67C45"/>
    <w:rsid w:val="00B67C55"/>
    <w:rsid w:val="00B67CAF"/>
    <w:rsid w:val="00B67CF0"/>
    <w:rsid w:val="00B67DBB"/>
    <w:rsid w:val="00B67E36"/>
    <w:rsid w:val="00B67E4A"/>
    <w:rsid w:val="00B67E5F"/>
    <w:rsid w:val="00B67F2C"/>
    <w:rsid w:val="00B67FCD"/>
    <w:rsid w:val="00B70090"/>
    <w:rsid w:val="00B700E9"/>
    <w:rsid w:val="00B70134"/>
    <w:rsid w:val="00B701F8"/>
    <w:rsid w:val="00B70222"/>
    <w:rsid w:val="00B7025F"/>
    <w:rsid w:val="00B702F3"/>
    <w:rsid w:val="00B70351"/>
    <w:rsid w:val="00B70394"/>
    <w:rsid w:val="00B703D2"/>
    <w:rsid w:val="00B70422"/>
    <w:rsid w:val="00B70479"/>
    <w:rsid w:val="00B704C5"/>
    <w:rsid w:val="00B7050D"/>
    <w:rsid w:val="00B70797"/>
    <w:rsid w:val="00B7087C"/>
    <w:rsid w:val="00B70909"/>
    <w:rsid w:val="00B70A33"/>
    <w:rsid w:val="00B70A75"/>
    <w:rsid w:val="00B70A79"/>
    <w:rsid w:val="00B70CA2"/>
    <w:rsid w:val="00B70CD1"/>
    <w:rsid w:val="00B70CE9"/>
    <w:rsid w:val="00B70D9E"/>
    <w:rsid w:val="00B70DFF"/>
    <w:rsid w:val="00B70F18"/>
    <w:rsid w:val="00B70F1D"/>
    <w:rsid w:val="00B71065"/>
    <w:rsid w:val="00B710FC"/>
    <w:rsid w:val="00B71120"/>
    <w:rsid w:val="00B7140A"/>
    <w:rsid w:val="00B714B3"/>
    <w:rsid w:val="00B715DC"/>
    <w:rsid w:val="00B715F1"/>
    <w:rsid w:val="00B7161A"/>
    <w:rsid w:val="00B716A9"/>
    <w:rsid w:val="00B716EA"/>
    <w:rsid w:val="00B71708"/>
    <w:rsid w:val="00B7172A"/>
    <w:rsid w:val="00B717A3"/>
    <w:rsid w:val="00B717FD"/>
    <w:rsid w:val="00B7181F"/>
    <w:rsid w:val="00B7183E"/>
    <w:rsid w:val="00B718BA"/>
    <w:rsid w:val="00B718E0"/>
    <w:rsid w:val="00B71984"/>
    <w:rsid w:val="00B71A55"/>
    <w:rsid w:val="00B71AA1"/>
    <w:rsid w:val="00B71B0C"/>
    <w:rsid w:val="00B71C91"/>
    <w:rsid w:val="00B71CC8"/>
    <w:rsid w:val="00B71CFD"/>
    <w:rsid w:val="00B71DCA"/>
    <w:rsid w:val="00B71DF1"/>
    <w:rsid w:val="00B71E0C"/>
    <w:rsid w:val="00B71E24"/>
    <w:rsid w:val="00B71E27"/>
    <w:rsid w:val="00B71E42"/>
    <w:rsid w:val="00B71E4E"/>
    <w:rsid w:val="00B71EAC"/>
    <w:rsid w:val="00B72019"/>
    <w:rsid w:val="00B7209F"/>
    <w:rsid w:val="00B72155"/>
    <w:rsid w:val="00B7219D"/>
    <w:rsid w:val="00B7219F"/>
    <w:rsid w:val="00B7224E"/>
    <w:rsid w:val="00B72280"/>
    <w:rsid w:val="00B722E2"/>
    <w:rsid w:val="00B72316"/>
    <w:rsid w:val="00B7233A"/>
    <w:rsid w:val="00B72375"/>
    <w:rsid w:val="00B7237B"/>
    <w:rsid w:val="00B72456"/>
    <w:rsid w:val="00B7250F"/>
    <w:rsid w:val="00B72515"/>
    <w:rsid w:val="00B72524"/>
    <w:rsid w:val="00B725F0"/>
    <w:rsid w:val="00B72600"/>
    <w:rsid w:val="00B72776"/>
    <w:rsid w:val="00B727BE"/>
    <w:rsid w:val="00B7281D"/>
    <w:rsid w:val="00B728DF"/>
    <w:rsid w:val="00B72917"/>
    <w:rsid w:val="00B72984"/>
    <w:rsid w:val="00B72A06"/>
    <w:rsid w:val="00B72A44"/>
    <w:rsid w:val="00B72A90"/>
    <w:rsid w:val="00B72ABA"/>
    <w:rsid w:val="00B72B41"/>
    <w:rsid w:val="00B72B63"/>
    <w:rsid w:val="00B72BB3"/>
    <w:rsid w:val="00B72C47"/>
    <w:rsid w:val="00B72C98"/>
    <w:rsid w:val="00B72CC3"/>
    <w:rsid w:val="00B72CE2"/>
    <w:rsid w:val="00B72D0C"/>
    <w:rsid w:val="00B72D5E"/>
    <w:rsid w:val="00B72E04"/>
    <w:rsid w:val="00B72E17"/>
    <w:rsid w:val="00B72E8A"/>
    <w:rsid w:val="00B72FCB"/>
    <w:rsid w:val="00B73037"/>
    <w:rsid w:val="00B730F7"/>
    <w:rsid w:val="00B730F9"/>
    <w:rsid w:val="00B73197"/>
    <w:rsid w:val="00B731B4"/>
    <w:rsid w:val="00B73246"/>
    <w:rsid w:val="00B73318"/>
    <w:rsid w:val="00B7332A"/>
    <w:rsid w:val="00B73353"/>
    <w:rsid w:val="00B733A5"/>
    <w:rsid w:val="00B73432"/>
    <w:rsid w:val="00B734F4"/>
    <w:rsid w:val="00B73585"/>
    <w:rsid w:val="00B735B2"/>
    <w:rsid w:val="00B7366B"/>
    <w:rsid w:val="00B7379F"/>
    <w:rsid w:val="00B73816"/>
    <w:rsid w:val="00B7381A"/>
    <w:rsid w:val="00B7385D"/>
    <w:rsid w:val="00B7387C"/>
    <w:rsid w:val="00B738D6"/>
    <w:rsid w:val="00B73946"/>
    <w:rsid w:val="00B7396C"/>
    <w:rsid w:val="00B7397D"/>
    <w:rsid w:val="00B73A6B"/>
    <w:rsid w:val="00B73AA8"/>
    <w:rsid w:val="00B73AC0"/>
    <w:rsid w:val="00B73AC3"/>
    <w:rsid w:val="00B73B1A"/>
    <w:rsid w:val="00B73BB9"/>
    <w:rsid w:val="00B73C36"/>
    <w:rsid w:val="00B73C47"/>
    <w:rsid w:val="00B73CB8"/>
    <w:rsid w:val="00B73CBA"/>
    <w:rsid w:val="00B73CDD"/>
    <w:rsid w:val="00B73DA3"/>
    <w:rsid w:val="00B73DEF"/>
    <w:rsid w:val="00B73E28"/>
    <w:rsid w:val="00B73F24"/>
    <w:rsid w:val="00B73F92"/>
    <w:rsid w:val="00B740F5"/>
    <w:rsid w:val="00B7412E"/>
    <w:rsid w:val="00B741FB"/>
    <w:rsid w:val="00B74204"/>
    <w:rsid w:val="00B74227"/>
    <w:rsid w:val="00B7426C"/>
    <w:rsid w:val="00B74281"/>
    <w:rsid w:val="00B742CB"/>
    <w:rsid w:val="00B74305"/>
    <w:rsid w:val="00B74325"/>
    <w:rsid w:val="00B74346"/>
    <w:rsid w:val="00B74360"/>
    <w:rsid w:val="00B744FA"/>
    <w:rsid w:val="00B74578"/>
    <w:rsid w:val="00B745AD"/>
    <w:rsid w:val="00B746AA"/>
    <w:rsid w:val="00B7471D"/>
    <w:rsid w:val="00B74737"/>
    <w:rsid w:val="00B74814"/>
    <w:rsid w:val="00B74926"/>
    <w:rsid w:val="00B74A7A"/>
    <w:rsid w:val="00B74B3E"/>
    <w:rsid w:val="00B74B75"/>
    <w:rsid w:val="00B74B9A"/>
    <w:rsid w:val="00B74BB8"/>
    <w:rsid w:val="00B74BDC"/>
    <w:rsid w:val="00B74E06"/>
    <w:rsid w:val="00B74E7D"/>
    <w:rsid w:val="00B74E9D"/>
    <w:rsid w:val="00B74F3B"/>
    <w:rsid w:val="00B74FA5"/>
    <w:rsid w:val="00B75047"/>
    <w:rsid w:val="00B750BB"/>
    <w:rsid w:val="00B75100"/>
    <w:rsid w:val="00B7513B"/>
    <w:rsid w:val="00B75176"/>
    <w:rsid w:val="00B75194"/>
    <w:rsid w:val="00B751B3"/>
    <w:rsid w:val="00B7531E"/>
    <w:rsid w:val="00B7535D"/>
    <w:rsid w:val="00B753EA"/>
    <w:rsid w:val="00B75402"/>
    <w:rsid w:val="00B7541B"/>
    <w:rsid w:val="00B75465"/>
    <w:rsid w:val="00B754D9"/>
    <w:rsid w:val="00B754F8"/>
    <w:rsid w:val="00B75669"/>
    <w:rsid w:val="00B75684"/>
    <w:rsid w:val="00B756D0"/>
    <w:rsid w:val="00B7577A"/>
    <w:rsid w:val="00B75855"/>
    <w:rsid w:val="00B75868"/>
    <w:rsid w:val="00B75933"/>
    <w:rsid w:val="00B7595F"/>
    <w:rsid w:val="00B759D3"/>
    <w:rsid w:val="00B75AC1"/>
    <w:rsid w:val="00B75B28"/>
    <w:rsid w:val="00B75B4F"/>
    <w:rsid w:val="00B75CF6"/>
    <w:rsid w:val="00B75D03"/>
    <w:rsid w:val="00B75D82"/>
    <w:rsid w:val="00B75D8A"/>
    <w:rsid w:val="00B75E8D"/>
    <w:rsid w:val="00B75F85"/>
    <w:rsid w:val="00B75FE3"/>
    <w:rsid w:val="00B7602B"/>
    <w:rsid w:val="00B76092"/>
    <w:rsid w:val="00B76177"/>
    <w:rsid w:val="00B761F2"/>
    <w:rsid w:val="00B761F8"/>
    <w:rsid w:val="00B7635C"/>
    <w:rsid w:val="00B76364"/>
    <w:rsid w:val="00B76374"/>
    <w:rsid w:val="00B763B8"/>
    <w:rsid w:val="00B763FB"/>
    <w:rsid w:val="00B764C0"/>
    <w:rsid w:val="00B76574"/>
    <w:rsid w:val="00B7657F"/>
    <w:rsid w:val="00B765F6"/>
    <w:rsid w:val="00B76808"/>
    <w:rsid w:val="00B768AF"/>
    <w:rsid w:val="00B76955"/>
    <w:rsid w:val="00B76975"/>
    <w:rsid w:val="00B76A01"/>
    <w:rsid w:val="00B76A8F"/>
    <w:rsid w:val="00B76AB4"/>
    <w:rsid w:val="00B76ACC"/>
    <w:rsid w:val="00B76AD7"/>
    <w:rsid w:val="00B76B05"/>
    <w:rsid w:val="00B76C3E"/>
    <w:rsid w:val="00B76C5F"/>
    <w:rsid w:val="00B76C9D"/>
    <w:rsid w:val="00B76D61"/>
    <w:rsid w:val="00B76D9E"/>
    <w:rsid w:val="00B76DDB"/>
    <w:rsid w:val="00B76E59"/>
    <w:rsid w:val="00B76E5D"/>
    <w:rsid w:val="00B76E79"/>
    <w:rsid w:val="00B76EBE"/>
    <w:rsid w:val="00B76ECB"/>
    <w:rsid w:val="00B77108"/>
    <w:rsid w:val="00B77109"/>
    <w:rsid w:val="00B77146"/>
    <w:rsid w:val="00B771D7"/>
    <w:rsid w:val="00B771E9"/>
    <w:rsid w:val="00B77210"/>
    <w:rsid w:val="00B77273"/>
    <w:rsid w:val="00B772AA"/>
    <w:rsid w:val="00B77314"/>
    <w:rsid w:val="00B7737E"/>
    <w:rsid w:val="00B77383"/>
    <w:rsid w:val="00B77385"/>
    <w:rsid w:val="00B7739A"/>
    <w:rsid w:val="00B773A5"/>
    <w:rsid w:val="00B773D5"/>
    <w:rsid w:val="00B773F4"/>
    <w:rsid w:val="00B77436"/>
    <w:rsid w:val="00B774FC"/>
    <w:rsid w:val="00B77516"/>
    <w:rsid w:val="00B7751E"/>
    <w:rsid w:val="00B775B0"/>
    <w:rsid w:val="00B777DC"/>
    <w:rsid w:val="00B77802"/>
    <w:rsid w:val="00B7781F"/>
    <w:rsid w:val="00B7782A"/>
    <w:rsid w:val="00B7785A"/>
    <w:rsid w:val="00B778DF"/>
    <w:rsid w:val="00B7790C"/>
    <w:rsid w:val="00B77A5B"/>
    <w:rsid w:val="00B77ACC"/>
    <w:rsid w:val="00B77ADC"/>
    <w:rsid w:val="00B77BEB"/>
    <w:rsid w:val="00B77C33"/>
    <w:rsid w:val="00B77C5D"/>
    <w:rsid w:val="00B77CF9"/>
    <w:rsid w:val="00B77D20"/>
    <w:rsid w:val="00B77D22"/>
    <w:rsid w:val="00B77EB8"/>
    <w:rsid w:val="00B77F06"/>
    <w:rsid w:val="00B77F1B"/>
    <w:rsid w:val="00B77F32"/>
    <w:rsid w:val="00B77F35"/>
    <w:rsid w:val="00B77F4B"/>
    <w:rsid w:val="00B77F82"/>
    <w:rsid w:val="00B77F8F"/>
    <w:rsid w:val="00B77FB4"/>
    <w:rsid w:val="00B77FBE"/>
    <w:rsid w:val="00B77FFE"/>
    <w:rsid w:val="00B80078"/>
    <w:rsid w:val="00B80179"/>
    <w:rsid w:val="00B80252"/>
    <w:rsid w:val="00B802C4"/>
    <w:rsid w:val="00B80336"/>
    <w:rsid w:val="00B80337"/>
    <w:rsid w:val="00B8036E"/>
    <w:rsid w:val="00B80390"/>
    <w:rsid w:val="00B803C8"/>
    <w:rsid w:val="00B8040C"/>
    <w:rsid w:val="00B8042F"/>
    <w:rsid w:val="00B8046E"/>
    <w:rsid w:val="00B80515"/>
    <w:rsid w:val="00B805A1"/>
    <w:rsid w:val="00B805AB"/>
    <w:rsid w:val="00B8068C"/>
    <w:rsid w:val="00B80696"/>
    <w:rsid w:val="00B807AA"/>
    <w:rsid w:val="00B80843"/>
    <w:rsid w:val="00B80872"/>
    <w:rsid w:val="00B808C4"/>
    <w:rsid w:val="00B808DA"/>
    <w:rsid w:val="00B8090B"/>
    <w:rsid w:val="00B8091A"/>
    <w:rsid w:val="00B80955"/>
    <w:rsid w:val="00B80994"/>
    <w:rsid w:val="00B809E4"/>
    <w:rsid w:val="00B80A0B"/>
    <w:rsid w:val="00B80A30"/>
    <w:rsid w:val="00B80A51"/>
    <w:rsid w:val="00B80ACB"/>
    <w:rsid w:val="00B80B12"/>
    <w:rsid w:val="00B80B48"/>
    <w:rsid w:val="00B80C66"/>
    <w:rsid w:val="00B80C70"/>
    <w:rsid w:val="00B80C8C"/>
    <w:rsid w:val="00B80D74"/>
    <w:rsid w:val="00B80D85"/>
    <w:rsid w:val="00B80DA5"/>
    <w:rsid w:val="00B80DF7"/>
    <w:rsid w:val="00B80E00"/>
    <w:rsid w:val="00B80E91"/>
    <w:rsid w:val="00B80FB0"/>
    <w:rsid w:val="00B81092"/>
    <w:rsid w:val="00B810C0"/>
    <w:rsid w:val="00B810DE"/>
    <w:rsid w:val="00B811DD"/>
    <w:rsid w:val="00B81267"/>
    <w:rsid w:val="00B8137A"/>
    <w:rsid w:val="00B8138F"/>
    <w:rsid w:val="00B81390"/>
    <w:rsid w:val="00B813CD"/>
    <w:rsid w:val="00B81479"/>
    <w:rsid w:val="00B814AD"/>
    <w:rsid w:val="00B814DD"/>
    <w:rsid w:val="00B8155C"/>
    <w:rsid w:val="00B815A3"/>
    <w:rsid w:val="00B815C2"/>
    <w:rsid w:val="00B815CA"/>
    <w:rsid w:val="00B8160C"/>
    <w:rsid w:val="00B8160F"/>
    <w:rsid w:val="00B8167A"/>
    <w:rsid w:val="00B816A2"/>
    <w:rsid w:val="00B81734"/>
    <w:rsid w:val="00B81781"/>
    <w:rsid w:val="00B817D4"/>
    <w:rsid w:val="00B81872"/>
    <w:rsid w:val="00B818CF"/>
    <w:rsid w:val="00B819F4"/>
    <w:rsid w:val="00B81A1A"/>
    <w:rsid w:val="00B81A8E"/>
    <w:rsid w:val="00B81A95"/>
    <w:rsid w:val="00B81A9D"/>
    <w:rsid w:val="00B81AAF"/>
    <w:rsid w:val="00B81BE7"/>
    <w:rsid w:val="00B81C80"/>
    <w:rsid w:val="00B81CC3"/>
    <w:rsid w:val="00B81D57"/>
    <w:rsid w:val="00B81D77"/>
    <w:rsid w:val="00B81DCB"/>
    <w:rsid w:val="00B81DD5"/>
    <w:rsid w:val="00B81DD8"/>
    <w:rsid w:val="00B81E6B"/>
    <w:rsid w:val="00B81F3B"/>
    <w:rsid w:val="00B81F76"/>
    <w:rsid w:val="00B81FD0"/>
    <w:rsid w:val="00B82069"/>
    <w:rsid w:val="00B82234"/>
    <w:rsid w:val="00B822D5"/>
    <w:rsid w:val="00B8237A"/>
    <w:rsid w:val="00B8238E"/>
    <w:rsid w:val="00B823D2"/>
    <w:rsid w:val="00B8245F"/>
    <w:rsid w:val="00B824CC"/>
    <w:rsid w:val="00B824FD"/>
    <w:rsid w:val="00B82526"/>
    <w:rsid w:val="00B82544"/>
    <w:rsid w:val="00B8261B"/>
    <w:rsid w:val="00B82667"/>
    <w:rsid w:val="00B8267C"/>
    <w:rsid w:val="00B826AC"/>
    <w:rsid w:val="00B82712"/>
    <w:rsid w:val="00B8277A"/>
    <w:rsid w:val="00B82847"/>
    <w:rsid w:val="00B828CD"/>
    <w:rsid w:val="00B828CE"/>
    <w:rsid w:val="00B828F9"/>
    <w:rsid w:val="00B82939"/>
    <w:rsid w:val="00B82A28"/>
    <w:rsid w:val="00B82AD1"/>
    <w:rsid w:val="00B82B05"/>
    <w:rsid w:val="00B82BD7"/>
    <w:rsid w:val="00B82CD1"/>
    <w:rsid w:val="00B82D58"/>
    <w:rsid w:val="00B82D70"/>
    <w:rsid w:val="00B82D76"/>
    <w:rsid w:val="00B82E13"/>
    <w:rsid w:val="00B82E2B"/>
    <w:rsid w:val="00B82E6F"/>
    <w:rsid w:val="00B82EE7"/>
    <w:rsid w:val="00B82F05"/>
    <w:rsid w:val="00B82F0D"/>
    <w:rsid w:val="00B82F33"/>
    <w:rsid w:val="00B82F8F"/>
    <w:rsid w:val="00B82FF8"/>
    <w:rsid w:val="00B830C8"/>
    <w:rsid w:val="00B830CB"/>
    <w:rsid w:val="00B830D3"/>
    <w:rsid w:val="00B830EF"/>
    <w:rsid w:val="00B8310E"/>
    <w:rsid w:val="00B8311A"/>
    <w:rsid w:val="00B83150"/>
    <w:rsid w:val="00B83181"/>
    <w:rsid w:val="00B832C1"/>
    <w:rsid w:val="00B832CD"/>
    <w:rsid w:val="00B83310"/>
    <w:rsid w:val="00B833A0"/>
    <w:rsid w:val="00B833C1"/>
    <w:rsid w:val="00B834C4"/>
    <w:rsid w:val="00B83517"/>
    <w:rsid w:val="00B83580"/>
    <w:rsid w:val="00B835DB"/>
    <w:rsid w:val="00B83617"/>
    <w:rsid w:val="00B83661"/>
    <w:rsid w:val="00B83773"/>
    <w:rsid w:val="00B837C2"/>
    <w:rsid w:val="00B838C0"/>
    <w:rsid w:val="00B838FE"/>
    <w:rsid w:val="00B8393E"/>
    <w:rsid w:val="00B83984"/>
    <w:rsid w:val="00B83AC4"/>
    <w:rsid w:val="00B83BB5"/>
    <w:rsid w:val="00B83BCC"/>
    <w:rsid w:val="00B83C38"/>
    <w:rsid w:val="00B83C62"/>
    <w:rsid w:val="00B83C6B"/>
    <w:rsid w:val="00B83C70"/>
    <w:rsid w:val="00B83CAA"/>
    <w:rsid w:val="00B83D0A"/>
    <w:rsid w:val="00B83D5E"/>
    <w:rsid w:val="00B83D85"/>
    <w:rsid w:val="00B83DB9"/>
    <w:rsid w:val="00B83E21"/>
    <w:rsid w:val="00B83E2E"/>
    <w:rsid w:val="00B83E74"/>
    <w:rsid w:val="00B83E8F"/>
    <w:rsid w:val="00B84038"/>
    <w:rsid w:val="00B84080"/>
    <w:rsid w:val="00B84093"/>
    <w:rsid w:val="00B84117"/>
    <w:rsid w:val="00B8416E"/>
    <w:rsid w:val="00B84203"/>
    <w:rsid w:val="00B84215"/>
    <w:rsid w:val="00B84325"/>
    <w:rsid w:val="00B84395"/>
    <w:rsid w:val="00B843F0"/>
    <w:rsid w:val="00B8440E"/>
    <w:rsid w:val="00B844F3"/>
    <w:rsid w:val="00B8458D"/>
    <w:rsid w:val="00B845CC"/>
    <w:rsid w:val="00B845D1"/>
    <w:rsid w:val="00B845FD"/>
    <w:rsid w:val="00B84765"/>
    <w:rsid w:val="00B847A5"/>
    <w:rsid w:val="00B847FA"/>
    <w:rsid w:val="00B848B2"/>
    <w:rsid w:val="00B84913"/>
    <w:rsid w:val="00B84928"/>
    <w:rsid w:val="00B84965"/>
    <w:rsid w:val="00B849A0"/>
    <w:rsid w:val="00B84A63"/>
    <w:rsid w:val="00B84A69"/>
    <w:rsid w:val="00B84AB7"/>
    <w:rsid w:val="00B84ABD"/>
    <w:rsid w:val="00B84ACE"/>
    <w:rsid w:val="00B84AEB"/>
    <w:rsid w:val="00B84B2B"/>
    <w:rsid w:val="00B84B61"/>
    <w:rsid w:val="00B84B74"/>
    <w:rsid w:val="00B84B8D"/>
    <w:rsid w:val="00B84BB3"/>
    <w:rsid w:val="00B84C91"/>
    <w:rsid w:val="00B84D82"/>
    <w:rsid w:val="00B84DAD"/>
    <w:rsid w:val="00B84E1C"/>
    <w:rsid w:val="00B84E38"/>
    <w:rsid w:val="00B84E9B"/>
    <w:rsid w:val="00B84EE6"/>
    <w:rsid w:val="00B84F8A"/>
    <w:rsid w:val="00B850F0"/>
    <w:rsid w:val="00B85194"/>
    <w:rsid w:val="00B851EF"/>
    <w:rsid w:val="00B8520B"/>
    <w:rsid w:val="00B85223"/>
    <w:rsid w:val="00B852B9"/>
    <w:rsid w:val="00B85363"/>
    <w:rsid w:val="00B853D5"/>
    <w:rsid w:val="00B853DA"/>
    <w:rsid w:val="00B85440"/>
    <w:rsid w:val="00B854B2"/>
    <w:rsid w:val="00B85536"/>
    <w:rsid w:val="00B85563"/>
    <w:rsid w:val="00B85582"/>
    <w:rsid w:val="00B85586"/>
    <w:rsid w:val="00B855C6"/>
    <w:rsid w:val="00B855FB"/>
    <w:rsid w:val="00B85892"/>
    <w:rsid w:val="00B858EA"/>
    <w:rsid w:val="00B859E5"/>
    <w:rsid w:val="00B85A4C"/>
    <w:rsid w:val="00B85A50"/>
    <w:rsid w:val="00B85A9A"/>
    <w:rsid w:val="00B85A9B"/>
    <w:rsid w:val="00B85B81"/>
    <w:rsid w:val="00B85BD3"/>
    <w:rsid w:val="00B85C74"/>
    <w:rsid w:val="00B85CC5"/>
    <w:rsid w:val="00B85D02"/>
    <w:rsid w:val="00B85D83"/>
    <w:rsid w:val="00B85E37"/>
    <w:rsid w:val="00B85F85"/>
    <w:rsid w:val="00B85F9C"/>
    <w:rsid w:val="00B85FC9"/>
    <w:rsid w:val="00B85FD6"/>
    <w:rsid w:val="00B86006"/>
    <w:rsid w:val="00B86008"/>
    <w:rsid w:val="00B8607F"/>
    <w:rsid w:val="00B8608E"/>
    <w:rsid w:val="00B860AF"/>
    <w:rsid w:val="00B86155"/>
    <w:rsid w:val="00B861A5"/>
    <w:rsid w:val="00B86205"/>
    <w:rsid w:val="00B8623E"/>
    <w:rsid w:val="00B863CE"/>
    <w:rsid w:val="00B863CF"/>
    <w:rsid w:val="00B8644F"/>
    <w:rsid w:val="00B8647F"/>
    <w:rsid w:val="00B8648D"/>
    <w:rsid w:val="00B86591"/>
    <w:rsid w:val="00B865B1"/>
    <w:rsid w:val="00B8667E"/>
    <w:rsid w:val="00B866EE"/>
    <w:rsid w:val="00B8674A"/>
    <w:rsid w:val="00B8677A"/>
    <w:rsid w:val="00B867A0"/>
    <w:rsid w:val="00B867BF"/>
    <w:rsid w:val="00B867DF"/>
    <w:rsid w:val="00B86838"/>
    <w:rsid w:val="00B86869"/>
    <w:rsid w:val="00B86871"/>
    <w:rsid w:val="00B8688D"/>
    <w:rsid w:val="00B8694A"/>
    <w:rsid w:val="00B86977"/>
    <w:rsid w:val="00B8697B"/>
    <w:rsid w:val="00B86997"/>
    <w:rsid w:val="00B869DD"/>
    <w:rsid w:val="00B869F3"/>
    <w:rsid w:val="00B86A0C"/>
    <w:rsid w:val="00B86A29"/>
    <w:rsid w:val="00B86AC5"/>
    <w:rsid w:val="00B86AEC"/>
    <w:rsid w:val="00B86B8F"/>
    <w:rsid w:val="00B86B95"/>
    <w:rsid w:val="00B86C11"/>
    <w:rsid w:val="00B86C2F"/>
    <w:rsid w:val="00B86C91"/>
    <w:rsid w:val="00B86D8D"/>
    <w:rsid w:val="00B86DF7"/>
    <w:rsid w:val="00B86E12"/>
    <w:rsid w:val="00B86E6E"/>
    <w:rsid w:val="00B86E7F"/>
    <w:rsid w:val="00B86E9D"/>
    <w:rsid w:val="00B86EA4"/>
    <w:rsid w:val="00B86FAD"/>
    <w:rsid w:val="00B87055"/>
    <w:rsid w:val="00B870B2"/>
    <w:rsid w:val="00B87117"/>
    <w:rsid w:val="00B8717A"/>
    <w:rsid w:val="00B8719B"/>
    <w:rsid w:val="00B87202"/>
    <w:rsid w:val="00B87250"/>
    <w:rsid w:val="00B872A1"/>
    <w:rsid w:val="00B872EA"/>
    <w:rsid w:val="00B873BC"/>
    <w:rsid w:val="00B874AC"/>
    <w:rsid w:val="00B874C2"/>
    <w:rsid w:val="00B874FE"/>
    <w:rsid w:val="00B87611"/>
    <w:rsid w:val="00B87675"/>
    <w:rsid w:val="00B87797"/>
    <w:rsid w:val="00B877CD"/>
    <w:rsid w:val="00B877DA"/>
    <w:rsid w:val="00B87806"/>
    <w:rsid w:val="00B87859"/>
    <w:rsid w:val="00B87933"/>
    <w:rsid w:val="00B879BC"/>
    <w:rsid w:val="00B87A18"/>
    <w:rsid w:val="00B87A66"/>
    <w:rsid w:val="00B87A81"/>
    <w:rsid w:val="00B87B52"/>
    <w:rsid w:val="00B87BC2"/>
    <w:rsid w:val="00B87C97"/>
    <w:rsid w:val="00B87CB9"/>
    <w:rsid w:val="00B87D08"/>
    <w:rsid w:val="00B87D44"/>
    <w:rsid w:val="00B87E76"/>
    <w:rsid w:val="00B87F73"/>
    <w:rsid w:val="00B87FDD"/>
    <w:rsid w:val="00B87FE6"/>
    <w:rsid w:val="00B901CC"/>
    <w:rsid w:val="00B902A1"/>
    <w:rsid w:val="00B902AA"/>
    <w:rsid w:val="00B902BF"/>
    <w:rsid w:val="00B902DA"/>
    <w:rsid w:val="00B903B6"/>
    <w:rsid w:val="00B904AC"/>
    <w:rsid w:val="00B904FA"/>
    <w:rsid w:val="00B90573"/>
    <w:rsid w:val="00B905AB"/>
    <w:rsid w:val="00B905B9"/>
    <w:rsid w:val="00B905D0"/>
    <w:rsid w:val="00B905FA"/>
    <w:rsid w:val="00B90687"/>
    <w:rsid w:val="00B906B5"/>
    <w:rsid w:val="00B907C0"/>
    <w:rsid w:val="00B908BC"/>
    <w:rsid w:val="00B90948"/>
    <w:rsid w:val="00B90985"/>
    <w:rsid w:val="00B90A00"/>
    <w:rsid w:val="00B90A03"/>
    <w:rsid w:val="00B90A6D"/>
    <w:rsid w:val="00B90A9D"/>
    <w:rsid w:val="00B90AB8"/>
    <w:rsid w:val="00B90AEB"/>
    <w:rsid w:val="00B90B22"/>
    <w:rsid w:val="00B90C34"/>
    <w:rsid w:val="00B90C49"/>
    <w:rsid w:val="00B90C7C"/>
    <w:rsid w:val="00B90CA2"/>
    <w:rsid w:val="00B90DAF"/>
    <w:rsid w:val="00B90DEB"/>
    <w:rsid w:val="00B90E29"/>
    <w:rsid w:val="00B90E32"/>
    <w:rsid w:val="00B90E34"/>
    <w:rsid w:val="00B90E60"/>
    <w:rsid w:val="00B90E66"/>
    <w:rsid w:val="00B90E6D"/>
    <w:rsid w:val="00B90E91"/>
    <w:rsid w:val="00B90F5B"/>
    <w:rsid w:val="00B91018"/>
    <w:rsid w:val="00B9101D"/>
    <w:rsid w:val="00B910CE"/>
    <w:rsid w:val="00B91236"/>
    <w:rsid w:val="00B91287"/>
    <w:rsid w:val="00B9128E"/>
    <w:rsid w:val="00B9132D"/>
    <w:rsid w:val="00B91388"/>
    <w:rsid w:val="00B913C0"/>
    <w:rsid w:val="00B91416"/>
    <w:rsid w:val="00B91423"/>
    <w:rsid w:val="00B91466"/>
    <w:rsid w:val="00B9147F"/>
    <w:rsid w:val="00B91529"/>
    <w:rsid w:val="00B9158C"/>
    <w:rsid w:val="00B9170E"/>
    <w:rsid w:val="00B91727"/>
    <w:rsid w:val="00B91846"/>
    <w:rsid w:val="00B9187D"/>
    <w:rsid w:val="00B9188B"/>
    <w:rsid w:val="00B91894"/>
    <w:rsid w:val="00B918FA"/>
    <w:rsid w:val="00B91940"/>
    <w:rsid w:val="00B91994"/>
    <w:rsid w:val="00B91A08"/>
    <w:rsid w:val="00B91A1C"/>
    <w:rsid w:val="00B91A7D"/>
    <w:rsid w:val="00B91B2C"/>
    <w:rsid w:val="00B91B2D"/>
    <w:rsid w:val="00B91BB9"/>
    <w:rsid w:val="00B91C66"/>
    <w:rsid w:val="00B91C98"/>
    <w:rsid w:val="00B91CC2"/>
    <w:rsid w:val="00B91D9E"/>
    <w:rsid w:val="00B91DDC"/>
    <w:rsid w:val="00B91E83"/>
    <w:rsid w:val="00B91EBB"/>
    <w:rsid w:val="00B91F41"/>
    <w:rsid w:val="00B91F62"/>
    <w:rsid w:val="00B91F6A"/>
    <w:rsid w:val="00B92053"/>
    <w:rsid w:val="00B92098"/>
    <w:rsid w:val="00B92179"/>
    <w:rsid w:val="00B921DD"/>
    <w:rsid w:val="00B9221D"/>
    <w:rsid w:val="00B92356"/>
    <w:rsid w:val="00B9237B"/>
    <w:rsid w:val="00B923B7"/>
    <w:rsid w:val="00B923DB"/>
    <w:rsid w:val="00B92410"/>
    <w:rsid w:val="00B9246B"/>
    <w:rsid w:val="00B924CD"/>
    <w:rsid w:val="00B924D2"/>
    <w:rsid w:val="00B92509"/>
    <w:rsid w:val="00B9253E"/>
    <w:rsid w:val="00B92584"/>
    <w:rsid w:val="00B9266C"/>
    <w:rsid w:val="00B927A2"/>
    <w:rsid w:val="00B92810"/>
    <w:rsid w:val="00B92897"/>
    <w:rsid w:val="00B9292F"/>
    <w:rsid w:val="00B9294F"/>
    <w:rsid w:val="00B92A34"/>
    <w:rsid w:val="00B92A3C"/>
    <w:rsid w:val="00B92B79"/>
    <w:rsid w:val="00B92BFE"/>
    <w:rsid w:val="00B92C79"/>
    <w:rsid w:val="00B92CE8"/>
    <w:rsid w:val="00B92D04"/>
    <w:rsid w:val="00B92D7C"/>
    <w:rsid w:val="00B92DE4"/>
    <w:rsid w:val="00B92DF1"/>
    <w:rsid w:val="00B92E0B"/>
    <w:rsid w:val="00B92E5B"/>
    <w:rsid w:val="00B92E60"/>
    <w:rsid w:val="00B92E98"/>
    <w:rsid w:val="00B92E9A"/>
    <w:rsid w:val="00B92F18"/>
    <w:rsid w:val="00B92F25"/>
    <w:rsid w:val="00B92F3F"/>
    <w:rsid w:val="00B92FAA"/>
    <w:rsid w:val="00B92FB5"/>
    <w:rsid w:val="00B92FBC"/>
    <w:rsid w:val="00B93156"/>
    <w:rsid w:val="00B93257"/>
    <w:rsid w:val="00B9326B"/>
    <w:rsid w:val="00B9326D"/>
    <w:rsid w:val="00B932A9"/>
    <w:rsid w:val="00B9333C"/>
    <w:rsid w:val="00B93467"/>
    <w:rsid w:val="00B934C0"/>
    <w:rsid w:val="00B934D7"/>
    <w:rsid w:val="00B93506"/>
    <w:rsid w:val="00B93514"/>
    <w:rsid w:val="00B93522"/>
    <w:rsid w:val="00B935DB"/>
    <w:rsid w:val="00B93722"/>
    <w:rsid w:val="00B9377A"/>
    <w:rsid w:val="00B937AB"/>
    <w:rsid w:val="00B9389D"/>
    <w:rsid w:val="00B938BA"/>
    <w:rsid w:val="00B93927"/>
    <w:rsid w:val="00B93929"/>
    <w:rsid w:val="00B93A00"/>
    <w:rsid w:val="00B93A14"/>
    <w:rsid w:val="00B93AFA"/>
    <w:rsid w:val="00B93B01"/>
    <w:rsid w:val="00B93B69"/>
    <w:rsid w:val="00B93C09"/>
    <w:rsid w:val="00B93C1C"/>
    <w:rsid w:val="00B93C25"/>
    <w:rsid w:val="00B93C3D"/>
    <w:rsid w:val="00B93C6C"/>
    <w:rsid w:val="00B93C96"/>
    <w:rsid w:val="00B93DE8"/>
    <w:rsid w:val="00B93DFF"/>
    <w:rsid w:val="00B93E9F"/>
    <w:rsid w:val="00B93EDD"/>
    <w:rsid w:val="00B93F09"/>
    <w:rsid w:val="00B93F1D"/>
    <w:rsid w:val="00B93F24"/>
    <w:rsid w:val="00B93F3E"/>
    <w:rsid w:val="00B93F5E"/>
    <w:rsid w:val="00B93FBD"/>
    <w:rsid w:val="00B9403F"/>
    <w:rsid w:val="00B94055"/>
    <w:rsid w:val="00B940A0"/>
    <w:rsid w:val="00B9413C"/>
    <w:rsid w:val="00B9418F"/>
    <w:rsid w:val="00B941B7"/>
    <w:rsid w:val="00B941CD"/>
    <w:rsid w:val="00B941D4"/>
    <w:rsid w:val="00B941F2"/>
    <w:rsid w:val="00B9425A"/>
    <w:rsid w:val="00B94295"/>
    <w:rsid w:val="00B942C0"/>
    <w:rsid w:val="00B9432A"/>
    <w:rsid w:val="00B94341"/>
    <w:rsid w:val="00B9434B"/>
    <w:rsid w:val="00B943D6"/>
    <w:rsid w:val="00B94433"/>
    <w:rsid w:val="00B94467"/>
    <w:rsid w:val="00B944CF"/>
    <w:rsid w:val="00B94526"/>
    <w:rsid w:val="00B9458D"/>
    <w:rsid w:val="00B946C7"/>
    <w:rsid w:val="00B947B6"/>
    <w:rsid w:val="00B947DD"/>
    <w:rsid w:val="00B947E1"/>
    <w:rsid w:val="00B9484D"/>
    <w:rsid w:val="00B9490B"/>
    <w:rsid w:val="00B94A21"/>
    <w:rsid w:val="00B94B0D"/>
    <w:rsid w:val="00B94B74"/>
    <w:rsid w:val="00B94B9E"/>
    <w:rsid w:val="00B94BBA"/>
    <w:rsid w:val="00B94D05"/>
    <w:rsid w:val="00B94D6C"/>
    <w:rsid w:val="00B94DCA"/>
    <w:rsid w:val="00B94E2F"/>
    <w:rsid w:val="00B94F76"/>
    <w:rsid w:val="00B94F8B"/>
    <w:rsid w:val="00B94F91"/>
    <w:rsid w:val="00B94FBB"/>
    <w:rsid w:val="00B95003"/>
    <w:rsid w:val="00B95068"/>
    <w:rsid w:val="00B9506C"/>
    <w:rsid w:val="00B95085"/>
    <w:rsid w:val="00B95156"/>
    <w:rsid w:val="00B9517A"/>
    <w:rsid w:val="00B951D5"/>
    <w:rsid w:val="00B952B3"/>
    <w:rsid w:val="00B952ED"/>
    <w:rsid w:val="00B9532D"/>
    <w:rsid w:val="00B9533A"/>
    <w:rsid w:val="00B95354"/>
    <w:rsid w:val="00B953AF"/>
    <w:rsid w:val="00B9542B"/>
    <w:rsid w:val="00B954C5"/>
    <w:rsid w:val="00B9559F"/>
    <w:rsid w:val="00B955B9"/>
    <w:rsid w:val="00B9562F"/>
    <w:rsid w:val="00B9568C"/>
    <w:rsid w:val="00B95799"/>
    <w:rsid w:val="00B957C7"/>
    <w:rsid w:val="00B958C4"/>
    <w:rsid w:val="00B959BE"/>
    <w:rsid w:val="00B959C3"/>
    <w:rsid w:val="00B959ED"/>
    <w:rsid w:val="00B95A48"/>
    <w:rsid w:val="00B95B28"/>
    <w:rsid w:val="00B95BD7"/>
    <w:rsid w:val="00B95C23"/>
    <w:rsid w:val="00B95C4B"/>
    <w:rsid w:val="00B95D71"/>
    <w:rsid w:val="00B95E2B"/>
    <w:rsid w:val="00B95E9B"/>
    <w:rsid w:val="00B95F6B"/>
    <w:rsid w:val="00B960F0"/>
    <w:rsid w:val="00B96226"/>
    <w:rsid w:val="00B96378"/>
    <w:rsid w:val="00B96411"/>
    <w:rsid w:val="00B9647C"/>
    <w:rsid w:val="00B96648"/>
    <w:rsid w:val="00B96676"/>
    <w:rsid w:val="00B96705"/>
    <w:rsid w:val="00B9687D"/>
    <w:rsid w:val="00B9693D"/>
    <w:rsid w:val="00B969A0"/>
    <w:rsid w:val="00B96A1C"/>
    <w:rsid w:val="00B96B86"/>
    <w:rsid w:val="00B96BC2"/>
    <w:rsid w:val="00B96C1D"/>
    <w:rsid w:val="00B96C23"/>
    <w:rsid w:val="00B96C60"/>
    <w:rsid w:val="00B96CD5"/>
    <w:rsid w:val="00B96E9D"/>
    <w:rsid w:val="00B96EDF"/>
    <w:rsid w:val="00B96EE7"/>
    <w:rsid w:val="00B97013"/>
    <w:rsid w:val="00B97068"/>
    <w:rsid w:val="00B970DF"/>
    <w:rsid w:val="00B97133"/>
    <w:rsid w:val="00B97175"/>
    <w:rsid w:val="00B971A7"/>
    <w:rsid w:val="00B971AD"/>
    <w:rsid w:val="00B971C4"/>
    <w:rsid w:val="00B97386"/>
    <w:rsid w:val="00B97467"/>
    <w:rsid w:val="00B97510"/>
    <w:rsid w:val="00B97571"/>
    <w:rsid w:val="00B975AC"/>
    <w:rsid w:val="00B975C9"/>
    <w:rsid w:val="00B97648"/>
    <w:rsid w:val="00B976DF"/>
    <w:rsid w:val="00B97775"/>
    <w:rsid w:val="00B97785"/>
    <w:rsid w:val="00B977B3"/>
    <w:rsid w:val="00B978B2"/>
    <w:rsid w:val="00B978E6"/>
    <w:rsid w:val="00B97971"/>
    <w:rsid w:val="00B97A4D"/>
    <w:rsid w:val="00B97A6D"/>
    <w:rsid w:val="00B97A8A"/>
    <w:rsid w:val="00B97AA1"/>
    <w:rsid w:val="00B97AEB"/>
    <w:rsid w:val="00B97C0C"/>
    <w:rsid w:val="00B97C3A"/>
    <w:rsid w:val="00B97D1D"/>
    <w:rsid w:val="00B97DA5"/>
    <w:rsid w:val="00B97DEF"/>
    <w:rsid w:val="00B97E60"/>
    <w:rsid w:val="00B97E98"/>
    <w:rsid w:val="00B97FFD"/>
    <w:rsid w:val="00BA00DB"/>
    <w:rsid w:val="00BA0264"/>
    <w:rsid w:val="00BA0266"/>
    <w:rsid w:val="00BA0338"/>
    <w:rsid w:val="00BA0344"/>
    <w:rsid w:val="00BA036B"/>
    <w:rsid w:val="00BA039A"/>
    <w:rsid w:val="00BA0419"/>
    <w:rsid w:val="00BA0423"/>
    <w:rsid w:val="00BA0441"/>
    <w:rsid w:val="00BA048A"/>
    <w:rsid w:val="00BA0492"/>
    <w:rsid w:val="00BA04CC"/>
    <w:rsid w:val="00BA04F5"/>
    <w:rsid w:val="00BA056E"/>
    <w:rsid w:val="00BA058D"/>
    <w:rsid w:val="00BA061C"/>
    <w:rsid w:val="00BA062F"/>
    <w:rsid w:val="00BA0644"/>
    <w:rsid w:val="00BA064A"/>
    <w:rsid w:val="00BA072A"/>
    <w:rsid w:val="00BA0733"/>
    <w:rsid w:val="00BA077C"/>
    <w:rsid w:val="00BA07C6"/>
    <w:rsid w:val="00BA0867"/>
    <w:rsid w:val="00BA0868"/>
    <w:rsid w:val="00BA08F9"/>
    <w:rsid w:val="00BA09B3"/>
    <w:rsid w:val="00BA0A5C"/>
    <w:rsid w:val="00BA0A88"/>
    <w:rsid w:val="00BA0AAA"/>
    <w:rsid w:val="00BA0B6E"/>
    <w:rsid w:val="00BA0C35"/>
    <w:rsid w:val="00BA0CC4"/>
    <w:rsid w:val="00BA0CEF"/>
    <w:rsid w:val="00BA0D3C"/>
    <w:rsid w:val="00BA0DEC"/>
    <w:rsid w:val="00BA0E02"/>
    <w:rsid w:val="00BA0E0E"/>
    <w:rsid w:val="00BA0E20"/>
    <w:rsid w:val="00BA0F05"/>
    <w:rsid w:val="00BA0F52"/>
    <w:rsid w:val="00BA1023"/>
    <w:rsid w:val="00BA1049"/>
    <w:rsid w:val="00BA1226"/>
    <w:rsid w:val="00BA1229"/>
    <w:rsid w:val="00BA13A7"/>
    <w:rsid w:val="00BA13C5"/>
    <w:rsid w:val="00BA140D"/>
    <w:rsid w:val="00BA1455"/>
    <w:rsid w:val="00BA1482"/>
    <w:rsid w:val="00BA14BC"/>
    <w:rsid w:val="00BA14CD"/>
    <w:rsid w:val="00BA14E5"/>
    <w:rsid w:val="00BA1559"/>
    <w:rsid w:val="00BA155D"/>
    <w:rsid w:val="00BA15D9"/>
    <w:rsid w:val="00BA1613"/>
    <w:rsid w:val="00BA16C6"/>
    <w:rsid w:val="00BA1759"/>
    <w:rsid w:val="00BA1790"/>
    <w:rsid w:val="00BA1798"/>
    <w:rsid w:val="00BA17B6"/>
    <w:rsid w:val="00BA17C5"/>
    <w:rsid w:val="00BA1862"/>
    <w:rsid w:val="00BA19C1"/>
    <w:rsid w:val="00BA1ABC"/>
    <w:rsid w:val="00BA1B30"/>
    <w:rsid w:val="00BA1B35"/>
    <w:rsid w:val="00BA1B8D"/>
    <w:rsid w:val="00BA1BFC"/>
    <w:rsid w:val="00BA1C9E"/>
    <w:rsid w:val="00BA1CB1"/>
    <w:rsid w:val="00BA1D14"/>
    <w:rsid w:val="00BA1D2B"/>
    <w:rsid w:val="00BA1D41"/>
    <w:rsid w:val="00BA1E27"/>
    <w:rsid w:val="00BA1E40"/>
    <w:rsid w:val="00BA1F0B"/>
    <w:rsid w:val="00BA1F14"/>
    <w:rsid w:val="00BA20B3"/>
    <w:rsid w:val="00BA20BC"/>
    <w:rsid w:val="00BA20BD"/>
    <w:rsid w:val="00BA2156"/>
    <w:rsid w:val="00BA21CF"/>
    <w:rsid w:val="00BA221A"/>
    <w:rsid w:val="00BA228D"/>
    <w:rsid w:val="00BA236E"/>
    <w:rsid w:val="00BA2395"/>
    <w:rsid w:val="00BA2406"/>
    <w:rsid w:val="00BA249F"/>
    <w:rsid w:val="00BA25F5"/>
    <w:rsid w:val="00BA263E"/>
    <w:rsid w:val="00BA26A8"/>
    <w:rsid w:val="00BA2737"/>
    <w:rsid w:val="00BA27BF"/>
    <w:rsid w:val="00BA28C1"/>
    <w:rsid w:val="00BA2931"/>
    <w:rsid w:val="00BA2972"/>
    <w:rsid w:val="00BA2A63"/>
    <w:rsid w:val="00BA2ABF"/>
    <w:rsid w:val="00BA2AD0"/>
    <w:rsid w:val="00BA2AE4"/>
    <w:rsid w:val="00BA2D12"/>
    <w:rsid w:val="00BA2D26"/>
    <w:rsid w:val="00BA2D33"/>
    <w:rsid w:val="00BA2DFC"/>
    <w:rsid w:val="00BA2E6F"/>
    <w:rsid w:val="00BA2F79"/>
    <w:rsid w:val="00BA2FAA"/>
    <w:rsid w:val="00BA2FCC"/>
    <w:rsid w:val="00BA3083"/>
    <w:rsid w:val="00BA313E"/>
    <w:rsid w:val="00BA315F"/>
    <w:rsid w:val="00BA316C"/>
    <w:rsid w:val="00BA31B4"/>
    <w:rsid w:val="00BA31EF"/>
    <w:rsid w:val="00BA3288"/>
    <w:rsid w:val="00BA3420"/>
    <w:rsid w:val="00BA34FC"/>
    <w:rsid w:val="00BA350B"/>
    <w:rsid w:val="00BA3515"/>
    <w:rsid w:val="00BA3536"/>
    <w:rsid w:val="00BA355C"/>
    <w:rsid w:val="00BA3681"/>
    <w:rsid w:val="00BA36CC"/>
    <w:rsid w:val="00BA3748"/>
    <w:rsid w:val="00BA37EB"/>
    <w:rsid w:val="00BA386E"/>
    <w:rsid w:val="00BA38B2"/>
    <w:rsid w:val="00BA3903"/>
    <w:rsid w:val="00BA3910"/>
    <w:rsid w:val="00BA39BB"/>
    <w:rsid w:val="00BA39DD"/>
    <w:rsid w:val="00BA3A1B"/>
    <w:rsid w:val="00BA3AC8"/>
    <w:rsid w:val="00BA3ADF"/>
    <w:rsid w:val="00BA3B48"/>
    <w:rsid w:val="00BA3D39"/>
    <w:rsid w:val="00BA3DE4"/>
    <w:rsid w:val="00BA3E54"/>
    <w:rsid w:val="00BA3E69"/>
    <w:rsid w:val="00BA3E7B"/>
    <w:rsid w:val="00BA3E8A"/>
    <w:rsid w:val="00BA3EA0"/>
    <w:rsid w:val="00BA3EA9"/>
    <w:rsid w:val="00BA3F19"/>
    <w:rsid w:val="00BA3F6F"/>
    <w:rsid w:val="00BA3F8D"/>
    <w:rsid w:val="00BA3F9F"/>
    <w:rsid w:val="00BA4037"/>
    <w:rsid w:val="00BA40A6"/>
    <w:rsid w:val="00BA40E6"/>
    <w:rsid w:val="00BA41C1"/>
    <w:rsid w:val="00BA41C7"/>
    <w:rsid w:val="00BA4258"/>
    <w:rsid w:val="00BA42EC"/>
    <w:rsid w:val="00BA4355"/>
    <w:rsid w:val="00BA43A3"/>
    <w:rsid w:val="00BA4441"/>
    <w:rsid w:val="00BA44FD"/>
    <w:rsid w:val="00BA45C7"/>
    <w:rsid w:val="00BA45D4"/>
    <w:rsid w:val="00BA45FE"/>
    <w:rsid w:val="00BA461F"/>
    <w:rsid w:val="00BA464D"/>
    <w:rsid w:val="00BA468C"/>
    <w:rsid w:val="00BA46BD"/>
    <w:rsid w:val="00BA46C9"/>
    <w:rsid w:val="00BA473F"/>
    <w:rsid w:val="00BA47A9"/>
    <w:rsid w:val="00BA4815"/>
    <w:rsid w:val="00BA486A"/>
    <w:rsid w:val="00BA48BA"/>
    <w:rsid w:val="00BA49E9"/>
    <w:rsid w:val="00BA49F6"/>
    <w:rsid w:val="00BA4A39"/>
    <w:rsid w:val="00BA4A9B"/>
    <w:rsid w:val="00BA4B36"/>
    <w:rsid w:val="00BA4BCE"/>
    <w:rsid w:val="00BA4BD2"/>
    <w:rsid w:val="00BA4D60"/>
    <w:rsid w:val="00BA4D83"/>
    <w:rsid w:val="00BA4E00"/>
    <w:rsid w:val="00BA4E27"/>
    <w:rsid w:val="00BA4F57"/>
    <w:rsid w:val="00BA4F9D"/>
    <w:rsid w:val="00BA4FCC"/>
    <w:rsid w:val="00BA4FF0"/>
    <w:rsid w:val="00BA509B"/>
    <w:rsid w:val="00BA50B6"/>
    <w:rsid w:val="00BA510E"/>
    <w:rsid w:val="00BA515C"/>
    <w:rsid w:val="00BA5179"/>
    <w:rsid w:val="00BA51C7"/>
    <w:rsid w:val="00BA51F2"/>
    <w:rsid w:val="00BA5287"/>
    <w:rsid w:val="00BA52E3"/>
    <w:rsid w:val="00BA5332"/>
    <w:rsid w:val="00BA53CA"/>
    <w:rsid w:val="00BA5409"/>
    <w:rsid w:val="00BA5458"/>
    <w:rsid w:val="00BA54E2"/>
    <w:rsid w:val="00BA5520"/>
    <w:rsid w:val="00BA554B"/>
    <w:rsid w:val="00BA55BA"/>
    <w:rsid w:val="00BA55BF"/>
    <w:rsid w:val="00BA5643"/>
    <w:rsid w:val="00BA5763"/>
    <w:rsid w:val="00BA577A"/>
    <w:rsid w:val="00BA57E7"/>
    <w:rsid w:val="00BA5903"/>
    <w:rsid w:val="00BA5909"/>
    <w:rsid w:val="00BA59B1"/>
    <w:rsid w:val="00BA5A2F"/>
    <w:rsid w:val="00BA5A5C"/>
    <w:rsid w:val="00BA5B1B"/>
    <w:rsid w:val="00BA5B3F"/>
    <w:rsid w:val="00BA5B45"/>
    <w:rsid w:val="00BA5B8E"/>
    <w:rsid w:val="00BA5B98"/>
    <w:rsid w:val="00BA5B9B"/>
    <w:rsid w:val="00BA5BC8"/>
    <w:rsid w:val="00BA5C88"/>
    <w:rsid w:val="00BA5C91"/>
    <w:rsid w:val="00BA5D01"/>
    <w:rsid w:val="00BA5D2E"/>
    <w:rsid w:val="00BA5DBA"/>
    <w:rsid w:val="00BA5DD8"/>
    <w:rsid w:val="00BA5E60"/>
    <w:rsid w:val="00BA5E7C"/>
    <w:rsid w:val="00BA5E9E"/>
    <w:rsid w:val="00BA5F38"/>
    <w:rsid w:val="00BA5FEC"/>
    <w:rsid w:val="00BA6030"/>
    <w:rsid w:val="00BA6063"/>
    <w:rsid w:val="00BA6160"/>
    <w:rsid w:val="00BA616F"/>
    <w:rsid w:val="00BA6198"/>
    <w:rsid w:val="00BA61FF"/>
    <w:rsid w:val="00BA626C"/>
    <w:rsid w:val="00BA6392"/>
    <w:rsid w:val="00BA63D4"/>
    <w:rsid w:val="00BA64AF"/>
    <w:rsid w:val="00BA6550"/>
    <w:rsid w:val="00BA655C"/>
    <w:rsid w:val="00BA656B"/>
    <w:rsid w:val="00BA6667"/>
    <w:rsid w:val="00BA6754"/>
    <w:rsid w:val="00BA678C"/>
    <w:rsid w:val="00BA679A"/>
    <w:rsid w:val="00BA67DE"/>
    <w:rsid w:val="00BA67E6"/>
    <w:rsid w:val="00BA68A1"/>
    <w:rsid w:val="00BA68C1"/>
    <w:rsid w:val="00BA69BE"/>
    <w:rsid w:val="00BA69FA"/>
    <w:rsid w:val="00BA6A1E"/>
    <w:rsid w:val="00BA6A4F"/>
    <w:rsid w:val="00BA6B4E"/>
    <w:rsid w:val="00BA6BB1"/>
    <w:rsid w:val="00BA6D7C"/>
    <w:rsid w:val="00BA6D9E"/>
    <w:rsid w:val="00BA6E08"/>
    <w:rsid w:val="00BA6E0B"/>
    <w:rsid w:val="00BA6E22"/>
    <w:rsid w:val="00BA6E83"/>
    <w:rsid w:val="00BA6EA2"/>
    <w:rsid w:val="00BA6EF8"/>
    <w:rsid w:val="00BA701C"/>
    <w:rsid w:val="00BA7040"/>
    <w:rsid w:val="00BA705A"/>
    <w:rsid w:val="00BA7150"/>
    <w:rsid w:val="00BA71B3"/>
    <w:rsid w:val="00BA71E8"/>
    <w:rsid w:val="00BA7243"/>
    <w:rsid w:val="00BA73A8"/>
    <w:rsid w:val="00BA74C5"/>
    <w:rsid w:val="00BA751B"/>
    <w:rsid w:val="00BA7569"/>
    <w:rsid w:val="00BA75AB"/>
    <w:rsid w:val="00BA76BE"/>
    <w:rsid w:val="00BA772A"/>
    <w:rsid w:val="00BA7783"/>
    <w:rsid w:val="00BA77B2"/>
    <w:rsid w:val="00BA793F"/>
    <w:rsid w:val="00BA7944"/>
    <w:rsid w:val="00BA7954"/>
    <w:rsid w:val="00BA79A1"/>
    <w:rsid w:val="00BA7A17"/>
    <w:rsid w:val="00BA7A23"/>
    <w:rsid w:val="00BA7AAB"/>
    <w:rsid w:val="00BA7AC9"/>
    <w:rsid w:val="00BA7ADF"/>
    <w:rsid w:val="00BA7B54"/>
    <w:rsid w:val="00BA7C85"/>
    <w:rsid w:val="00BA7D93"/>
    <w:rsid w:val="00BA7E0A"/>
    <w:rsid w:val="00BA7E9B"/>
    <w:rsid w:val="00BA7EA0"/>
    <w:rsid w:val="00BA7EA2"/>
    <w:rsid w:val="00BA7EB7"/>
    <w:rsid w:val="00BA7F1A"/>
    <w:rsid w:val="00BA7F2A"/>
    <w:rsid w:val="00BA7F3F"/>
    <w:rsid w:val="00BAE0E3"/>
    <w:rsid w:val="00BB0009"/>
    <w:rsid w:val="00BB004C"/>
    <w:rsid w:val="00BB0112"/>
    <w:rsid w:val="00BB021B"/>
    <w:rsid w:val="00BB0239"/>
    <w:rsid w:val="00BB0358"/>
    <w:rsid w:val="00BB03C6"/>
    <w:rsid w:val="00BB0418"/>
    <w:rsid w:val="00BB0421"/>
    <w:rsid w:val="00BB04C4"/>
    <w:rsid w:val="00BB0598"/>
    <w:rsid w:val="00BB061C"/>
    <w:rsid w:val="00BB0646"/>
    <w:rsid w:val="00BB06AF"/>
    <w:rsid w:val="00BB06FC"/>
    <w:rsid w:val="00BB0945"/>
    <w:rsid w:val="00BB0950"/>
    <w:rsid w:val="00BB0A9A"/>
    <w:rsid w:val="00BB0AE2"/>
    <w:rsid w:val="00BB0B61"/>
    <w:rsid w:val="00BB0BF8"/>
    <w:rsid w:val="00BB0CFB"/>
    <w:rsid w:val="00BB0D1F"/>
    <w:rsid w:val="00BB0DD9"/>
    <w:rsid w:val="00BB0F43"/>
    <w:rsid w:val="00BB0FDA"/>
    <w:rsid w:val="00BB100B"/>
    <w:rsid w:val="00BB1122"/>
    <w:rsid w:val="00BB1292"/>
    <w:rsid w:val="00BB1397"/>
    <w:rsid w:val="00BB13D3"/>
    <w:rsid w:val="00BB1433"/>
    <w:rsid w:val="00BB147E"/>
    <w:rsid w:val="00BB1481"/>
    <w:rsid w:val="00BB1496"/>
    <w:rsid w:val="00BB14BE"/>
    <w:rsid w:val="00BB14D1"/>
    <w:rsid w:val="00BB14FA"/>
    <w:rsid w:val="00BB154B"/>
    <w:rsid w:val="00BB1555"/>
    <w:rsid w:val="00BB1775"/>
    <w:rsid w:val="00BB179C"/>
    <w:rsid w:val="00BB18A0"/>
    <w:rsid w:val="00BB1963"/>
    <w:rsid w:val="00BB1A8C"/>
    <w:rsid w:val="00BB1BD7"/>
    <w:rsid w:val="00BB1BDF"/>
    <w:rsid w:val="00BB1BE0"/>
    <w:rsid w:val="00BB1C38"/>
    <w:rsid w:val="00BB1C47"/>
    <w:rsid w:val="00BB1E77"/>
    <w:rsid w:val="00BB1E84"/>
    <w:rsid w:val="00BB1E93"/>
    <w:rsid w:val="00BB1F20"/>
    <w:rsid w:val="00BB1F9F"/>
    <w:rsid w:val="00BB1FB9"/>
    <w:rsid w:val="00BB2026"/>
    <w:rsid w:val="00BB2039"/>
    <w:rsid w:val="00BB2073"/>
    <w:rsid w:val="00BB20A3"/>
    <w:rsid w:val="00BB20B1"/>
    <w:rsid w:val="00BB20B4"/>
    <w:rsid w:val="00BB2213"/>
    <w:rsid w:val="00BB228D"/>
    <w:rsid w:val="00BB228E"/>
    <w:rsid w:val="00BB229B"/>
    <w:rsid w:val="00BB22D0"/>
    <w:rsid w:val="00BB234A"/>
    <w:rsid w:val="00BB235A"/>
    <w:rsid w:val="00BB2374"/>
    <w:rsid w:val="00BB246A"/>
    <w:rsid w:val="00BB249B"/>
    <w:rsid w:val="00BB250D"/>
    <w:rsid w:val="00BB2542"/>
    <w:rsid w:val="00BB2550"/>
    <w:rsid w:val="00BB2599"/>
    <w:rsid w:val="00BB25BA"/>
    <w:rsid w:val="00BB25C6"/>
    <w:rsid w:val="00BB25E6"/>
    <w:rsid w:val="00BB25FC"/>
    <w:rsid w:val="00BB2637"/>
    <w:rsid w:val="00BB2642"/>
    <w:rsid w:val="00BB269C"/>
    <w:rsid w:val="00BB26F4"/>
    <w:rsid w:val="00BB27AC"/>
    <w:rsid w:val="00BB27F5"/>
    <w:rsid w:val="00BB2843"/>
    <w:rsid w:val="00BB284F"/>
    <w:rsid w:val="00BB28C5"/>
    <w:rsid w:val="00BB28ED"/>
    <w:rsid w:val="00BB2939"/>
    <w:rsid w:val="00BB2A06"/>
    <w:rsid w:val="00BB2A32"/>
    <w:rsid w:val="00BB2A58"/>
    <w:rsid w:val="00BB2A9E"/>
    <w:rsid w:val="00BB2ACB"/>
    <w:rsid w:val="00BB2B82"/>
    <w:rsid w:val="00BB2B94"/>
    <w:rsid w:val="00BB2D03"/>
    <w:rsid w:val="00BB2DA2"/>
    <w:rsid w:val="00BB2DEC"/>
    <w:rsid w:val="00BB2E9A"/>
    <w:rsid w:val="00BB2F01"/>
    <w:rsid w:val="00BB2F0F"/>
    <w:rsid w:val="00BB2F94"/>
    <w:rsid w:val="00BB2FA5"/>
    <w:rsid w:val="00BB2FB3"/>
    <w:rsid w:val="00BB30E3"/>
    <w:rsid w:val="00BB30F6"/>
    <w:rsid w:val="00BB3116"/>
    <w:rsid w:val="00BB3162"/>
    <w:rsid w:val="00BB31CF"/>
    <w:rsid w:val="00BB3303"/>
    <w:rsid w:val="00BB3378"/>
    <w:rsid w:val="00BB344E"/>
    <w:rsid w:val="00BB3457"/>
    <w:rsid w:val="00BB3584"/>
    <w:rsid w:val="00BB359C"/>
    <w:rsid w:val="00BB363A"/>
    <w:rsid w:val="00BB3690"/>
    <w:rsid w:val="00BB36E6"/>
    <w:rsid w:val="00BB3777"/>
    <w:rsid w:val="00BB379F"/>
    <w:rsid w:val="00BB37A0"/>
    <w:rsid w:val="00BB37F8"/>
    <w:rsid w:val="00BB3815"/>
    <w:rsid w:val="00BB3836"/>
    <w:rsid w:val="00BB383C"/>
    <w:rsid w:val="00BB397A"/>
    <w:rsid w:val="00BB397B"/>
    <w:rsid w:val="00BB3A60"/>
    <w:rsid w:val="00BB3A6E"/>
    <w:rsid w:val="00BB3AF8"/>
    <w:rsid w:val="00BB3B96"/>
    <w:rsid w:val="00BB3BB8"/>
    <w:rsid w:val="00BB3BF4"/>
    <w:rsid w:val="00BB3C6C"/>
    <w:rsid w:val="00BB3C93"/>
    <w:rsid w:val="00BB3D10"/>
    <w:rsid w:val="00BB3D34"/>
    <w:rsid w:val="00BB3D90"/>
    <w:rsid w:val="00BB3E3B"/>
    <w:rsid w:val="00BB3E8C"/>
    <w:rsid w:val="00BB3E90"/>
    <w:rsid w:val="00BB3E9A"/>
    <w:rsid w:val="00BB3ECC"/>
    <w:rsid w:val="00BB3F70"/>
    <w:rsid w:val="00BB3FE3"/>
    <w:rsid w:val="00BB4073"/>
    <w:rsid w:val="00BB40B6"/>
    <w:rsid w:val="00BB4210"/>
    <w:rsid w:val="00BB4215"/>
    <w:rsid w:val="00BB4246"/>
    <w:rsid w:val="00BB4278"/>
    <w:rsid w:val="00BB4288"/>
    <w:rsid w:val="00BB42FB"/>
    <w:rsid w:val="00BB4349"/>
    <w:rsid w:val="00BB4370"/>
    <w:rsid w:val="00BB43B8"/>
    <w:rsid w:val="00BB45BF"/>
    <w:rsid w:val="00BB45DB"/>
    <w:rsid w:val="00BB462D"/>
    <w:rsid w:val="00BB4638"/>
    <w:rsid w:val="00BB4661"/>
    <w:rsid w:val="00BB4662"/>
    <w:rsid w:val="00BB46EC"/>
    <w:rsid w:val="00BB476E"/>
    <w:rsid w:val="00BB487C"/>
    <w:rsid w:val="00BB48A3"/>
    <w:rsid w:val="00BB48A8"/>
    <w:rsid w:val="00BB48E7"/>
    <w:rsid w:val="00BB4904"/>
    <w:rsid w:val="00BB490F"/>
    <w:rsid w:val="00BB491B"/>
    <w:rsid w:val="00BB4928"/>
    <w:rsid w:val="00BB4946"/>
    <w:rsid w:val="00BB49A3"/>
    <w:rsid w:val="00BB49DE"/>
    <w:rsid w:val="00BB4AD7"/>
    <w:rsid w:val="00BB4AFE"/>
    <w:rsid w:val="00BB4B90"/>
    <w:rsid w:val="00BB4C62"/>
    <w:rsid w:val="00BB4CB7"/>
    <w:rsid w:val="00BB4D6F"/>
    <w:rsid w:val="00BB4D94"/>
    <w:rsid w:val="00BB4DD2"/>
    <w:rsid w:val="00BB4FAB"/>
    <w:rsid w:val="00BB501A"/>
    <w:rsid w:val="00BB5072"/>
    <w:rsid w:val="00BB50E3"/>
    <w:rsid w:val="00BB510D"/>
    <w:rsid w:val="00BB5123"/>
    <w:rsid w:val="00BB5187"/>
    <w:rsid w:val="00BB51D5"/>
    <w:rsid w:val="00BB51EF"/>
    <w:rsid w:val="00BB5243"/>
    <w:rsid w:val="00BB536C"/>
    <w:rsid w:val="00BB5446"/>
    <w:rsid w:val="00BB5496"/>
    <w:rsid w:val="00BB54ED"/>
    <w:rsid w:val="00BB5595"/>
    <w:rsid w:val="00BB559F"/>
    <w:rsid w:val="00BB55A2"/>
    <w:rsid w:val="00BB55AC"/>
    <w:rsid w:val="00BB562A"/>
    <w:rsid w:val="00BB570A"/>
    <w:rsid w:val="00BB5741"/>
    <w:rsid w:val="00BB576F"/>
    <w:rsid w:val="00BB5855"/>
    <w:rsid w:val="00BB59FD"/>
    <w:rsid w:val="00BB5A9D"/>
    <w:rsid w:val="00BB5B07"/>
    <w:rsid w:val="00BB5BDF"/>
    <w:rsid w:val="00BB5C97"/>
    <w:rsid w:val="00BB5CA1"/>
    <w:rsid w:val="00BB5E33"/>
    <w:rsid w:val="00BB5E4D"/>
    <w:rsid w:val="00BB5E68"/>
    <w:rsid w:val="00BB5E70"/>
    <w:rsid w:val="00BB5E7C"/>
    <w:rsid w:val="00BB5ECE"/>
    <w:rsid w:val="00BB5F94"/>
    <w:rsid w:val="00BB6099"/>
    <w:rsid w:val="00BB61B3"/>
    <w:rsid w:val="00BB61F1"/>
    <w:rsid w:val="00BB623A"/>
    <w:rsid w:val="00BB6243"/>
    <w:rsid w:val="00BB6245"/>
    <w:rsid w:val="00BB626A"/>
    <w:rsid w:val="00BB6308"/>
    <w:rsid w:val="00BB637A"/>
    <w:rsid w:val="00BB6387"/>
    <w:rsid w:val="00BB6447"/>
    <w:rsid w:val="00BB646B"/>
    <w:rsid w:val="00BB6478"/>
    <w:rsid w:val="00BB650F"/>
    <w:rsid w:val="00BB65C0"/>
    <w:rsid w:val="00BB65D0"/>
    <w:rsid w:val="00BB65DC"/>
    <w:rsid w:val="00BB65FA"/>
    <w:rsid w:val="00BB6658"/>
    <w:rsid w:val="00BB6673"/>
    <w:rsid w:val="00BB66C1"/>
    <w:rsid w:val="00BB66CE"/>
    <w:rsid w:val="00BB66E2"/>
    <w:rsid w:val="00BB674F"/>
    <w:rsid w:val="00BB675F"/>
    <w:rsid w:val="00BB67E4"/>
    <w:rsid w:val="00BB681F"/>
    <w:rsid w:val="00BB68D5"/>
    <w:rsid w:val="00BB6922"/>
    <w:rsid w:val="00BB6967"/>
    <w:rsid w:val="00BB69D2"/>
    <w:rsid w:val="00BB6A91"/>
    <w:rsid w:val="00BB6AD0"/>
    <w:rsid w:val="00BB6AE8"/>
    <w:rsid w:val="00BB6B6B"/>
    <w:rsid w:val="00BB6C13"/>
    <w:rsid w:val="00BB6C52"/>
    <w:rsid w:val="00BB6C8C"/>
    <w:rsid w:val="00BB6CA1"/>
    <w:rsid w:val="00BB6D93"/>
    <w:rsid w:val="00BB6D94"/>
    <w:rsid w:val="00BB6DFE"/>
    <w:rsid w:val="00BB6E14"/>
    <w:rsid w:val="00BB6E2D"/>
    <w:rsid w:val="00BB6E96"/>
    <w:rsid w:val="00BB6EE4"/>
    <w:rsid w:val="00BB6F02"/>
    <w:rsid w:val="00BB6F46"/>
    <w:rsid w:val="00BB6F83"/>
    <w:rsid w:val="00BB6FD9"/>
    <w:rsid w:val="00BB6FED"/>
    <w:rsid w:val="00BB715B"/>
    <w:rsid w:val="00BB720E"/>
    <w:rsid w:val="00BB7220"/>
    <w:rsid w:val="00BB7276"/>
    <w:rsid w:val="00BB7301"/>
    <w:rsid w:val="00BB7306"/>
    <w:rsid w:val="00BB735B"/>
    <w:rsid w:val="00BB73EE"/>
    <w:rsid w:val="00BB740A"/>
    <w:rsid w:val="00BB7494"/>
    <w:rsid w:val="00BB749C"/>
    <w:rsid w:val="00BB74BA"/>
    <w:rsid w:val="00BB74CB"/>
    <w:rsid w:val="00BB7513"/>
    <w:rsid w:val="00BB75CD"/>
    <w:rsid w:val="00BB75F0"/>
    <w:rsid w:val="00BB7644"/>
    <w:rsid w:val="00BB76C6"/>
    <w:rsid w:val="00BB7785"/>
    <w:rsid w:val="00BB77F3"/>
    <w:rsid w:val="00BB7946"/>
    <w:rsid w:val="00BB7A32"/>
    <w:rsid w:val="00BB7A5B"/>
    <w:rsid w:val="00BB7BDF"/>
    <w:rsid w:val="00BB7C97"/>
    <w:rsid w:val="00BB7CC0"/>
    <w:rsid w:val="00BB7CD5"/>
    <w:rsid w:val="00BB7D2E"/>
    <w:rsid w:val="00BB7D50"/>
    <w:rsid w:val="00BB7DC4"/>
    <w:rsid w:val="00BB7DFF"/>
    <w:rsid w:val="00BB7EC0"/>
    <w:rsid w:val="00BB7F3B"/>
    <w:rsid w:val="00BB7F56"/>
    <w:rsid w:val="00BB7FD6"/>
    <w:rsid w:val="00BC001A"/>
    <w:rsid w:val="00BC006A"/>
    <w:rsid w:val="00BC009C"/>
    <w:rsid w:val="00BC00C1"/>
    <w:rsid w:val="00BC0125"/>
    <w:rsid w:val="00BC01A9"/>
    <w:rsid w:val="00BC023B"/>
    <w:rsid w:val="00BC0272"/>
    <w:rsid w:val="00BC02BE"/>
    <w:rsid w:val="00BC03B7"/>
    <w:rsid w:val="00BC03DA"/>
    <w:rsid w:val="00BC04F5"/>
    <w:rsid w:val="00BC04FC"/>
    <w:rsid w:val="00BC0537"/>
    <w:rsid w:val="00BC0559"/>
    <w:rsid w:val="00BC05B9"/>
    <w:rsid w:val="00BC05F1"/>
    <w:rsid w:val="00BC061E"/>
    <w:rsid w:val="00BC067B"/>
    <w:rsid w:val="00BC0721"/>
    <w:rsid w:val="00BC08AB"/>
    <w:rsid w:val="00BC0ACF"/>
    <w:rsid w:val="00BC0B1A"/>
    <w:rsid w:val="00BC0B4B"/>
    <w:rsid w:val="00BC0B51"/>
    <w:rsid w:val="00BC0BAF"/>
    <w:rsid w:val="00BC0C52"/>
    <w:rsid w:val="00BC0C81"/>
    <w:rsid w:val="00BC0CE8"/>
    <w:rsid w:val="00BC0D1E"/>
    <w:rsid w:val="00BC0D74"/>
    <w:rsid w:val="00BC0D86"/>
    <w:rsid w:val="00BC0E03"/>
    <w:rsid w:val="00BC0E58"/>
    <w:rsid w:val="00BC0EA6"/>
    <w:rsid w:val="00BC0F33"/>
    <w:rsid w:val="00BC0F42"/>
    <w:rsid w:val="00BC0FA0"/>
    <w:rsid w:val="00BC0FA1"/>
    <w:rsid w:val="00BC0FB9"/>
    <w:rsid w:val="00BC0FF8"/>
    <w:rsid w:val="00BC106A"/>
    <w:rsid w:val="00BC10A7"/>
    <w:rsid w:val="00BC10AB"/>
    <w:rsid w:val="00BC10B6"/>
    <w:rsid w:val="00BC121C"/>
    <w:rsid w:val="00BC1222"/>
    <w:rsid w:val="00BC1314"/>
    <w:rsid w:val="00BC1385"/>
    <w:rsid w:val="00BC13D3"/>
    <w:rsid w:val="00BC1414"/>
    <w:rsid w:val="00BC1484"/>
    <w:rsid w:val="00BC14E7"/>
    <w:rsid w:val="00BC1559"/>
    <w:rsid w:val="00BC155A"/>
    <w:rsid w:val="00BC1697"/>
    <w:rsid w:val="00BC1704"/>
    <w:rsid w:val="00BC17BB"/>
    <w:rsid w:val="00BC17D7"/>
    <w:rsid w:val="00BC17E0"/>
    <w:rsid w:val="00BC188B"/>
    <w:rsid w:val="00BC18EB"/>
    <w:rsid w:val="00BC18F3"/>
    <w:rsid w:val="00BC1A68"/>
    <w:rsid w:val="00BC1A99"/>
    <w:rsid w:val="00BC1AC4"/>
    <w:rsid w:val="00BC1BAE"/>
    <w:rsid w:val="00BC1C0F"/>
    <w:rsid w:val="00BC1CDA"/>
    <w:rsid w:val="00BC1D2D"/>
    <w:rsid w:val="00BC1DF4"/>
    <w:rsid w:val="00BC1EC1"/>
    <w:rsid w:val="00BC1F74"/>
    <w:rsid w:val="00BC1F85"/>
    <w:rsid w:val="00BC1FDD"/>
    <w:rsid w:val="00BC1FFA"/>
    <w:rsid w:val="00BC202E"/>
    <w:rsid w:val="00BC2058"/>
    <w:rsid w:val="00BC2149"/>
    <w:rsid w:val="00BC2150"/>
    <w:rsid w:val="00BC21BF"/>
    <w:rsid w:val="00BC224B"/>
    <w:rsid w:val="00BC2380"/>
    <w:rsid w:val="00BC238A"/>
    <w:rsid w:val="00BC23AE"/>
    <w:rsid w:val="00BC24A9"/>
    <w:rsid w:val="00BC254B"/>
    <w:rsid w:val="00BC263F"/>
    <w:rsid w:val="00BC2643"/>
    <w:rsid w:val="00BC264B"/>
    <w:rsid w:val="00BC2660"/>
    <w:rsid w:val="00BC2661"/>
    <w:rsid w:val="00BC2713"/>
    <w:rsid w:val="00BC2794"/>
    <w:rsid w:val="00BC2882"/>
    <w:rsid w:val="00BC2985"/>
    <w:rsid w:val="00BC2A4E"/>
    <w:rsid w:val="00BC2D01"/>
    <w:rsid w:val="00BC2D71"/>
    <w:rsid w:val="00BC2DBF"/>
    <w:rsid w:val="00BC2DD5"/>
    <w:rsid w:val="00BC2E4E"/>
    <w:rsid w:val="00BC2EA6"/>
    <w:rsid w:val="00BC2EED"/>
    <w:rsid w:val="00BC2FDA"/>
    <w:rsid w:val="00BC311E"/>
    <w:rsid w:val="00BC311F"/>
    <w:rsid w:val="00BC3131"/>
    <w:rsid w:val="00BC315F"/>
    <w:rsid w:val="00BC318E"/>
    <w:rsid w:val="00BC31DD"/>
    <w:rsid w:val="00BC31E2"/>
    <w:rsid w:val="00BC3365"/>
    <w:rsid w:val="00BC3539"/>
    <w:rsid w:val="00BC353D"/>
    <w:rsid w:val="00BC3650"/>
    <w:rsid w:val="00BC3771"/>
    <w:rsid w:val="00BC3846"/>
    <w:rsid w:val="00BC3850"/>
    <w:rsid w:val="00BC3A2C"/>
    <w:rsid w:val="00BC3A90"/>
    <w:rsid w:val="00BC3AAA"/>
    <w:rsid w:val="00BC3AB2"/>
    <w:rsid w:val="00BC3ADC"/>
    <w:rsid w:val="00BC3AF3"/>
    <w:rsid w:val="00BC3B6D"/>
    <w:rsid w:val="00BC3C2B"/>
    <w:rsid w:val="00BC3D13"/>
    <w:rsid w:val="00BC3D53"/>
    <w:rsid w:val="00BC3D66"/>
    <w:rsid w:val="00BC3DEF"/>
    <w:rsid w:val="00BC3E36"/>
    <w:rsid w:val="00BC3E92"/>
    <w:rsid w:val="00BC3EE7"/>
    <w:rsid w:val="00BC3FC4"/>
    <w:rsid w:val="00BC4071"/>
    <w:rsid w:val="00BC4112"/>
    <w:rsid w:val="00BC4153"/>
    <w:rsid w:val="00BC416E"/>
    <w:rsid w:val="00BC4185"/>
    <w:rsid w:val="00BC429A"/>
    <w:rsid w:val="00BC42FD"/>
    <w:rsid w:val="00BC42FE"/>
    <w:rsid w:val="00BC438F"/>
    <w:rsid w:val="00BC4397"/>
    <w:rsid w:val="00BC43CF"/>
    <w:rsid w:val="00BC4468"/>
    <w:rsid w:val="00BC44E5"/>
    <w:rsid w:val="00BC44EF"/>
    <w:rsid w:val="00BC4518"/>
    <w:rsid w:val="00BC4566"/>
    <w:rsid w:val="00BC45FC"/>
    <w:rsid w:val="00BC4666"/>
    <w:rsid w:val="00BC4685"/>
    <w:rsid w:val="00BC46A1"/>
    <w:rsid w:val="00BC46B0"/>
    <w:rsid w:val="00BC4772"/>
    <w:rsid w:val="00BC479B"/>
    <w:rsid w:val="00BC4837"/>
    <w:rsid w:val="00BC4992"/>
    <w:rsid w:val="00BC4A95"/>
    <w:rsid w:val="00BC4AB5"/>
    <w:rsid w:val="00BC4ACB"/>
    <w:rsid w:val="00BC4B50"/>
    <w:rsid w:val="00BC4B69"/>
    <w:rsid w:val="00BC4B7B"/>
    <w:rsid w:val="00BC4C2A"/>
    <w:rsid w:val="00BC4C85"/>
    <w:rsid w:val="00BC4CBC"/>
    <w:rsid w:val="00BC4CD6"/>
    <w:rsid w:val="00BC4CFC"/>
    <w:rsid w:val="00BC4DE5"/>
    <w:rsid w:val="00BC4E1F"/>
    <w:rsid w:val="00BC4E32"/>
    <w:rsid w:val="00BC4E69"/>
    <w:rsid w:val="00BC4E6C"/>
    <w:rsid w:val="00BC4E7F"/>
    <w:rsid w:val="00BC4EBA"/>
    <w:rsid w:val="00BC4F30"/>
    <w:rsid w:val="00BC5002"/>
    <w:rsid w:val="00BC50BF"/>
    <w:rsid w:val="00BC517D"/>
    <w:rsid w:val="00BC51A0"/>
    <w:rsid w:val="00BC51FF"/>
    <w:rsid w:val="00BC5203"/>
    <w:rsid w:val="00BC525B"/>
    <w:rsid w:val="00BC525F"/>
    <w:rsid w:val="00BC52C6"/>
    <w:rsid w:val="00BC52D0"/>
    <w:rsid w:val="00BC536D"/>
    <w:rsid w:val="00BC5395"/>
    <w:rsid w:val="00BC53C6"/>
    <w:rsid w:val="00BC5406"/>
    <w:rsid w:val="00BC5421"/>
    <w:rsid w:val="00BC5463"/>
    <w:rsid w:val="00BC54F3"/>
    <w:rsid w:val="00BC5558"/>
    <w:rsid w:val="00BC55E0"/>
    <w:rsid w:val="00BC5600"/>
    <w:rsid w:val="00BC5622"/>
    <w:rsid w:val="00BC5627"/>
    <w:rsid w:val="00BC5713"/>
    <w:rsid w:val="00BC573E"/>
    <w:rsid w:val="00BC57C9"/>
    <w:rsid w:val="00BC5862"/>
    <w:rsid w:val="00BC58D9"/>
    <w:rsid w:val="00BC591A"/>
    <w:rsid w:val="00BC593D"/>
    <w:rsid w:val="00BC5A1A"/>
    <w:rsid w:val="00BC5A48"/>
    <w:rsid w:val="00BC5BA8"/>
    <w:rsid w:val="00BC5BC1"/>
    <w:rsid w:val="00BC5C8D"/>
    <w:rsid w:val="00BC5C96"/>
    <w:rsid w:val="00BC5CB1"/>
    <w:rsid w:val="00BC5D54"/>
    <w:rsid w:val="00BC5D96"/>
    <w:rsid w:val="00BC5DD3"/>
    <w:rsid w:val="00BC5DFF"/>
    <w:rsid w:val="00BC5E51"/>
    <w:rsid w:val="00BC5F81"/>
    <w:rsid w:val="00BC5FDF"/>
    <w:rsid w:val="00BC5FE0"/>
    <w:rsid w:val="00BC605B"/>
    <w:rsid w:val="00BC6067"/>
    <w:rsid w:val="00BC6076"/>
    <w:rsid w:val="00BC607C"/>
    <w:rsid w:val="00BC6093"/>
    <w:rsid w:val="00BC60D4"/>
    <w:rsid w:val="00BC6105"/>
    <w:rsid w:val="00BC622E"/>
    <w:rsid w:val="00BC6280"/>
    <w:rsid w:val="00BC628C"/>
    <w:rsid w:val="00BC628E"/>
    <w:rsid w:val="00BC636B"/>
    <w:rsid w:val="00BC638C"/>
    <w:rsid w:val="00BC63BC"/>
    <w:rsid w:val="00BC6456"/>
    <w:rsid w:val="00BC645D"/>
    <w:rsid w:val="00BC64A5"/>
    <w:rsid w:val="00BC6599"/>
    <w:rsid w:val="00BC6613"/>
    <w:rsid w:val="00BC6633"/>
    <w:rsid w:val="00BC6641"/>
    <w:rsid w:val="00BC6725"/>
    <w:rsid w:val="00BC678E"/>
    <w:rsid w:val="00BC679E"/>
    <w:rsid w:val="00BC67B4"/>
    <w:rsid w:val="00BC6842"/>
    <w:rsid w:val="00BC68E4"/>
    <w:rsid w:val="00BC6949"/>
    <w:rsid w:val="00BC6951"/>
    <w:rsid w:val="00BC6A30"/>
    <w:rsid w:val="00BC6A73"/>
    <w:rsid w:val="00BC6AC6"/>
    <w:rsid w:val="00BC6AD2"/>
    <w:rsid w:val="00BC6AD6"/>
    <w:rsid w:val="00BC6AE1"/>
    <w:rsid w:val="00BC6B3B"/>
    <w:rsid w:val="00BC6BAB"/>
    <w:rsid w:val="00BC6C4F"/>
    <w:rsid w:val="00BC6CC1"/>
    <w:rsid w:val="00BC6CEC"/>
    <w:rsid w:val="00BC6CF0"/>
    <w:rsid w:val="00BC6CFD"/>
    <w:rsid w:val="00BC6D02"/>
    <w:rsid w:val="00BC6D43"/>
    <w:rsid w:val="00BC6D52"/>
    <w:rsid w:val="00BC6D64"/>
    <w:rsid w:val="00BC6DB7"/>
    <w:rsid w:val="00BC6DED"/>
    <w:rsid w:val="00BC6E0E"/>
    <w:rsid w:val="00BC6EB1"/>
    <w:rsid w:val="00BC6EBC"/>
    <w:rsid w:val="00BC6ECD"/>
    <w:rsid w:val="00BC6F2B"/>
    <w:rsid w:val="00BC6F4B"/>
    <w:rsid w:val="00BC6F93"/>
    <w:rsid w:val="00BC7041"/>
    <w:rsid w:val="00BC705F"/>
    <w:rsid w:val="00BC70AC"/>
    <w:rsid w:val="00BC70BA"/>
    <w:rsid w:val="00BC70BD"/>
    <w:rsid w:val="00BC70D3"/>
    <w:rsid w:val="00BC70E8"/>
    <w:rsid w:val="00BC70F0"/>
    <w:rsid w:val="00BC7151"/>
    <w:rsid w:val="00BC7156"/>
    <w:rsid w:val="00BC7160"/>
    <w:rsid w:val="00BC7167"/>
    <w:rsid w:val="00BC7176"/>
    <w:rsid w:val="00BC7187"/>
    <w:rsid w:val="00BC7239"/>
    <w:rsid w:val="00BC7299"/>
    <w:rsid w:val="00BC729B"/>
    <w:rsid w:val="00BC729C"/>
    <w:rsid w:val="00BC742C"/>
    <w:rsid w:val="00BC74CE"/>
    <w:rsid w:val="00BC7606"/>
    <w:rsid w:val="00BC7646"/>
    <w:rsid w:val="00BC775D"/>
    <w:rsid w:val="00BC7844"/>
    <w:rsid w:val="00BC784C"/>
    <w:rsid w:val="00BC78E3"/>
    <w:rsid w:val="00BC78ED"/>
    <w:rsid w:val="00BC7921"/>
    <w:rsid w:val="00BC7986"/>
    <w:rsid w:val="00BC79AB"/>
    <w:rsid w:val="00BC7A27"/>
    <w:rsid w:val="00BC7A47"/>
    <w:rsid w:val="00BC7A7D"/>
    <w:rsid w:val="00BC7BF7"/>
    <w:rsid w:val="00BC7C2F"/>
    <w:rsid w:val="00BC7CB4"/>
    <w:rsid w:val="00BC7CC3"/>
    <w:rsid w:val="00BC7CF2"/>
    <w:rsid w:val="00BC7D08"/>
    <w:rsid w:val="00BC7D5F"/>
    <w:rsid w:val="00BC7DE7"/>
    <w:rsid w:val="00BC7E52"/>
    <w:rsid w:val="00BC7E71"/>
    <w:rsid w:val="00BC7EF6"/>
    <w:rsid w:val="00BC7F15"/>
    <w:rsid w:val="00BC7F2B"/>
    <w:rsid w:val="00BC7F58"/>
    <w:rsid w:val="00BC7F9D"/>
    <w:rsid w:val="00BC7FA3"/>
    <w:rsid w:val="00BC7FFD"/>
    <w:rsid w:val="00BD0121"/>
    <w:rsid w:val="00BD01BC"/>
    <w:rsid w:val="00BD01CA"/>
    <w:rsid w:val="00BD01CF"/>
    <w:rsid w:val="00BD01E8"/>
    <w:rsid w:val="00BD026C"/>
    <w:rsid w:val="00BD02D0"/>
    <w:rsid w:val="00BD036C"/>
    <w:rsid w:val="00BD0455"/>
    <w:rsid w:val="00BD04A7"/>
    <w:rsid w:val="00BD04EE"/>
    <w:rsid w:val="00BD0515"/>
    <w:rsid w:val="00BD0549"/>
    <w:rsid w:val="00BD054E"/>
    <w:rsid w:val="00BD05EB"/>
    <w:rsid w:val="00BD0613"/>
    <w:rsid w:val="00BD0631"/>
    <w:rsid w:val="00BD0708"/>
    <w:rsid w:val="00BD0797"/>
    <w:rsid w:val="00BD0866"/>
    <w:rsid w:val="00BD0B4C"/>
    <w:rsid w:val="00BD0BCF"/>
    <w:rsid w:val="00BD0BD0"/>
    <w:rsid w:val="00BD0C19"/>
    <w:rsid w:val="00BD0CA1"/>
    <w:rsid w:val="00BD0D3F"/>
    <w:rsid w:val="00BD0D8F"/>
    <w:rsid w:val="00BD0E35"/>
    <w:rsid w:val="00BD0EB5"/>
    <w:rsid w:val="00BD0F2B"/>
    <w:rsid w:val="00BD0FB8"/>
    <w:rsid w:val="00BD0FEE"/>
    <w:rsid w:val="00BD1165"/>
    <w:rsid w:val="00BD11E4"/>
    <w:rsid w:val="00BD11F2"/>
    <w:rsid w:val="00BD120D"/>
    <w:rsid w:val="00BD1272"/>
    <w:rsid w:val="00BD128C"/>
    <w:rsid w:val="00BD1303"/>
    <w:rsid w:val="00BD1337"/>
    <w:rsid w:val="00BD13B4"/>
    <w:rsid w:val="00BD13DF"/>
    <w:rsid w:val="00BD13F1"/>
    <w:rsid w:val="00BD157A"/>
    <w:rsid w:val="00BD1584"/>
    <w:rsid w:val="00BD15AB"/>
    <w:rsid w:val="00BD164F"/>
    <w:rsid w:val="00BD168C"/>
    <w:rsid w:val="00BD16A5"/>
    <w:rsid w:val="00BD16B9"/>
    <w:rsid w:val="00BD176B"/>
    <w:rsid w:val="00BD17B9"/>
    <w:rsid w:val="00BD183E"/>
    <w:rsid w:val="00BD189F"/>
    <w:rsid w:val="00BD18FB"/>
    <w:rsid w:val="00BD190B"/>
    <w:rsid w:val="00BD1948"/>
    <w:rsid w:val="00BD19D8"/>
    <w:rsid w:val="00BD1A7D"/>
    <w:rsid w:val="00BD1A99"/>
    <w:rsid w:val="00BD1AD3"/>
    <w:rsid w:val="00BD1B32"/>
    <w:rsid w:val="00BD1B7A"/>
    <w:rsid w:val="00BD1BFC"/>
    <w:rsid w:val="00BD1C1F"/>
    <w:rsid w:val="00BD1CE1"/>
    <w:rsid w:val="00BD1CFF"/>
    <w:rsid w:val="00BD1D13"/>
    <w:rsid w:val="00BD1D66"/>
    <w:rsid w:val="00BD1E8A"/>
    <w:rsid w:val="00BD1F45"/>
    <w:rsid w:val="00BD1F58"/>
    <w:rsid w:val="00BD1F79"/>
    <w:rsid w:val="00BD1F7C"/>
    <w:rsid w:val="00BD1FF8"/>
    <w:rsid w:val="00BD2019"/>
    <w:rsid w:val="00BD20FE"/>
    <w:rsid w:val="00BD211E"/>
    <w:rsid w:val="00BD2124"/>
    <w:rsid w:val="00BD2220"/>
    <w:rsid w:val="00BD226B"/>
    <w:rsid w:val="00BD226E"/>
    <w:rsid w:val="00BD2275"/>
    <w:rsid w:val="00BD2276"/>
    <w:rsid w:val="00BD2291"/>
    <w:rsid w:val="00BD23A7"/>
    <w:rsid w:val="00BD23E9"/>
    <w:rsid w:val="00BD2413"/>
    <w:rsid w:val="00BD2444"/>
    <w:rsid w:val="00BD24D0"/>
    <w:rsid w:val="00BD24DD"/>
    <w:rsid w:val="00BD2505"/>
    <w:rsid w:val="00BD2558"/>
    <w:rsid w:val="00BD25B0"/>
    <w:rsid w:val="00BD25C0"/>
    <w:rsid w:val="00BD276A"/>
    <w:rsid w:val="00BD278E"/>
    <w:rsid w:val="00BD27D1"/>
    <w:rsid w:val="00BD282F"/>
    <w:rsid w:val="00BD28AA"/>
    <w:rsid w:val="00BD29EC"/>
    <w:rsid w:val="00BD2A85"/>
    <w:rsid w:val="00BD2B37"/>
    <w:rsid w:val="00BD2BB7"/>
    <w:rsid w:val="00BD2C11"/>
    <w:rsid w:val="00BD2C26"/>
    <w:rsid w:val="00BD2CBE"/>
    <w:rsid w:val="00BD2CD0"/>
    <w:rsid w:val="00BD2DBD"/>
    <w:rsid w:val="00BD2DC5"/>
    <w:rsid w:val="00BD2DD7"/>
    <w:rsid w:val="00BD2F51"/>
    <w:rsid w:val="00BD2FA6"/>
    <w:rsid w:val="00BD3048"/>
    <w:rsid w:val="00BD3077"/>
    <w:rsid w:val="00BD307F"/>
    <w:rsid w:val="00BD30A3"/>
    <w:rsid w:val="00BD30C8"/>
    <w:rsid w:val="00BD3147"/>
    <w:rsid w:val="00BD3179"/>
    <w:rsid w:val="00BD317F"/>
    <w:rsid w:val="00BD3243"/>
    <w:rsid w:val="00BD3251"/>
    <w:rsid w:val="00BD3255"/>
    <w:rsid w:val="00BD326A"/>
    <w:rsid w:val="00BD32B8"/>
    <w:rsid w:val="00BD3320"/>
    <w:rsid w:val="00BD3382"/>
    <w:rsid w:val="00BD3392"/>
    <w:rsid w:val="00BD33CD"/>
    <w:rsid w:val="00BD33E9"/>
    <w:rsid w:val="00BD347F"/>
    <w:rsid w:val="00BD34AC"/>
    <w:rsid w:val="00BD3518"/>
    <w:rsid w:val="00BD35C0"/>
    <w:rsid w:val="00BD35E6"/>
    <w:rsid w:val="00BD369C"/>
    <w:rsid w:val="00BD3724"/>
    <w:rsid w:val="00BD3796"/>
    <w:rsid w:val="00BD38EB"/>
    <w:rsid w:val="00BD392B"/>
    <w:rsid w:val="00BD395F"/>
    <w:rsid w:val="00BD3A3C"/>
    <w:rsid w:val="00BD3AC9"/>
    <w:rsid w:val="00BD3AD4"/>
    <w:rsid w:val="00BD3AE6"/>
    <w:rsid w:val="00BD3B5A"/>
    <w:rsid w:val="00BD3B79"/>
    <w:rsid w:val="00BD3C98"/>
    <w:rsid w:val="00BD3CDD"/>
    <w:rsid w:val="00BD3DAD"/>
    <w:rsid w:val="00BD3DB4"/>
    <w:rsid w:val="00BD3DC0"/>
    <w:rsid w:val="00BD3EBD"/>
    <w:rsid w:val="00BD3EDA"/>
    <w:rsid w:val="00BD3EFD"/>
    <w:rsid w:val="00BD3F3A"/>
    <w:rsid w:val="00BD3FFA"/>
    <w:rsid w:val="00BD4001"/>
    <w:rsid w:val="00BD40A7"/>
    <w:rsid w:val="00BD4190"/>
    <w:rsid w:val="00BD41AA"/>
    <w:rsid w:val="00BD41AF"/>
    <w:rsid w:val="00BD41E8"/>
    <w:rsid w:val="00BD4238"/>
    <w:rsid w:val="00BD43BF"/>
    <w:rsid w:val="00BD45C5"/>
    <w:rsid w:val="00BD4675"/>
    <w:rsid w:val="00BD46A7"/>
    <w:rsid w:val="00BD473D"/>
    <w:rsid w:val="00BD4820"/>
    <w:rsid w:val="00BD4821"/>
    <w:rsid w:val="00BD4854"/>
    <w:rsid w:val="00BD4901"/>
    <w:rsid w:val="00BD49FA"/>
    <w:rsid w:val="00BD4A2D"/>
    <w:rsid w:val="00BD4ADA"/>
    <w:rsid w:val="00BD4B7C"/>
    <w:rsid w:val="00BD4C17"/>
    <w:rsid w:val="00BD4C18"/>
    <w:rsid w:val="00BD4C23"/>
    <w:rsid w:val="00BD4C67"/>
    <w:rsid w:val="00BD4CF5"/>
    <w:rsid w:val="00BD4DF9"/>
    <w:rsid w:val="00BD4DFD"/>
    <w:rsid w:val="00BD4E75"/>
    <w:rsid w:val="00BD4E85"/>
    <w:rsid w:val="00BD4ED4"/>
    <w:rsid w:val="00BD4EEB"/>
    <w:rsid w:val="00BD4F04"/>
    <w:rsid w:val="00BD4F6F"/>
    <w:rsid w:val="00BD4F90"/>
    <w:rsid w:val="00BD4FAA"/>
    <w:rsid w:val="00BD4FC6"/>
    <w:rsid w:val="00BD503E"/>
    <w:rsid w:val="00BD504A"/>
    <w:rsid w:val="00BD5217"/>
    <w:rsid w:val="00BD5304"/>
    <w:rsid w:val="00BD53A2"/>
    <w:rsid w:val="00BD53BD"/>
    <w:rsid w:val="00BD5492"/>
    <w:rsid w:val="00BD54AF"/>
    <w:rsid w:val="00BD5517"/>
    <w:rsid w:val="00BD5536"/>
    <w:rsid w:val="00BD5538"/>
    <w:rsid w:val="00BD5545"/>
    <w:rsid w:val="00BD55B6"/>
    <w:rsid w:val="00BD5639"/>
    <w:rsid w:val="00BD565A"/>
    <w:rsid w:val="00BD566D"/>
    <w:rsid w:val="00BD569D"/>
    <w:rsid w:val="00BD57F0"/>
    <w:rsid w:val="00BD582C"/>
    <w:rsid w:val="00BD5839"/>
    <w:rsid w:val="00BD5841"/>
    <w:rsid w:val="00BD58CD"/>
    <w:rsid w:val="00BD59D5"/>
    <w:rsid w:val="00BD5A0A"/>
    <w:rsid w:val="00BD5A14"/>
    <w:rsid w:val="00BD5AD0"/>
    <w:rsid w:val="00BD5AD7"/>
    <w:rsid w:val="00BD5AF2"/>
    <w:rsid w:val="00BD5B93"/>
    <w:rsid w:val="00BD5B9E"/>
    <w:rsid w:val="00BD5BF5"/>
    <w:rsid w:val="00BD5CEB"/>
    <w:rsid w:val="00BD5D10"/>
    <w:rsid w:val="00BD5D66"/>
    <w:rsid w:val="00BD5DF4"/>
    <w:rsid w:val="00BD5DFC"/>
    <w:rsid w:val="00BD5E3F"/>
    <w:rsid w:val="00BD6015"/>
    <w:rsid w:val="00BD604E"/>
    <w:rsid w:val="00BD6071"/>
    <w:rsid w:val="00BD6130"/>
    <w:rsid w:val="00BD61E9"/>
    <w:rsid w:val="00BD629B"/>
    <w:rsid w:val="00BD6338"/>
    <w:rsid w:val="00BD6348"/>
    <w:rsid w:val="00BD6350"/>
    <w:rsid w:val="00BD6520"/>
    <w:rsid w:val="00BD65D9"/>
    <w:rsid w:val="00BD665F"/>
    <w:rsid w:val="00BD670D"/>
    <w:rsid w:val="00BD6777"/>
    <w:rsid w:val="00BD6972"/>
    <w:rsid w:val="00BD6977"/>
    <w:rsid w:val="00BD6AA1"/>
    <w:rsid w:val="00BD6AC2"/>
    <w:rsid w:val="00BD6BE2"/>
    <w:rsid w:val="00BD6C09"/>
    <w:rsid w:val="00BD6C2B"/>
    <w:rsid w:val="00BD6D10"/>
    <w:rsid w:val="00BD6DB1"/>
    <w:rsid w:val="00BD6DE9"/>
    <w:rsid w:val="00BD6E2C"/>
    <w:rsid w:val="00BD6E92"/>
    <w:rsid w:val="00BD6EF6"/>
    <w:rsid w:val="00BD6F16"/>
    <w:rsid w:val="00BD6F7C"/>
    <w:rsid w:val="00BD7094"/>
    <w:rsid w:val="00BD70C4"/>
    <w:rsid w:val="00BD710F"/>
    <w:rsid w:val="00BD7128"/>
    <w:rsid w:val="00BD712D"/>
    <w:rsid w:val="00BD7244"/>
    <w:rsid w:val="00BD72B7"/>
    <w:rsid w:val="00BD732B"/>
    <w:rsid w:val="00BD73A1"/>
    <w:rsid w:val="00BD7494"/>
    <w:rsid w:val="00BD74B7"/>
    <w:rsid w:val="00BD7553"/>
    <w:rsid w:val="00BD75B6"/>
    <w:rsid w:val="00BD75BD"/>
    <w:rsid w:val="00BD75D4"/>
    <w:rsid w:val="00BD763D"/>
    <w:rsid w:val="00BD764D"/>
    <w:rsid w:val="00BD764F"/>
    <w:rsid w:val="00BD76B7"/>
    <w:rsid w:val="00BD76C7"/>
    <w:rsid w:val="00BD76E7"/>
    <w:rsid w:val="00BD772B"/>
    <w:rsid w:val="00BD776D"/>
    <w:rsid w:val="00BD77D7"/>
    <w:rsid w:val="00BD7816"/>
    <w:rsid w:val="00BD783E"/>
    <w:rsid w:val="00BD78C1"/>
    <w:rsid w:val="00BD78C9"/>
    <w:rsid w:val="00BD7953"/>
    <w:rsid w:val="00BD7974"/>
    <w:rsid w:val="00BD79E0"/>
    <w:rsid w:val="00BD7A8C"/>
    <w:rsid w:val="00BD7B7D"/>
    <w:rsid w:val="00BD7BE0"/>
    <w:rsid w:val="00BD7BE4"/>
    <w:rsid w:val="00BD7C3D"/>
    <w:rsid w:val="00BD7D75"/>
    <w:rsid w:val="00BD7DEA"/>
    <w:rsid w:val="00BD7DF3"/>
    <w:rsid w:val="00BE0017"/>
    <w:rsid w:val="00BE001D"/>
    <w:rsid w:val="00BE00C0"/>
    <w:rsid w:val="00BE0195"/>
    <w:rsid w:val="00BE01C7"/>
    <w:rsid w:val="00BE01FF"/>
    <w:rsid w:val="00BE0254"/>
    <w:rsid w:val="00BE0265"/>
    <w:rsid w:val="00BE0270"/>
    <w:rsid w:val="00BE0343"/>
    <w:rsid w:val="00BE0372"/>
    <w:rsid w:val="00BE03CC"/>
    <w:rsid w:val="00BE0434"/>
    <w:rsid w:val="00BE0456"/>
    <w:rsid w:val="00BE04E6"/>
    <w:rsid w:val="00BE0559"/>
    <w:rsid w:val="00BE056C"/>
    <w:rsid w:val="00BE05C5"/>
    <w:rsid w:val="00BE05D4"/>
    <w:rsid w:val="00BE060B"/>
    <w:rsid w:val="00BE064F"/>
    <w:rsid w:val="00BE0746"/>
    <w:rsid w:val="00BE0747"/>
    <w:rsid w:val="00BE07C3"/>
    <w:rsid w:val="00BE08AA"/>
    <w:rsid w:val="00BE099C"/>
    <w:rsid w:val="00BE09B1"/>
    <w:rsid w:val="00BE09C2"/>
    <w:rsid w:val="00BE0A2A"/>
    <w:rsid w:val="00BE0AC4"/>
    <w:rsid w:val="00BE0B5B"/>
    <w:rsid w:val="00BE0B86"/>
    <w:rsid w:val="00BE0C1D"/>
    <w:rsid w:val="00BE0DBB"/>
    <w:rsid w:val="00BE0E7C"/>
    <w:rsid w:val="00BE0E88"/>
    <w:rsid w:val="00BE0EC6"/>
    <w:rsid w:val="00BE10AF"/>
    <w:rsid w:val="00BE113D"/>
    <w:rsid w:val="00BE114A"/>
    <w:rsid w:val="00BE1156"/>
    <w:rsid w:val="00BE117A"/>
    <w:rsid w:val="00BE1186"/>
    <w:rsid w:val="00BE11F8"/>
    <w:rsid w:val="00BE1225"/>
    <w:rsid w:val="00BE1226"/>
    <w:rsid w:val="00BE12D1"/>
    <w:rsid w:val="00BE12D8"/>
    <w:rsid w:val="00BE1396"/>
    <w:rsid w:val="00BE13BE"/>
    <w:rsid w:val="00BE1460"/>
    <w:rsid w:val="00BE1515"/>
    <w:rsid w:val="00BE164B"/>
    <w:rsid w:val="00BE17AC"/>
    <w:rsid w:val="00BE184C"/>
    <w:rsid w:val="00BE1862"/>
    <w:rsid w:val="00BE1963"/>
    <w:rsid w:val="00BE199A"/>
    <w:rsid w:val="00BE19D2"/>
    <w:rsid w:val="00BE1ACC"/>
    <w:rsid w:val="00BE1BC7"/>
    <w:rsid w:val="00BE1BE1"/>
    <w:rsid w:val="00BE1C91"/>
    <w:rsid w:val="00BE1CAD"/>
    <w:rsid w:val="00BE1D2A"/>
    <w:rsid w:val="00BE1D34"/>
    <w:rsid w:val="00BE1DED"/>
    <w:rsid w:val="00BE1EF2"/>
    <w:rsid w:val="00BE1FD9"/>
    <w:rsid w:val="00BE20BE"/>
    <w:rsid w:val="00BE20C4"/>
    <w:rsid w:val="00BE20F0"/>
    <w:rsid w:val="00BE20F6"/>
    <w:rsid w:val="00BE21A6"/>
    <w:rsid w:val="00BE21A9"/>
    <w:rsid w:val="00BE21FA"/>
    <w:rsid w:val="00BE2225"/>
    <w:rsid w:val="00BE22D9"/>
    <w:rsid w:val="00BE231D"/>
    <w:rsid w:val="00BE23A7"/>
    <w:rsid w:val="00BE2445"/>
    <w:rsid w:val="00BE24A1"/>
    <w:rsid w:val="00BE2635"/>
    <w:rsid w:val="00BE2650"/>
    <w:rsid w:val="00BE26E2"/>
    <w:rsid w:val="00BE2784"/>
    <w:rsid w:val="00BE2795"/>
    <w:rsid w:val="00BE27F3"/>
    <w:rsid w:val="00BE27FE"/>
    <w:rsid w:val="00BE2873"/>
    <w:rsid w:val="00BE28E3"/>
    <w:rsid w:val="00BE2952"/>
    <w:rsid w:val="00BE2957"/>
    <w:rsid w:val="00BE29F5"/>
    <w:rsid w:val="00BE2A00"/>
    <w:rsid w:val="00BE2A30"/>
    <w:rsid w:val="00BE2A4D"/>
    <w:rsid w:val="00BE2A74"/>
    <w:rsid w:val="00BE2A94"/>
    <w:rsid w:val="00BE2BBF"/>
    <w:rsid w:val="00BE2C04"/>
    <w:rsid w:val="00BE2DCE"/>
    <w:rsid w:val="00BE2E05"/>
    <w:rsid w:val="00BE2E42"/>
    <w:rsid w:val="00BE2E96"/>
    <w:rsid w:val="00BE2ED5"/>
    <w:rsid w:val="00BE2EE8"/>
    <w:rsid w:val="00BE2F40"/>
    <w:rsid w:val="00BE2F60"/>
    <w:rsid w:val="00BE2F96"/>
    <w:rsid w:val="00BE2FB7"/>
    <w:rsid w:val="00BE2FBB"/>
    <w:rsid w:val="00BE3014"/>
    <w:rsid w:val="00BE305A"/>
    <w:rsid w:val="00BE3067"/>
    <w:rsid w:val="00BE309B"/>
    <w:rsid w:val="00BE3133"/>
    <w:rsid w:val="00BE314F"/>
    <w:rsid w:val="00BE31B5"/>
    <w:rsid w:val="00BE31B9"/>
    <w:rsid w:val="00BE3322"/>
    <w:rsid w:val="00BE33F4"/>
    <w:rsid w:val="00BE3407"/>
    <w:rsid w:val="00BE340F"/>
    <w:rsid w:val="00BE3429"/>
    <w:rsid w:val="00BE3475"/>
    <w:rsid w:val="00BE347D"/>
    <w:rsid w:val="00BE3520"/>
    <w:rsid w:val="00BE3525"/>
    <w:rsid w:val="00BE35E2"/>
    <w:rsid w:val="00BE3661"/>
    <w:rsid w:val="00BE3664"/>
    <w:rsid w:val="00BE373F"/>
    <w:rsid w:val="00BE376A"/>
    <w:rsid w:val="00BE3773"/>
    <w:rsid w:val="00BE37B1"/>
    <w:rsid w:val="00BE37CF"/>
    <w:rsid w:val="00BE390C"/>
    <w:rsid w:val="00BE3985"/>
    <w:rsid w:val="00BE3A20"/>
    <w:rsid w:val="00BE3A36"/>
    <w:rsid w:val="00BE3AA7"/>
    <w:rsid w:val="00BE3B23"/>
    <w:rsid w:val="00BE3BB3"/>
    <w:rsid w:val="00BE3BC9"/>
    <w:rsid w:val="00BE3C08"/>
    <w:rsid w:val="00BE3C2C"/>
    <w:rsid w:val="00BE3DBE"/>
    <w:rsid w:val="00BE3DBF"/>
    <w:rsid w:val="00BE3E4D"/>
    <w:rsid w:val="00BE3E83"/>
    <w:rsid w:val="00BE3EC1"/>
    <w:rsid w:val="00BE3F01"/>
    <w:rsid w:val="00BE3F10"/>
    <w:rsid w:val="00BE3F2B"/>
    <w:rsid w:val="00BE3FBC"/>
    <w:rsid w:val="00BE4004"/>
    <w:rsid w:val="00BE400E"/>
    <w:rsid w:val="00BE4045"/>
    <w:rsid w:val="00BE4079"/>
    <w:rsid w:val="00BE4085"/>
    <w:rsid w:val="00BE40E3"/>
    <w:rsid w:val="00BE40F9"/>
    <w:rsid w:val="00BE415A"/>
    <w:rsid w:val="00BE417B"/>
    <w:rsid w:val="00BE4208"/>
    <w:rsid w:val="00BE42B0"/>
    <w:rsid w:val="00BE42D9"/>
    <w:rsid w:val="00BE42EB"/>
    <w:rsid w:val="00BE4336"/>
    <w:rsid w:val="00BE43A4"/>
    <w:rsid w:val="00BE444C"/>
    <w:rsid w:val="00BE4552"/>
    <w:rsid w:val="00BE4580"/>
    <w:rsid w:val="00BE4655"/>
    <w:rsid w:val="00BE4686"/>
    <w:rsid w:val="00BE46A3"/>
    <w:rsid w:val="00BE47C1"/>
    <w:rsid w:val="00BE4848"/>
    <w:rsid w:val="00BE4852"/>
    <w:rsid w:val="00BE48D8"/>
    <w:rsid w:val="00BE4918"/>
    <w:rsid w:val="00BE49DB"/>
    <w:rsid w:val="00BE4AB8"/>
    <w:rsid w:val="00BE4AF0"/>
    <w:rsid w:val="00BE4B73"/>
    <w:rsid w:val="00BE4B94"/>
    <w:rsid w:val="00BE4BB2"/>
    <w:rsid w:val="00BE4BEE"/>
    <w:rsid w:val="00BE4C27"/>
    <w:rsid w:val="00BE4DD9"/>
    <w:rsid w:val="00BE4E02"/>
    <w:rsid w:val="00BE4EC4"/>
    <w:rsid w:val="00BE4EEA"/>
    <w:rsid w:val="00BE4F18"/>
    <w:rsid w:val="00BE4F85"/>
    <w:rsid w:val="00BE4FE1"/>
    <w:rsid w:val="00BE4FFF"/>
    <w:rsid w:val="00BE502B"/>
    <w:rsid w:val="00BE5131"/>
    <w:rsid w:val="00BE514F"/>
    <w:rsid w:val="00BE519A"/>
    <w:rsid w:val="00BE5286"/>
    <w:rsid w:val="00BE5324"/>
    <w:rsid w:val="00BE53AB"/>
    <w:rsid w:val="00BE53B6"/>
    <w:rsid w:val="00BE53E7"/>
    <w:rsid w:val="00BE5447"/>
    <w:rsid w:val="00BE54B2"/>
    <w:rsid w:val="00BE5561"/>
    <w:rsid w:val="00BE5578"/>
    <w:rsid w:val="00BE580E"/>
    <w:rsid w:val="00BE592A"/>
    <w:rsid w:val="00BE597B"/>
    <w:rsid w:val="00BE59BA"/>
    <w:rsid w:val="00BE59CD"/>
    <w:rsid w:val="00BE5AA5"/>
    <w:rsid w:val="00BE5AA6"/>
    <w:rsid w:val="00BE5ACB"/>
    <w:rsid w:val="00BE5B53"/>
    <w:rsid w:val="00BE5B9C"/>
    <w:rsid w:val="00BE5BA8"/>
    <w:rsid w:val="00BE5C48"/>
    <w:rsid w:val="00BE5D0A"/>
    <w:rsid w:val="00BE5D99"/>
    <w:rsid w:val="00BE5DD4"/>
    <w:rsid w:val="00BE5DDE"/>
    <w:rsid w:val="00BE5F2C"/>
    <w:rsid w:val="00BE5F98"/>
    <w:rsid w:val="00BE5FA5"/>
    <w:rsid w:val="00BE601C"/>
    <w:rsid w:val="00BE605B"/>
    <w:rsid w:val="00BE60A3"/>
    <w:rsid w:val="00BE60AC"/>
    <w:rsid w:val="00BE60F5"/>
    <w:rsid w:val="00BE6158"/>
    <w:rsid w:val="00BE6200"/>
    <w:rsid w:val="00BE6203"/>
    <w:rsid w:val="00BE6232"/>
    <w:rsid w:val="00BE63FB"/>
    <w:rsid w:val="00BE63FF"/>
    <w:rsid w:val="00BE64A0"/>
    <w:rsid w:val="00BE64F0"/>
    <w:rsid w:val="00BE652D"/>
    <w:rsid w:val="00BE6625"/>
    <w:rsid w:val="00BE664E"/>
    <w:rsid w:val="00BE697C"/>
    <w:rsid w:val="00BE6990"/>
    <w:rsid w:val="00BE6A65"/>
    <w:rsid w:val="00BE6A8D"/>
    <w:rsid w:val="00BE6B02"/>
    <w:rsid w:val="00BE6B29"/>
    <w:rsid w:val="00BE6DA7"/>
    <w:rsid w:val="00BE6EA3"/>
    <w:rsid w:val="00BE6EC4"/>
    <w:rsid w:val="00BE704E"/>
    <w:rsid w:val="00BE70EA"/>
    <w:rsid w:val="00BE7101"/>
    <w:rsid w:val="00BE71B6"/>
    <w:rsid w:val="00BE71CB"/>
    <w:rsid w:val="00BE71D1"/>
    <w:rsid w:val="00BE720D"/>
    <w:rsid w:val="00BE7287"/>
    <w:rsid w:val="00BE728D"/>
    <w:rsid w:val="00BE746E"/>
    <w:rsid w:val="00BE7479"/>
    <w:rsid w:val="00BE7509"/>
    <w:rsid w:val="00BE76B0"/>
    <w:rsid w:val="00BE76DE"/>
    <w:rsid w:val="00BE772C"/>
    <w:rsid w:val="00BE77A9"/>
    <w:rsid w:val="00BE77D0"/>
    <w:rsid w:val="00BE7892"/>
    <w:rsid w:val="00BE78B8"/>
    <w:rsid w:val="00BE79D9"/>
    <w:rsid w:val="00BE7A46"/>
    <w:rsid w:val="00BE7C25"/>
    <w:rsid w:val="00BE7C7B"/>
    <w:rsid w:val="00BE7CC2"/>
    <w:rsid w:val="00BE7D79"/>
    <w:rsid w:val="00BE7D7F"/>
    <w:rsid w:val="00BE7D98"/>
    <w:rsid w:val="00BE7F2C"/>
    <w:rsid w:val="00BE7F43"/>
    <w:rsid w:val="00BE7F4D"/>
    <w:rsid w:val="00BE7F57"/>
    <w:rsid w:val="00BE7F7B"/>
    <w:rsid w:val="00BE7FE3"/>
    <w:rsid w:val="00BE7FF3"/>
    <w:rsid w:val="00BF0015"/>
    <w:rsid w:val="00BF003D"/>
    <w:rsid w:val="00BF006F"/>
    <w:rsid w:val="00BF008B"/>
    <w:rsid w:val="00BF00E9"/>
    <w:rsid w:val="00BF0107"/>
    <w:rsid w:val="00BF012D"/>
    <w:rsid w:val="00BF014D"/>
    <w:rsid w:val="00BF0154"/>
    <w:rsid w:val="00BF01C2"/>
    <w:rsid w:val="00BF02CC"/>
    <w:rsid w:val="00BF0341"/>
    <w:rsid w:val="00BF039E"/>
    <w:rsid w:val="00BF0429"/>
    <w:rsid w:val="00BF0432"/>
    <w:rsid w:val="00BF047F"/>
    <w:rsid w:val="00BF04A2"/>
    <w:rsid w:val="00BF04D2"/>
    <w:rsid w:val="00BF0504"/>
    <w:rsid w:val="00BF0535"/>
    <w:rsid w:val="00BF062E"/>
    <w:rsid w:val="00BF0688"/>
    <w:rsid w:val="00BF081D"/>
    <w:rsid w:val="00BF09E3"/>
    <w:rsid w:val="00BF0A54"/>
    <w:rsid w:val="00BF0A6C"/>
    <w:rsid w:val="00BF0AA1"/>
    <w:rsid w:val="00BF0AC9"/>
    <w:rsid w:val="00BF0B55"/>
    <w:rsid w:val="00BF0B7A"/>
    <w:rsid w:val="00BF0B81"/>
    <w:rsid w:val="00BF0BAD"/>
    <w:rsid w:val="00BF0BEB"/>
    <w:rsid w:val="00BF0C21"/>
    <w:rsid w:val="00BF0C52"/>
    <w:rsid w:val="00BF0C77"/>
    <w:rsid w:val="00BF0CFE"/>
    <w:rsid w:val="00BF0D20"/>
    <w:rsid w:val="00BF0D4B"/>
    <w:rsid w:val="00BF0D87"/>
    <w:rsid w:val="00BF0DA8"/>
    <w:rsid w:val="00BF0E0D"/>
    <w:rsid w:val="00BF0E69"/>
    <w:rsid w:val="00BF0E8B"/>
    <w:rsid w:val="00BF0EA2"/>
    <w:rsid w:val="00BF0ED8"/>
    <w:rsid w:val="00BF0EE2"/>
    <w:rsid w:val="00BF0F7B"/>
    <w:rsid w:val="00BF0FA9"/>
    <w:rsid w:val="00BF10AE"/>
    <w:rsid w:val="00BF1127"/>
    <w:rsid w:val="00BF112E"/>
    <w:rsid w:val="00BF11A6"/>
    <w:rsid w:val="00BF11C5"/>
    <w:rsid w:val="00BF11FF"/>
    <w:rsid w:val="00BF1263"/>
    <w:rsid w:val="00BF12FD"/>
    <w:rsid w:val="00BF1381"/>
    <w:rsid w:val="00BF13DC"/>
    <w:rsid w:val="00BF1524"/>
    <w:rsid w:val="00BF1654"/>
    <w:rsid w:val="00BF166B"/>
    <w:rsid w:val="00BF16D9"/>
    <w:rsid w:val="00BF17FF"/>
    <w:rsid w:val="00BF188B"/>
    <w:rsid w:val="00BF1991"/>
    <w:rsid w:val="00BF19C8"/>
    <w:rsid w:val="00BF19CA"/>
    <w:rsid w:val="00BF1A5A"/>
    <w:rsid w:val="00BF1A79"/>
    <w:rsid w:val="00BF1B1A"/>
    <w:rsid w:val="00BF1BCC"/>
    <w:rsid w:val="00BF1BDC"/>
    <w:rsid w:val="00BF1CD7"/>
    <w:rsid w:val="00BF1E4A"/>
    <w:rsid w:val="00BF1E85"/>
    <w:rsid w:val="00BF1EA5"/>
    <w:rsid w:val="00BF1FAD"/>
    <w:rsid w:val="00BF1FF0"/>
    <w:rsid w:val="00BF20B8"/>
    <w:rsid w:val="00BF20BE"/>
    <w:rsid w:val="00BF219F"/>
    <w:rsid w:val="00BF21B8"/>
    <w:rsid w:val="00BF21C6"/>
    <w:rsid w:val="00BF222A"/>
    <w:rsid w:val="00BF2276"/>
    <w:rsid w:val="00BF22B2"/>
    <w:rsid w:val="00BF23BA"/>
    <w:rsid w:val="00BF23D7"/>
    <w:rsid w:val="00BF23F3"/>
    <w:rsid w:val="00BF244E"/>
    <w:rsid w:val="00BF2567"/>
    <w:rsid w:val="00BF259F"/>
    <w:rsid w:val="00BF25B7"/>
    <w:rsid w:val="00BF26D5"/>
    <w:rsid w:val="00BF272E"/>
    <w:rsid w:val="00BF279E"/>
    <w:rsid w:val="00BF280A"/>
    <w:rsid w:val="00BF2844"/>
    <w:rsid w:val="00BF28A7"/>
    <w:rsid w:val="00BF292F"/>
    <w:rsid w:val="00BF2965"/>
    <w:rsid w:val="00BF29F2"/>
    <w:rsid w:val="00BF2A06"/>
    <w:rsid w:val="00BF2A23"/>
    <w:rsid w:val="00BF2A3F"/>
    <w:rsid w:val="00BF2A66"/>
    <w:rsid w:val="00BF2AC2"/>
    <w:rsid w:val="00BF2B6B"/>
    <w:rsid w:val="00BF2BBE"/>
    <w:rsid w:val="00BF2CCC"/>
    <w:rsid w:val="00BF2CD5"/>
    <w:rsid w:val="00BF2D03"/>
    <w:rsid w:val="00BF2D30"/>
    <w:rsid w:val="00BF2D44"/>
    <w:rsid w:val="00BF2D75"/>
    <w:rsid w:val="00BF2DCE"/>
    <w:rsid w:val="00BF2E4B"/>
    <w:rsid w:val="00BF2E55"/>
    <w:rsid w:val="00BF2E93"/>
    <w:rsid w:val="00BF2F22"/>
    <w:rsid w:val="00BF2F4C"/>
    <w:rsid w:val="00BF2F5D"/>
    <w:rsid w:val="00BF301C"/>
    <w:rsid w:val="00BF3021"/>
    <w:rsid w:val="00BF3169"/>
    <w:rsid w:val="00BF316A"/>
    <w:rsid w:val="00BF31E0"/>
    <w:rsid w:val="00BF323F"/>
    <w:rsid w:val="00BF3258"/>
    <w:rsid w:val="00BF327C"/>
    <w:rsid w:val="00BF32A2"/>
    <w:rsid w:val="00BF32AE"/>
    <w:rsid w:val="00BF32DE"/>
    <w:rsid w:val="00BF3322"/>
    <w:rsid w:val="00BF3341"/>
    <w:rsid w:val="00BF3360"/>
    <w:rsid w:val="00BF33E0"/>
    <w:rsid w:val="00BF3461"/>
    <w:rsid w:val="00BF34B8"/>
    <w:rsid w:val="00BF350E"/>
    <w:rsid w:val="00BF362A"/>
    <w:rsid w:val="00BF37EA"/>
    <w:rsid w:val="00BF380F"/>
    <w:rsid w:val="00BF3839"/>
    <w:rsid w:val="00BF3853"/>
    <w:rsid w:val="00BF38BF"/>
    <w:rsid w:val="00BF38CB"/>
    <w:rsid w:val="00BF392C"/>
    <w:rsid w:val="00BF3A21"/>
    <w:rsid w:val="00BF3B34"/>
    <w:rsid w:val="00BF3BB9"/>
    <w:rsid w:val="00BF3C38"/>
    <w:rsid w:val="00BF3C7F"/>
    <w:rsid w:val="00BF3CFC"/>
    <w:rsid w:val="00BF3D18"/>
    <w:rsid w:val="00BF3D88"/>
    <w:rsid w:val="00BF3E83"/>
    <w:rsid w:val="00BF3FDA"/>
    <w:rsid w:val="00BF3FE6"/>
    <w:rsid w:val="00BF4098"/>
    <w:rsid w:val="00BF40F3"/>
    <w:rsid w:val="00BF4204"/>
    <w:rsid w:val="00BF4219"/>
    <w:rsid w:val="00BF4291"/>
    <w:rsid w:val="00BF430B"/>
    <w:rsid w:val="00BF433A"/>
    <w:rsid w:val="00BF4375"/>
    <w:rsid w:val="00BF440A"/>
    <w:rsid w:val="00BF44AF"/>
    <w:rsid w:val="00BF44F9"/>
    <w:rsid w:val="00BF450C"/>
    <w:rsid w:val="00BF453C"/>
    <w:rsid w:val="00BF4688"/>
    <w:rsid w:val="00BF46A3"/>
    <w:rsid w:val="00BF4735"/>
    <w:rsid w:val="00BF48A4"/>
    <w:rsid w:val="00BF48A5"/>
    <w:rsid w:val="00BF49BB"/>
    <w:rsid w:val="00BF49D1"/>
    <w:rsid w:val="00BF4A47"/>
    <w:rsid w:val="00BF4AC4"/>
    <w:rsid w:val="00BF4ACF"/>
    <w:rsid w:val="00BF4B47"/>
    <w:rsid w:val="00BF4B7E"/>
    <w:rsid w:val="00BF4CBE"/>
    <w:rsid w:val="00BF4CE2"/>
    <w:rsid w:val="00BF4D70"/>
    <w:rsid w:val="00BF4DAC"/>
    <w:rsid w:val="00BF4DE0"/>
    <w:rsid w:val="00BF5001"/>
    <w:rsid w:val="00BF5010"/>
    <w:rsid w:val="00BF5076"/>
    <w:rsid w:val="00BF50F1"/>
    <w:rsid w:val="00BF514A"/>
    <w:rsid w:val="00BF51F6"/>
    <w:rsid w:val="00BF5213"/>
    <w:rsid w:val="00BF5231"/>
    <w:rsid w:val="00BF52EF"/>
    <w:rsid w:val="00BF53C0"/>
    <w:rsid w:val="00BF53D1"/>
    <w:rsid w:val="00BF5437"/>
    <w:rsid w:val="00BF5439"/>
    <w:rsid w:val="00BF5498"/>
    <w:rsid w:val="00BF5507"/>
    <w:rsid w:val="00BF554E"/>
    <w:rsid w:val="00BF55FB"/>
    <w:rsid w:val="00BF563B"/>
    <w:rsid w:val="00BF56EC"/>
    <w:rsid w:val="00BF57AA"/>
    <w:rsid w:val="00BF57F4"/>
    <w:rsid w:val="00BF58E0"/>
    <w:rsid w:val="00BF58F4"/>
    <w:rsid w:val="00BF593E"/>
    <w:rsid w:val="00BF5A2B"/>
    <w:rsid w:val="00BF5A35"/>
    <w:rsid w:val="00BF5A45"/>
    <w:rsid w:val="00BF5A78"/>
    <w:rsid w:val="00BF5A9A"/>
    <w:rsid w:val="00BF5B86"/>
    <w:rsid w:val="00BF5BE0"/>
    <w:rsid w:val="00BF5C01"/>
    <w:rsid w:val="00BF5CF0"/>
    <w:rsid w:val="00BF5DE2"/>
    <w:rsid w:val="00BF5EC4"/>
    <w:rsid w:val="00BF5EDE"/>
    <w:rsid w:val="00BF5EFA"/>
    <w:rsid w:val="00BF5FBD"/>
    <w:rsid w:val="00BF5FF2"/>
    <w:rsid w:val="00BF6003"/>
    <w:rsid w:val="00BF6005"/>
    <w:rsid w:val="00BF6078"/>
    <w:rsid w:val="00BF60D2"/>
    <w:rsid w:val="00BF60E9"/>
    <w:rsid w:val="00BF6168"/>
    <w:rsid w:val="00BF6187"/>
    <w:rsid w:val="00BF61BF"/>
    <w:rsid w:val="00BF6220"/>
    <w:rsid w:val="00BF6243"/>
    <w:rsid w:val="00BF6254"/>
    <w:rsid w:val="00BF6297"/>
    <w:rsid w:val="00BF6388"/>
    <w:rsid w:val="00BF63BE"/>
    <w:rsid w:val="00BF6591"/>
    <w:rsid w:val="00BF6739"/>
    <w:rsid w:val="00BF6751"/>
    <w:rsid w:val="00BF67A3"/>
    <w:rsid w:val="00BF686A"/>
    <w:rsid w:val="00BF6919"/>
    <w:rsid w:val="00BF6949"/>
    <w:rsid w:val="00BF695E"/>
    <w:rsid w:val="00BF69E0"/>
    <w:rsid w:val="00BF69E9"/>
    <w:rsid w:val="00BF6A15"/>
    <w:rsid w:val="00BF6A62"/>
    <w:rsid w:val="00BF6B9C"/>
    <w:rsid w:val="00BF6C0C"/>
    <w:rsid w:val="00BF6C30"/>
    <w:rsid w:val="00BF6C77"/>
    <w:rsid w:val="00BF6CF4"/>
    <w:rsid w:val="00BF6CF9"/>
    <w:rsid w:val="00BF6D29"/>
    <w:rsid w:val="00BF6D2C"/>
    <w:rsid w:val="00BF6E84"/>
    <w:rsid w:val="00BF6FC0"/>
    <w:rsid w:val="00BF702B"/>
    <w:rsid w:val="00BF703A"/>
    <w:rsid w:val="00BF70A5"/>
    <w:rsid w:val="00BF70DE"/>
    <w:rsid w:val="00BF71DB"/>
    <w:rsid w:val="00BF7231"/>
    <w:rsid w:val="00BF7275"/>
    <w:rsid w:val="00BF7288"/>
    <w:rsid w:val="00BF7378"/>
    <w:rsid w:val="00BF7456"/>
    <w:rsid w:val="00BF74D8"/>
    <w:rsid w:val="00BF74F5"/>
    <w:rsid w:val="00BF7556"/>
    <w:rsid w:val="00BF7618"/>
    <w:rsid w:val="00BF763F"/>
    <w:rsid w:val="00BF7675"/>
    <w:rsid w:val="00BF7693"/>
    <w:rsid w:val="00BF76E2"/>
    <w:rsid w:val="00BF77E7"/>
    <w:rsid w:val="00BF7826"/>
    <w:rsid w:val="00BF7843"/>
    <w:rsid w:val="00BF790A"/>
    <w:rsid w:val="00BF7951"/>
    <w:rsid w:val="00BF7988"/>
    <w:rsid w:val="00BF7A2F"/>
    <w:rsid w:val="00BF7A88"/>
    <w:rsid w:val="00BF7B53"/>
    <w:rsid w:val="00BF7B59"/>
    <w:rsid w:val="00BF7B65"/>
    <w:rsid w:val="00BF7C35"/>
    <w:rsid w:val="00BF7D3E"/>
    <w:rsid w:val="00BF7E59"/>
    <w:rsid w:val="00BF7EC8"/>
    <w:rsid w:val="00BF7EF2"/>
    <w:rsid w:val="00BF7F30"/>
    <w:rsid w:val="00BF7FDC"/>
    <w:rsid w:val="00C00085"/>
    <w:rsid w:val="00C00090"/>
    <w:rsid w:val="00C00094"/>
    <w:rsid w:val="00C000B6"/>
    <w:rsid w:val="00C00133"/>
    <w:rsid w:val="00C00156"/>
    <w:rsid w:val="00C0017B"/>
    <w:rsid w:val="00C00222"/>
    <w:rsid w:val="00C002D2"/>
    <w:rsid w:val="00C002FC"/>
    <w:rsid w:val="00C00303"/>
    <w:rsid w:val="00C00305"/>
    <w:rsid w:val="00C0031A"/>
    <w:rsid w:val="00C00322"/>
    <w:rsid w:val="00C003BF"/>
    <w:rsid w:val="00C00472"/>
    <w:rsid w:val="00C0055A"/>
    <w:rsid w:val="00C005C9"/>
    <w:rsid w:val="00C00600"/>
    <w:rsid w:val="00C00643"/>
    <w:rsid w:val="00C006A6"/>
    <w:rsid w:val="00C0074C"/>
    <w:rsid w:val="00C007B5"/>
    <w:rsid w:val="00C00807"/>
    <w:rsid w:val="00C00846"/>
    <w:rsid w:val="00C0088F"/>
    <w:rsid w:val="00C0089B"/>
    <w:rsid w:val="00C008D7"/>
    <w:rsid w:val="00C00957"/>
    <w:rsid w:val="00C00964"/>
    <w:rsid w:val="00C0099B"/>
    <w:rsid w:val="00C009D9"/>
    <w:rsid w:val="00C00D16"/>
    <w:rsid w:val="00C00DB6"/>
    <w:rsid w:val="00C00DDA"/>
    <w:rsid w:val="00C00E22"/>
    <w:rsid w:val="00C00EA3"/>
    <w:rsid w:val="00C00EC0"/>
    <w:rsid w:val="00C00F8F"/>
    <w:rsid w:val="00C01043"/>
    <w:rsid w:val="00C0106D"/>
    <w:rsid w:val="00C010A9"/>
    <w:rsid w:val="00C0119B"/>
    <w:rsid w:val="00C011A9"/>
    <w:rsid w:val="00C011C7"/>
    <w:rsid w:val="00C011D4"/>
    <w:rsid w:val="00C0126C"/>
    <w:rsid w:val="00C01323"/>
    <w:rsid w:val="00C0136D"/>
    <w:rsid w:val="00C013D8"/>
    <w:rsid w:val="00C013EF"/>
    <w:rsid w:val="00C01401"/>
    <w:rsid w:val="00C0158E"/>
    <w:rsid w:val="00C015E3"/>
    <w:rsid w:val="00C0165D"/>
    <w:rsid w:val="00C01781"/>
    <w:rsid w:val="00C01794"/>
    <w:rsid w:val="00C0180F"/>
    <w:rsid w:val="00C018BF"/>
    <w:rsid w:val="00C01AB7"/>
    <w:rsid w:val="00C01B18"/>
    <w:rsid w:val="00C01B6E"/>
    <w:rsid w:val="00C01B9C"/>
    <w:rsid w:val="00C01C29"/>
    <w:rsid w:val="00C01C2C"/>
    <w:rsid w:val="00C01CAA"/>
    <w:rsid w:val="00C01DAD"/>
    <w:rsid w:val="00C01DFB"/>
    <w:rsid w:val="00C01E1A"/>
    <w:rsid w:val="00C01E22"/>
    <w:rsid w:val="00C01F83"/>
    <w:rsid w:val="00C01FF0"/>
    <w:rsid w:val="00C02077"/>
    <w:rsid w:val="00C02092"/>
    <w:rsid w:val="00C021F2"/>
    <w:rsid w:val="00C0226B"/>
    <w:rsid w:val="00C0228E"/>
    <w:rsid w:val="00C022BB"/>
    <w:rsid w:val="00C02379"/>
    <w:rsid w:val="00C023EF"/>
    <w:rsid w:val="00C0241B"/>
    <w:rsid w:val="00C02428"/>
    <w:rsid w:val="00C02445"/>
    <w:rsid w:val="00C02448"/>
    <w:rsid w:val="00C0244F"/>
    <w:rsid w:val="00C02478"/>
    <w:rsid w:val="00C02523"/>
    <w:rsid w:val="00C0259A"/>
    <w:rsid w:val="00C02600"/>
    <w:rsid w:val="00C02606"/>
    <w:rsid w:val="00C0262A"/>
    <w:rsid w:val="00C026E2"/>
    <w:rsid w:val="00C02757"/>
    <w:rsid w:val="00C02766"/>
    <w:rsid w:val="00C027B1"/>
    <w:rsid w:val="00C0283C"/>
    <w:rsid w:val="00C02860"/>
    <w:rsid w:val="00C028AA"/>
    <w:rsid w:val="00C0294A"/>
    <w:rsid w:val="00C029BB"/>
    <w:rsid w:val="00C029FA"/>
    <w:rsid w:val="00C02A5C"/>
    <w:rsid w:val="00C02A69"/>
    <w:rsid w:val="00C02B1F"/>
    <w:rsid w:val="00C02BB0"/>
    <w:rsid w:val="00C02C63"/>
    <w:rsid w:val="00C02C98"/>
    <w:rsid w:val="00C02D13"/>
    <w:rsid w:val="00C02D31"/>
    <w:rsid w:val="00C02E09"/>
    <w:rsid w:val="00C02E59"/>
    <w:rsid w:val="00C02E64"/>
    <w:rsid w:val="00C02E70"/>
    <w:rsid w:val="00C02E86"/>
    <w:rsid w:val="00C02E9A"/>
    <w:rsid w:val="00C02F62"/>
    <w:rsid w:val="00C02FA0"/>
    <w:rsid w:val="00C02FDE"/>
    <w:rsid w:val="00C02FE3"/>
    <w:rsid w:val="00C0303B"/>
    <w:rsid w:val="00C03069"/>
    <w:rsid w:val="00C030B0"/>
    <w:rsid w:val="00C03166"/>
    <w:rsid w:val="00C0316E"/>
    <w:rsid w:val="00C03199"/>
    <w:rsid w:val="00C0319B"/>
    <w:rsid w:val="00C031AA"/>
    <w:rsid w:val="00C031C7"/>
    <w:rsid w:val="00C0321F"/>
    <w:rsid w:val="00C03267"/>
    <w:rsid w:val="00C0327F"/>
    <w:rsid w:val="00C032F9"/>
    <w:rsid w:val="00C03323"/>
    <w:rsid w:val="00C0333F"/>
    <w:rsid w:val="00C03352"/>
    <w:rsid w:val="00C034AA"/>
    <w:rsid w:val="00C034B7"/>
    <w:rsid w:val="00C034C8"/>
    <w:rsid w:val="00C034D8"/>
    <w:rsid w:val="00C035AF"/>
    <w:rsid w:val="00C035C7"/>
    <w:rsid w:val="00C03615"/>
    <w:rsid w:val="00C0361A"/>
    <w:rsid w:val="00C03670"/>
    <w:rsid w:val="00C036A6"/>
    <w:rsid w:val="00C036B8"/>
    <w:rsid w:val="00C036CE"/>
    <w:rsid w:val="00C0370A"/>
    <w:rsid w:val="00C0383E"/>
    <w:rsid w:val="00C038E4"/>
    <w:rsid w:val="00C0390F"/>
    <w:rsid w:val="00C0394E"/>
    <w:rsid w:val="00C03982"/>
    <w:rsid w:val="00C039FE"/>
    <w:rsid w:val="00C03A12"/>
    <w:rsid w:val="00C03A5B"/>
    <w:rsid w:val="00C03A62"/>
    <w:rsid w:val="00C03A80"/>
    <w:rsid w:val="00C03AE1"/>
    <w:rsid w:val="00C03AE8"/>
    <w:rsid w:val="00C03B29"/>
    <w:rsid w:val="00C03C74"/>
    <w:rsid w:val="00C03D4B"/>
    <w:rsid w:val="00C03DE2"/>
    <w:rsid w:val="00C03DF1"/>
    <w:rsid w:val="00C03E2C"/>
    <w:rsid w:val="00C03EF1"/>
    <w:rsid w:val="00C03EF2"/>
    <w:rsid w:val="00C040F3"/>
    <w:rsid w:val="00C04177"/>
    <w:rsid w:val="00C0417F"/>
    <w:rsid w:val="00C04192"/>
    <w:rsid w:val="00C041D9"/>
    <w:rsid w:val="00C041FE"/>
    <w:rsid w:val="00C04376"/>
    <w:rsid w:val="00C0440E"/>
    <w:rsid w:val="00C04458"/>
    <w:rsid w:val="00C04484"/>
    <w:rsid w:val="00C04530"/>
    <w:rsid w:val="00C0456F"/>
    <w:rsid w:val="00C04631"/>
    <w:rsid w:val="00C04647"/>
    <w:rsid w:val="00C04664"/>
    <w:rsid w:val="00C04671"/>
    <w:rsid w:val="00C04676"/>
    <w:rsid w:val="00C046EE"/>
    <w:rsid w:val="00C046F1"/>
    <w:rsid w:val="00C04724"/>
    <w:rsid w:val="00C047D5"/>
    <w:rsid w:val="00C04822"/>
    <w:rsid w:val="00C0487D"/>
    <w:rsid w:val="00C048B6"/>
    <w:rsid w:val="00C048BD"/>
    <w:rsid w:val="00C04924"/>
    <w:rsid w:val="00C049EA"/>
    <w:rsid w:val="00C04B40"/>
    <w:rsid w:val="00C04B8C"/>
    <w:rsid w:val="00C04B8D"/>
    <w:rsid w:val="00C04BB2"/>
    <w:rsid w:val="00C04BFC"/>
    <w:rsid w:val="00C04C01"/>
    <w:rsid w:val="00C04C0F"/>
    <w:rsid w:val="00C04C9B"/>
    <w:rsid w:val="00C04CB3"/>
    <w:rsid w:val="00C04DDB"/>
    <w:rsid w:val="00C04E39"/>
    <w:rsid w:val="00C04E57"/>
    <w:rsid w:val="00C04ED9"/>
    <w:rsid w:val="00C04EE5"/>
    <w:rsid w:val="00C04EEE"/>
    <w:rsid w:val="00C04F4A"/>
    <w:rsid w:val="00C04F83"/>
    <w:rsid w:val="00C04FB6"/>
    <w:rsid w:val="00C04FCC"/>
    <w:rsid w:val="00C04FEE"/>
    <w:rsid w:val="00C05151"/>
    <w:rsid w:val="00C05164"/>
    <w:rsid w:val="00C0523A"/>
    <w:rsid w:val="00C0529F"/>
    <w:rsid w:val="00C052B9"/>
    <w:rsid w:val="00C0532B"/>
    <w:rsid w:val="00C05344"/>
    <w:rsid w:val="00C0535E"/>
    <w:rsid w:val="00C054BB"/>
    <w:rsid w:val="00C056C6"/>
    <w:rsid w:val="00C0579D"/>
    <w:rsid w:val="00C057DA"/>
    <w:rsid w:val="00C05806"/>
    <w:rsid w:val="00C05837"/>
    <w:rsid w:val="00C05845"/>
    <w:rsid w:val="00C058C8"/>
    <w:rsid w:val="00C0597F"/>
    <w:rsid w:val="00C05BE0"/>
    <w:rsid w:val="00C05CD0"/>
    <w:rsid w:val="00C05E9E"/>
    <w:rsid w:val="00C05F18"/>
    <w:rsid w:val="00C05F5D"/>
    <w:rsid w:val="00C05FB8"/>
    <w:rsid w:val="00C06070"/>
    <w:rsid w:val="00C0608B"/>
    <w:rsid w:val="00C060BE"/>
    <w:rsid w:val="00C0611F"/>
    <w:rsid w:val="00C063BB"/>
    <w:rsid w:val="00C063E7"/>
    <w:rsid w:val="00C06409"/>
    <w:rsid w:val="00C0642D"/>
    <w:rsid w:val="00C0649D"/>
    <w:rsid w:val="00C064D8"/>
    <w:rsid w:val="00C06513"/>
    <w:rsid w:val="00C06660"/>
    <w:rsid w:val="00C0667B"/>
    <w:rsid w:val="00C06696"/>
    <w:rsid w:val="00C066B8"/>
    <w:rsid w:val="00C066D0"/>
    <w:rsid w:val="00C066D1"/>
    <w:rsid w:val="00C066E8"/>
    <w:rsid w:val="00C0670C"/>
    <w:rsid w:val="00C06729"/>
    <w:rsid w:val="00C067D7"/>
    <w:rsid w:val="00C06961"/>
    <w:rsid w:val="00C06985"/>
    <w:rsid w:val="00C06B37"/>
    <w:rsid w:val="00C06B46"/>
    <w:rsid w:val="00C06C6A"/>
    <w:rsid w:val="00C06C77"/>
    <w:rsid w:val="00C06CB9"/>
    <w:rsid w:val="00C06CBF"/>
    <w:rsid w:val="00C06E2C"/>
    <w:rsid w:val="00C06E47"/>
    <w:rsid w:val="00C06E79"/>
    <w:rsid w:val="00C06E86"/>
    <w:rsid w:val="00C06ED8"/>
    <w:rsid w:val="00C06FC9"/>
    <w:rsid w:val="00C072A2"/>
    <w:rsid w:val="00C072D0"/>
    <w:rsid w:val="00C0732B"/>
    <w:rsid w:val="00C0733A"/>
    <w:rsid w:val="00C0737D"/>
    <w:rsid w:val="00C07395"/>
    <w:rsid w:val="00C073D7"/>
    <w:rsid w:val="00C07410"/>
    <w:rsid w:val="00C07428"/>
    <w:rsid w:val="00C0750A"/>
    <w:rsid w:val="00C0757C"/>
    <w:rsid w:val="00C07590"/>
    <w:rsid w:val="00C075D8"/>
    <w:rsid w:val="00C07648"/>
    <w:rsid w:val="00C07695"/>
    <w:rsid w:val="00C076F6"/>
    <w:rsid w:val="00C07704"/>
    <w:rsid w:val="00C07723"/>
    <w:rsid w:val="00C07872"/>
    <w:rsid w:val="00C07888"/>
    <w:rsid w:val="00C0792E"/>
    <w:rsid w:val="00C07982"/>
    <w:rsid w:val="00C07A0D"/>
    <w:rsid w:val="00C07A28"/>
    <w:rsid w:val="00C07A98"/>
    <w:rsid w:val="00C07AC1"/>
    <w:rsid w:val="00C07B43"/>
    <w:rsid w:val="00C07CB2"/>
    <w:rsid w:val="00C07D89"/>
    <w:rsid w:val="00C07DAF"/>
    <w:rsid w:val="00C07DEA"/>
    <w:rsid w:val="00C07E57"/>
    <w:rsid w:val="00C07ECB"/>
    <w:rsid w:val="00C07ED3"/>
    <w:rsid w:val="00C07F2A"/>
    <w:rsid w:val="00C07F6D"/>
    <w:rsid w:val="00C07FEF"/>
    <w:rsid w:val="00C100A4"/>
    <w:rsid w:val="00C10118"/>
    <w:rsid w:val="00C10163"/>
    <w:rsid w:val="00C101BB"/>
    <w:rsid w:val="00C102BD"/>
    <w:rsid w:val="00C10316"/>
    <w:rsid w:val="00C10474"/>
    <w:rsid w:val="00C10479"/>
    <w:rsid w:val="00C104B2"/>
    <w:rsid w:val="00C104C2"/>
    <w:rsid w:val="00C104E8"/>
    <w:rsid w:val="00C1057E"/>
    <w:rsid w:val="00C105E1"/>
    <w:rsid w:val="00C106B3"/>
    <w:rsid w:val="00C10723"/>
    <w:rsid w:val="00C1090A"/>
    <w:rsid w:val="00C10A0B"/>
    <w:rsid w:val="00C10A69"/>
    <w:rsid w:val="00C10A71"/>
    <w:rsid w:val="00C10D02"/>
    <w:rsid w:val="00C10D17"/>
    <w:rsid w:val="00C10D1A"/>
    <w:rsid w:val="00C10DA5"/>
    <w:rsid w:val="00C10E3A"/>
    <w:rsid w:val="00C10EA1"/>
    <w:rsid w:val="00C10EC3"/>
    <w:rsid w:val="00C10EEA"/>
    <w:rsid w:val="00C10F25"/>
    <w:rsid w:val="00C110A2"/>
    <w:rsid w:val="00C110E1"/>
    <w:rsid w:val="00C11259"/>
    <w:rsid w:val="00C11285"/>
    <w:rsid w:val="00C112AA"/>
    <w:rsid w:val="00C113DC"/>
    <w:rsid w:val="00C11410"/>
    <w:rsid w:val="00C11443"/>
    <w:rsid w:val="00C11472"/>
    <w:rsid w:val="00C114A4"/>
    <w:rsid w:val="00C114DB"/>
    <w:rsid w:val="00C1153D"/>
    <w:rsid w:val="00C11564"/>
    <w:rsid w:val="00C115D1"/>
    <w:rsid w:val="00C11692"/>
    <w:rsid w:val="00C11775"/>
    <w:rsid w:val="00C11781"/>
    <w:rsid w:val="00C118B0"/>
    <w:rsid w:val="00C1191D"/>
    <w:rsid w:val="00C1196E"/>
    <w:rsid w:val="00C11970"/>
    <w:rsid w:val="00C119CB"/>
    <w:rsid w:val="00C11A09"/>
    <w:rsid w:val="00C11A35"/>
    <w:rsid w:val="00C11A98"/>
    <w:rsid w:val="00C11AB9"/>
    <w:rsid w:val="00C11B81"/>
    <w:rsid w:val="00C11B91"/>
    <w:rsid w:val="00C11BBB"/>
    <w:rsid w:val="00C11C78"/>
    <w:rsid w:val="00C11DE4"/>
    <w:rsid w:val="00C11E1C"/>
    <w:rsid w:val="00C11E94"/>
    <w:rsid w:val="00C11F28"/>
    <w:rsid w:val="00C11F4B"/>
    <w:rsid w:val="00C11F92"/>
    <w:rsid w:val="00C11F99"/>
    <w:rsid w:val="00C120B4"/>
    <w:rsid w:val="00C120E1"/>
    <w:rsid w:val="00C1216F"/>
    <w:rsid w:val="00C12251"/>
    <w:rsid w:val="00C122B1"/>
    <w:rsid w:val="00C122D6"/>
    <w:rsid w:val="00C1230E"/>
    <w:rsid w:val="00C12338"/>
    <w:rsid w:val="00C12368"/>
    <w:rsid w:val="00C123B1"/>
    <w:rsid w:val="00C1243F"/>
    <w:rsid w:val="00C12588"/>
    <w:rsid w:val="00C125DC"/>
    <w:rsid w:val="00C125ED"/>
    <w:rsid w:val="00C12610"/>
    <w:rsid w:val="00C12618"/>
    <w:rsid w:val="00C1267C"/>
    <w:rsid w:val="00C12687"/>
    <w:rsid w:val="00C126F6"/>
    <w:rsid w:val="00C1271F"/>
    <w:rsid w:val="00C1278D"/>
    <w:rsid w:val="00C127FA"/>
    <w:rsid w:val="00C1295E"/>
    <w:rsid w:val="00C129EE"/>
    <w:rsid w:val="00C12AAF"/>
    <w:rsid w:val="00C12B11"/>
    <w:rsid w:val="00C12BBD"/>
    <w:rsid w:val="00C12C9D"/>
    <w:rsid w:val="00C12CE3"/>
    <w:rsid w:val="00C12D2A"/>
    <w:rsid w:val="00C12D77"/>
    <w:rsid w:val="00C12EC8"/>
    <w:rsid w:val="00C12F14"/>
    <w:rsid w:val="00C12F9E"/>
    <w:rsid w:val="00C13016"/>
    <w:rsid w:val="00C13019"/>
    <w:rsid w:val="00C1320C"/>
    <w:rsid w:val="00C13294"/>
    <w:rsid w:val="00C13320"/>
    <w:rsid w:val="00C13374"/>
    <w:rsid w:val="00C134A8"/>
    <w:rsid w:val="00C134CC"/>
    <w:rsid w:val="00C1353C"/>
    <w:rsid w:val="00C135B5"/>
    <w:rsid w:val="00C135BE"/>
    <w:rsid w:val="00C135C1"/>
    <w:rsid w:val="00C135CC"/>
    <w:rsid w:val="00C13603"/>
    <w:rsid w:val="00C1367C"/>
    <w:rsid w:val="00C1369D"/>
    <w:rsid w:val="00C136B5"/>
    <w:rsid w:val="00C13708"/>
    <w:rsid w:val="00C1372D"/>
    <w:rsid w:val="00C1374B"/>
    <w:rsid w:val="00C137A7"/>
    <w:rsid w:val="00C13849"/>
    <w:rsid w:val="00C13854"/>
    <w:rsid w:val="00C1385E"/>
    <w:rsid w:val="00C13902"/>
    <w:rsid w:val="00C13926"/>
    <w:rsid w:val="00C13979"/>
    <w:rsid w:val="00C13986"/>
    <w:rsid w:val="00C13A7E"/>
    <w:rsid w:val="00C13B6B"/>
    <w:rsid w:val="00C13BA2"/>
    <w:rsid w:val="00C13BF9"/>
    <w:rsid w:val="00C13BFE"/>
    <w:rsid w:val="00C13C02"/>
    <w:rsid w:val="00C13C9B"/>
    <w:rsid w:val="00C13D0E"/>
    <w:rsid w:val="00C13D91"/>
    <w:rsid w:val="00C13EBD"/>
    <w:rsid w:val="00C13EC3"/>
    <w:rsid w:val="00C13F66"/>
    <w:rsid w:val="00C14063"/>
    <w:rsid w:val="00C140AA"/>
    <w:rsid w:val="00C1411A"/>
    <w:rsid w:val="00C14199"/>
    <w:rsid w:val="00C141D5"/>
    <w:rsid w:val="00C14237"/>
    <w:rsid w:val="00C14253"/>
    <w:rsid w:val="00C142AA"/>
    <w:rsid w:val="00C14384"/>
    <w:rsid w:val="00C14424"/>
    <w:rsid w:val="00C14426"/>
    <w:rsid w:val="00C144C9"/>
    <w:rsid w:val="00C14510"/>
    <w:rsid w:val="00C14513"/>
    <w:rsid w:val="00C14521"/>
    <w:rsid w:val="00C1455F"/>
    <w:rsid w:val="00C14579"/>
    <w:rsid w:val="00C1457A"/>
    <w:rsid w:val="00C1467F"/>
    <w:rsid w:val="00C1468B"/>
    <w:rsid w:val="00C14704"/>
    <w:rsid w:val="00C147E3"/>
    <w:rsid w:val="00C1487A"/>
    <w:rsid w:val="00C14880"/>
    <w:rsid w:val="00C1489C"/>
    <w:rsid w:val="00C148D3"/>
    <w:rsid w:val="00C14994"/>
    <w:rsid w:val="00C149C4"/>
    <w:rsid w:val="00C14A1A"/>
    <w:rsid w:val="00C14A43"/>
    <w:rsid w:val="00C14A71"/>
    <w:rsid w:val="00C14AA3"/>
    <w:rsid w:val="00C14B04"/>
    <w:rsid w:val="00C14B18"/>
    <w:rsid w:val="00C14BE5"/>
    <w:rsid w:val="00C14C1D"/>
    <w:rsid w:val="00C14C43"/>
    <w:rsid w:val="00C14C7A"/>
    <w:rsid w:val="00C14C82"/>
    <w:rsid w:val="00C14C96"/>
    <w:rsid w:val="00C14CF5"/>
    <w:rsid w:val="00C14DB5"/>
    <w:rsid w:val="00C14DFA"/>
    <w:rsid w:val="00C14E53"/>
    <w:rsid w:val="00C14F0E"/>
    <w:rsid w:val="00C14F6E"/>
    <w:rsid w:val="00C14FE0"/>
    <w:rsid w:val="00C14FFE"/>
    <w:rsid w:val="00C150DF"/>
    <w:rsid w:val="00C153CA"/>
    <w:rsid w:val="00C15410"/>
    <w:rsid w:val="00C15415"/>
    <w:rsid w:val="00C15452"/>
    <w:rsid w:val="00C154EE"/>
    <w:rsid w:val="00C1550D"/>
    <w:rsid w:val="00C156BF"/>
    <w:rsid w:val="00C156FC"/>
    <w:rsid w:val="00C1570D"/>
    <w:rsid w:val="00C157AD"/>
    <w:rsid w:val="00C157C7"/>
    <w:rsid w:val="00C157EA"/>
    <w:rsid w:val="00C15942"/>
    <w:rsid w:val="00C1598C"/>
    <w:rsid w:val="00C159B9"/>
    <w:rsid w:val="00C15A0F"/>
    <w:rsid w:val="00C15A57"/>
    <w:rsid w:val="00C15A87"/>
    <w:rsid w:val="00C15A8E"/>
    <w:rsid w:val="00C15B7E"/>
    <w:rsid w:val="00C15BB9"/>
    <w:rsid w:val="00C15C3C"/>
    <w:rsid w:val="00C15CD6"/>
    <w:rsid w:val="00C15D2F"/>
    <w:rsid w:val="00C15D38"/>
    <w:rsid w:val="00C15D63"/>
    <w:rsid w:val="00C15DCA"/>
    <w:rsid w:val="00C15DD1"/>
    <w:rsid w:val="00C15EA2"/>
    <w:rsid w:val="00C15EF4"/>
    <w:rsid w:val="00C15FDA"/>
    <w:rsid w:val="00C15FE0"/>
    <w:rsid w:val="00C16037"/>
    <w:rsid w:val="00C16069"/>
    <w:rsid w:val="00C1617F"/>
    <w:rsid w:val="00C161B5"/>
    <w:rsid w:val="00C161CC"/>
    <w:rsid w:val="00C16260"/>
    <w:rsid w:val="00C162C6"/>
    <w:rsid w:val="00C16336"/>
    <w:rsid w:val="00C16352"/>
    <w:rsid w:val="00C16405"/>
    <w:rsid w:val="00C1642F"/>
    <w:rsid w:val="00C1644C"/>
    <w:rsid w:val="00C16632"/>
    <w:rsid w:val="00C166E0"/>
    <w:rsid w:val="00C167CF"/>
    <w:rsid w:val="00C16963"/>
    <w:rsid w:val="00C169B3"/>
    <w:rsid w:val="00C169B6"/>
    <w:rsid w:val="00C16A08"/>
    <w:rsid w:val="00C16A53"/>
    <w:rsid w:val="00C16A87"/>
    <w:rsid w:val="00C16AED"/>
    <w:rsid w:val="00C16BDA"/>
    <w:rsid w:val="00C16C1D"/>
    <w:rsid w:val="00C16C30"/>
    <w:rsid w:val="00C16C97"/>
    <w:rsid w:val="00C16C9E"/>
    <w:rsid w:val="00C16CAC"/>
    <w:rsid w:val="00C16CF0"/>
    <w:rsid w:val="00C16D2E"/>
    <w:rsid w:val="00C16DCB"/>
    <w:rsid w:val="00C16E2F"/>
    <w:rsid w:val="00C16E80"/>
    <w:rsid w:val="00C16EA4"/>
    <w:rsid w:val="00C16EBB"/>
    <w:rsid w:val="00C16EBE"/>
    <w:rsid w:val="00C16F31"/>
    <w:rsid w:val="00C16F77"/>
    <w:rsid w:val="00C16FFE"/>
    <w:rsid w:val="00C17066"/>
    <w:rsid w:val="00C170D0"/>
    <w:rsid w:val="00C170D5"/>
    <w:rsid w:val="00C1717C"/>
    <w:rsid w:val="00C1718E"/>
    <w:rsid w:val="00C171B7"/>
    <w:rsid w:val="00C172D1"/>
    <w:rsid w:val="00C172E8"/>
    <w:rsid w:val="00C172ED"/>
    <w:rsid w:val="00C17389"/>
    <w:rsid w:val="00C173C7"/>
    <w:rsid w:val="00C174F6"/>
    <w:rsid w:val="00C175D8"/>
    <w:rsid w:val="00C17601"/>
    <w:rsid w:val="00C17607"/>
    <w:rsid w:val="00C1762F"/>
    <w:rsid w:val="00C17655"/>
    <w:rsid w:val="00C1767A"/>
    <w:rsid w:val="00C177B6"/>
    <w:rsid w:val="00C17815"/>
    <w:rsid w:val="00C1784C"/>
    <w:rsid w:val="00C178C5"/>
    <w:rsid w:val="00C17947"/>
    <w:rsid w:val="00C179F8"/>
    <w:rsid w:val="00C179F9"/>
    <w:rsid w:val="00C17A7D"/>
    <w:rsid w:val="00C17BEB"/>
    <w:rsid w:val="00C17C1D"/>
    <w:rsid w:val="00C17CF5"/>
    <w:rsid w:val="00C17D04"/>
    <w:rsid w:val="00C17D4E"/>
    <w:rsid w:val="00C17D65"/>
    <w:rsid w:val="00C17D7E"/>
    <w:rsid w:val="00C17DDF"/>
    <w:rsid w:val="00C17EAB"/>
    <w:rsid w:val="00C17EF1"/>
    <w:rsid w:val="00C17F55"/>
    <w:rsid w:val="00C1D15D"/>
    <w:rsid w:val="00C20030"/>
    <w:rsid w:val="00C200A6"/>
    <w:rsid w:val="00C200EF"/>
    <w:rsid w:val="00C20184"/>
    <w:rsid w:val="00C20271"/>
    <w:rsid w:val="00C2027A"/>
    <w:rsid w:val="00C20362"/>
    <w:rsid w:val="00C20427"/>
    <w:rsid w:val="00C20435"/>
    <w:rsid w:val="00C204C1"/>
    <w:rsid w:val="00C2057C"/>
    <w:rsid w:val="00C205C5"/>
    <w:rsid w:val="00C205DA"/>
    <w:rsid w:val="00C2062E"/>
    <w:rsid w:val="00C20686"/>
    <w:rsid w:val="00C206DD"/>
    <w:rsid w:val="00C2073B"/>
    <w:rsid w:val="00C20779"/>
    <w:rsid w:val="00C2079B"/>
    <w:rsid w:val="00C207BD"/>
    <w:rsid w:val="00C207E7"/>
    <w:rsid w:val="00C20894"/>
    <w:rsid w:val="00C20933"/>
    <w:rsid w:val="00C209EC"/>
    <w:rsid w:val="00C20AA8"/>
    <w:rsid w:val="00C20B24"/>
    <w:rsid w:val="00C20C12"/>
    <w:rsid w:val="00C20C91"/>
    <w:rsid w:val="00C20D47"/>
    <w:rsid w:val="00C20DEA"/>
    <w:rsid w:val="00C20E0C"/>
    <w:rsid w:val="00C20E4A"/>
    <w:rsid w:val="00C20E6B"/>
    <w:rsid w:val="00C20EA6"/>
    <w:rsid w:val="00C20EF6"/>
    <w:rsid w:val="00C20EFE"/>
    <w:rsid w:val="00C20F26"/>
    <w:rsid w:val="00C20F37"/>
    <w:rsid w:val="00C20F9A"/>
    <w:rsid w:val="00C20FF0"/>
    <w:rsid w:val="00C21002"/>
    <w:rsid w:val="00C210C7"/>
    <w:rsid w:val="00C21218"/>
    <w:rsid w:val="00C21223"/>
    <w:rsid w:val="00C212E2"/>
    <w:rsid w:val="00C2131E"/>
    <w:rsid w:val="00C21337"/>
    <w:rsid w:val="00C2143C"/>
    <w:rsid w:val="00C21455"/>
    <w:rsid w:val="00C214D0"/>
    <w:rsid w:val="00C21505"/>
    <w:rsid w:val="00C215A9"/>
    <w:rsid w:val="00C215EB"/>
    <w:rsid w:val="00C2165A"/>
    <w:rsid w:val="00C216BD"/>
    <w:rsid w:val="00C21731"/>
    <w:rsid w:val="00C217DA"/>
    <w:rsid w:val="00C21852"/>
    <w:rsid w:val="00C218C7"/>
    <w:rsid w:val="00C21967"/>
    <w:rsid w:val="00C21988"/>
    <w:rsid w:val="00C21996"/>
    <w:rsid w:val="00C219C9"/>
    <w:rsid w:val="00C219E3"/>
    <w:rsid w:val="00C21AA1"/>
    <w:rsid w:val="00C21AC9"/>
    <w:rsid w:val="00C21B7B"/>
    <w:rsid w:val="00C21B8F"/>
    <w:rsid w:val="00C21B9A"/>
    <w:rsid w:val="00C21BF5"/>
    <w:rsid w:val="00C21CC4"/>
    <w:rsid w:val="00C21CF8"/>
    <w:rsid w:val="00C21D46"/>
    <w:rsid w:val="00C21E2B"/>
    <w:rsid w:val="00C21E3F"/>
    <w:rsid w:val="00C21E8E"/>
    <w:rsid w:val="00C21E98"/>
    <w:rsid w:val="00C21EE1"/>
    <w:rsid w:val="00C21F9E"/>
    <w:rsid w:val="00C22265"/>
    <w:rsid w:val="00C2245F"/>
    <w:rsid w:val="00C2255A"/>
    <w:rsid w:val="00C2256B"/>
    <w:rsid w:val="00C22587"/>
    <w:rsid w:val="00C2269F"/>
    <w:rsid w:val="00C22776"/>
    <w:rsid w:val="00C227F0"/>
    <w:rsid w:val="00C22857"/>
    <w:rsid w:val="00C228CA"/>
    <w:rsid w:val="00C22983"/>
    <w:rsid w:val="00C22A19"/>
    <w:rsid w:val="00C22A73"/>
    <w:rsid w:val="00C22AB5"/>
    <w:rsid w:val="00C22AF7"/>
    <w:rsid w:val="00C22B61"/>
    <w:rsid w:val="00C22B7D"/>
    <w:rsid w:val="00C22DAC"/>
    <w:rsid w:val="00C22E33"/>
    <w:rsid w:val="00C22E92"/>
    <w:rsid w:val="00C22F43"/>
    <w:rsid w:val="00C22F93"/>
    <w:rsid w:val="00C23025"/>
    <w:rsid w:val="00C23026"/>
    <w:rsid w:val="00C2307C"/>
    <w:rsid w:val="00C23102"/>
    <w:rsid w:val="00C231B7"/>
    <w:rsid w:val="00C23206"/>
    <w:rsid w:val="00C23222"/>
    <w:rsid w:val="00C23271"/>
    <w:rsid w:val="00C2328A"/>
    <w:rsid w:val="00C232BE"/>
    <w:rsid w:val="00C232D0"/>
    <w:rsid w:val="00C2335D"/>
    <w:rsid w:val="00C234C6"/>
    <w:rsid w:val="00C235CD"/>
    <w:rsid w:val="00C235CF"/>
    <w:rsid w:val="00C235F3"/>
    <w:rsid w:val="00C2362A"/>
    <w:rsid w:val="00C23630"/>
    <w:rsid w:val="00C23677"/>
    <w:rsid w:val="00C23687"/>
    <w:rsid w:val="00C2376E"/>
    <w:rsid w:val="00C2381F"/>
    <w:rsid w:val="00C2383B"/>
    <w:rsid w:val="00C2385E"/>
    <w:rsid w:val="00C23938"/>
    <w:rsid w:val="00C23939"/>
    <w:rsid w:val="00C23958"/>
    <w:rsid w:val="00C23982"/>
    <w:rsid w:val="00C239A1"/>
    <w:rsid w:val="00C239B7"/>
    <w:rsid w:val="00C239D8"/>
    <w:rsid w:val="00C23A6F"/>
    <w:rsid w:val="00C23AAA"/>
    <w:rsid w:val="00C23AC3"/>
    <w:rsid w:val="00C23B41"/>
    <w:rsid w:val="00C23B42"/>
    <w:rsid w:val="00C23B7A"/>
    <w:rsid w:val="00C23C54"/>
    <w:rsid w:val="00C23C5E"/>
    <w:rsid w:val="00C23D31"/>
    <w:rsid w:val="00C23D93"/>
    <w:rsid w:val="00C23DD9"/>
    <w:rsid w:val="00C23F07"/>
    <w:rsid w:val="00C23F1F"/>
    <w:rsid w:val="00C23F99"/>
    <w:rsid w:val="00C23FB0"/>
    <w:rsid w:val="00C240B3"/>
    <w:rsid w:val="00C240D0"/>
    <w:rsid w:val="00C24298"/>
    <w:rsid w:val="00C242EF"/>
    <w:rsid w:val="00C242F9"/>
    <w:rsid w:val="00C24416"/>
    <w:rsid w:val="00C24434"/>
    <w:rsid w:val="00C244A0"/>
    <w:rsid w:val="00C244E1"/>
    <w:rsid w:val="00C244E5"/>
    <w:rsid w:val="00C244F5"/>
    <w:rsid w:val="00C2454C"/>
    <w:rsid w:val="00C245FD"/>
    <w:rsid w:val="00C24640"/>
    <w:rsid w:val="00C24700"/>
    <w:rsid w:val="00C24788"/>
    <w:rsid w:val="00C24813"/>
    <w:rsid w:val="00C248F0"/>
    <w:rsid w:val="00C24958"/>
    <w:rsid w:val="00C24995"/>
    <w:rsid w:val="00C249D5"/>
    <w:rsid w:val="00C249D7"/>
    <w:rsid w:val="00C24A78"/>
    <w:rsid w:val="00C24AAB"/>
    <w:rsid w:val="00C24AC8"/>
    <w:rsid w:val="00C24AEC"/>
    <w:rsid w:val="00C24C17"/>
    <w:rsid w:val="00C24C3D"/>
    <w:rsid w:val="00C24C91"/>
    <w:rsid w:val="00C24C95"/>
    <w:rsid w:val="00C24CCA"/>
    <w:rsid w:val="00C24DC2"/>
    <w:rsid w:val="00C24DFA"/>
    <w:rsid w:val="00C24ED6"/>
    <w:rsid w:val="00C24F6C"/>
    <w:rsid w:val="00C24FC3"/>
    <w:rsid w:val="00C250A9"/>
    <w:rsid w:val="00C251F2"/>
    <w:rsid w:val="00C252D1"/>
    <w:rsid w:val="00C2532F"/>
    <w:rsid w:val="00C2539C"/>
    <w:rsid w:val="00C253DD"/>
    <w:rsid w:val="00C253E1"/>
    <w:rsid w:val="00C253FB"/>
    <w:rsid w:val="00C2547F"/>
    <w:rsid w:val="00C25507"/>
    <w:rsid w:val="00C255F4"/>
    <w:rsid w:val="00C25645"/>
    <w:rsid w:val="00C25827"/>
    <w:rsid w:val="00C2585D"/>
    <w:rsid w:val="00C258CD"/>
    <w:rsid w:val="00C258EC"/>
    <w:rsid w:val="00C2596F"/>
    <w:rsid w:val="00C25A06"/>
    <w:rsid w:val="00C25A23"/>
    <w:rsid w:val="00C25A4A"/>
    <w:rsid w:val="00C25A4E"/>
    <w:rsid w:val="00C25A5E"/>
    <w:rsid w:val="00C25B23"/>
    <w:rsid w:val="00C25B33"/>
    <w:rsid w:val="00C25B40"/>
    <w:rsid w:val="00C25BD8"/>
    <w:rsid w:val="00C25C2F"/>
    <w:rsid w:val="00C25D57"/>
    <w:rsid w:val="00C25D73"/>
    <w:rsid w:val="00C25D8A"/>
    <w:rsid w:val="00C25DA9"/>
    <w:rsid w:val="00C25DDB"/>
    <w:rsid w:val="00C25E2B"/>
    <w:rsid w:val="00C25E37"/>
    <w:rsid w:val="00C25E8C"/>
    <w:rsid w:val="00C25EE5"/>
    <w:rsid w:val="00C26046"/>
    <w:rsid w:val="00C260B3"/>
    <w:rsid w:val="00C26187"/>
    <w:rsid w:val="00C26188"/>
    <w:rsid w:val="00C261CE"/>
    <w:rsid w:val="00C26279"/>
    <w:rsid w:val="00C2628F"/>
    <w:rsid w:val="00C262B5"/>
    <w:rsid w:val="00C262C8"/>
    <w:rsid w:val="00C262FB"/>
    <w:rsid w:val="00C26452"/>
    <w:rsid w:val="00C26458"/>
    <w:rsid w:val="00C2645E"/>
    <w:rsid w:val="00C264E5"/>
    <w:rsid w:val="00C2650F"/>
    <w:rsid w:val="00C2651B"/>
    <w:rsid w:val="00C265A2"/>
    <w:rsid w:val="00C2661E"/>
    <w:rsid w:val="00C26700"/>
    <w:rsid w:val="00C26764"/>
    <w:rsid w:val="00C2677B"/>
    <w:rsid w:val="00C26788"/>
    <w:rsid w:val="00C26811"/>
    <w:rsid w:val="00C26854"/>
    <w:rsid w:val="00C26880"/>
    <w:rsid w:val="00C268B3"/>
    <w:rsid w:val="00C269A5"/>
    <w:rsid w:val="00C26A2A"/>
    <w:rsid w:val="00C26A89"/>
    <w:rsid w:val="00C26AA1"/>
    <w:rsid w:val="00C26AB0"/>
    <w:rsid w:val="00C26C90"/>
    <w:rsid w:val="00C26CD0"/>
    <w:rsid w:val="00C26CFC"/>
    <w:rsid w:val="00C26E09"/>
    <w:rsid w:val="00C26E99"/>
    <w:rsid w:val="00C26F0F"/>
    <w:rsid w:val="00C26F20"/>
    <w:rsid w:val="00C26F62"/>
    <w:rsid w:val="00C26F7F"/>
    <w:rsid w:val="00C26FB7"/>
    <w:rsid w:val="00C27046"/>
    <w:rsid w:val="00C2708F"/>
    <w:rsid w:val="00C27160"/>
    <w:rsid w:val="00C271A5"/>
    <w:rsid w:val="00C271FD"/>
    <w:rsid w:val="00C27317"/>
    <w:rsid w:val="00C2735C"/>
    <w:rsid w:val="00C27396"/>
    <w:rsid w:val="00C2739D"/>
    <w:rsid w:val="00C273D0"/>
    <w:rsid w:val="00C273DC"/>
    <w:rsid w:val="00C273EE"/>
    <w:rsid w:val="00C273FE"/>
    <w:rsid w:val="00C27537"/>
    <w:rsid w:val="00C2757C"/>
    <w:rsid w:val="00C275A2"/>
    <w:rsid w:val="00C27684"/>
    <w:rsid w:val="00C276BD"/>
    <w:rsid w:val="00C2776D"/>
    <w:rsid w:val="00C27783"/>
    <w:rsid w:val="00C277FA"/>
    <w:rsid w:val="00C27894"/>
    <w:rsid w:val="00C278D4"/>
    <w:rsid w:val="00C278F2"/>
    <w:rsid w:val="00C278F9"/>
    <w:rsid w:val="00C2793E"/>
    <w:rsid w:val="00C27AB2"/>
    <w:rsid w:val="00C27AFF"/>
    <w:rsid w:val="00C27B23"/>
    <w:rsid w:val="00C27B8E"/>
    <w:rsid w:val="00C27BC2"/>
    <w:rsid w:val="00C27BD1"/>
    <w:rsid w:val="00C27CF7"/>
    <w:rsid w:val="00C27D1E"/>
    <w:rsid w:val="00C27DC3"/>
    <w:rsid w:val="00C27E95"/>
    <w:rsid w:val="00C27F41"/>
    <w:rsid w:val="00C27FB6"/>
    <w:rsid w:val="00C27FBB"/>
    <w:rsid w:val="00C27FDA"/>
    <w:rsid w:val="00C27FFA"/>
    <w:rsid w:val="00C30005"/>
    <w:rsid w:val="00C30202"/>
    <w:rsid w:val="00C30262"/>
    <w:rsid w:val="00C302A2"/>
    <w:rsid w:val="00C304AC"/>
    <w:rsid w:val="00C305E8"/>
    <w:rsid w:val="00C3068B"/>
    <w:rsid w:val="00C3069E"/>
    <w:rsid w:val="00C306D2"/>
    <w:rsid w:val="00C30744"/>
    <w:rsid w:val="00C30852"/>
    <w:rsid w:val="00C3086B"/>
    <w:rsid w:val="00C30871"/>
    <w:rsid w:val="00C308BF"/>
    <w:rsid w:val="00C308CE"/>
    <w:rsid w:val="00C309B7"/>
    <w:rsid w:val="00C309F2"/>
    <w:rsid w:val="00C30A2D"/>
    <w:rsid w:val="00C30A2E"/>
    <w:rsid w:val="00C30A61"/>
    <w:rsid w:val="00C30AC9"/>
    <w:rsid w:val="00C30C28"/>
    <w:rsid w:val="00C30C8B"/>
    <w:rsid w:val="00C30D07"/>
    <w:rsid w:val="00C30DE3"/>
    <w:rsid w:val="00C30E35"/>
    <w:rsid w:val="00C30E5A"/>
    <w:rsid w:val="00C30EEC"/>
    <w:rsid w:val="00C30FA3"/>
    <w:rsid w:val="00C30FD2"/>
    <w:rsid w:val="00C31021"/>
    <w:rsid w:val="00C31111"/>
    <w:rsid w:val="00C31156"/>
    <w:rsid w:val="00C31256"/>
    <w:rsid w:val="00C31288"/>
    <w:rsid w:val="00C312BA"/>
    <w:rsid w:val="00C312F0"/>
    <w:rsid w:val="00C3136B"/>
    <w:rsid w:val="00C31419"/>
    <w:rsid w:val="00C31546"/>
    <w:rsid w:val="00C31551"/>
    <w:rsid w:val="00C31585"/>
    <w:rsid w:val="00C315AD"/>
    <w:rsid w:val="00C31706"/>
    <w:rsid w:val="00C31781"/>
    <w:rsid w:val="00C31836"/>
    <w:rsid w:val="00C318B8"/>
    <w:rsid w:val="00C318C4"/>
    <w:rsid w:val="00C31901"/>
    <w:rsid w:val="00C31909"/>
    <w:rsid w:val="00C31982"/>
    <w:rsid w:val="00C31984"/>
    <w:rsid w:val="00C319C2"/>
    <w:rsid w:val="00C319C9"/>
    <w:rsid w:val="00C31AE2"/>
    <w:rsid w:val="00C31B2D"/>
    <w:rsid w:val="00C31B72"/>
    <w:rsid w:val="00C31BED"/>
    <w:rsid w:val="00C31CCD"/>
    <w:rsid w:val="00C31D15"/>
    <w:rsid w:val="00C31D72"/>
    <w:rsid w:val="00C31E06"/>
    <w:rsid w:val="00C31E75"/>
    <w:rsid w:val="00C31EC1"/>
    <w:rsid w:val="00C31F1D"/>
    <w:rsid w:val="00C31F2F"/>
    <w:rsid w:val="00C31F4C"/>
    <w:rsid w:val="00C32007"/>
    <w:rsid w:val="00C32028"/>
    <w:rsid w:val="00C32029"/>
    <w:rsid w:val="00C320BE"/>
    <w:rsid w:val="00C3212F"/>
    <w:rsid w:val="00C32159"/>
    <w:rsid w:val="00C32179"/>
    <w:rsid w:val="00C321D1"/>
    <w:rsid w:val="00C323C8"/>
    <w:rsid w:val="00C323D3"/>
    <w:rsid w:val="00C323F6"/>
    <w:rsid w:val="00C32455"/>
    <w:rsid w:val="00C32476"/>
    <w:rsid w:val="00C32523"/>
    <w:rsid w:val="00C3252F"/>
    <w:rsid w:val="00C32591"/>
    <w:rsid w:val="00C325C7"/>
    <w:rsid w:val="00C3264E"/>
    <w:rsid w:val="00C326B0"/>
    <w:rsid w:val="00C32704"/>
    <w:rsid w:val="00C327FB"/>
    <w:rsid w:val="00C3287C"/>
    <w:rsid w:val="00C32998"/>
    <w:rsid w:val="00C329A5"/>
    <w:rsid w:val="00C329F0"/>
    <w:rsid w:val="00C32BAD"/>
    <w:rsid w:val="00C32BDF"/>
    <w:rsid w:val="00C32CB9"/>
    <w:rsid w:val="00C32D2A"/>
    <w:rsid w:val="00C32D69"/>
    <w:rsid w:val="00C32E44"/>
    <w:rsid w:val="00C32E52"/>
    <w:rsid w:val="00C32ED1"/>
    <w:rsid w:val="00C3304D"/>
    <w:rsid w:val="00C330A5"/>
    <w:rsid w:val="00C33255"/>
    <w:rsid w:val="00C33382"/>
    <w:rsid w:val="00C33388"/>
    <w:rsid w:val="00C333BF"/>
    <w:rsid w:val="00C3344D"/>
    <w:rsid w:val="00C33475"/>
    <w:rsid w:val="00C33559"/>
    <w:rsid w:val="00C335AF"/>
    <w:rsid w:val="00C335D9"/>
    <w:rsid w:val="00C335E0"/>
    <w:rsid w:val="00C336C8"/>
    <w:rsid w:val="00C336CD"/>
    <w:rsid w:val="00C336F0"/>
    <w:rsid w:val="00C33736"/>
    <w:rsid w:val="00C33771"/>
    <w:rsid w:val="00C33773"/>
    <w:rsid w:val="00C337EE"/>
    <w:rsid w:val="00C338A7"/>
    <w:rsid w:val="00C33969"/>
    <w:rsid w:val="00C33A06"/>
    <w:rsid w:val="00C33A2F"/>
    <w:rsid w:val="00C33AD7"/>
    <w:rsid w:val="00C33B04"/>
    <w:rsid w:val="00C33B62"/>
    <w:rsid w:val="00C33C39"/>
    <w:rsid w:val="00C33C5A"/>
    <w:rsid w:val="00C33C7F"/>
    <w:rsid w:val="00C33CA0"/>
    <w:rsid w:val="00C33D26"/>
    <w:rsid w:val="00C33D77"/>
    <w:rsid w:val="00C33E10"/>
    <w:rsid w:val="00C33E92"/>
    <w:rsid w:val="00C33F20"/>
    <w:rsid w:val="00C33F4C"/>
    <w:rsid w:val="00C34028"/>
    <w:rsid w:val="00C34038"/>
    <w:rsid w:val="00C34198"/>
    <w:rsid w:val="00C3420A"/>
    <w:rsid w:val="00C342A0"/>
    <w:rsid w:val="00C343AC"/>
    <w:rsid w:val="00C34526"/>
    <w:rsid w:val="00C34535"/>
    <w:rsid w:val="00C34627"/>
    <w:rsid w:val="00C34649"/>
    <w:rsid w:val="00C3469D"/>
    <w:rsid w:val="00C346F4"/>
    <w:rsid w:val="00C347AF"/>
    <w:rsid w:val="00C347BA"/>
    <w:rsid w:val="00C3494C"/>
    <w:rsid w:val="00C34A01"/>
    <w:rsid w:val="00C34A26"/>
    <w:rsid w:val="00C34AD4"/>
    <w:rsid w:val="00C34AF9"/>
    <w:rsid w:val="00C34B66"/>
    <w:rsid w:val="00C34B99"/>
    <w:rsid w:val="00C34CD7"/>
    <w:rsid w:val="00C34CDA"/>
    <w:rsid w:val="00C34D91"/>
    <w:rsid w:val="00C34E4C"/>
    <w:rsid w:val="00C34F0F"/>
    <w:rsid w:val="00C34F17"/>
    <w:rsid w:val="00C34F47"/>
    <w:rsid w:val="00C34F51"/>
    <w:rsid w:val="00C350B3"/>
    <w:rsid w:val="00C35151"/>
    <w:rsid w:val="00C35154"/>
    <w:rsid w:val="00C35196"/>
    <w:rsid w:val="00C351D9"/>
    <w:rsid w:val="00C35274"/>
    <w:rsid w:val="00C3530C"/>
    <w:rsid w:val="00C35353"/>
    <w:rsid w:val="00C353BF"/>
    <w:rsid w:val="00C3547A"/>
    <w:rsid w:val="00C354B9"/>
    <w:rsid w:val="00C355C8"/>
    <w:rsid w:val="00C3564A"/>
    <w:rsid w:val="00C3564D"/>
    <w:rsid w:val="00C356C3"/>
    <w:rsid w:val="00C35713"/>
    <w:rsid w:val="00C3574D"/>
    <w:rsid w:val="00C357CF"/>
    <w:rsid w:val="00C357D2"/>
    <w:rsid w:val="00C357E4"/>
    <w:rsid w:val="00C35892"/>
    <w:rsid w:val="00C358C7"/>
    <w:rsid w:val="00C358EC"/>
    <w:rsid w:val="00C358EE"/>
    <w:rsid w:val="00C358FF"/>
    <w:rsid w:val="00C35907"/>
    <w:rsid w:val="00C359A3"/>
    <w:rsid w:val="00C35AA2"/>
    <w:rsid w:val="00C35B4C"/>
    <w:rsid w:val="00C35B76"/>
    <w:rsid w:val="00C35BC1"/>
    <w:rsid w:val="00C35BD4"/>
    <w:rsid w:val="00C35C3D"/>
    <w:rsid w:val="00C35C55"/>
    <w:rsid w:val="00C35D14"/>
    <w:rsid w:val="00C35D43"/>
    <w:rsid w:val="00C35D75"/>
    <w:rsid w:val="00C35E21"/>
    <w:rsid w:val="00C35E33"/>
    <w:rsid w:val="00C35E46"/>
    <w:rsid w:val="00C36060"/>
    <w:rsid w:val="00C360A3"/>
    <w:rsid w:val="00C3611D"/>
    <w:rsid w:val="00C3619C"/>
    <w:rsid w:val="00C361A0"/>
    <w:rsid w:val="00C36242"/>
    <w:rsid w:val="00C3625B"/>
    <w:rsid w:val="00C36267"/>
    <w:rsid w:val="00C36295"/>
    <w:rsid w:val="00C3636F"/>
    <w:rsid w:val="00C363AF"/>
    <w:rsid w:val="00C363C6"/>
    <w:rsid w:val="00C36404"/>
    <w:rsid w:val="00C36597"/>
    <w:rsid w:val="00C3662A"/>
    <w:rsid w:val="00C36675"/>
    <w:rsid w:val="00C366A3"/>
    <w:rsid w:val="00C366EB"/>
    <w:rsid w:val="00C368A2"/>
    <w:rsid w:val="00C369B9"/>
    <w:rsid w:val="00C369DD"/>
    <w:rsid w:val="00C369E8"/>
    <w:rsid w:val="00C369F6"/>
    <w:rsid w:val="00C36B08"/>
    <w:rsid w:val="00C36BAC"/>
    <w:rsid w:val="00C36BB3"/>
    <w:rsid w:val="00C36C05"/>
    <w:rsid w:val="00C36C65"/>
    <w:rsid w:val="00C36C96"/>
    <w:rsid w:val="00C36CE0"/>
    <w:rsid w:val="00C36D87"/>
    <w:rsid w:val="00C36DB3"/>
    <w:rsid w:val="00C36E32"/>
    <w:rsid w:val="00C36E44"/>
    <w:rsid w:val="00C36EEB"/>
    <w:rsid w:val="00C36F00"/>
    <w:rsid w:val="00C36F70"/>
    <w:rsid w:val="00C37034"/>
    <w:rsid w:val="00C37084"/>
    <w:rsid w:val="00C37100"/>
    <w:rsid w:val="00C37408"/>
    <w:rsid w:val="00C37452"/>
    <w:rsid w:val="00C3751C"/>
    <w:rsid w:val="00C37554"/>
    <w:rsid w:val="00C37599"/>
    <w:rsid w:val="00C3759A"/>
    <w:rsid w:val="00C375E8"/>
    <w:rsid w:val="00C37618"/>
    <w:rsid w:val="00C376D5"/>
    <w:rsid w:val="00C37766"/>
    <w:rsid w:val="00C3776E"/>
    <w:rsid w:val="00C37794"/>
    <w:rsid w:val="00C3785B"/>
    <w:rsid w:val="00C379FD"/>
    <w:rsid w:val="00C37ACD"/>
    <w:rsid w:val="00C37B03"/>
    <w:rsid w:val="00C37BFD"/>
    <w:rsid w:val="00C37CB9"/>
    <w:rsid w:val="00C37CC7"/>
    <w:rsid w:val="00C37D77"/>
    <w:rsid w:val="00C37E0C"/>
    <w:rsid w:val="00C37EDD"/>
    <w:rsid w:val="00C37F97"/>
    <w:rsid w:val="00C400BA"/>
    <w:rsid w:val="00C400E7"/>
    <w:rsid w:val="00C4010B"/>
    <w:rsid w:val="00C402BB"/>
    <w:rsid w:val="00C40327"/>
    <w:rsid w:val="00C4033A"/>
    <w:rsid w:val="00C403D5"/>
    <w:rsid w:val="00C404CA"/>
    <w:rsid w:val="00C4056C"/>
    <w:rsid w:val="00C4061A"/>
    <w:rsid w:val="00C40630"/>
    <w:rsid w:val="00C4076B"/>
    <w:rsid w:val="00C407DE"/>
    <w:rsid w:val="00C4087C"/>
    <w:rsid w:val="00C40891"/>
    <w:rsid w:val="00C40896"/>
    <w:rsid w:val="00C4093A"/>
    <w:rsid w:val="00C40A23"/>
    <w:rsid w:val="00C40AC2"/>
    <w:rsid w:val="00C40B8B"/>
    <w:rsid w:val="00C40B9F"/>
    <w:rsid w:val="00C40C74"/>
    <w:rsid w:val="00C40CD1"/>
    <w:rsid w:val="00C40CE3"/>
    <w:rsid w:val="00C40CE4"/>
    <w:rsid w:val="00C40CE5"/>
    <w:rsid w:val="00C40DA0"/>
    <w:rsid w:val="00C40DBE"/>
    <w:rsid w:val="00C40DC8"/>
    <w:rsid w:val="00C40DE3"/>
    <w:rsid w:val="00C40E08"/>
    <w:rsid w:val="00C40E3B"/>
    <w:rsid w:val="00C40E72"/>
    <w:rsid w:val="00C40E8F"/>
    <w:rsid w:val="00C40EBF"/>
    <w:rsid w:val="00C40F53"/>
    <w:rsid w:val="00C40F58"/>
    <w:rsid w:val="00C40FFF"/>
    <w:rsid w:val="00C41053"/>
    <w:rsid w:val="00C4114B"/>
    <w:rsid w:val="00C41198"/>
    <w:rsid w:val="00C411FC"/>
    <w:rsid w:val="00C41229"/>
    <w:rsid w:val="00C41327"/>
    <w:rsid w:val="00C413B3"/>
    <w:rsid w:val="00C413FD"/>
    <w:rsid w:val="00C41426"/>
    <w:rsid w:val="00C4146F"/>
    <w:rsid w:val="00C4147A"/>
    <w:rsid w:val="00C414A9"/>
    <w:rsid w:val="00C414D1"/>
    <w:rsid w:val="00C4153C"/>
    <w:rsid w:val="00C41596"/>
    <w:rsid w:val="00C415ED"/>
    <w:rsid w:val="00C41616"/>
    <w:rsid w:val="00C416E8"/>
    <w:rsid w:val="00C416EE"/>
    <w:rsid w:val="00C4182E"/>
    <w:rsid w:val="00C4183B"/>
    <w:rsid w:val="00C4190A"/>
    <w:rsid w:val="00C4195E"/>
    <w:rsid w:val="00C41AE6"/>
    <w:rsid w:val="00C41B67"/>
    <w:rsid w:val="00C41BFB"/>
    <w:rsid w:val="00C41C3B"/>
    <w:rsid w:val="00C41CC4"/>
    <w:rsid w:val="00C41DB8"/>
    <w:rsid w:val="00C41E2A"/>
    <w:rsid w:val="00C41E3A"/>
    <w:rsid w:val="00C41F57"/>
    <w:rsid w:val="00C42124"/>
    <w:rsid w:val="00C42182"/>
    <w:rsid w:val="00C421B1"/>
    <w:rsid w:val="00C4223A"/>
    <w:rsid w:val="00C4226C"/>
    <w:rsid w:val="00C42288"/>
    <w:rsid w:val="00C42371"/>
    <w:rsid w:val="00C423B3"/>
    <w:rsid w:val="00C4241E"/>
    <w:rsid w:val="00C42464"/>
    <w:rsid w:val="00C424A6"/>
    <w:rsid w:val="00C42577"/>
    <w:rsid w:val="00C425FE"/>
    <w:rsid w:val="00C42755"/>
    <w:rsid w:val="00C4275C"/>
    <w:rsid w:val="00C427D0"/>
    <w:rsid w:val="00C428E0"/>
    <w:rsid w:val="00C42942"/>
    <w:rsid w:val="00C429F0"/>
    <w:rsid w:val="00C429F5"/>
    <w:rsid w:val="00C42BC5"/>
    <w:rsid w:val="00C42BD6"/>
    <w:rsid w:val="00C42BE6"/>
    <w:rsid w:val="00C42C64"/>
    <w:rsid w:val="00C42C9A"/>
    <w:rsid w:val="00C42CCC"/>
    <w:rsid w:val="00C42CE5"/>
    <w:rsid w:val="00C42D01"/>
    <w:rsid w:val="00C42D19"/>
    <w:rsid w:val="00C42D2D"/>
    <w:rsid w:val="00C42D31"/>
    <w:rsid w:val="00C42D86"/>
    <w:rsid w:val="00C42DA2"/>
    <w:rsid w:val="00C42E4F"/>
    <w:rsid w:val="00C42EDD"/>
    <w:rsid w:val="00C42FCC"/>
    <w:rsid w:val="00C43040"/>
    <w:rsid w:val="00C430F1"/>
    <w:rsid w:val="00C430F8"/>
    <w:rsid w:val="00C43142"/>
    <w:rsid w:val="00C431CB"/>
    <w:rsid w:val="00C43266"/>
    <w:rsid w:val="00C4326E"/>
    <w:rsid w:val="00C4326F"/>
    <w:rsid w:val="00C432BF"/>
    <w:rsid w:val="00C43308"/>
    <w:rsid w:val="00C433EE"/>
    <w:rsid w:val="00C434B2"/>
    <w:rsid w:val="00C4352D"/>
    <w:rsid w:val="00C435A5"/>
    <w:rsid w:val="00C435D7"/>
    <w:rsid w:val="00C4361C"/>
    <w:rsid w:val="00C436A2"/>
    <w:rsid w:val="00C43707"/>
    <w:rsid w:val="00C43793"/>
    <w:rsid w:val="00C437F3"/>
    <w:rsid w:val="00C438D6"/>
    <w:rsid w:val="00C4393B"/>
    <w:rsid w:val="00C43945"/>
    <w:rsid w:val="00C43973"/>
    <w:rsid w:val="00C43AA1"/>
    <w:rsid w:val="00C43AEF"/>
    <w:rsid w:val="00C43B1C"/>
    <w:rsid w:val="00C43B36"/>
    <w:rsid w:val="00C43C9A"/>
    <w:rsid w:val="00C43CDE"/>
    <w:rsid w:val="00C43DB4"/>
    <w:rsid w:val="00C43E4C"/>
    <w:rsid w:val="00C43F70"/>
    <w:rsid w:val="00C44133"/>
    <w:rsid w:val="00C441DB"/>
    <w:rsid w:val="00C441FD"/>
    <w:rsid w:val="00C4425D"/>
    <w:rsid w:val="00C442B5"/>
    <w:rsid w:val="00C442F1"/>
    <w:rsid w:val="00C443E3"/>
    <w:rsid w:val="00C443F9"/>
    <w:rsid w:val="00C44497"/>
    <w:rsid w:val="00C444A1"/>
    <w:rsid w:val="00C444EB"/>
    <w:rsid w:val="00C4452F"/>
    <w:rsid w:val="00C44549"/>
    <w:rsid w:val="00C44592"/>
    <w:rsid w:val="00C44686"/>
    <w:rsid w:val="00C446A8"/>
    <w:rsid w:val="00C44729"/>
    <w:rsid w:val="00C447EC"/>
    <w:rsid w:val="00C4485B"/>
    <w:rsid w:val="00C449DA"/>
    <w:rsid w:val="00C449E2"/>
    <w:rsid w:val="00C44A39"/>
    <w:rsid w:val="00C44A76"/>
    <w:rsid w:val="00C44AE3"/>
    <w:rsid w:val="00C44BAF"/>
    <w:rsid w:val="00C44BE5"/>
    <w:rsid w:val="00C44CFD"/>
    <w:rsid w:val="00C44D11"/>
    <w:rsid w:val="00C44E86"/>
    <w:rsid w:val="00C44EAA"/>
    <w:rsid w:val="00C44EB5"/>
    <w:rsid w:val="00C44EE7"/>
    <w:rsid w:val="00C44FCA"/>
    <w:rsid w:val="00C4503F"/>
    <w:rsid w:val="00C4504F"/>
    <w:rsid w:val="00C4506E"/>
    <w:rsid w:val="00C450FB"/>
    <w:rsid w:val="00C45132"/>
    <w:rsid w:val="00C45198"/>
    <w:rsid w:val="00C4524D"/>
    <w:rsid w:val="00C45283"/>
    <w:rsid w:val="00C452BF"/>
    <w:rsid w:val="00C452D4"/>
    <w:rsid w:val="00C45403"/>
    <w:rsid w:val="00C4543B"/>
    <w:rsid w:val="00C45440"/>
    <w:rsid w:val="00C454BC"/>
    <w:rsid w:val="00C454DA"/>
    <w:rsid w:val="00C454DE"/>
    <w:rsid w:val="00C45544"/>
    <w:rsid w:val="00C4557E"/>
    <w:rsid w:val="00C45655"/>
    <w:rsid w:val="00C4566A"/>
    <w:rsid w:val="00C456A3"/>
    <w:rsid w:val="00C456A4"/>
    <w:rsid w:val="00C4572D"/>
    <w:rsid w:val="00C45762"/>
    <w:rsid w:val="00C457AD"/>
    <w:rsid w:val="00C457AF"/>
    <w:rsid w:val="00C457F3"/>
    <w:rsid w:val="00C45836"/>
    <w:rsid w:val="00C4585E"/>
    <w:rsid w:val="00C45899"/>
    <w:rsid w:val="00C4593D"/>
    <w:rsid w:val="00C4595C"/>
    <w:rsid w:val="00C45999"/>
    <w:rsid w:val="00C45A08"/>
    <w:rsid w:val="00C45AB5"/>
    <w:rsid w:val="00C45B2A"/>
    <w:rsid w:val="00C45B2E"/>
    <w:rsid w:val="00C45B59"/>
    <w:rsid w:val="00C45B7A"/>
    <w:rsid w:val="00C45B93"/>
    <w:rsid w:val="00C45BB5"/>
    <w:rsid w:val="00C45BB9"/>
    <w:rsid w:val="00C45C39"/>
    <w:rsid w:val="00C45C4C"/>
    <w:rsid w:val="00C45CBA"/>
    <w:rsid w:val="00C45CBD"/>
    <w:rsid w:val="00C45D46"/>
    <w:rsid w:val="00C45DD9"/>
    <w:rsid w:val="00C45E64"/>
    <w:rsid w:val="00C45EB3"/>
    <w:rsid w:val="00C45F39"/>
    <w:rsid w:val="00C45F89"/>
    <w:rsid w:val="00C45FF1"/>
    <w:rsid w:val="00C45FFB"/>
    <w:rsid w:val="00C46153"/>
    <w:rsid w:val="00C46196"/>
    <w:rsid w:val="00C4625E"/>
    <w:rsid w:val="00C46261"/>
    <w:rsid w:val="00C4629F"/>
    <w:rsid w:val="00C462CF"/>
    <w:rsid w:val="00C462F1"/>
    <w:rsid w:val="00C4633A"/>
    <w:rsid w:val="00C4648C"/>
    <w:rsid w:val="00C464EB"/>
    <w:rsid w:val="00C46589"/>
    <w:rsid w:val="00C465EF"/>
    <w:rsid w:val="00C465F9"/>
    <w:rsid w:val="00C46614"/>
    <w:rsid w:val="00C466FC"/>
    <w:rsid w:val="00C46735"/>
    <w:rsid w:val="00C467A8"/>
    <w:rsid w:val="00C4687B"/>
    <w:rsid w:val="00C46902"/>
    <w:rsid w:val="00C46909"/>
    <w:rsid w:val="00C469C9"/>
    <w:rsid w:val="00C46BCD"/>
    <w:rsid w:val="00C46BD2"/>
    <w:rsid w:val="00C46BFE"/>
    <w:rsid w:val="00C46C53"/>
    <w:rsid w:val="00C46C7D"/>
    <w:rsid w:val="00C46C95"/>
    <w:rsid w:val="00C46E19"/>
    <w:rsid w:val="00C46E2C"/>
    <w:rsid w:val="00C4707C"/>
    <w:rsid w:val="00C47155"/>
    <w:rsid w:val="00C471A7"/>
    <w:rsid w:val="00C47284"/>
    <w:rsid w:val="00C473E5"/>
    <w:rsid w:val="00C47484"/>
    <w:rsid w:val="00C474DB"/>
    <w:rsid w:val="00C47500"/>
    <w:rsid w:val="00C47516"/>
    <w:rsid w:val="00C4753E"/>
    <w:rsid w:val="00C47581"/>
    <w:rsid w:val="00C4759E"/>
    <w:rsid w:val="00C475E4"/>
    <w:rsid w:val="00C475E5"/>
    <w:rsid w:val="00C476CC"/>
    <w:rsid w:val="00C476D7"/>
    <w:rsid w:val="00C47735"/>
    <w:rsid w:val="00C47758"/>
    <w:rsid w:val="00C477C7"/>
    <w:rsid w:val="00C47808"/>
    <w:rsid w:val="00C47823"/>
    <w:rsid w:val="00C479CB"/>
    <w:rsid w:val="00C479D8"/>
    <w:rsid w:val="00C479F0"/>
    <w:rsid w:val="00C47A48"/>
    <w:rsid w:val="00C47A7E"/>
    <w:rsid w:val="00C47A97"/>
    <w:rsid w:val="00C47AC9"/>
    <w:rsid w:val="00C47BDC"/>
    <w:rsid w:val="00C47C88"/>
    <w:rsid w:val="00C47DB5"/>
    <w:rsid w:val="00C47E26"/>
    <w:rsid w:val="00C47FE8"/>
    <w:rsid w:val="00C50031"/>
    <w:rsid w:val="00C500FD"/>
    <w:rsid w:val="00C50106"/>
    <w:rsid w:val="00C5010E"/>
    <w:rsid w:val="00C50121"/>
    <w:rsid w:val="00C50150"/>
    <w:rsid w:val="00C50265"/>
    <w:rsid w:val="00C502D1"/>
    <w:rsid w:val="00C502E7"/>
    <w:rsid w:val="00C503C8"/>
    <w:rsid w:val="00C50427"/>
    <w:rsid w:val="00C50428"/>
    <w:rsid w:val="00C5042A"/>
    <w:rsid w:val="00C5042B"/>
    <w:rsid w:val="00C50532"/>
    <w:rsid w:val="00C50546"/>
    <w:rsid w:val="00C5059D"/>
    <w:rsid w:val="00C505F2"/>
    <w:rsid w:val="00C50663"/>
    <w:rsid w:val="00C506B0"/>
    <w:rsid w:val="00C5081D"/>
    <w:rsid w:val="00C50884"/>
    <w:rsid w:val="00C508F4"/>
    <w:rsid w:val="00C50929"/>
    <w:rsid w:val="00C5099C"/>
    <w:rsid w:val="00C509FB"/>
    <w:rsid w:val="00C50A14"/>
    <w:rsid w:val="00C50C1A"/>
    <w:rsid w:val="00C50C2B"/>
    <w:rsid w:val="00C50CE5"/>
    <w:rsid w:val="00C50D95"/>
    <w:rsid w:val="00C50DD7"/>
    <w:rsid w:val="00C50DED"/>
    <w:rsid w:val="00C50EBF"/>
    <w:rsid w:val="00C50EC2"/>
    <w:rsid w:val="00C50F6E"/>
    <w:rsid w:val="00C50FC0"/>
    <w:rsid w:val="00C51078"/>
    <w:rsid w:val="00C510EB"/>
    <w:rsid w:val="00C51105"/>
    <w:rsid w:val="00C5125C"/>
    <w:rsid w:val="00C5126A"/>
    <w:rsid w:val="00C51313"/>
    <w:rsid w:val="00C51370"/>
    <w:rsid w:val="00C51444"/>
    <w:rsid w:val="00C51455"/>
    <w:rsid w:val="00C51462"/>
    <w:rsid w:val="00C515C8"/>
    <w:rsid w:val="00C515DE"/>
    <w:rsid w:val="00C51702"/>
    <w:rsid w:val="00C51764"/>
    <w:rsid w:val="00C517A3"/>
    <w:rsid w:val="00C517B2"/>
    <w:rsid w:val="00C5183C"/>
    <w:rsid w:val="00C51882"/>
    <w:rsid w:val="00C51887"/>
    <w:rsid w:val="00C51895"/>
    <w:rsid w:val="00C51923"/>
    <w:rsid w:val="00C51934"/>
    <w:rsid w:val="00C51948"/>
    <w:rsid w:val="00C51955"/>
    <w:rsid w:val="00C519CE"/>
    <w:rsid w:val="00C51A4A"/>
    <w:rsid w:val="00C51B6D"/>
    <w:rsid w:val="00C51B87"/>
    <w:rsid w:val="00C51BB6"/>
    <w:rsid w:val="00C51BBB"/>
    <w:rsid w:val="00C51BF7"/>
    <w:rsid w:val="00C51CAC"/>
    <w:rsid w:val="00C51CEC"/>
    <w:rsid w:val="00C51D18"/>
    <w:rsid w:val="00C51D25"/>
    <w:rsid w:val="00C51DCB"/>
    <w:rsid w:val="00C51DD2"/>
    <w:rsid w:val="00C51DE3"/>
    <w:rsid w:val="00C51DF6"/>
    <w:rsid w:val="00C51E62"/>
    <w:rsid w:val="00C51E7A"/>
    <w:rsid w:val="00C51E9C"/>
    <w:rsid w:val="00C51F91"/>
    <w:rsid w:val="00C51FA7"/>
    <w:rsid w:val="00C5201C"/>
    <w:rsid w:val="00C52052"/>
    <w:rsid w:val="00C52057"/>
    <w:rsid w:val="00C520A6"/>
    <w:rsid w:val="00C5219A"/>
    <w:rsid w:val="00C521BB"/>
    <w:rsid w:val="00C52207"/>
    <w:rsid w:val="00C52252"/>
    <w:rsid w:val="00C522D8"/>
    <w:rsid w:val="00C5248C"/>
    <w:rsid w:val="00C52533"/>
    <w:rsid w:val="00C52580"/>
    <w:rsid w:val="00C5261B"/>
    <w:rsid w:val="00C5264B"/>
    <w:rsid w:val="00C526C6"/>
    <w:rsid w:val="00C52734"/>
    <w:rsid w:val="00C527C1"/>
    <w:rsid w:val="00C527F2"/>
    <w:rsid w:val="00C5283F"/>
    <w:rsid w:val="00C52855"/>
    <w:rsid w:val="00C5285B"/>
    <w:rsid w:val="00C52923"/>
    <w:rsid w:val="00C52932"/>
    <w:rsid w:val="00C52935"/>
    <w:rsid w:val="00C52A8D"/>
    <w:rsid w:val="00C52AE2"/>
    <w:rsid w:val="00C52B00"/>
    <w:rsid w:val="00C52B3E"/>
    <w:rsid w:val="00C52B4F"/>
    <w:rsid w:val="00C52B78"/>
    <w:rsid w:val="00C52C20"/>
    <w:rsid w:val="00C52C40"/>
    <w:rsid w:val="00C52C5B"/>
    <w:rsid w:val="00C52CD9"/>
    <w:rsid w:val="00C52CEA"/>
    <w:rsid w:val="00C52DAD"/>
    <w:rsid w:val="00C52DCC"/>
    <w:rsid w:val="00C52E47"/>
    <w:rsid w:val="00C52E8F"/>
    <w:rsid w:val="00C52F82"/>
    <w:rsid w:val="00C52F8E"/>
    <w:rsid w:val="00C5302A"/>
    <w:rsid w:val="00C530EC"/>
    <w:rsid w:val="00C5330A"/>
    <w:rsid w:val="00C53490"/>
    <w:rsid w:val="00C534A4"/>
    <w:rsid w:val="00C534C8"/>
    <w:rsid w:val="00C53524"/>
    <w:rsid w:val="00C5356B"/>
    <w:rsid w:val="00C53639"/>
    <w:rsid w:val="00C53641"/>
    <w:rsid w:val="00C536B2"/>
    <w:rsid w:val="00C536D1"/>
    <w:rsid w:val="00C53886"/>
    <w:rsid w:val="00C53962"/>
    <w:rsid w:val="00C53965"/>
    <w:rsid w:val="00C539EF"/>
    <w:rsid w:val="00C53A01"/>
    <w:rsid w:val="00C53A48"/>
    <w:rsid w:val="00C53B07"/>
    <w:rsid w:val="00C53B7F"/>
    <w:rsid w:val="00C53C3B"/>
    <w:rsid w:val="00C53D01"/>
    <w:rsid w:val="00C53D0F"/>
    <w:rsid w:val="00C53D24"/>
    <w:rsid w:val="00C53D60"/>
    <w:rsid w:val="00C53DBA"/>
    <w:rsid w:val="00C53E91"/>
    <w:rsid w:val="00C53EB4"/>
    <w:rsid w:val="00C53F78"/>
    <w:rsid w:val="00C53F89"/>
    <w:rsid w:val="00C53FDB"/>
    <w:rsid w:val="00C54085"/>
    <w:rsid w:val="00C5428B"/>
    <w:rsid w:val="00C5429B"/>
    <w:rsid w:val="00C542D3"/>
    <w:rsid w:val="00C54308"/>
    <w:rsid w:val="00C54330"/>
    <w:rsid w:val="00C54383"/>
    <w:rsid w:val="00C544DA"/>
    <w:rsid w:val="00C544DB"/>
    <w:rsid w:val="00C5458B"/>
    <w:rsid w:val="00C546AE"/>
    <w:rsid w:val="00C546B5"/>
    <w:rsid w:val="00C546EE"/>
    <w:rsid w:val="00C54787"/>
    <w:rsid w:val="00C5480B"/>
    <w:rsid w:val="00C548C0"/>
    <w:rsid w:val="00C548CD"/>
    <w:rsid w:val="00C548D2"/>
    <w:rsid w:val="00C548EF"/>
    <w:rsid w:val="00C5492B"/>
    <w:rsid w:val="00C549C0"/>
    <w:rsid w:val="00C549C5"/>
    <w:rsid w:val="00C549D5"/>
    <w:rsid w:val="00C54A00"/>
    <w:rsid w:val="00C54A0A"/>
    <w:rsid w:val="00C54A17"/>
    <w:rsid w:val="00C54A7B"/>
    <w:rsid w:val="00C54CA6"/>
    <w:rsid w:val="00C54D05"/>
    <w:rsid w:val="00C54D3D"/>
    <w:rsid w:val="00C54D80"/>
    <w:rsid w:val="00C54DA9"/>
    <w:rsid w:val="00C54DD5"/>
    <w:rsid w:val="00C54DF6"/>
    <w:rsid w:val="00C54E37"/>
    <w:rsid w:val="00C54F4F"/>
    <w:rsid w:val="00C550EC"/>
    <w:rsid w:val="00C552A4"/>
    <w:rsid w:val="00C553BF"/>
    <w:rsid w:val="00C5543A"/>
    <w:rsid w:val="00C55446"/>
    <w:rsid w:val="00C55470"/>
    <w:rsid w:val="00C55562"/>
    <w:rsid w:val="00C55687"/>
    <w:rsid w:val="00C5569F"/>
    <w:rsid w:val="00C556A2"/>
    <w:rsid w:val="00C556BB"/>
    <w:rsid w:val="00C556CB"/>
    <w:rsid w:val="00C556EA"/>
    <w:rsid w:val="00C5578A"/>
    <w:rsid w:val="00C557C3"/>
    <w:rsid w:val="00C5580A"/>
    <w:rsid w:val="00C55839"/>
    <w:rsid w:val="00C5584F"/>
    <w:rsid w:val="00C558B7"/>
    <w:rsid w:val="00C55950"/>
    <w:rsid w:val="00C559A8"/>
    <w:rsid w:val="00C559AF"/>
    <w:rsid w:val="00C55AA7"/>
    <w:rsid w:val="00C55AAB"/>
    <w:rsid w:val="00C55B22"/>
    <w:rsid w:val="00C55C9A"/>
    <w:rsid w:val="00C55CC5"/>
    <w:rsid w:val="00C55CFE"/>
    <w:rsid w:val="00C55F82"/>
    <w:rsid w:val="00C5607E"/>
    <w:rsid w:val="00C560BD"/>
    <w:rsid w:val="00C560D8"/>
    <w:rsid w:val="00C561B3"/>
    <w:rsid w:val="00C561C1"/>
    <w:rsid w:val="00C56269"/>
    <w:rsid w:val="00C562D2"/>
    <w:rsid w:val="00C562F9"/>
    <w:rsid w:val="00C563D7"/>
    <w:rsid w:val="00C56434"/>
    <w:rsid w:val="00C56447"/>
    <w:rsid w:val="00C564C3"/>
    <w:rsid w:val="00C564C7"/>
    <w:rsid w:val="00C56559"/>
    <w:rsid w:val="00C5656C"/>
    <w:rsid w:val="00C565EC"/>
    <w:rsid w:val="00C56616"/>
    <w:rsid w:val="00C56766"/>
    <w:rsid w:val="00C56785"/>
    <w:rsid w:val="00C567D1"/>
    <w:rsid w:val="00C567E1"/>
    <w:rsid w:val="00C56897"/>
    <w:rsid w:val="00C568AE"/>
    <w:rsid w:val="00C568E9"/>
    <w:rsid w:val="00C568F9"/>
    <w:rsid w:val="00C56931"/>
    <w:rsid w:val="00C569AB"/>
    <w:rsid w:val="00C56A05"/>
    <w:rsid w:val="00C56A32"/>
    <w:rsid w:val="00C56AD8"/>
    <w:rsid w:val="00C56B66"/>
    <w:rsid w:val="00C56BB2"/>
    <w:rsid w:val="00C56BC2"/>
    <w:rsid w:val="00C56BD7"/>
    <w:rsid w:val="00C56C07"/>
    <w:rsid w:val="00C56C28"/>
    <w:rsid w:val="00C56C73"/>
    <w:rsid w:val="00C56D62"/>
    <w:rsid w:val="00C56F26"/>
    <w:rsid w:val="00C56FB3"/>
    <w:rsid w:val="00C56FDF"/>
    <w:rsid w:val="00C56FF2"/>
    <w:rsid w:val="00C57035"/>
    <w:rsid w:val="00C57076"/>
    <w:rsid w:val="00C57099"/>
    <w:rsid w:val="00C57180"/>
    <w:rsid w:val="00C5725A"/>
    <w:rsid w:val="00C572A2"/>
    <w:rsid w:val="00C57329"/>
    <w:rsid w:val="00C57372"/>
    <w:rsid w:val="00C573AB"/>
    <w:rsid w:val="00C573B6"/>
    <w:rsid w:val="00C573EE"/>
    <w:rsid w:val="00C5742F"/>
    <w:rsid w:val="00C5743C"/>
    <w:rsid w:val="00C5746A"/>
    <w:rsid w:val="00C57496"/>
    <w:rsid w:val="00C57506"/>
    <w:rsid w:val="00C57530"/>
    <w:rsid w:val="00C57585"/>
    <w:rsid w:val="00C575C0"/>
    <w:rsid w:val="00C575F6"/>
    <w:rsid w:val="00C57685"/>
    <w:rsid w:val="00C5769D"/>
    <w:rsid w:val="00C576AA"/>
    <w:rsid w:val="00C576EB"/>
    <w:rsid w:val="00C5774C"/>
    <w:rsid w:val="00C57752"/>
    <w:rsid w:val="00C577B8"/>
    <w:rsid w:val="00C577EB"/>
    <w:rsid w:val="00C5780B"/>
    <w:rsid w:val="00C5785C"/>
    <w:rsid w:val="00C578AF"/>
    <w:rsid w:val="00C578CE"/>
    <w:rsid w:val="00C5790D"/>
    <w:rsid w:val="00C57918"/>
    <w:rsid w:val="00C57938"/>
    <w:rsid w:val="00C57939"/>
    <w:rsid w:val="00C57960"/>
    <w:rsid w:val="00C579D1"/>
    <w:rsid w:val="00C57A9E"/>
    <w:rsid w:val="00C57ACA"/>
    <w:rsid w:val="00C57B84"/>
    <w:rsid w:val="00C57CF7"/>
    <w:rsid w:val="00C57D08"/>
    <w:rsid w:val="00C57D1A"/>
    <w:rsid w:val="00C57D6D"/>
    <w:rsid w:val="00C57DD7"/>
    <w:rsid w:val="00C57E1E"/>
    <w:rsid w:val="00C57E4E"/>
    <w:rsid w:val="00C57E8A"/>
    <w:rsid w:val="00C57EC9"/>
    <w:rsid w:val="00C57F16"/>
    <w:rsid w:val="00C57F7D"/>
    <w:rsid w:val="00C57FAC"/>
    <w:rsid w:val="00C57FB9"/>
    <w:rsid w:val="00C60007"/>
    <w:rsid w:val="00C60045"/>
    <w:rsid w:val="00C6009D"/>
    <w:rsid w:val="00C600FF"/>
    <w:rsid w:val="00C601F9"/>
    <w:rsid w:val="00C601FE"/>
    <w:rsid w:val="00C60281"/>
    <w:rsid w:val="00C6042E"/>
    <w:rsid w:val="00C604A9"/>
    <w:rsid w:val="00C6050B"/>
    <w:rsid w:val="00C605CC"/>
    <w:rsid w:val="00C60699"/>
    <w:rsid w:val="00C606B6"/>
    <w:rsid w:val="00C607EB"/>
    <w:rsid w:val="00C607F5"/>
    <w:rsid w:val="00C608A2"/>
    <w:rsid w:val="00C608FC"/>
    <w:rsid w:val="00C609AD"/>
    <w:rsid w:val="00C609E4"/>
    <w:rsid w:val="00C60A47"/>
    <w:rsid w:val="00C60B03"/>
    <w:rsid w:val="00C60B48"/>
    <w:rsid w:val="00C60B8B"/>
    <w:rsid w:val="00C60C6E"/>
    <w:rsid w:val="00C60DAD"/>
    <w:rsid w:val="00C60E20"/>
    <w:rsid w:val="00C60E2A"/>
    <w:rsid w:val="00C60E72"/>
    <w:rsid w:val="00C60F19"/>
    <w:rsid w:val="00C60FA3"/>
    <w:rsid w:val="00C61067"/>
    <w:rsid w:val="00C610A8"/>
    <w:rsid w:val="00C610CD"/>
    <w:rsid w:val="00C610EC"/>
    <w:rsid w:val="00C61112"/>
    <w:rsid w:val="00C6115F"/>
    <w:rsid w:val="00C61309"/>
    <w:rsid w:val="00C6157C"/>
    <w:rsid w:val="00C615A2"/>
    <w:rsid w:val="00C61612"/>
    <w:rsid w:val="00C61618"/>
    <w:rsid w:val="00C61728"/>
    <w:rsid w:val="00C61756"/>
    <w:rsid w:val="00C61829"/>
    <w:rsid w:val="00C6187C"/>
    <w:rsid w:val="00C6187E"/>
    <w:rsid w:val="00C618B8"/>
    <w:rsid w:val="00C61931"/>
    <w:rsid w:val="00C6195C"/>
    <w:rsid w:val="00C61995"/>
    <w:rsid w:val="00C61A8C"/>
    <w:rsid w:val="00C61B83"/>
    <w:rsid w:val="00C61C40"/>
    <w:rsid w:val="00C61C49"/>
    <w:rsid w:val="00C61C8F"/>
    <w:rsid w:val="00C61CC1"/>
    <w:rsid w:val="00C61CC2"/>
    <w:rsid w:val="00C61CF7"/>
    <w:rsid w:val="00C61D62"/>
    <w:rsid w:val="00C61D72"/>
    <w:rsid w:val="00C61FEB"/>
    <w:rsid w:val="00C62003"/>
    <w:rsid w:val="00C62058"/>
    <w:rsid w:val="00C620A0"/>
    <w:rsid w:val="00C62101"/>
    <w:rsid w:val="00C623C0"/>
    <w:rsid w:val="00C623CA"/>
    <w:rsid w:val="00C62440"/>
    <w:rsid w:val="00C6247A"/>
    <w:rsid w:val="00C6256A"/>
    <w:rsid w:val="00C6259D"/>
    <w:rsid w:val="00C625BB"/>
    <w:rsid w:val="00C625DA"/>
    <w:rsid w:val="00C62605"/>
    <w:rsid w:val="00C6269B"/>
    <w:rsid w:val="00C62713"/>
    <w:rsid w:val="00C62716"/>
    <w:rsid w:val="00C62794"/>
    <w:rsid w:val="00C627EA"/>
    <w:rsid w:val="00C627FB"/>
    <w:rsid w:val="00C627FE"/>
    <w:rsid w:val="00C6280F"/>
    <w:rsid w:val="00C62971"/>
    <w:rsid w:val="00C62AEA"/>
    <w:rsid w:val="00C62AF7"/>
    <w:rsid w:val="00C62BE4"/>
    <w:rsid w:val="00C62C4F"/>
    <w:rsid w:val="00C62C96"/>
    <w:rsid w:val="00C62CA9"/>
    <w:rsid w:val="00C62D3C"/>
    <w:rsid w:val="00C62D45"/>
    <w:rsid w:val="00C62D71"/>
    <w:rsid w:val="00C62DBF"/>
    <w:rsid w:val="00C62DD8"/>
    <w:rsid w:val="00C62E68"/>
    <w:rsid w:val="00C62F14"/>
    <w:rsid w:val="00C62F97"/>
    <w:rsid w:val="00C62FFE"/>
    <w:rsid w:val="00C63043"/>
    <w:rsid w:val="00C630E0"/>
    <w:rsid w:val="00C63146"/>
    <w:rsid w:val="00C6317D"/>
    <w:rsid w:val="00C631F3"/>
    <w:rsid w:val="00C631FE"/>
    <w:rsid w:val="00C63218"/>
    <w:rsid w:val="00C632A0"/>
    <w:rsid w:val="00C632CD"/>
    <w:rsid w:val="00C63334"/>
    <w:rsid w:val="00C633F1"/>
    <w:rsid w:val="00C63418"/>
    <w:rsid w:val="00C6346C"/>
    <w:rsid w:val="00C63504"/>
    <w:rsid w:val="00C63571"/>
    <w:rsid w:val="00C63581"/>
    <w:rsid w:val="00C6359F"/>
    <w:rsid w:val="00C635BC"/>
    <w:rsid w:val="00C6362C"/>
    <w:rsid w:val="00C63661"/>
    <w:rsid w:val="00C6369E"/>
    <w:rsid w:val="00C636DA"/>
    <w:rsid w:val="00C63701"/>
    <w:rsid w:val="00C63758"/>
    <w:rsid w:val="00C63786"/>
    <w:rsid w:val="00C637D6"/>
    <w:rsid w:val="00C63815"/>
    <w:rsid w:val="00C63881"/>
    <w:rsid w:val="00C638BD"/>
    <w:rsid w:val="00C63925"/>
    <w:rsid w:val="00C63959"/>
    <w:rsid w:val="00C63998"/>
    <w:rsid w:val="00C6399E"/>
    <w:rsid w:val="00C639B0"/>
    <w:rsid w:val="00C639CA"/>
    <w:rsid w:val="00C63A16"/>
    <w:rsid w:val="00C63A28"/>
    <w:rsid w:val="00C63A45"/>
    <w:rsid w:val="00C63A4D"/>
    <w:rsid w:val="00C63A89"/>
    <w:rsid w:val="00C63B26"/>
    <w:rsid w:val="00C63B2B"/>
    <w:rsid w:val="00C63B93"/>
    <w:rsid w:val="00C63BAE"/>
    <w:rsid w:val="00C63BC4"/>
    <w:rsid w:val="00C63C54"/>
    <w:rsid w:val="00C63CB9"/>
    <w:rsid w:val="00C63D37"/>
    <w:rsid w:val="00C63D82"/>
    <w:rsid w:val="00C63E1F"/>
    <w:rsid w:val="00C63EA3"/>
    <w:rsid w:val="00C63EAF"/>
    <w:rsid w:val="00C63EC1"/>
    <w:rsid w:val="00C63F6C"/>
    <w:rsid w:val="00C63FF0"/>
    <w:rsid w:val="00C64048"/>
    <w:rsid w:val="00C64277"/>
    <w:rsid w:val="00C64320"/>
    <w:rsid w:val="00C64329"/>
    <w:rsid w:val="00C6435D"/>
    <w:rsid w:val="00C6457E"/>
    <w:rsid w:val="00C645CE"/>
    <w:rsid w:val="00C645D7"/>
    <w:rsid w:val="00C645F6"/>
    <w:rsid w:val="00C64607"/>
    <w:rsid w:val="00C64642"/>
    <w:rsid w:val="00C646C7"/>
    <w:rsid w:val="00C64792"/>
    <w:rsid w:val="00C64797"/>
    <w:rsid w:val="00C6479E"/>
    <w:rsid w:val="00C647AD"/>
    <w:rsid w:val="00C64827"/>
    <w:rsid w:val="00C64851"/>
    <w:rsid w:val="00C6487F"/>
    <w:rsid w:val="00C648FB"/>
    <w:rsid w:val="00C64960"/>
    <w:rsid w:val="00C649E1"/>
    <w:rsid w:val="00C64A28"/>
    <w:rsid w:val="00C64A3E"/>
    <w:rsid w:val="00C64A5B"/>
    <w:rsid w:val="00C64A5E"/>
    <w:rsid w:val="00C64AA7"/>
    <w:rsid w:val="00C64AB6"/>
    <w:rsid w:val="00C64AF1"/>
    <w:rsid w:val="00C64B06"/>
    <w:rsid w:val="00C64B0C"/>
    <w:rsid w:val="00C64B29"/>
    <w:rsid w:val="00C64B61"/>
    <w:rsid w:val="00C64B63"/>
    <w:rsid w:val="00C64B7C"/>
    <w:rsid w:val="00C64BF8"/>
    <w:rsid w:val="00C64C72"/>
    <w:rsid w:val="00C64CA7"/>
    <w:rsid w:val="00C64CE2"/>
    <w:rsid w:val="00C64D1D"/>
    <w:rsid w:val="00C64E4D"/>
    <w:rsid w:val="00C64F82"/>
    <w:rsid w:val="00C651A1"/>
    <w:rsid w:val="00C651C6"/>
    <w:rsid w:val="00C652DC"/>
    <w:rsid w:val="00C653D9"/>
    <w:rsid w:val="00C6553B"/>
    <w:rsid w:val="00C6562F"/>
    <w:rsid w:val="00C656B1"/>
    <w:rsid w:val="00C6574D"/>
    <w:rsid w:val="00C657A5"/>
    <w:rsid w:val="00C657F5"/>
    <w:rsid w:val="00C6588B"/>
    <w:rsid w:val="00C65893"/>
    <w:rsid w:val="00C658BB"/>
    <w:rsid w:val="00C659E8"/>
    <w:rsid w:val="00C65A08"/>
    <w:rsid w:val="00C65A41"/>
    <w:rsid w:val="00C65A6D"/>
    <w:rsid w:val="00C65AE5"/>
    <w:rsid w:val="00C65BA6"/>
    <w:rsid w:val="00C65BB7"/>
    <w:rsid w:val="00C65C7F"/>
    <w:rsid w:val="00C65C93"/>
    <w:rsid w:val="00C65C9A"/>
    <w:rsid w:val="00C65D66"/>
    <w:rsid w:val="00C65DBA"/>
    <w:rsid w:val="00C65DD1"/>
    <w:rsid w:val="00C65DEE"/>
    <w:rsid w:val="00C65E5B"/>
    <w:rsid w:val="00C65EBC"/>
    <w:rsid w:val="00C65F0A"/>
    <w:rsid w:val="00C65F86"/>
    <w:rsid w:val="00C65FA8"/>
    <w:rsid w:val="00C6600E"/>
    <w:rsid w:val="00C6607A"/>
    <w:rsid w:val="00C66149"/>
    <w:rsid w:val="00C662C2"/>
    <w:rsid w:val="00C66369"/>
    <w:rsid w:val="00C663D7"/>
    <w:rsid w:val="00C66403"/>
    <w:rsid w:val="00C66486"/>
    <w:rsid w:val="00C665AC"/>
    <w:rsid w:val="00C665B0"/>
    <w:rsid w:val="00C665D3"/>
    <w:rsid w:val="00C665FF"/>
    <w:rsid w:val="00C66625"/>
    <w:rsid w:val="00C66651"/>
    <w:rsid w:val="00C66672"/>
    <w:rsid w:val="00C66682"/>
    <w:rsid w:val="00C6668B"/>
    <w:rsid w:val="00C66746"/>
    <w:rsid w:val="00C6675A"/>
    <w:rsid w:val="00C66786"/>
    <w:rsid w:val="00C6678E"/>
    <w:rsid w:val="00C667E0"/>
    <w:rsid w:val="00C667E7"/>
    <w:rsid w:val="00C6680B"/>
    <w:rsid w:val="00C668E6"/>
    <w:rsid w:val="00C669FE"/>
    <w:rsid w:val="00C66AA4"/>
    <w:rsid w:val="00C66BA3"/>
    <w:rsid w:val="00C66D19"/>
    <w:rsid w:val="00C66D2E"/>
    <w:rsid w:val="00C66D32"/>
    <w:rsid w:val="00C66E22"/>
    <w:rsid w:val="00C66E47"/>
    <w:rsid w:val="00C66E84"/>
    <w:rsid w:val="00C66EA0"/>
    <w:rsid w:val="00C66EAF"/>
    <w:rsid w:val="00C67013"/>
    <w:rsid w:val="00C6709B"/>
    <w:rsid w:val="00C670D9"/>
    <w:rsid w:val="00C671E5"/>
    <w:rsid w:val="00C67346"/>
    <w:rsid w:val="00C67392"/>
    <w:rsid w:val="00C6741D"/>
    <w:rsid w:val="00C67464"/>
    <w:rsid w:val="00C674C7"/>
    <w:rsid w:val="00C674DE"/>
    <w:rsid w:val="00C67665"/>
    <w:rsid w:val="00C67705"/>
    <w:rsid w:val="00C67722"/>
    <w:rsid w:val="00C677E6"/>
    <w:rsid w:val="00C677E8"/>
    <w:rsid w:val="00C67873"/>
    <w:rsid w:val="00C67A9E"/>
    <w:rsid w:val="00C67AF9"/>
    <w:rsid w:val="00C67B1B"/>
    <w:rsid w:val="00C67B3E"/>
    <w:rsid w:val="00C67C13"/>
    <w:rsid w:val="00C67C56"/>
    <w:rsid w:val="00C67C84"/>
    <w:rsid w:val="00C67E25"/>
    <w:rsid w:val="00C67EAB"/>
    <w:rsid w:val="00C67F96"/>
    <w:rsid w:val="00C67FA0"/>
    <w:rsid w:val="00C67FAE"/>
    <w:rsid w:val="00C70013"/>
    <w:rsid w:val="00C7004E"/>
    <w:rsid w:val="00C70127"/>
    <w:rsid w:val="00C70153"/>
    <w:rsid w:val="00C7016E"/>
    <w:rsid w:val="00C701AF"/>
    <w:rsid w:val="00C7020B"/>
    <w:rsid w:val="00C70271"/>
    <w:rsid w:val="00C7027B"/>
    <w:rsid w:val="00C702D1"/>
    <w:rsid w:val="00C70342"/>
    <w:rsid w:val="00C70376"/>
    <w:rsid w:val="00C70431"/>
    <w:rsid w:val="00C70452"/>
    <w:rsid w:val="00C70478"/>
    <w:rsid w:val="00C704A0"/>
    <w:rsid w:val="00C70525"/>
    <w:rsid w:val="00C705DF"/>
    <w:rsid w:val="00C70610"/>
    <w:rsid w:val="00C7062C"/>
    <w:rsid w:val="00C70730"/>
    <w:rsid w:val="00C70852"/>
    <w:rsid w:val="00C708FE"/>
    <w:rsid w:val="00C7094C"/>
    <w:rsid w:val="00C70998"/>
    <w:rsid w:val="00C709AF"/>
    <w:rsid w:val="00C709CF"/>
    <w:rsid w:val="00C70A56"/>
    <w:rsid w:val="00C70AF7"/>
    <w:rsid w:val="00C70B12"/>
    <w:rsid w:val="00C70B17"/>
    <w:rsid w:val="00C70B35"/>
    <w:rsid w:val="00C70BD3"/>
    <w:rsid w:val="00C70C09"/>
    <w:rsid w:val="00C70C2D"/>
    <w:rsid w:val="00C70C96"/>
    <w:rsid w:val="00C70D97"/>
    <w:rsid w:val="00C70DB5"/>
    <w:rsid w:val="00C70E8F"/>
    <w:rsid w:val="00C70EC6"/>
    <w:rsid w:val="00C70EE5"/>
    <w:rsid w:val="00C70FA7"/>
    <w:rsid w:val="00C71000"/>
    <w:rsid w:val="00C710F3"/>
    <w:rsid w:val="00C71125"/>
    <w:rsid w:val="00C7120C"/>
    <w:rsid w:val="00C7121F"/>
    <w:rsid w:val="00C71226"/>
    <w:rsid w:val="00C71265"/>
    <w:rsid w:val="00C712AD"/>
    <w:rsid w:val="00C712D3"/>
    <w:rsid w:val="00C7130C"/>
    <w:rsid w:val="00C71327"/>
    <w:rsid w:val="00C71431"/>
    <w:rsid w:val="00C7145D"/>
    <w:rsid w:val="00C714F7"/>
    <w:rsid w:val="00C715B4"/>
    <w:rsid w:val="00C7168F"/>
    <w:rsid w:val="00C716D1"/>
    <w:rsid w:val="00C716EF"/>
    <w:rsid w:val="00C7179E"/>
    <w:rsid w:val="00C717B3"/>
    <w:rsid w:val="00C7181C"/>
    <w:rsid w:val="00C7186C"/>
    <w:rsid w:val="00C7191E"/>
    <w:rsid w:val="00C719AF"/>
    <w:rsid w:val="00C71A76"/>
    <w:rsid w:val="00C71B3A"/>
    <w:rsid w:val="00C71D2B"/>
    <w:rsid w:val="00C71E3E"/>
    <w:rsid w:val="00C71E4B"/>
    <w:rsid w:val="00C71EDD"/>
    <w:rsid w:val="00C71EFA"/>
    <w:rsid w:val="00C71FC5"/>
    <w:rsid w:val="00C71FC9"/>
    <w:rsid w:val="00C72027"/>
    <w:rsid w:val="00C7202F"/>
    <w:rsid w:val="00C72064"/>
    <w:rsid w:val="00C72074"/>
    <w:rsid w:val="00C7214E"/>
    <w:rsid w:val="00C72320"/>
    <w:rsid w:val="00C72340"/>
    <w:rsid w:val="00C72355"/>
    <w:rsid w:val="00C723A9"/>
    <w:rsid w:val="00C723D8"/>
    <w:rsid w:val="00C723DE"/>
    <w:rsid w:val="00C7248D"/>
    <w:rsid w:val="00C724EA"/>
    <w:rsid w:val="00C72502"/>
    <w:rsid w:val="00C7254E"/>
    <w:rsid w:val="00C725A2"/>
    <w:rsid w:val="00C7265A"/>
    <w:rsid w:val="00C726C9"/>
    <w:rsid w:val="00C7278D"/>
    <w:rsid w:val="00C727CD"/>
    <w:rsid w:val="00C728B9"/>
    <w:rsid w:val="00C72917"/>
    <w:rsid w:val="00C72941"/>
    <w:rsid w:val="00C7294B"/>
    <w:rsid w:val="00C729A2"/>
    <w:rsid w:val="00C729C1"/>
    <w:rsid w:val="00C72B6D"/>
    <w:rsid w:val="00C72BFF"/>
    <w:rsid w:val="00C72C15"/>
    <w:rsid w:val="00C72C30"/>
    <w:rsid w:val="00C72C4F"/>
    <w:rsid w:val="00C72CBD"/>
    <w:rsid w:val="00C72D07"/>
    <w:rsid w:val="00C72D15"/>
    <w:rsid w:val="00C72D34"/>
    <w:rsid w:val="00C72DCF"/>
    <w:rsid w:val="00C72E00"/>
    <w:rsid w:val="00C72E02"/>
    <w:rsid w:val="00C72E9D"/>
    <w:rsid w:val="00C72EEC"/>
    <w:rsid w:val="00C72FA0"/>
    <w:rsid w:val="00C730C7"/>
    <w:rsid w:val="00C730ED"/>
    <w:rsid w:val="00C731C7"/>
    <w:rsid w:val="00C731DD"/>
    <w:rsid w:val="00C73237"/>
    <w:rsid w:val="00C73299"/>
    <w:rsid w:val="00C732A7"/>
    <w:rsid w:val="00C73309"/>
    <w:rsid w:val="00C7330D"/>
    <w:rsid w:val="00C733BB"/>
    <w:rsid w:val="00C735D5"/>
    <w:rsid w:val="00C7360B"/>
    <w:rsid w:val="00C73658"/>
    <w:rsid w:val="00C737FD"/>
    <w:rsid w:val="00C738CB"/>
    <w:rsid w:val="00C7390E"/>
    <w:rsid w:val="00C739AC"/>
    <w:rsid w:val="00C739DC"/>
    <w:rsid w:val="00C73A3B"/>
    <w:rsid w:val="00C73B51"/>
    <w:rsid w:val="00C73BB4"/>
    <w:rsid w:val="00C73C04"/>
    <w:rsid w:val="00C73CA2"/>
    <w:rsid w:val="00C73D02"/>
    <w:rsid w:val="00C73D3A"/>
    <w:rsid w:val="00C73D50"/>
    <w:rsid w:val="00C73D6D"/>
    <w:rsid w:val="00C73D96"/>
    <w:rsid w:val="00C73E0F"/>
    <w:rsid w:val="00C73E1E"/>
    <w:rsid w:val="00C73E26"/>
    <w:rsid w:val="00C73E93"/>
    <w:rsid w:val="00C73F03"/>
    <w:rsid w:val="00C73F2C"/>
    <w:rsid w:val="00C73F62"/>
    <w:rsid w:val="00C740C1"/>
    <w:rsid w:val="00C74180"/>
    <w:rsid w:val="00C74251"/>
    <w:rsid w:val="00C742CD"/>
    <w:rsid w:val="00C74383"/>
    <w:rsid w:val="00C743D7"/>
    <w:rsid w:val="00C7445B"/>
    <w:rsid w:val="00C744A9"/>
    <w:rsid w:val="00C74592"/>
    <w:rsid w:val="00C746A8"/>
    <w:rsid w:val="00C746FD"/>
    <w:rsid w:val="00C74712"/>
    <w:rsid w:val="00C74812"/>
    <w:rsid w:val="00C74887"/>
    <w:rsid w:val="00C748F7"/>
    <w:rsid w:val="00C74910"/>
    <w:rsid w:val="00C749E7"/>
    <w:rsid w:val="00C74A1F"/>
    <w:rsid w:val="00C74A20"/>
    <w:rsid w:val="00C74A5D"/>
    <w:rsid w:val="00C74A84"/>
    <w:rsid w:val="00C74B3E"/>
    <w:rsid w:val="00C74B49"/>
    <w:rsid w:val="00C74B87"/>
    <w:rsid w:val="00C74BDC"/>
    <w:rsid w:val="00C74C5F"/>
    <w:rsid w:val="00C74C97"/>
    <w:rsid w:val="00C74CA1"/>
    <w:rsid w:val="00C74D00"/>
    <w:rsid w:val="00C74D36"/>
    <w:rsid w:val="00C74D3A"/>
    <w:rsid w:val="00C74D87"/>
    <w:rsid w:val="00C74D93"/>
    <w:rsid w:val="00C74E1E"/>
    <w:rsid w:val="00C74EC8"/>
    <w:rsid w:val="00C74EFC"/>
    <w:rsid w:val="00C75040"/>
    <w:rsid w:val="00C75071"/>
    <w:rsid w:val="00C750A1"/>
    <w:rsid w:val="00C75115"/>
    <w:rsid w:val="00C75236"/>
    <w:rsid w:val="00C75246"/>
    <w:rsid w:val="00C75298"/>
    <w:rsid w:val="00C752C9"/>
    <w:rsid w:val="00C7533F"/>
    <w:rsid w:val="00C75509"/>
    <w:rsid w:val="00C75551"/>
    <w:rsid w:val="00C75564"/>
    <w:rsid w:val="00C7560B"/>
    <w:rsid w:val="00C75652"/>
    <w:rsid w:val="00C757F6"/>
    <w:rsid w:val="00C7582B"/>
    <w:rsid w:val="00C75854"/>
    <w:rsid w:val="00C75862"/>
    <w:rsid w:val="00C75883"/>
    <w:rsid w:val="00C758B2"/>
    <w:rsid w:val="00C758E2"/>
    <w:rsid w:val="00C75A3C"/>
    <w:rsid w:val="00C75A60"/>
    <w:rsid w:val="00C75AF9"/>
    <w:rsid w:val="00C75B32"/>
    <w:rsid w:val="00C75B47"/>
    <w:rsid w:val="00C75B54"/>
    <w:rsid w:val="00C75BFD"/>
    <w:rsid w:val="00C75CB4"/>
    <w:rsid w:val="00C75D28"/>
    <w:rsid w:val="00C75D38"/>
    <w:rsid w:val="00C75D5A"/>
    <w:rsid w:val="00C75DA9"/>
    <w:rsid w:val="00C75DDC"/>
    <w:rsid w:val="00C75E28"/>
    <w:rsid w:val="00C75E70"/>
    <w:rsid w:val="00C75EE7"/>
    <w:rsid w:val="00C75F31"/>
    <w:rsid w:val="00C75F51"/>
    <w:rsid w:val="00C75F58"/>
    <w:rsid w:val="00C76033"/>
    <w:rsid w:val="00C76039"/>
    <w:rsid w:val="00C76064"/>
    <w:rsid w:val="00C760C1"/>
    <w:rsid w:val="00C760D8"/>
    <w:rsid w:val="00C7614E"/>
    <w:rsid w:val="00C76198"/>
    <w:rsid w:val="00C761D4"/>
    <w:rsid w:val="00C7622F"/>
    <w:rsid w:val="00C76262"/>
    <w:rsid w:val="00C76361"/>
    <w:rsid w:val="00C76382"/>
    <w:rsid w:val="00C763D7"/>
    <w:rsid w:val="00C76519"/>
    <w:rsid w:val="00C7665F"/>
    <w:rsid w:val="00C76670"/>
    <w:rsid w:val="00C766D0"/>
    <w:rsid w:val="00C767A0"/>
    <w:rsid w:val="00C767DA"/>
    <w:rsid w:val="00C76804"/>
    <w:rsid w:val="00C7689C"/>
    <w:rsid w:val="00C7691F"/>
    <w:rsid w:val="00C76957"/>
    <w:rsid w:val="00C769A0"/>
    <w:rsid w:val="00C769F1"/>
    <w:rsid w:val="00C76A8F"/>
    <w:rsid w:val="00C76AA9"/>
    <w:rsid w:val="00C76AC1"/>
    <w:rsid w:val="00C76B3B"/>
    <w:rsid w:val="00C76B80"/>
    <w:rsid w:val="00C76BC3"/>
    <w:rsid w:val="00C76BF0"/>
    <w:rsid w:val="00C76C65"/>
    <w:rsid w:val="00C76C89"/>
    <w:rsid w:val="00C76D27"/>
    <w:rsid w:val="00C76D28"/>
    <w:rsid w:val="00C76D68"/>
    <w:rsid w:val="00C76DCE"/>
    <w:rsid w:val="00C76DFC"/>
    <w:rsid w:val="00C76ECF"/>
    <w:rsid w:val="00C76F7E"/>
    <w:rsid w:val="00C76FCF"/>
    <w:rsid w:val="00C770F6"/>
    <w:rsid w:val="00C770FD"/>
    <w:rsid w:val="00C77205"/>
    <w:rsid w:val="00C7721B"/>
    <w:rsid w:val="00C772BE"/>
    <w:rsid w:val="00C7739F"/>
    <w:rsid w:val="00C773A2"/>
    <w:rsid w:val="00C77408"/>
    <w:rsid w:val="00C77480"/>
    <w:rsid w:val="00C774C6"/>
    <w:rsid w:val="00C774F1"/>
    <w:rsid w:val="00C77516"/>
    <w:rsid w:val="00C775FF"/>
    <w:rsid w:val="00C776AE"/>
    <w:rsid w:val="00C7775D"/>
    <w:rsid w:val="00C7777D"/>
    <w:rsid w:val="00C7783B"/>
    <w:rsid w:val="00C779FB"/>
    <w:rsid w:val="00C77A13"/>
    <w:rsid w:val="00C77A26"/>
    <w:rsid w:val="00C77A2F"/>
    <w:rsid w:val="00C77A82"/>
    <w:rsid w:val="00C77ADA"/>
    <w:rsid w:val="00C77C20"/>
    <w:rsid w:val="00C77CF8"/>
    <w:rsid w:val="00C77D20"/>
    <w:rsid w:val="00C77D4A"/>
    <w:rsid w:val="00C77E0A"/>
    <w:rsid w:val="00C77E18"/>
    <w:rsid w:val="00C77E28"/>
    <w:rsid w:val="00C77E49"/>
    <w:rsid w:val="00C77EFE"/>
    <w:rsid w:val="00C77F38"/>
    <w:rsid w:val="00C77FAD"/>
    <w:rsid w:val="00C77FB7"/>
    <w:rsid w:val="00C800BA"/>
    <w:rsid w:val="00C801AC"/>
    <w:rsid w:val="00C802F1"/>
    <w:rsid w:val="00C8036B"/>
    <w:rsid w:val="00C804A6"/>
    <w:rsid w:val="00C804E4"/>
    <w:rsid w:val="00C80533"/>
    <w:rsid w:val="00C80551"/>
    <w:rsid w:val="00C8066D"/>
    <w:rsid w:val="00C8068C"/>
    <w:rsid w:val="00C8074F"/>
    <w:rsid w:val="00C80771"/>
    <w:rsid w:val="00C80897"/>
    <w:rsid w:val="00C80925"/>
    <w:rsid w:val="00C80965"/>
    <w:rsid w:val="00C8097A"/>
    <w:rsid w:val="00C809D2"/>
    <w:rsid w:val="00C80A11"/>
    <w:rsid w:val="00C80AA8"/>
    <w:rsid w:val="00C80BC5"/>
    <w:rsid w:val="00C80BCA"/>
    <w:rsid w:val="00C80C4B"/>
    <w:rsid w:val="00C80D23"/>
    <w:rsid w:val="00C80DDB"/>
    <w:rsid w:val="00C80EFE"/>
    <w:rsid w:val="00C80F67"/>
    <w:rsid w:val="00C80F7F"/>
    <w:rsid w:val="00C80F8C"/>
    <w:rsid w:val="00C80F9A"/>
    <w:rsid w:val="00C80FA1"/>
    <w:rsid w:val="00C80FBE"/>
    <w:rsid w:val="00C810FC"/>
    <w:rsid w:val="00C8114C"/>
    <w:rsid w:val="00C811F2"/>
    <w:rsid w:val="00C81272"/>
    <w:rsid w:val="00C8127F"/>
    <w:rsid w:val="00C81296"/>
    <w:rsid w:val="00C812A6"/>
    <w:rsid w:val="00C8132E"/>
    <w:rsid w:val="00C813B7"/>
    <w:rsid w:val="00C813BB"/>
    <w:rsid w:val="00C81507"/>
    <w:rsid w:val="00C81525"/>
    <w:rsid w:val="00C8154A"/>
    <w:rsid w:val="00C8157A"/>
    <w:rsid w:val="00C8157B"/>
    <w:rsid w:val="00C8158D"/>
    <w:rsid w:val="00C815B2"/>
    <w:rsid w:val="00C815B8"/>
    <w:rsid w:val="00C81637"/>
    <w:rsid w:val="00C8173C"/>
    <w:rsid w:val="00C817AD"/>
    <w:rsid w:val="00C817B9"/>
    <w:rsid w:val="00C817E3"/>
    <w:rsid w:val="00C817FA"/>
    <w:rsid w:val="00C81846"/>
    <w:rsid w:val="00C819FD"/>
    <w:rsid w:val="00C81A3C"/>
    <w:rsid w:val="00C81B11"/>
    <w:rsid w:val="00C81B4D"/>
    <w:rsid w:val="00C81B56"/>
    <w:rsid w:val="00C81B57"/>
    <w:rsid w:val="00C81B9C"/>
    <w:rsid w:val="00C81BC6"/>
    <w:rsid w:val="00C81C05"/>
    <w:rsid w:val="00C81C7F"/>
    <w:rsid w:val="00C81CA4"/>
    <w:rsid w:val="00C81D29"/>
    <w:rsid w:val="00C81DB7"/>
    <w:rsid w:val="00C81DD6"/>
    <w:rsid w:val="00C81DE7"/>
    <w:rsid w:val="00C81E07"/>
    <w:rsid w:val="00C81E48"/>
    <w:rsid w:val="00C81EEF"/>
    <w:rsid w:val="00C81F2E"/>
    <w:rsid w:val="00C81FC8"/>
    <w:rsid w:val="00C8203B"/>
    <w:rsid w:val="00C82066"/>
    <w:rsid w:val="00C820EB"/>
    <w:rsid w:val="00C82143"/>
    <w:rsid w:val="00C8216E"/>
    <w:rsid w:val="00C8225B"/>
    <w:rsid w:val="00C8236E"/>
    <w:rsid w:val="00C82395"/>
    <w:rsid w:val="00C82510"/>
    <w:rsid w:val="00C82541"/>
    <w:rsid w:val="00C8256E"/>
    <w:rsid w:val="00C82583"/>
    <w:rsid w:val="00C82588"/>
    <w:rsid w:val="00C8258E"/>
    <w:rsid w:val="00C825D6"/>
    <w:rsid w:val="00C825EA"/>
    <w:rsid w:val="00C82603"/>
    <w:rsid w:val="00C8262D"/>
    <w:rsid w:val="00C82659"/>
    <w:rsid w:val="00C826B5"/>
    <w:rsid w:val="00C82769"/>
    <w:rsid w:val="00C827E5"/>
    <w:rsid w:val="00C82833"/>
    <w:rsid w:val="00C82844"/>
    <w:rsid w:val="00C8285A"/>
    <w:rsid w:val="00C82915"/>
    <w:rsid w:val="00C829E5"/>
    <w:rsid w:val="00C82A28"/>
    <w:rsid w:val="00C82ABB"/>
    <w:rsid w:val="00C82AD0"/>
    <w:rsid w:val="00C82BE7"/>
    <w:rsid w:val="00C82C6C"/>
    <w:rsid w:val="00C82C91"/>
    <w:rsid w:val="00C82D1A"/>
    <w:rsid w:val="00C82DD6"/>
    <w:rsid w:val="00C82DE9"/>
    <w:rsid w:val="00C82F5F"/>
    <w:rsid w:val="00C82F6A"/>
    <w:rsid w:val="00C82FA7"/>
    <w:rsid w:val="00C82FD7"/>
    <w:rsid w:val="00C8301C"/>
    <w:rsid w:val="00C83050"/>
    <w:rsid w:val="00C830DC"/>
    <w:rsid w:val="00C831A2"/>
    <w:rsid w:val="00C831A3"/>
    <w:rsid w:val="00C831ED"/>
    <w:rsid w:val="00C83264"/>
    <w:rsid w:val="00C83330"/>
    <w:rsid w:val="00C83352"/>
    <w:rsid w:val="00C8335E"/>
    <w:rsid w:val="00C833A7"/>
    <w:rsid w:val="00C8345F"/>
    <w:rsid w:val="00C834B4"/>
    <w:rsid w:val="00C83561"/>
    <w:rsid w:val="00C83569"/>
    <w:rsid w:val="00C8358E"/>
    <w:rsid w:val="00C835E1"/>
    <w:rsid w:val="00C835F7"/>
    <w:rsid w:val="00C83672"/>
    <w:rsid w:val="00C837FD"/>
    <w:rsid w:val="00C83854"/>
    <w:rsid w:val="00C838A7"/>
    <w:rsid w:val="00C838D8"/>
    <w:rsid w:val="00C83999"/>
    <w:rsid w:val="00C839A1"/>
    <w:rsid w:val="00C83A61"/>
    <w:rsid w:val="00C83B5B"/>
    <w:rsid w:val="00C83BAF"/>
    <w:rsid w:val="00C83C67"/>
    <w:rsid w:val="00C83C81"/>
    <w:rsid w:val="00C83CDA"/>
    <w:rsid w:val="00C83DE5"/>
    <w:rsid w:val="00C83E22"/>
    <w:rsid w:val="00C83F45"/>
    <w:rsid w:val="00C83FC1"/>
    <w:rsid w:val="00C83FC9"/>
    <w:rsid w:val="00C840A9"/>
    <w:rsid w:val="00C84149"/>
    <w:rsid w:val="00C841CF"/>
    <w:rsid w:val="00C8432D"/>
    <w:rsid w:val="00C84406"/>
    <w:rsid w:val="00C84524"/>
    <w:rsid w:val="00C84600"/>
    <w:rsid w:val="00C8466B"/>
    <w:rsid w:val="00C84691"/>
    <w:rsid w:val="00C848DC"/>
    <w:rsid w:val="00C84AF2"/>
    <w:rsid w:val="00C84B50"/>
    <w:rsid w:val="00C84B69"/>
    <w:rsid w:val="00C84BBE"/>
    <w:rsid w:val="00C84BCB"/>
    <w:rsid w:val="00C84C14"/>
    <w:rsid w:val="00C84C4A"/>
    <w:rsid w:val="00C84C74"/>
    <w:rsid w:val="00C84CE7"/>
    <w:rsid w:val="00C84CF6"/>
    <w:rsid w:val="00C84D33"/>
    <w:rsid w:val="00C84D38"/>
    <w:rsid w:val="00C84D74"/>
    <w:rsid w:val="00C84D90"/>
    <w:rsid w:val="00C84EAC"/>
    <w:rsid w:val="00C84ED2"/>
    <w:rsid w:val="00C84EE9"/>
    <w:rsid w:val="00C84F40"/>
    <w:rsid w:val="00C84F66"/>
    <w:rsid w:val="00C850BC"/>
    <w:rsid w:val="00C8511D"/>
    <w:rsid w:val="00C85132"/>
    <w:rsid w:val="00C85157"/>
    <w:rsid w:val="00C85352"/>
    <w:rsid w:val="00C853E0"/>
    <w:rsid w:val="00C853E7"/>
    <w:rsid w:val="00C85409"/>
    <w:rsid w:val="00C854EC"/>
    <w:rsid w:val="00C8557C"/>
    <w:rsid w:val="00C855EE"/>
    <w:rsid w:val="00C85603"/>
    <w:rsid w:val="00C8573C"/>
    <w:rsid w:val="00C85789"/>
    <w:rsid w:val="00C8581D"/>
    <w:rsid w:val="00C85843"/>
    <w:rsid w:val="00C85889"/>
    <w:rsid w:val="00C85906"/>
    <w:rsid w:val="00C85959"/>
    <w:rsid w:val="00C85997"/>
    <w:rsid w:val="00C859B9"/>
    <w:rsid w:val="00C859D7"/>
    <w:rsid w:val="00C85A79"/>
    <w:rsid w:val="00C85A83"/>
    <w:rsid w:val="00C85B18"/>
    <w:rsid w:val="00C85B35"/>
    <w:rsid w:val="00C85B87"/>
    <w:rsid w:val="00C85BC4"/>
    <w:rsid w:val="00C85BDE"/>
    <w:rsid w:val="00C85C08"/>
    <w:rsid w:val="00C85C7E"/>
    <w:rsid w:val="00C85CC9"/>
    <w:rsid w:val="00C85D16"/>
    <w:rsid w:val="00C85D4E"/>
    <w:rsid w:val="00C85E9D"/>
    <w:rsid w:val="00C85F29"/>
    <w:rsid w:val="00C85FA9"/>
    <w:rsid w:val="00C85FD6"/>
    <w:rsid w:val="00C85FFA"/>
    <w:rsid w:val="00C85FFF"/>
    <w:rsid w:val="00C8609E"/>
    <w:rsid w:val="00C860A6"/>
    <w:rsid w:val="00C860C5"/>
    <w:rsid w:val="00C8610B"/>
    <w:rsid w:val="00C86154"/>
    <w:rsid w:val="00C861BC"/>
    <w:rsid w:val="00C86323"/>
    <w:rsid w:val="00C8639F"/>
    <w:rsid w:val="00C863D8"/>
    <w:rsid w:val="00C86442"/>
    <w:rsid w:val="00C8668D"/>
    <w:rsid w:val="00C8668E"/>
    <w:rsid w:val="00C866BC"/>
    <w:rsid w:val="00C8682D"/>
    <w:rsid w:val="00C8685C"/>
    <w:rsid w:val="00C8689C"/>
    <w:rsid w:val="00C868C3"/>
    <w:rsid w:val="00C869A6"/>
    <w:rsid w:val="00C869A7"/>
    <w:rsid w:val="00C869C9"/>
    <w:rsid w:val="00C86A1F"/>
    <w:rsid w:val="00C86A29"/>
    <w:rsid w:val="00C86A30"/>
    <w:rsid w:val="00C86A50"/>
    <w:rsid w:val="00C86A60"/>
    <w:rsid w:val="00C86AD7"/>
    <w:rsid w:val="00C86AD8"/>
    <w:rsid w:val="00C86B63"/>
    <w:rsid w:val="00C86B90"/>
    <w:rsid w:val="00C86B9E"/>
    <w:rsid w:val="00C86C3D"/>
    <w:rsid w:val="00C86C42"/>
    <w:rsid w:val="00C86C64"/>
    <w:rsid w:val="00C86C70"/>
    <w:rsid w:val="00C86CFA"/>
    <w:rsid w:val="00C86D0B"/>
    <w:rsid w:val="00C86D96"/>
    <w:rsid w:val="00C86E8F"/>
    <w:rsid w:val="00C86EA8"/>
    <w:rsid w:val="00C86F4B"/>
    <w:rsid w:val="00C87037"/>
    <w:rsid w:val="00C87042"/>
    <w:rsid w:val="00C87078"/>
    <w:rsid w:val="00C870AA"/>
    <w:rsid w:val="00C870C6"/>
    <w:rsid w:val="00C87110"/>
    <w:rsid w:val="00C8713C"/>
    <w:rsid w:val="00C8713D"/>
    <w:rsid w:val="00C871A6"/>
    <w:rsid w:val="00C871E9"/>
    <w:rsid w:val="00C87203"/>
    <w:rsid w:val="00C87209"/>
    <w:rsid w:val="00C872C6"/>
    <w:rsid w:val="00C87377"/>
    <w:rsid w:val="00C8737D"/>
    <w:rsid w:val="00C8739A"/>
    <w:rsid w:val="00C873FC"/>
    <w:rsid w:val="00C874FF"/>
    <w:rsid w:val="00C875D2"/>
    <w:rsid w:val="00C87630"/>
    <w:rsid w:val="00C87686"/>
    <w:rsid w:val="00C877E9"/>
    <w:rsid w:val="00C8781C"/>
    <w:rsid w:val="00C87854"/>
    <w:rsid w:val="00C878F2"/>
    <w:rsid w:val="00C87931"/>
    <w:rsid w:val="00C87957"/>
    <w:rsid w:val="00C8797E"/>
    <w:rsid w:val="00C87A24"/>
    <w:rsid w:val="00C87A5F"/>
    <w:rsid w:val="00C87AA9"/>
    <w:rsid w:val="00C87B8F"/>
    <w:rsid w:val="00C87B9D"/>
    <w:rsid w:val="00C87BAC"/>
    <w:rsid w:val="00C87C0C"/>
    <w:rsid w:val="00C87C0F"/>
    <w:rsid w:val="00C87C1F"/>
    <w:rsid w:val="00C87C3A"/>
    <w:rsid w:val="00C87D24"/>
    <w:rsid w:val="00C87D6F"/>
    <w:rsid w:val="00C87DEC"/>
    <w:rsid w:val="00C87DEF"/>
    <w:rsid w:val="00C87E56"/>
    <w:rsid w:val="00C87E61"/>
    <w:rsid w:val="00C87ECB"/>
    <w:rsid w:val="00C87EE4"/>
    <w:rsid w:val="00C87F35"/>
    <w:rsid w:val="00C87F61"/>
    <w:rsid w:val="00C87FCE"/>
    <w:rsid w:val="00C90003"/>
    <w:rsid w:val="00C90054"/>
    <w:rsid w:val="00C90064"/>
    <w:rsid w:val="00C90074"/>
    <w:rsid w:val="00C900D8"/>
    <w:rsid w:val="00C900E9"/>
    <w:rsid w:val="00C90144"/>
    <w:rsid w:val="00C90175"/>
    <w:rsid w:val="00C90227"/>
    <w:rsid w:val="00C9033F"/>
    <w:rsid w:val="00C90391"/>
    <w:rsid w:val="00C903E1"/>
    <w:rsid w:val="00C90417"/>
    <w:rsid w:val="00C90455"/>
    <w:rsid w:val="00C904FD"/>
    <w:rsid w:val="00C90580"/>
    <w:rsid w:val="00C905DD"/>
    <w:rsid w:val="00C90684"/>
    <w:rsid w:val="00C906C2"/>
    <w:rsid w:val="00C906CB"/>
    <w:rsid w:val="00C906CF"/>
    <w:rsid w:val="00C90771"/>
    <w:rsid w:val="00C907AC"/>
    <w:rsid w:val="00C90900"/>
    <w:rsid w:val="00C9091F"/>
    <w:rsid w:val="00C90A8B"/>
    <w:rsid w:val="00C90AE1"/>
    <w:rsid w:val="00C90AE8"/>
    <w:rsid w:val="00C90B91"/>
    <w:rsid w:val="00C90C16"/>
    <w:rsid w:val="00C90CE3"/>
    <w:rsid w:val="00C90D3A"/>
    <w:rsid w:val="00C90DEA"/>
    <w:rsid w:val="00C90E11"/>
    <w:rsid w:val="00C90F45"/>
    <w:rsid w:val="00C90F8B"/>
    <w:rsid w:val="00C90FA0"/>
    <w:rsid w:val="00C911FA"/>
    <w:rsid w:val="00C91228"/>
    <w:rsid w:val="00C91352"/>
    <w:rsid w:val="00C91389"/>
    <w:rsid w:val="00C91515"/>
    <w:rsid w:val="00C91596"/>
    <w:rsid w:val="00C915B8"/>
    <w:rsid w:val="00C91664"/>
    <w:rsid w:val="00C916B0"/>
    <w:rsid w:val="00C916CA"/>
    <w:rsid w:val="00C91742"/>
    <w:rsid w:val="00C918E1"/>
    <w:rsid w:val="00C91900"/>
    <w:rsid w:val="00C91954"/>
    <w:rsid w:val="00C9196C"/>
    <w:rsid w:val="00C919B9"/>
    <w:rsid w:val="00C919E1"/>
    <w:rsid w:val="00C91B37"/>
    <w:rsid w:val="00C91B49"/>
    <w:rsid w:val="00C91BF7"/>
    <w:rsid w:val="00C91C26"/>
    <w:rsid w:val="00C91C43"/>
    <w:rsid w:val="00C91C4B"/>
    <w:rsid w:val="00C91CC2"/>
    <w:rsid w:val="00C91D63"/>
    <w:rsid w:val="00C91D73"/>
    <w:rsid w:val="00C91E6C"/>
    <w:rsid w:val="00C91EF4"/>
    <w:rsid w:val="00C91F12"/>
    <w:rsid w:val="00C91F15"/>
    <w:rsid w:val="00C91FB6"/>
    <w:rsid w:val="00C91FCE"/>
    <w:rsid w:val="00C91FEB"/>
    <w:rsid w:val="00C92068"/>
    <w:rsid w:val="00C920F0"/>
    <w:rsid w:val="00C921A2"/>
    <w:rsid w:val="00C921C7"/>
    <w:rsid w:val="00C92210"/>
    <w:rsid w:val="00C92267"/>
    <w:rsid w:val="00C92297"/>
    <w:rsid w:val="00C9231E"/>
    <w:rsid w:val="00C92328"/>
    <w:rsid w:val="00C92335"/>
    <w:rsid w:val="00C9235B"/>
    <w:rsid w:val="00C923A3"/>
    <w:rsid w:val="00C9242D"/>
    <w:rsid w:val="00C9244A"/>
    <w:rsid w:val="00C92451"/>
    <w:rsid w:val="00C924D1"/>
    <w:rsid w:val="00C9252C"/>
    <w:rsid w:val="00C9254D"/>
    <w:rsid w:val="00C92570"/>
    <w:rsid w:val="00C925A7"/>
    <w:rsid w:val="00C92668"/>
    <w:rsid w:val="00C92676"/>
    <w:rsid w:val="00C9273D"/>
    <w:rsid w:val="00C927AF"/>
    <w:rsid w:val="00C92812"/>
    <w:rsid w:val="00C9283C"/>
    <w:rsid w:val="00C92921"/>
    <w:rsid w:val="00C929B4"/>
    <w:rsid w:val="00C929E8"/>
    <w:rsid w:val="00C92A9A"/>
    <w:rsid w:val="00C92ADC"/>
    <w:rsid w:val="00C92B20"/>
    <w:rsid w:val="00C92BEC"/>
    <w:rsid w:val="00C92C22"/>
    <w:rsid w:val="00C92D84"/>
    <w:rsid w:val="00C92E22"/>
    <w:rsid w:val="00C92E58"/>
    <w:rsid w:val="00C92E7F"/>
    <w:rsid w:val="00C92F1F"/>
    <w:rsid w:val="00C92F49"/>
    <w:rsid w:val="00C93024"/>
    <w:rsid w:val="00C93101"/>
    <w:rsid w:val="00C93147"/>
    <w:rsid w:val="00C931F0"/>
    <w:rsid w:val="00C9320D"/>
    <w:rsid w:val="00C93338"/>
    <w:rsid w:val="00C93399"/>
    <w:rsid w:val="00C93444"/>
    <w:rsid w:val="00C9346F"/>
    <w:rsid w:val="00C9349D"/>
    <w:rsid w:val="00C934CF"/>
    <w:rsid w:val="00C934E3"/>
    <w:rsid w:val="00C934FF"/>
    <w:rsid w:val="00C9353C"/>
    <w:rsid w:val="00C93540"/>
    <w:rsid w:val="00C935EA"/>
    <w:rsid w:val="00C935F1"/>
    <w:rsid w:val="00C9365F"/>
    <w:rsid w:val="00C93691"/>
    <w:rsid w:val="00C936FE"/>
    <w:rsid w:val="00C93814"/>
    <w:rsid w:val="00C93890"/>
    <w:rsid w:val="00C938B8"/>
    <w:rsid w:val="00C9390D"/>
    <w:rsid w:val="00C939EC"/>
    <w:rsid w:val="00C93A03"/>
    <w:rsid w:val="00C93A3A"/>
    <w:rsid w:val="00C93A97"/>
    <w:rsid w:val="00C93AE3"/>
    <w:rsid w:val="00C93AF4"/>
    <w:rsid w:val="00C93B61"/>
    <w:rsid w:val="00C93BDA"/>
    <w:rsid w:val="00C93C03"/>
    <w:rsid w:val="00C93C55"/>
    <w:rsid w:val="00C93C64"/>
    <w:rsid w:val="00C93EE5"/>
    <w:rsid w:val="00C94053"/>
    <w:rsid w:val="00C9405F"/>
    <w:rsid w:val="00C94084"/>
    <w:rsid w:val="00C940C8"/>
    <w:rsid w:val="00C941A5"/>
    <w:rsid w:val="00C94283"/>
    <w:rsid w:val="00C9432D"/>
    <w:rsid w:val="00C94397"/>
    <w:rsid w:val="00C943B0"/>
    <w:rsid w:val="00C9446F"/>
    <w:rsid w:val="00C9449C"/>
    <w:rsid w:val="00C944B2"/>
    <w:rsid w:val="00C944B3"/>
    <w:rsid w:val="00C944B7"/>
    <w:rsid w:val="00C9451D"/>
    <w:rsid w:val="00C94597"/>
    <w:rsid w:val="00C945F8"/>
    <w:rsid w:val="00C94606"/>
    <w:rsid w:val="00C9469B"/>
    <w:rsid w:val="00C946BE"/>
    <w:rsid w:val="00C946DC"/>
    <w:rsid w:val="00C947C1"/>
    <w:rsid w:val="00C94886"/>
    <w:rsid w:val="00C948F3"/>
    <w:rsid w:val="00C94A67"/>
    <w:rsid w:val="00C94BEA"/>
    <w:rsid w:val="00C94C26"/>
    <w:rsid w:val="00C94D3D"/>
    <w:rsid w:val="00C94D56"/>
    <w:rsid w:val="00C94D5B"/>
    <w:rsid w:val="00C94D6F"/>
    <w:rsid w:val="00C94DB4"/>
    <w:rsid w:val="00C94E5C"/>
    <w:rsid w:val="00C94E5E"/>
    <w:rsid w:val="00C94E84"/>
    <w:rsid w:val="00C94EBC"/>
    <w:rsid w:val="00C94F19"/>
    <w:rsid w:val="00C94F56"/>
    <w:rsid w:val="00C94F8C"/>
    <w:rsid w:val="00C95016"/>
    <w:rsid w:val="00C95043"/>
    <w:rsid w:val="00C95085"/>
    <w:rsid w:val="00C9509E"/>
    <w:rsid w:val="00C95151"/>
    <w:rsid w:val="00C9527F"/>
    <w:rsid w:val="00C952B7"/>
    <w:rsid w:val="00C952F3"/>
    <w:rsid w:val="00C95348"/>
    <w:rsid w:val="00C95462"/>
    <w:rsid w:val="00C95470"/>
    <w:rsid w:val="00C95479"/>
    <w:rsid w:val="00C955C0"/>
    <w:rsid w:val="00C955EF"/>
    <w:rsid w:val="00C95653"/>
    <w:rsid w:val="00C95673"/>
    <w:rsid w:val="00C956B5"/>
    <w:rsid w:val="00C956CD"/>
    <w:rsid w:val="00C956FB"/>
    <w:rsid w:val="00C9585D"/>
    <w:rsid w:val="00C9586E"/>
    <w:rsid w:val="00C95870"/>
    <w:rsid w:val="00C958E3"/>
    <w:rsid w:val="00C95904"/>
    <w:rsid w:val="00C95955"/>
    <w:rsid w:val="00C959CD"/>
    <w:rsid w:val="00C95A2C"/>
    <w:rsid w:val="00C95B1C"/>
    <w:rsid w:val="00C95B36"/>
    <w:rsid w:val="00C95C3F"/>
    <w:rsid w:val="00C95CAA"/>
    <w:rsid w:val="00C95CB5"/>
    <w:rsid w:val="00C95CDA"/>
    <w:rsid w:val="00C95D64"/>
    <w:rsid w:val="00C95DAB"/>
    <w:rsid w:val="00C95EB2"/>
    <w:rsid w:val="00C95EEE"/>
    <w:rsid w:val="00C95EEF"/>
    <w:rsid w:val="00C95F25"/>
    <w:rsid w:val="00C95F64"/>
    <w:rsid w:val="00C95F86"/>
    <w:rsid w:val="00C9606E"/>
    <w:rsid w:val="00C96084"/>
    <w:rsid w:val="00C96179"/>
    <w:rsid w:val="00C96191"/>
    <w:rsid w:val="00C961AF"/>
    <w:rsid w:val="00C961B9"/>
    <w:rsid w:val="00C962D8"/>
    <w:rsid w:val="00C96364"/>
    <w:rsid w:val="00C963F1"/>
    <w:rsid w:val="00C963FF"/>
    <w:rsid w:val="00C964C5"/>
    <w:rsid w:val="00C964CA"/>
    <w:rsid w:val="00C96608"/>
    <w:rsid w:val="00C96630"/>
    <w:rsid w:val="00C96647"/>
    <w:rsid w:val="00C966DF"/>
    <w:rsid w:val="00C9679E"/>
    <w:rsid w:val="00C967F3"/>
    <w:rsid w:val="00C9681A"/>
    <w:rsid w:val="00C96852"/>
    <w:rsid w:val="00C96961"/>
    <w:rsid w:val="00C969F9"/>
    <w:rsid w:val="00C96A58"/>
    <w:rsid w:val="00C96A7B"/>
    <w:rsid w:val="00C96B4A"/>
    <w:rsid w:val="00C96BC2"/>
    <w:rsid w:val="00C96BF8"/>
    <w:rsid w:val="00C96C15"/>
    <w:rsid w:val="00C96C30"/>
    <w:rsid w:val="00C96DB2"/>
    <w:rsid w:val="00C96E6B"/>
    <w:rsid w:val="00C96E88"/>
    <w:rsid w:val="00C96E8D"/>
    <w:rsid w:val="00C96EBC"/>
    <w:rsid w:val="00C96EFD"/>
    <w:rsid w:val="00C96F52"/>
    <w:rsid w:val="00C96FAF"/>
    <w:rsid w:val="00C96FD3"/>
    <w:rsid w:val="00C9702F"/>
    <w:rsid w:val="00C9712B"/>
    <w:rsid w:val="00C97137"/>
    <w:rsid w:val="00C9716E"/>
    <w:rsid w:val="00C9717B"/>
    <w:rsid w:val="00C9720B"/>
    <w:rsid w:val="00C972A0"/>
    <w:rsid w:val="00C972AA"/>
    <w:rsid w:val="00C972BD"/>
    <w:rsid w:val="00C972E5"/>
    <w:rsid w:val="00C973CD"/>
    <w:rsid w:val="00C9742A"/>
    <w:rsid w:val="00C97460"/>
    <w:rsid w:val="00C9747F"/>
    <w:rsid w:val="00C97506"/>
    <w:rsid w:val="00C9765E"/>
    <w:rsid w:val="00C977A0"/>
    <w:rsid w:val="00C97835"/>
    <w:rsid w:val="00C9785F"/>
    <w:rsid w:val="00C978FF"/>
    <w:rsid w:val="00C979B1"/>
    <w:rsid w:val="00C97A01"/>
    <w:rsid w:val="00C97A09"/>
    <w:rsid w:val="00C97AAE"/>
    <w:rsid w:val="00C97AB2"/>
    <w:rsid w:val="00C97AB6"/>
    <w:rsid w:val="00C97B17"/>
    <w:rsid w:val="00C97B83"/>
    <w:rsid w:val="00C97D61"/>
    <w:rsid w:val="00C97DE6"/>
    <w:rsid w:val="00C97E71"/>
    <w:rsid w:val="00CA004B"/>
    <w:rsid w:val="00CA004F"/>
    <w:rsid w:val="00CA0087"/>
    <w:rsid w:val="00CA0093"/>
    <w:rsid w:val="00CA00A7"/>
    <w:rsid w:val="00CA019C"/>
    <w:rsid w:val="00CA01C3"/>
    <w:rsid w:val="00CA0251"/>
    <w:rsid w:val="00CA02BB"/>
    <w:rsid w:val="00CA02E7"/>
    <w:rsid w:val="00CA032F"/>
    <w:rsid w:val="00CA0383"/>
    <w:rsid w:val="00CA03B3"/>
    <w:rsid w:val="00CA040A"/>
    <w:rsid w:val="00CA04CF"/>
    <w:rsid w:val="00CA05E9"/>
    <w:rsid w:val="00CA0609"/>
    <w:rsid w:val="00CA0681"/>
    <w:rsid w:val="00CA06D4"/>
    <w:rsid w:val="00CA06F6"/>
    <w:rsid w:val="00CA078C"/>
    <w:rsid w:val="00CA08C0"/>
    <w:rsid w:val="00CA099B"/>
    <w:rsid w:val="00CA0AAC"/>
    <w:rsid w:val="00CA0BA8"/>
    <w:rsid w:val="00CA0C29"/>
    <w:rsid w:val="00CA0C66"/>
    <w:rsid w:val="00CA0D21"/>
    <w:rsid w:val="00CA0DD6"/>
    <w:rsid w:val="00CA0E40"/>
    <w:rsid w:val="00CA0EE8"/>
    <w:rsid w:val="00CA1060"/>
    <w:rsid w:val="00CA1217"/>
    <w:rsid w:val="00CA1221"/>
    <w:rsid w:val="00CA1264"/>
    <w:rsid w:val="00CA12C9"/>
    <w:rsid w:val="00CA13F5"/>
    <w:rsid w:val="00CA142D"/>
    <w:rsid w:val="00CA1479"/>
    <w:rsid w:val="00CA149F"/>
    <w:rsid w:val="00CA172F"/>
    <w:rsid w:val="00CA1730"/>
    <w:rsid w:val="00CA1740"/>
    <w:rsid w:val="00CA1866"/>
    <w:rsid w:val="00CA18E3"/>
    <w:rsid w:val="00CA1916"/>
    <w:rsid w:val="00CA1981"/>
    <w:rsid w:val="00CA1994"/>
    <w:rsid w:val="00CA1A94"/>
    <w:rsid w:val="00CA1BFC"/>
    <w:rsid w:val="00CA1D0D"/>
    <w:rsid w:val="00CA1D82"/>
    <w:rsid w:val="00CA1E1C"/>
    <w:rsid w:val="00CA1E1F"/>
    <w:rsid w:val="00CA1E4F"/>
    <w:rsid w:val="00CA1E73"/>
    <w:rsid w:val="00CA1F1A"/>
    <w:rsid w:val="00CA1F36"/>
    <w:rsid w:val="00CA1F9F"/>
    <w:rsid w:val="00CA2096"/>
    <w:rsid w:val="00CA20DF"/>
    <w:rsid w:val="00CA227F"/>
    <w:rsid w:val="00CA22B9"/>
    <w:rsid w:val="00CA237E"/>
    <w:rsid w:val="00CA23C7"/>
    <w:rsid w:val="00CA2401"/>
    <w:rsid w:val="00CA2469"/>
    <w:rsid w:val="00CA2489"/>
    <w:rsid w:val="00CA25AB"/>
    <w:rsid w:val="00CA25C8"/>
    <w:rsid w:val="00CA2644"/>
    <w:rsid w:val="00CA26F6"/>
    <w:rsid w:val="00CA27FB"/>
    <w:rsid w:val="00CA281D"/>
    <w:rsid w:val="00CA29BF"/>
    <w:rsid w:val="00CA2A3A"/>
    <w:rsid w:val="00CA2A3F"/>
    <w:rsid w:val="00CA2AE1"/>
    <w:rsid w:val="00CA2B12"/>
    <w:rsid w:val="00CA2B29"/>
    <w:rsid w:val="00CA2B51"/>
    <w:rsid w:val="00CA2B56"/>
    <w:rsid w:val="00CA2BCE"/>
    <w:rsid w:val="00CA2C17"/>
    <w:rsid w:val="00CA2C41"/>
    <w:rsid w:val="00CA2C6A"/>
    <w:rsid w:val="00CA2C9A"/>
    <w:rsid w:val="00CA2CAB"/>
    <w:rsid w:val="00CA2D0F"/>
    <w:rsid w:val="00CA2D34"/>
    <w:rsid w:val="00CA2D53"/>
    <w:rsid w:val="00CA2DF4"/>
    <w:rsid w:val="00CA2EA3"/>
    <w:rsid w:val="00CA2F12"/>
    <w:rsid w:val="00CA2F81"/>
    <w:rsid w:val="00CA300A"/>
    <w:rsid w:val="00CA307A"/>
    <w:rsid w:val="00CA3084"/>
    <w:rsid w:val="00CA30E4"/>
    <w:rsid w:val="00CA30E5"/>
    <w:rsid w:val="00CA315D"/>
    <w:rsid w:val="00CA3265"/>
    <w:rsid w:val="00CA3307"/>
    <w:rsid w:val="00CA3342"/>
    <w:rsid w:val="00CA33DD"/>
    <w:rsid w:val="00CA33E5"/>
    <w:rsid w:val="00CA342D"/>
    <w:rsid w:val="00CA344C"/>
    <w:rsid w:val="00CA3494"/>
    <w:rsid w:val="00CA34C2"/>
    <w:rsid w:val="00CA3533"/>
    <w:rsid w:val="00CA353E"/>
    <w:rsid w:val="00CA35B9"/>
    <w:rsid w:val="00CA35D9"/>
    <w:rsid w:val="00CA36B2"/>
    <w:rsid w:val="00CA36CC"/>
    <w:rsid w:val="00CA3849"/>
    <w:rsid w:val="00CA38A4"/>
    <w:rsid w:val="00CA38B9"/>
    <w:rsid w:val="00CA395D"/>
    <w:rsid w:val="00CA39F0"/>
    <w:rsid w:val="00CA3A69"/>
    <w:rsid w:val="00CA3A82"/>
    <w:rsid w:val="00CA3AB8"/>
    <w:rsid w:val="00CA3B4A"/>
    <w:rsid w:val="00CA3B63"/>
    <w:rsid w:val="00CA3DB2"/>
    <w:rsid w:val="00CA3E7C"/>
    <w:rsid w:val="00CA3EA0"/>
    <w:rsid w:val="00CA3EA3"/>
    <w:rsid w:val="00CA3FA6"/>
    <w:rsid w:val="00CA405B"/>
    <w:rsid w:val="00CA40C6"/>
    <w:rsid w:val="00CA40EC"/>
    <w:rsid w:val="00CA41CD"/>
    <w:rsid w:val="00CA41ED"/>
    <w:rsid w:val="00CA4236"/>
    <w:rsid w:val="00CA4269"/>
    <w:rsid w:val="00CA4274"/>
    <w:rsid w:val="00CA4366"/>
    <w:rsid w:val="00CA43BE"/>
    <w:rsid w:val="00CA4438"/>
    <w:rsid w:val="00CA443C"/>
    <w:rsid w:val="00CA44B2"/>
    <w:rsid w:val="00CA44C5"/>
    <w:rsid w:val="00CA44CE"/>
    <w:rsid w:val="00CA44FC"/>
    <w:rsid w:val="00CA4503"/>
    <w:rsid w:val="00CA45BE"/>
    <w:rsid w:val="00CA4664"/>
    <w:rsid w:val="00CA4685"/>
    <w:rsid w:val="00CA4697"/>
    <w:rsid w:val="00CA46AB"/>
    <w:rsid w:val="00CA47A5"/>
    <w:rsid w:val="00CA486D"/>
    <w:rsid w:val="00CA496C"/>
    <w:rsid w:val="00CA497D"/>
    <w:rsid w:val="00CA4A1B"/>
    <w:rsid w:val="00CA4A7E"/>
    <w:rsid w:val="00CA4ABE"/>
    <w:rsid w:val="00CA4ADC"/>
    <w:rsid w:val="00CA4B19"/>
    <w:rsid w:val="00CA4BD5"/>
    <w:rsid w:val="00CA4C2B"/>
    <w:rsid w:val="00CA4C92"/>
    <w:rsid w:val="00CA4CA6"/>
    <w:rsid w:val="00CA4D28"/>
    <w:rsid w:val="00CA4E18"/>
    <w:rsid w:val="00CA4E91"/>
    <w:rsid w:val="00CA4E94"/>
    <w:rsid w:val="00CA4EA3"/>
    <w:rsid w:val="00CA4EB9"/>
    <w:rsid w:val="00CA50EE"/>
    <w:rsid w:val="00CA52C4"/>
    <w:rsid w:val="00CA52D6"/>
    <w:rsid w:val="00CA52E0"/>
    <w:rsid w:val="00CA5318"/>
    <w:rsid w:val="00CA532F"/>
    <w:rsid w:val="00CA534A"/>
    <w:rsid w:val="00CA53FB"/>
    <w:rsid w:val="00CA5463"/>
    <w:rsid w:val="00CA54B8"/>
    <w:rsid w:val="00CA5513"/>
    <w:rsid w:val="00CA5565"/>
    <w:rsid w:val="00CA5576"/>
    <w:rsid w:val="00CA5580"/>
    <w:rsid w:val="00CA5586"/>
    <w:rsid w:val="00CA558A"/>
    <w:rsid w:val="00CA55FB"/>
    <w:rsid w:val="00CA57C4"/>
    <w:rsid w:val="00CA57EB"/>
    <w:rsid w:val="00CA585C"/>
    <w:rsid w:val="00CA587B"/>
    <w:rsid w:val="00CA588A"/>
    <w:rsid w:val="00CA58A7"/>
    <w:rsid w:val="00CA58AB"/>
    <w:rsid w:val="00CA58C3"/>
    <w:rsid w:val="00CA58F2"/>
    <w:rsid w:val="00CA5924"/>
    <w:rsid w:val="00CA59D9"/>
    <w:rsid w:val="00CA59F0"/>
    <w:rsid w:val="00CA5A1C"/>
    <w:rsid w:val="00CA5A3B"/>
    <w:rsid w:val="00CA5B84"/>
    <w:rsid w:val="00CA5B9C"/>
    <w:rsid w:val="00CA5C7D"/>
    <w:rsid w:val="00CA5CFE"/>
    <w:rsid w:val="00CA5D20"/>
    <w:rsid w:val="00CA5D3B"/>
    <w:rsid w:val="00CA5E18"/>
    <w:rsid w:val="00CA5E46"/>
    <w:rsid w:val="00CA5E59"/>
    <w:rsid w:val="00CA5E69"/>
    <w:rsid w:val="00CA5EA6"/>
    <w:rsid w:val="00CA5EFF"/>
    <w:rsid w:val="00CA5F21"/>
    <w:rsid w:val="00CA6020"/>
    <w:rsid w:val="00CA6081"/>
    <w:rsid w:val="00CA60C1"/>
    <w:rsid w:val="00CA6101"/>
    <w:rsid w:val="00CA6149"/>
    <w:rsid w:val="00CA616B"/>
    <w:rsid w:val="00CA617B"/>
    <w:rsid w:val="00CA61D7"/>
    <w:rsid w:val="00CA6204"/>
    <w:rsid w:val="00CA6224"/>
    <w:rsid w:val="00CA6254"/>
    <w:rsid w:val="00CA627B"/>
    <w:rsid w:val="00CA62BB"/>
    <w:rsid w:val="00CA62D2"/>
    <w:rsid w:val="00CA6349"/>
    <w:rsid w:val="00CA646A"/>
    <w:rsid w:val="00CA6510"/>
    <w:rsid w:val="00CA654E"/>
    <w:rsid w:val="00CA65D1"/>
    <w:rsid w:val="00CA6764"/>
    <w:rsid w:val="00CA67D4"/>
    <w:rsid w:val="00CA6873"/>
    <w:rsid w:val="00CA68D3"/>
    <w:rsid w:val="00CA68DC"/>
    <w:rsid w:val="00CA6944"/>
    <w:rsid w:val="00CA69AA"/>
    <w:rsid w:val="00CA69B4"/>
    <w:rsid w:val="00CA6ABE"/>
    <w:rsid w:val="00CA6B84"/>
    <w:rsid w:val="00CA6CEB"/>
    <w:rsid w:val="00CA6CFE"/>
    <w:rsid w:val="00CA6D17"/>
    <w:rsid w:val="00CA6D3E"/>
    <w:rsid w:val="00CA6DA7"/>
    <w:rsid w:val="00CA6E19"/>
    <w:rsid w:val="00CA6E65"/>
    <w:rsid w:val="00CA6EF1"/>
    <w:rsid w:val="00CA6F30"/>
    <w:rsid w:val="00CA6F60"/>
    <w:rsid w:val="00CA6FED"/>
    <w:rsid w:val="00CA712A"/>
    <w:rsid w:val="00CA712F"/>
    <w:rsid w:val="00CA7152"/>
    <w:rsid w:val="00CA716D"/>
    <w:rsid w:val="00CA7212"/>
    <w:rsid w:val="00CA726A"/>
    <w:rsid w:val="00CA72DE"/>
    <w:rsid w:val="00CA7320"/>
    <w:rsid w:val="00CA733E"/>
    <w:rsid w:val="00CA734A"/>
    <w:rsid w:val="00CA7407"/>
    <w:rsid w:val="00CA7477"/>
    <w:rsid w:val="00CA75F6"/>
    <w:rsid w:val="00CA761B"/>
    <w:rsid w:val="00CA7664"/>
    <w:rsid w:val="00CA7690"/>
    <w:rsid w:val="00CA76FF"/>
    <w:rsid w:val="00CA7728"/>
    <w:rsid w:val="00CA77E0"/>
    <w:rsid w:val="00CA77E4"/>
    <w:rsid w:val="00CA77E8"/>
    <w:rsid w:val="00CA780E"/>
    <w:rsid w:val="00CA78BB"/>
    <w:rsid w:val="00CA7911"/>
    <w:rsid w:val="00CA7991"/>
    <w:rsid w:val="00CA79CE"/>
    <w:rsid w:val="00CA7AB6"/>
    <w:rsid w:val="00CA7BBE"/>
    <w:rsid w:val="00CA7C01"/>
    <w:rsid w:val="00CA7C15"/>
    <w:rsid w:val="00CA7C41"/>
    <w:rsid w:val="00CA7C5E"/>
    <w:rsid w:val="00CA7D25"/>
    <w:rsid w:val="00CA7D3E"/>
    <w:rsid w:val="00CA7DCA"/>
    <w:rsid w:val="00CA7DED"/>
    <w:rsid w:val="00CA7E18"/>
    <w:rsid w:val="00CA7EFE"/>
    <w:rsid w:val="00CA7F77"/>
    <w:rsid w:val="00CA7FCA"/>
    <w:rsid w:val="00CB0024"/>
    <w:rsid w:val="00CB0090"/>
    <w:rsid w:val="00CB014D"/>
    <w:rsid w:val="00CB027E"/>
    <w:rsid w:val="00CB028A"/>
    <w:rsid w:val="00CB02A0"/>
    <w:rsid w:val="00CB02B7"/>
    <w:rsid w:val="00CB03C4"/>
    <w:rsid w:val="00CB03DF"/>
    <w:rsid w:val="00CB042B"/>
    <w:rsid w:val="00CB0551"/>
    <w:rsid w:val="00CB05DC"/>
    <w:rsid w:val="00CB0622"/>
    <w:rsid w:val="00CB0710"/>
    <w:rsid w:val="00CB072A"/>
    <w:rsid w:val="00CB08B9"/>
    <w:rsid w:val="00CB08CA"/>
    <w:rsid w:val="00CB08CC"/>
    <w:rsid w:val="00CB0928"/>
    <w:rsid w:val="00CB0946"/>
    <w:rsid w:val="00CB0987"/>
    <w:rsid w:val="00CB0A04"/>
    <w:rsid w:val="00CB0A5A"/>
    <w:rsid w:val="00CB0AB2"/>
    <w:rsid w:val="00CB0B79"/>
    <w:rsid w:val="00CB0BA8"/>
    <w:rsid w:val="00CB0CC8"/>
    <w:rsid w:val="00CB0D31"/>
    <w:rsid w:val="00CB0D33"/>
    <w:rsid w:val="00CB0DD4"/>
    <w:rsid w:val="00CB0DE3"/>
    <w:rsid w:val="00CB0E10"/>
    <w:rsid w:val="00CB0EBC"/>
    <w:rsid w:val="00CB0EF8"/>
    <w:rsid w:val="00CB0F01"/>
    <w:rsid w:val="00CB0F66"/>
    <w:rsid w:val="00CB0F6F"/>
    <w:rsid w:val="00CB101E"/>
    <w:rsid w:val="00CB1083"/>
    <w:rsid w:val="00CB109B"/>
    <w:rsid w:val="00CB10CA"/>
    <w:rsid w:val="00CB10EC"/>
    <w:rsid w:val="00CB1115"/>
    <w:rsid w:val="00CB11E6"/>
    <w:rsid w:val="00CB11FA"/>
    <w:rsid w:val="00CB125B"/>
    <w:rsid w:val="00CB1289"/>
    <w:rsid w:val="00CB1312"/>
    <w:rsid w:val="00CB1384"/>
    <w:rsid w:val="00CB13B3"/>
    <w:rsid w:val="00CB140D"/>
    <w:rsid w:val="00CB149A"/>
    <w:rsid w:val="00CB149D"/>
    <w:rsid w:val="00CB14A6"/>
    <w:rsid w:val="00CB14C2"/>
    <w:rsid w:val="00CB1555"/>
    <w:rsid w:val="00CB15C2"/>
    <w:rsid w:val="00CB15DF"/>
    <w:rsid w:val="00CB15F2"/>
    <w:rsid w:val="00CB1620"/>
    <w:rsid w:val="00CB1698"/>
    <w:rsid w:val="00CB16A7"/>
    <w:rsid w:val="00CB16BF"/>
    <w:rsid w:val="00CB16C3"/>
    <w:rsid w:val="00CB16C5"/>
    <w:rsid w:val="00CB1700"/>
    <w:rsid w:val="00CB1738"/>
    <w:rsid w:val="00CB1750"/>
    <w:rsid w:val="00CB17DB"/>
    <w:rsid w:val="00CB194D"/>
    <w:rsid w:val="00CB19B9"/>
    <w:rsid w:val="00CB1C16"/>
    <w:rsid w:val="00CB1C4D"/>
    <w:rsid w:val="00CB1C75"/>
    <w:rsid w:val="00CB1CA8"/>
    <w:rsid w:val="00CB1CD1"/>
    <w:rsid w:val="00CB1E24"/>
    <w:rsid w:val="00CB1E8D"/>
    <w:rsid w:val="00CB1EBB"/>
    <w:rsid w:val="00CB1EBC"/>
    <w:rsid w:val="00CB1EEA"/>
    <w:rsid w:val="00CB1F04"/>
    <w:rsid w:val="00CB2076"/>
    <w:rsid w:val="00CB2123"/>
    <w:rsid w:val="00CB2184"/>
    <w:rsid w:val="00CB21C5"/>
    <w:rsid w:val="00CB21DF"/>
    <w:rsid w:val="00CB2314"/>
    <w:rsid w:val="00CB24DF"/>
    <w:rsid w:val="00CB24EA"/>
    <w:rsid w:val="00CB25CE"/>
    <w:rsid w:val="00CB2642"/>
    <w:rsid w:val="00CB2660"/>
    <w:rsid w:val="00CB2672"/>
    <w:rsid w:val="00CB26A2"/>
    <w:rsid w:val="00CB26DF"/>
    <w:rsid w:val="00CB27B2"/>
    <w:rsid w:val="00CB27CC"/>
    <w:rsid w:val="00CB2886"/>
    <w:rsid w:val="00CB28A9"/>
    <w:rsid w:val="00CB2992"/>
    <w:rsid w:val="00CB2A35"/>
    <w:rsid w:val="00CB2BED"/>
    <w:rsid w:val="00CB2C5D"/>
    <w:rsid w:val="00CB2D04"/>
    <w:rsid w:val="00CB2D5F"/>
    <w:rsid w:val="00CB2DF7"/>
    <w:rsid w:val="00CB308E"/>
    <w:rsid w:val="00CB30AE"/>
    <w:rsid w:val="00CB30D4"/>
    <w:rsid w:val="00CB30D8"/>
    <w:rsid w:val="00CB3186"/>
    <w:rsid w:val="00CB31DD"/>
    <w:rsid w:val="00CB3202"/>
    <w:rsid w:val="00CB32C6"/>
    <w:rsid w:val="00CB32E8"/>
    <w:rsid w:val="00CB3307"/>
    <w:rsid w:val="00CB34C5"/>
    <w:rsid w:val="00CB354B"/>
    <w:rsid w:val="00CB3568"/>
    <w:rsid w:val="00CB35C3"/>
    <w:rsid w:val="00CB35E8"/>
    <w:rsid w:val="00CB38C8"/>
    <w:rsid w:val="00CB39B0"/>
    <w:rsid w:val="00CB39CB"/>
    <w:rsid w:val="00CB3A4A"/>
    <w:rsid w:val="00CB3ACB"/>
    <w:rsid w:val="00CB3AD4"/>
    <w:rsid w:val="00CB3AF2"/>
    <w:rsid w:val="00CB3B03"/>
    <w:rsid w:val="00CB3B31"/>
    <w:rsid w:val="00CB3B88"/>
    <w:rsid w:val="00CB3C07"/>
    <w:rsid w:val="00CB3CE5"/>
    <w:rsid w:val="00CB3D0E"/>
    <w:rsid w:val="00CB3D28"/>
    <w:rsid w:val="00CB3D4C"/>
    <w:rsid w:val="00CB3D7C"/>
    <w:rsid w:val="00CB3DE5"/>
    <w:rsid w:val="00CB3E0D"/>
    <w:rsid w:val="00CB3E8D"/>
    <w:rsid w:val="00CB3ED0"/>
    <w:rsid w:val="00CB40D8"/>
    <w:rsid w:val="00CB40F6"/>
    <w:rsid w:val="00CB414A"/>
    <w:rsid w:val="00CB41C6"/>
    <w:rsid w:val="00CB41CB"/>
    <w:rsid w:val="00CB42D4"/>
    <w:rsid w:val="00CB42DA"/>
    <w:rsid w:val="00CB442B"/>
    <w:rsid w:val="00CB4475"/>
    <w:rsid w:val="00CB44FE"/>
    <w:rsid w:val="00CB45D5"/>
    <w:rsid w:val="00CB4683"/>
    <w:rsid w:val="00CB471A"/>
    <w:rsid w:val="00CB4781"/>
    <w:rsid w:val="00CB481F"/>
    <w:rsid w:val="00CB4890"/>
    <w:rsid w:val="00CB4934"/>
    <w:rsid w:val="00CB49D4"/>
    <w:rsid w:val="00CB4A76"/>
    <w:rsid w:val="00CB4B61"/>
    <w:rsid w:val="00CB4CA8"/>
    <w:rsid w:val="00CB4D76"/>
    <w:rsid w:val="00CB4D9E"/>
    <w:rsid w:val="00CB4EB7"/>
    <w:rsid w:val="00CB4EDB"/>
    <w:rsid w:val="00CB4F59"/>
    <w:rsid w:val="00CB4FFB"/>
    <w:rsid w:val="00CB5010"/>
    <w:rsid w:val="00CB511E"/>
    <w:rsid w:val="00CB5126"/>
    <w:rsid w:val="00CB5144"/>
    <w:rsid w:val="00CB5170"/>
    <w:rsid w:val="00CB52AB"/>
    <w:rsid w:val="00CB52CF"/>
    <w:rsid w:val="00CB5317"/>
    <w:rsid w:val="00CB5353"/>
    <w:rsid w:val="00CB53F0"/>
    <w:rsid w:val="00CB54D1"/>
    <w:rsid w:val="00CB55D0"/>
    <w:rsid w:val="00CB55EA"/>
    <w:rsid w:val="00CB56AB"/>
    <w:rsid w:val="00CB57A6"/>
    <w:rsid w:val="00CB5813"/>
    <w:rsid w:val="00CB5874"/>
    <w:rsid w:val="00CB58CB"/>
    <w:rsid w:val="00CB58D7"/>
    <w:rsid w:val="00CB595C"/>
    <w:rsid w:val="00CB5B80"/>
    <w:rsid w:val="00CB5B8D"/>
    <w:rsid w:val="00CB5BE9"/>
    <w:rsid w:val="00CB5CA7"/>
    <w:rsid w:val="00CB5D1A"/>
    <w:rsid w:val="00CB5DB5"/>
    <w:rsid w:val="00CB5DCE"/>
    <w:rsid w:val="00CB5EAE"/>
    <w:rsid w:val="00CB5EB9"/>
    <w:rsid w:val="00CB5F2F"/>
    <w:rsid w:val="00CB5F4C"/>
    <w:rsid w:val="00CB5FBF"/>
    <w:rsid w:val="00CB5FD9"/>
    <w:rsid w:val="00CB601A"/>
    <w:rsid w:val="00CB60E2"/>
    <w:rsid w:val="00CB6191"/>
    <w:rsid w:val="00CB61A0"/>
    <w:rsid w:val="00CB6281"/>
    <w:rsid w:val="00CB628B"/>
    <w:rsid w:val="00CB62B5"/>
    <w:rsid w:val="00CB62F7"/>
    <w:rsid w:val="00CB6328"/>
    <w:rsid w:val="00CB6339"/>
    <w:rsid w:val="00CB6367"/>
    <w:rsid w:val="00CB63AD"/>
    <w:rsid w:val="00CB63FA"/>
    <w:rsid w:val="00CB6518"/>
    <w:rsid w:val="00CB653A"/>
    <w:rsid w:val="00CB656F"/>
    <w:rsid w:val="00CB663C"/>
    <w:rsid w:val="00CB6660"/>
    <w:rsid w:val="00CB6729"/>
    <w:rsid w:val="00CB67AE"/>
    <w:rsid w:val="00CB67BE"/>
    <w:rsid w:val="00CB67CD"/>
    <w:rsid w:val="00CB693F"/>
    <w:rsid w:val="00CB6981"/>
    <w:rsid w:val="00CB6996"/>
    <w:rsid w:val="00CB69B0"/>
    <w:rsid w:val="00CB6A4E"/>
    <w:rsid w:val="00CB6BF7"/>
    <w:rsid w:val="00CB6C00"/>
    <w:rsid w:val="00CB6C69"/>
    <w:rsid w:val="00CB6D73"/>
    <w:rsid w:val="00CB6DB2"/>
    <w:rsid w:val="00CB6DD0"/>
    <w:rsid w:val="00CB6E16"/>
    <w:rsid w:val="00CB6E28"/>
    <w:rsid w:val="00CB6E30"/>
    <w:rsid w:val="00CB6EEA"/>
    <w:rsid w:val="00CB6EF0"/>
    <w:rsid w:val="00CB6FBC"/>
    <w:rsid w:val="00CB6FF0"/>
    <w:rsid w:val="00CB6FF7"/>
    <w:rsid w:val="00CB6FFC"/>
    <w:rsid w:val="00CB70A8"/>
    <w:rsid w:val="00CB724F"/>
    <w:rsid w:val="00CB72B5"/>
    <w:rsid w:val="00CB72D7"/>
    <w:rsid w:val="00CB72D9"/>
    <w:rsid w:val="00CB734F"/>
    <w:rsid w:val="00CB744B"/>
    <w:rsid w:val="00CB74C1"/>
    <w:rsid w:val="00CB7521"/>
    <w:rsid w:val="00CB7534"/>
    <w:rsid w:val="00CB756D"/>
    <w:rsid w:val="00CB760F"/>
    <w:rsid w:val="00CB7694"/>
    <w:rsid w:val="00CB76BB"/>
    <w:rsid w:val="00CB771C"/>
    <w:rsid w:val="00CB78EF"/>
    <w:rsid w:val="00CB7932"/>
    <w:rsid w:val="00CB7980"/>
    <w:rsid w:val="00CB79A4"/>
    <w:rsid w:val="00CB79DE"/>
    <w:rsid w:val="00CB79F9"/>
    <w:rsid w:val="00CB7A0A"/>
    <w:rsid w:val="00CB7ACD"/>
    <w:rsid w:val="00CB7B2D"/>
    <w:rsid w:val="00CB7B3C"/>
    <w:rsid w:val="00CB7B83"/>
    <w:rsid w:val="00CB7BA7"/>
    <w:rsid w:val="00CB7BAA"/>
    <w:rsid w:val="00CB7C15"/>
    <w:rsid w:val="00CB7CB7"/>
    <w:rsid w:val="00CB7CC9"/>
    <w:rsid w:val="00CB7CD8"/>
    <w:rsid w:val="00CB7D10"/>
    <w:rsid w:val="00CB7D7F"/>
    <w:rsid w:val="00CB7D95"/>
    <w:rsid w:val="00CB7DB2"/>
    <w:rsid w:val="00CB7DE4"/>
    <w:rsid w:val="00CB7F04"/>
    <w:rsid w:val="00CB7F5A"/>
    <w:rsid w:val="00CB7FA4"/>
    <w:rsid w:val="00CB7FE9"/>
    <w:rsid w:val="00CC0054"/>
    <w:rsid w:val="00CC007B"/>
    <w:rsid w:val="00CC019D"/>
    <w:rsid w:val="00CC038E"/>
    <w:rsid w:val="00CC0390"/>
    <w:rsid w:val="00CC03ED"/>
    <w:rsid w:val="00CC0413"/>
    <w:rsid w:val="00CC04CB"/>
    <w:rsid w:val="00CC0517"/>
    <w:rsid w:val="00CC057D"/>
    <w:rsid w:val="00CC05AF"/>
    <w:rsid w:val="00CC05CE"/>
    <w:rsid w:val="00CC0663"/>
    <w:rsid w:val="00CC0678"/>
    <w:rsid w:val="00CC0683"/>
    <w:rsid w:val="00CC06A9"/>
    <w:rsid w:val="00CC06EF"/>
    <w:rsid w:val="00CC0706"/>
    <w:rsid w:val="00CC070B"/>
    <w:rsid w:val="00CC0789"/>
    <w:rsid w:val="00CC09A2"/>
    <w:rsid w:val="00CC0B48"/>
    <w:rsid w:val="00CC0B4C"/>
    <w:rsid w:val="00CC0BD9"/>
    <w:rsid w:val="00CC0C08"/>
    <w:rsid w:val="00CC0C5C"/>
    <w:rsid w:val="00CC0C64"/>
    <w:rsid w:val="00CC0D22"/>
    <w:rsid w:val="00CC0DCA"/>
    <w:rsid w:val="00CC0E4E"/>
    <w:rsid w:val="00CC0EAF"/>
    <w:rsid w:val="00CC0EFD"/>
    <w:rsid w:val="00CC0EFF"/>
    <w:rsid w:val="00CC0F1D"/>
    <w:rsid w:val="00CC0F34"/>
    <w:rsid w:val="00CC0F3F"/>
    <w:rsid w:val="00CC0FF9"/>
    <w:rsid w:val="00CC1092"/>
    <w:rsid w:val="00CC10C1"/>
    <w:rsid w:val="00CC1130"/>
    <w:rsid w:val="00CC1160"/>
    <w:rsid w:val="00CC1212"/>
    <w:rsid w:val="00CC131E"/>
    <w:rsid w:val="00CC13AE"/>
    <w:rsid w:val="00CC13E6"/>
    <w:rsid w:val="00CC141E"/>
    <w:rsid w:val="00CC144D"/>
    <w:rsid w:val="00CC148F"/>
    <w:rsid w:val="00CC15BF"/>
    <w:rsid w:val="00CC1610"/>
    <w:rsid w:val="00CC1642"/>
    <w:rsid w:val="00CC16AB"/>
    <w:rsid w:val="00CC16BB"/>
    <w:rsid w:val="00CC17C9"/>
    <w:rsid w:val="00CC1803"/>
    <w:rsid w:val="00CC1878"/>
    <w:rsid w:val="00CC1898"/>
    <w:rsid w:val="00CC18CF"/>
    <w:rsid w:val="00CC1908"/>
    <w:rsid w:val="00CC196D"/>
    <w:rsid w:val="00CC1A07"/>
    <w:rsid w:val="00CC1A96"/>
    <w:rsid w:val="00CC1AD8"/>
    <w:rsid w:val="00CC1C34"/>
    <w:rsid w:val="00CC1C4C"/>
    <w:rsid w:val="00CC1C7B"/>
    <w:rsid w:val="00CC1D05"/>
    <w:rsid w:val="00CC1D11"/>
    <w:rsid w:val="00CC1D53"/>
    <w:rsid w:val="00CC1D5E"/>
    <w:rsid w:val="00CC1D65"/>
    <w:rsid w:val="00CC1D73"/>
    <w:rsid w:val="00CC1E18"/>
    <w:rsid w:val="00CC1ED7"/>
    <w:rsid w:val="00CC1F94"/>
    <w:rsid w:val="00CC1FE7"/>
    <w:rsid w:val="00CC206A"/>
    <w:rsid w:val="00CC21E8"/>
    <w:rsid w:val="00CC2225"/>
    <w:rsid w:val="00CC2317"/>
    <w:rsid w:val="00CC235E"/>
    <w:rsid w:val="00CC2370"/>
    <w:rsid w:val="00CC23CC"/>
    <w:rsid w:val="00CC23F3"/>
    <w:rsid w:val="00CC23FE"/>
    <w:rsid w:val="00CC2479"/>
    <w:rsid w:val="00CC2481"/>
    <w:rsid w:val="00CC2486"/>
    <w:rsid w:val="00CC2493"/>
    <w:rsid w:val="00CC24B8"/>
    <w:rsid w:val="00CC2517"/>
    <w:rsid w:val="00CC25C0"/>
    <w:rsid w:val="00CC2604"/>
    <w:rsid w:val="00CC2606"/>
    <w:rsid w:val="00CC2642"/>
    <w:rsid w:val="00CC268D"/>
    <w:rsid w:val="00CC2698"/>
    <w:rsid w:val="00CC272C"/>
    <w:rsid w:val="00CC273A"/>
    <w:rsid w:val="00CC2777"/>
    <w:rsid w:val="00CC27AD"/>
    <w:rsid w:val="00CC27E2"/>
    <w:rsid w:val="00CC2809"/>
    <w:rsid w:val="00CC28DD"/>
    <w:rsid w:val="00CC28EC"/>
    <w:rsid w:val="00CC2911"/>
    <w:rsid w:val="00CC2A69"/>
    <w:rsid w:val="00CC2A85"/>
    <w:rsid w:val="00CC2AA9"/>
    <w:rsid w:val="00CC2B57"/>
    <w:rsid w:val="00CC2BAB"/>
    <w:rsid w:val="00CC2BC4"/>
    <w:rsid w:val="00CC2E87"/>
    <w:rsid w:val="00CC2EB5"/>
    <w:rsid w:val="00CC2ED4"/>
    <w:rsid w:val="00CC2F63"/>
    <w:rsid w:val="00CC2F9B"/>
    <w:rsid w:val="00CC3034"/>
    <w:rsid w:val="00CC305B"/>
    <w:rsid w:val="00CC307B"/>
    <w:rsid w:val="00CC3095"/>
    <w:rsid w:val="00CC312E"/>
    <w:rsid w:val="00CC3180"/>
    <w:rsid w:val="00CC31BD"/>
    <w:rsid w:val="00CC31CF"/>
    <w:rsid w:val="00CC3229"/>
    <w:rsid w:val="00CC32BF"/>
    <w:rsid w:val="00CC32C7"/>
    <w:rsid w:val="00CC32DE"/>
    <w:rsid w:val="00CC3348"/>
    <w:rsid w:val="00CC33D8"/>
    <w:rsid w:val="00CC33F6"/>
    <w:rsid w:val="00CC34A0"/>
    <w:rsid w:val="00CC34DA"/>
    <w:rsid w:val="00CC3511"/>
    <w:rsid w:val="00CC3678"/>
    <w:rsid w:val="00CC37FA"/>
    <w:rsid w:val="00CC382D"/>
    <w:rsid w:val="00CC3858"/>
    <w:rsid w:val="00CC38B4"/>
    <w:rsid w:val="00CC38F0"/>
    <w:rsid w:val="00CC393A"/>
    <w:rsid w:val="00CC3940"/>
    <w:rsid w:val="00CC39D4"/>
    <w:rsid w:val="00CC3A02"/>
    <w:rsid w:val="00CC3AC6"/>
    <w:rsid w:val="00CC3B38"/>
    <w:rsid w:val="00CC3B39"/>
    <w:rsid w:val="00CC3B63"/>
    <w:rsid w:val="00CC3B84"/>
    <w:rsid w:val="00CC3C06"/>
    <w:rsid w:val="00CC3C72"/>
    <w:rsid w:val="00CC3CCE"/>
    <w:rsid w:val="00CC3D06"/>
    <w:rsid w:val="00CC3D48"/>
    <w:rsid w:val="00CC3D58"/>
    <w:rsid w:val="00CC3D89"/>
    <w:rsid w:val="00CC3E84"/>
    <w:rsid w:val="00CC3F05"/>
    <w:rsid w:val="00CC4015"/>
    <w:rsid w:val="00CC40A5"/>
    <w:rsid w:val="00CC40B2"/>
    <w:rsid w:val="00CC40BC"/>
    <w:rsid w:val="00CC40DF"/>
    <w:rsid w:val="00CC420B"/>
    <w:rsid w:val="00CC425B"/>
    <w:rsid w:val="00CC42B3"/>
    <w:rsid w:val="00CC4365"/>
    <w:rsid w:val="00CC437E"/>
    <w:rsid w:val="00CC4436"/>
    <w:rsid w:val="00CC44C9"/>
    <w:rsid w:val="00CC451E"/>
    <w:rsid w:val="00CC4529"/>
    <w:rsid w:val="00CC46B6"/>
    <w:rsid w:val="00CC4805"/>
    <w:rsid w:val="00CC48FF"/>
    <w:rsid w:val="00CC4950"/>
    <w:rsid w:val="00CC4971"/>
    <w:rsid w:val="00CC49B0"/>
    <w:rsid w:val="00CC49C8"/>
    <w:rsid w:val="00CC49E6"/>
    <w:rsid w:val="00CC49E8"/>
    <w:rsid w:val="00CC4A81"/>
    <w:rsid w:val="00CC4A8C"/>
    <w:rsid w:val="00CC4AB3"/>
    <w:rsid w:val="00CC4ABE"/>
    <w:rsid w:val="00CC4ADD"/>
    <w:rsid w:val="00CC4C5B"/>
    <w:rsid w:val="00CC4D24"/>
    <w:rsid w:val="00CC4D2D"/>
    <w:rsid w:val="00CC4D36"/>
    <w:rsid w:val="00CC4D5D"/>
    <w:rsid w:val="00CC4D9C"/>
    <w:rsid w:val="00CC4E16"/>
    <w:rsid w:val="00CC4E2D"/>
    <w:rsid w:val="00CC4E64"/>
    <w:rsid w:val="00CC4EA0"/>
    <w:rsid w:val="00CC4F20"/>
    <w:rsid w:val="00CC4FFE"/>
    <w:rsid w:val="00CC500C"/>
    <w:rsid w:val="00CC5013"/>
    <w:rsid w:val="00CC5019"/>
    <w:rsid w:val="00CC50E9"/>
    <w:rsid w:val="00CC512F"/>
    <w:rsid w:val="00CC517B"/>
    <w:rsid w:val="00CC517E"/>
    <w:rsid w:val="00CC51C5"/>
    <w:rsid w:val="00CC524F"/>
    <w:rsid w:val="00CC5321"/>
    <w:rsid w:val="00CC5334"/>
    <w:rsid w:val="00CC533B"/>
    <w:rsid w:val="00CC5391"/>
    <w:rsid w:val="00CC53AE"/>
    <w:rsid w:val="00CC53D1"/>
    <w:rsid w:val="00CC5405"/>
    <w:rsid w:val="00CC543C"/>
    <w:rsid w:val="00CC54DD"/>
    <w:rsid w:val="00CC55B8"/>
    <w:rsid w:val="00CC55C0"/>
    <w:rsid w:val="00CC55EB"/>
    <w:rsid w:val="00CC57F5"/>
    <w:rsid w:val="00CC57FD"/>
    <w:rsid w:val="00CC5825"/>
    <w:rsid w:val="00CC5891"/>
    <w:rsid w:val="00CC58FA"/>
    <w:rsid w:val="00CC5A31"/>
    <w:rsid w:val="00CC5A63"/>
    <w:rsid w:val="00CC5A78"/>
    <w:rsid w:val="00CC5B6D"/>
    <w:rsid w:val="00CC5B80"/>
    <w:rsid w:val="00CC5BCC"/>
    <w:rsid w:val="00CC5C66"/>
    <w:rsid w:val="00CC5D23"/>
    <w:rsid w:val="00CC5DBA"/>
    <w:rsid w:val="00CC5EFF"/>
    <w:rsid w:val="00CC5FE8"/>
    <w:rsid w:val="00CC5FF9"/>
    <w:rsid w:val="00CC6008"/>
    <w:rsid w:val="00CC6113"/>
    <w:rsid w:val="00CC612B"/>
    <w:rsid w:val="00CC615A"/>
    <w:rsid w:val="00CC6309"/>
    <w:rsid w:val="00CC6401"/>
    <w:rsid w:val="00CC6417"/>
    <w:rsid w:val="00CC6519"/>
    <w:rsid w:val="00CC6538"/>
    <w:rsid w:val="00CC6557"/>
    <w:rsid w:val="00CC657A"/>
    <w:rsid w:val="00CC6585"/>
    <w:rsid w:val="00CC678F"/>
    <w:rsid w:val="00CC6912"/>
    <w:rsid w:val="00CC6948"/>
    <w:rsid w:val="00CC6973"/>
    <w:rsid w:val="00CC698F"/>
    <w:rsid w:val="00CC699D"/>
    <w:rsid w:val="00CC6A24"/>
    <w:rsid w:val="00CC6A6F"/>
    <w:rsid w:val="00CC6A83"/>
    <w:rsid w:val="00CC6AC3"/>
    <w:rsid w:val="00CC6B1F"/>
    <w:rsid w:val="00CC6B5A"/>
    <w:rsid w:val="00CC6B84"/>
    <w:rsid w:val="00CC6CE9"/>
    <w:rsid w:val="00CC6D6A"/>
    <w:rsid w:val="00CC6D95"/>
    <w:rsid w:val="00CC6DD2"/>
    <w:rsid w:val="00CC6F2B"/>
    <w:rsid w:val="00CC6FF6"/>
    <w:rsid w:val="00CC7030"/>
    <w:rsid w:val="00CC7033"/>
    <w:rsid w:val="00CC719E"/>
    <w:rsid w:val="00CC7233"/>
    <w:rsid w:val="00CC7396"/>
    <w:rsid w:val="00CC7445"/>
    <w:rsid w:val="00CC74B9"/>
    <w:rsid w:val="00CC74C1"/>
    <w:rsid w:val="00CC74DB"/>
    <w:rsid w:val="00CC74E4"/>
    <w:rsid w:val="00CC76C7"/>
    <w:rsid w:val="00CC7902"/>
    <w:rsid w:val="00CC7A34"/>
    <w:rsid w:val="00CC7A3A"/>
    <w:rsid w:val="00CC7BB1"/>
    <w:rsid w:val="00CC7C4A"/>
    <w:rsid w:val="00CC7EA8"/>
    <w:rsid w:val="00CC7EAE"/>
    <w:rsid w:val="00CC7EEA"/>
    <w:rsid w:val="00CC7F35"/>
    <w:rsid w:val="00CC7F45"/>
    <w:rsid w:val="00CC7FA5"/>
    <w:rsid w:val="00CD0087"/>
    <w:rsid w:val="00CD00BA"/>
    <w:rsid w:val="00CD00E9"/>
    <w:rsid w:val="00CD0192"/>
    <w:rsid w:val="00CD01E9"/>
    <w:rsid w:val="00CD024C"/>
    <w:rsid w:val="00CD03BE"/>
    <w:rsid w:val="00CD03C2"/>
    <w:rsid w:val="00CD03DF"/>
    <w:rsid w:val="00CD0459"/>
    <w:rsid w:val="00CD0566"/>
    <w:rsid w:val="00CD05B3"/>
    <w:rsid w:val="00CD05E6"/>
    <w:rsid w:val="00CD061A"/>
    <w:rsid w:val="00CD071E"/>
    <w:rsid w:val="00CD0819"/>
    <w:rsid w:val="00CD0820"/>
    <w:rsid w:val="00CD0840"/>
    <w:rsid w:val="00CD08D3"/>
    <w:rsid w:val="00CD09A1"/>
    <w:rsid w:val="00CD09E1"/>
    <w:rsid w:val="00CD0A58"/>
    <w:rsid w:val="00CD0B3D"/>
    <w:rsid w:val="00CD0C4B"/>
    <w:rsid w:val="00CD0C66"/>
    <w:rsid w:val="00CD0C72"/>
    <w:rsid w:val="00CD0D6F"/>
    <w:rsid w:val="00CD0D98"/>
    <w:rsid w:val="00CD0DAD"/>
    <w:rsid w:val="00CD0E63"/>
    <w:rsid w:val="00CD0E64"/>
    <w:rsid w:val="00CD0F47"/>
    <w:rsid w:val="00CD0F68"/>
    <w:rsid w:val="00CD0F86"/>
    <w:rsid w:val="00CD102A"/>
    <w:rsid w:val="00CD104B"/>
    <w:rsid w:val="00CD1071"/>
    <w:rsid w:val="00CD10AE"/>
    <w:rsid w:val="00CD10FC"/>
    <w:rsid w:val="00CD111B"/>
    <w:rsid w:val="00CD1186"/>
    <w:rsid w:val="00CD11C5"/>
    <w:rsid w:val="00CD1258"/>
    <w:rsid w:val="00CD126B"/>
    <w:rsid w:val="00CD129B"/>
    <w:rsid w:val="00CD1382"/>
    <w:rsid w:val="00CD143D"/>
    <w:rsid w:val="00CD1454"/>
    <w:rsid w:val="00CD1492"/>
    <w:rsid w:val="00CD1507"/>
    <w:rsid w:val="00CD157E"/>
    <w:rsid w:val="00CD162B"/>
    <w:rsid w:val="00CD167F"/>
    <w:rsid w:val="00CD16CC"/>
    <w:rsid w:val="00CD16D2"/>
    <w:rsid w:val="00CD1712"/>
    <w:rsid w:val="00CD17EF"/>
    <w:rsid w:val="00CD180F"/>
    <w:rsid w:val="00CD185A"/>
    <w:rsid w:val="00CD18A4"/>
    <w:rsid w:val="00CD18F9"/>
    <w:rsid w:val="00CD191C"/>
    <w:rsid w:val="00CD1960"/>
    <w:rsid w:val="00CD19DD"/>
    <w:rsid w:val="00CD19E0"/>
    <w:rsid w:val="00CD1A15"/>
    <w:rsid w:val="00CD1A33"/>
    <w:rsid w:val="00CD1B2A"/>
    <w:rsid w:val="00CD1C32"/>
    <w:rsid w:val="00CD1C60"/>
    <w:rsid w:val="00CD1CA5"/>
    <w:rsid w:val="00CD1D47"/>
    <w:rsid w:val="00CD1D48"/>
    <w:rsid w:val="00CD1E72"/>
    <w:rsid w:val="00CD1ECD"/>
    <w:rsid w:val="00CD1EEF"/>
    <w:rsid w:val="00CD1F26"/>
    <w:rsid w:val="00CD20E4"/>
    <w:rsid w:val="00CD22FC"/>
    <w:rsid w:val="00CD2371"/>
    <w:rsid w:val="00CD2374"/>
    <w:rsid w:val="00CD2394"/>
    <w:rsid w:val="00CD2443"/>
    <w:rsid w:val="00CD24CD"/>
    <w:rsid w:val="00CD24ED"/>
    <w:rsid w:val="00CD2524"/>
    <w:rsid w:val="00CD2587"/>
    <w:rsid w:val="00CD25CB"/>
    <w:rsid w:val="00CD25E2"/>
    <w:rsid w:val="00CD2675"/>
    <w:rsid w:val="00CD26A2"/>
    <w:rsid w:val="00CD26FD"/>
    <w:rsid w:val="00CD2782"/>
    <w:rsid w:val="00CD27EB"/>
    <w:rsid w:val="00CD284A"/>
    <w:rsid w:val="00CD291F"/>
    <w:rsid w:val="00CD295B"/>
    <w:rsid w:val="00CD29BF"/>
    <w:rsid w:val="00CD29FA"/>
    <w:rsid w:val="00CD2AAE"/>
    <w:rsid w:val="00CD2ADD"/>
    <w:rsid w:val="00CD2B0F"/>
    <w:rsid w:val="00CD2CB0"/>
    <w:rsid w:val="00CD2CCD"/>
    <w:rsid w:val="00CD2D12"/>
    <w:rsid w:val="00CD2D18"/>
    <w:rsid w:val="00CD2DC4"/>
    <w:rsid w:val="00CD2DF2"/>
    <w:rsid w:val="00CD2E06"/>
    <w:rsid w:val="00CD2E9B"/>
    <w:rsid w:val="00CD2EAC"/>
    <w:rsid w:val="00CD2FD4"/>
    <w:rsid w:val="00CD2FE9"/>
    <w:rsid w:val="00CD3001"/>
    <w:rsid w:val="00CD3073"/>
    <w:rsid w:val="00CD30B2"/>
    <w:rsid w:val="00CD3108"/>
    <w:rsid w:val="00CD311F"/>
    <w:rsid w:val="00CD31F0"/>
    <w:rsid w:val="00CD32CC"/>
    <w:rsid w:val="00CD337B"/>
    <w:rsid w:val="00CD33E1"/>
    <w:rsid w:val="00CD346B"/>
    <w:rsid w:val="00CD3480"/>
    <w:rsid w:val="00CD350F"/>
    <w:rsid w:val="00CD3542"/>
    <w:rsid w:val="00CD3566"/>
    <w:rsid w:val="00CD35CC"/>
    <w:rsid w:val="00CD3631"/>
    <w:rsid w:val="00CD366F"/>
    <w:rsid w:val="00CD367D"/>
    <w:rsid w:val="00CD3687"/>
    <w:rsid w:val="00CD36CF"/>
    <w:rsid w:val="00CD371A"/>
    <w:rsid w:val="00CD3782"/>
    <w:rsid w:val="00CD37F8"/>
    <w:rsid w:val="00CD395F"/>
    <w:rsid w:val="00CD39BC"/>
    <w:rsid w:val="00CD3B8E"/>
    <w:rsid w:val="00CD3BC1"/>
    <w:rsid w:val="00CD3C26"/>
    <w:rsid w:val="00CD3C94"/>
    <w:rsid w:val="00CD3CDE"/>
    <w:rsid w:val="00CD3D69"/>
    <w:rsid w:val="00CD3D96"/>
    <w:rsid w:val="00CD3DA8"/>
    <w:rsid w:val="00CD3DBE"/>
    <w:rsid w:val="00CD3DE8"/>
    <w:rsid w:val="00CD3E1C"/>
    <w:rsid w:val="00CD3E53"/>
    <w:rsid w:val="00CD3EA9"/>
    <w:rsid w:val="00CD3F08"/>
    <w:rsid w:val="00CD3FA8"/>
    <w:rsid w:val="00CD3FCB"/>
    <w:rsid w:val="00CD3FCD"/>
    <w:rsid w:val="00CD3FE6"/>
    <w:rsid w:val="00CD408F"/>
    <w:rsid w:val="00CD40B5"/>
    <w:rsid w:val="00CD4109"/>
    <w:rsid w:val="00CD4197"/>
    <w:rsid w:val="00CD41F9"/>
    <w:rsid w:val="00CD421A"/>
    <w:rsid w:val="00CD4248"/>
    <w:rsid w:val="00CD4293"/>
    <w:rsid w:val="00CD42CD"/>
    <w:rsid w:val="00CD42E5"/>
    <w:rsid w:val="00CD4302"/>
    <w:rsid w:val="00CD430A"/>
    <w:rsid w:val="00CD4343"/>
    <w:rsid w:val="00CD4381"/>
    <w:rsid w:val="00CD442F"/>
    <w:rsid w:val="00CD45CF"/>
    <w:rsid w:val="00CD464F"/>
    <w:rsid w:val="00CD4730"/>
    <w:rsid w:val="00CD4745"/>
    <w:rsid w:val="00CD474E"/>
    <w:rsid w:val="00CD47A1"/>
    <w:rsid w:val="00CD4808"/>
    <w:rsid w:val="00CD48DA"/>
    <w:rsid w:val="00CD497C"/>
    <w:rsid w:val="00CD4A3A"/>
    <w:rsid w:val="00CD4B13"/>
    <w:rsid w:val="00CD4B1C"/>
    <w:rsid w:val="00CD4BF8"/>
    <w:rsid w:val="00CD4C57"/>
    <w:rsid w:val="00CD4C73"/>
    <w:rsid w:val="00CD4CAC"/>
    <w:rsid w:val="00CD4CD4"/>
    <w:rsid w:val="00CD4D34"/>
    <w:rsid w:val="00CD4DE6"/>
    <w:rsid w:val="00CD4E7E"/>
    <w:rsid w:val="00CD4EA4"/>
    <w:rsid w:val="00CD4F15"/>
    <w:rsid w:val="00CD4F18"/>
    <w:rsid w:val="00CD4F24"/>
    <w:rsid w:val="00CD4F82"/>
    <w:rsid w:val="00CD500F"/>
    <w:rsid w:val="00CD5092"/>
    <w:rsid w:val="00CD50F0"/>
    <w:rsid w:val="00CD5118"/>
    <w:rsid w:val="00CD52C4"/>
    <w:rsid w:val="00CD533D"/>
    <w:rsid w:val="00CD534F"/>
    <w:rsid w:val="00CD5365"/>
    <w:rsid w:val="00CD5438"/>
    <w:rsid w:val="00CD548F"/>
    <w:rsid w:val="00CD54BB"/>
    <w:rsid w:val="00CD5506"/>
    <w:rsid w:val="00CD555D"/>
    <w:rsid w:val="00CD5594"/>
    <w:rsid w:val="00CD55A7"/>
    <w:rsid w:val="00CD5649"/>
    <w:rsid w:val="00CD5670"/>
    <w:rsid w:val="00CD5682"/>
    <w:rsid w:val="00CD56BA"/>
    <w:rsid w:val="00CD575B"/>
    <w:rsid w:val="00CD578F"/>
    <w:rsid w:val="00CD58E7"/>
    <w:rsid w:val="00CD591E"/>
    <w:rsid w:val="00CD5930"/>
    <w:rsid w:val="00CD594C"/>
    <w:rsid w:val="00CD596F"/>
    <w:rsid w:val="00CD5997"/>
    <w:rsid w:val="00CD59CF"/>
    <w:rsid w:val="00CD59F7"/>
    <w:rsid w:val="00CD5AC9"/>
    <w:rsid w:val="00CD5AEA"/>
    <w:rsid w:val="00CD5BA5"/>
    <w:rsid w:val="00CD5C4A"/>
    <w:rsid w:val="00CD5CA2"/>
    <w:rsid w:val="00CD5CF1"/>
    <w:rsid w:val="00CD5D8A"/>
    <w:rsid w:val="00CD5DE1"/>
    <w:rsid w:val="00CD5DF5"/>
    <w:rsid w:val="00CD5E12"/>
    <w:rsid w:val="00CD5E24"/>
    <w:rsid w:val="00CD5E41"/>
    <w:rsid w:val="00CD5F41"/>
    <w:rsid w:val="00CD5F88"/>
    <w:rsid w:val="00CD6052"/>
    <w:rsid w:val="00CD620E"/>
    <w:rsid w:val="00CD624B"/>
    <w:rsid w:val="00CD62E7"/>
    <w:rsid w:val="00CD62F4"/>
    <w:rsid w:val="00CD6346"/>
    <w:rsid w:val="00CD6358"/>
    <w:rsid w:val="00CD63A5"/>
    <w:rsid w:val="00CD63BB"/>
    <w:rsid w:val="00CD63C6"/>
    <w:rsid w:val="00CD63E2"/>
    <w:rsid w:val="00CD63FF"/>
    <w:rsid w:val="00CD6416"/>
    <w:rsid w:val="00CD642E"/>
    <w:rsid w:val="00CD642F"/>
    <w:rsid w:val="00CD651D"/>
    <w:rsid w:val="00CD6579"/>
    <w:rsid w:val="00CD6608"/>
    <w:rsid w:val="00CD6689"/>
    <w:rsid w:val="00CD6730"/>
    <w:rsid w:val="00CD677D"/>
    <w:rsid w:val="00CD6791"/>
    <w:rsid w:val="00CD67A2"/>
    <w:rsid w:val="00CD67A4"/>
    <w:rsid w:val="00CD67CD"/>
    <w:rsid w:val="00CD6847"/>
    <w:rsid w:val="00CD6875"/>
    <w:rsid w:val="00CD68C5"/>
    <w:rsid w:val="00CD6AB9"/>
    <w:rsid w:val="00CD6B04"/>
    <w:rsid w:val="00CD6B84"/>
    <w:rsid w:val="00CD6BB2"/>
    <w:rsid w:val="00CD6C26"/>
    <w:rsid w:val="00CD6CB7"/>
    <w:rsid w:val="00CD6CBD"/>
    <w:rsid w:val="00CD6D83"/>
    <w:rsid w:val="00CD6DF5"/>
    <w:rsid w:val="00CD6E41"/>
    <w:rsid w:val="00CD6E92"/>
    <w:rsid w:val="00CD6EA6"/>
    <w:rsid w:val="00CD6EA8"/>
    <w:rsid w:val="00CD701A"/>
    <w:rsid w:val="00CD719B"/>
    <w:rsid w:val="00CD719E"/>
    <w:rsid w:val="00CD72B7"/>
    <w:rsid w:val="00CD72C7"/>
    <w:rsid w:val="00CD7316"/>
    <w:rsid w:val="00CD73BB"/>
    <w:rsid w:val="00CD73F3"/>
    <w:rsid w:val="00CD742B"/>
    <w:rsid w:val="00CD7442"/>
    <w:rsid w:val="00CD746C"/>
    <w:rsid w:val="00CD74CA"/>
    <w:rsid w:val="00CD751E"/>
    <w:rsid w:val="00CD7539"/>
    <w:rsid w:val="00CD7564"/>
    <w:rsid w:val="00CD758A"/>
    <w:rsid w:val="00CD760E"/>
    <w:rsid w:val="00CD7621"/>
    <w:rsid w:val="00CD764A"/>
    <w:rsid w:val="00CD766A"/>
    <w:rsid w:val="00CD76A1"/>
    <w:rsid w:val="00CD779A"/>
    <w:rsid w:val="00CD77A5"/>
    <w:rsid w:val="00CD77AB"/>
    <w:rsid w:val="00CD783A"/>
    <w:rsid w:val="00CD785D"/>
    <w:rsid w:val="00CD7915"/>
    <w:rsid w:val="00CD79BE"/>
    <w:rsid w:val="00CD79F6"/>
    <w:rsid w:val="00CD7A05"/>
    <w:rsid w:val="00CD7AAC"/>
    <w:rsid w:val="00CD7AAD"/>
    <w:rsid w:val="00CD7AE5"/>
    <w:rsid w:val="00CD7B28"/>
    <w:rsid w:val="00CD7B4B"/>
    <w:rsid w:val="00CD7B72"/>
    <w:rsid w:val="00CD7BE9"/>
    <w:rsid w:val="00CD7CED"/>
    <w:rsid w:val="00CD7CEE"/>
    <w:rsid w:val="00CD7D9B"/>
    <w:rsid w:val="00CD7FAF"/>
    <w:rsid w:val="00CD7FEF"/>
    <w:rsid w:val="00CE007F"/>
    <w:rsid w:val="00CE00DF"/>
    <w:rsid w:val="00CE00F7"/>
    <w:rsid w:val="00CE0178"/>
    <w:rsid w:val="00CE021C"/>
    <w:rsid w:val="00CE0266"/>
    <w:rsid w:val="00CE02BD"/>
    <w:rsid w:val="00CE02D4"/>
    <w:rsid w:val="00CE03D0"/>
    <w:rsid w:val="00CE03E8"/>
    <w:rsid w:val="00CE0415"/>
    <w:rsid w:val="00CE0460"/>
    <w:rsid w:val="00CE049F"/>
    <w:rsid w:val="00CE0668"/>
    <w:rsid w:val="00CE0688"/>
    <w:rsid w:val="00CE0689"/>
    <w:rsid w:val="00CE08A6"/>
    <w:rsid w:val="00CE098E"/>
    <w:rsid w:val="00CE0CF9"/>
    <w:rsid w:val="00CE0D0C"/>
    <w:rsid w:val="00CE0D4D"/>
    <w:rsid w:val="00CE0D57"/>
    <w:rsid w:val="00CE0D97"/>
    <w:rsid w:val="00CE0E10"/>
    <w:rsid w:val="00CE0E23"/>
    <w:rsid w:val="00CE0E29"/>
    <w:rsid w:val="00CE0EAA"/>
    <w:rsid w:val="00CE0EDA"/>
    <w:rsid w:val="00CE0F4D"/>
    <w:rsid w:val="00CE0F61"/>
    <w:rsid w:val="00CE0FBD"/>
    <w:rsid w:val="00CE0FC3"/>
    <w:rsid w:val="00CE0FF6"/>
    <w:rsid w:val="00CE101D"/>
    <w:rsid w:val="00CE107C"/>
    <w:rsid w:val="00CE1133"/>
    <w:rsid w:val="00CE11BF"/>
    <w:rsid w:val="00CE1201"/>
    <w:rsid w:val="00CE1221"/>
    <w:rsid w:val="00CE12F5"/>
    <w:rsid w:val="00CE133C"/>
    <w:rsid w:val="00CE142F"/>
    <w:rsid w:val="00CE14C7"/>
    <w:rsid w:val="00CE1515"/>
    <w:rsid w:val="00CE1529"/>
    <w:rsid w:val="00CE1540"/>
    <w:rsid w:val="00CE1575"/>
    <w:rsid w:val="00CE15E3"/>
    <w:rsid w:val="00CE16CA"/>
    <w:rsid w:val="00CE17A4"/>
    <w:rsid w:val="00CE17EE"/>
    <w:rsid w:val="00CE18AD"/>
    <w:rsid w:val="00CE190A"/>
    <w:rsid w:val="00CE1931"/>
    <w:rsid w:val="00CE193D"/>
    <w:rsid w:val="00CE1950"/>
    <w:rsid w:val="00CE1A03"/>
    <w:rsid w:val="00CE1A23"/>
    <w:rsid w:val="00CE1A4A"/>
    <w:rsid w:val="00CE1AA1"/>
    <w:rsid w:val="00CE1AAF"/>
    <w:rsid w:val="00CE1AC5"/>
    <w:rsid w:val="00CE1BA0"/>
    <w:rsid w:val="00CE1C6A"/>
    <w:rsid w:val="00CE1C88"/>
    <w:rsid w:val="00CE1D00"/>
    <w:rsid w:val="00CE1E1C"/>
    <w:rsid w:val="00CE1E4E"/>
    <w:rsid w:val="00CE1E71"/>
    <w:rsid w:val="00CE2022"/>
    <w:rsid w:val="00CE209C"/>
    <w:rsid w:val="00CE21D6"/>
    <w:rsid w:val="00CE23E0"/>
    <w:rsid w:val="00CE23E8"/>
    <w:rsid w:val="00CE246B"/>
    <w:rsid w:val="00CE246D"/>
    <w:rsid w:val="00CE24E0"/>
    <w:rsid w:val="00CE25CC"/>
    <w:rsid w:val="00CE261A"/>
    <w:rsid w:val="00CE2630"/>
    <w:rsid w:val="00CE27C1"/>
    <w:rsid w:val="00CE27D1"/>
    <w:rsid w:val="00CE2874"/>
    <w:rsid w:val="00CE29DA"/>
    <w:rsid w:val="00CE2AE4"/>
    <w:rsid w:val="00CE2BA9"/>
    <w:rsid w:val="00CE2BEA"/>
    <w:rsid w:val="00CE2C5C"/>
    <w:rsid w:val="00CE2D8A"/>
    <w:rsid w:val="00CE2DDC"/>
    <w:rsid w:val="00CE2DE7"/>
    <w:rsid w:val="00CE2E14"/>
    <w:rsid w:val="00CE2F19"/>
    <w:rsid w:val="00CE2F51"/>
    <w:rsid w:val="00CE2F52"/>
    <w:rsid w:val="00CE2F5E"/>
    <w:rsid w:val="00CE2FDF"/>
    <w:rsid w:val="00CE30C8"/>
    <w:rsid w:val="00CE30D7"/>
    <w:rsid w:val="00CE32E9"/>
    <w:rsid w:val="00CE3317"/>
    <w:rsid w:val="00CE3322"/>
    <w:rsid w:val="00CE33AD"/>
    <w:rsid w:val="00CE349F"/>
    <w:rsid w:val="00CE34EF"/>
    <w:rsid w:val="00CE3551"/>
    <w:rsid w:val="00CE3560"/>
    <w:rsid w:val="00CE36BB"/>
    <w:rsid w:val="00CE3735"/>
    <w:rsid w:val="00CE3754"/>
    <w:rsid w:val="00CE3780"/>
    <w:rsid w:val="00CE37DE"/>
    <w:rsid w:val="00CE37F3"/>
    <w:rsid w:val="00CE3834"/>
    <w:rsid w:val="00CE3848"/>
    <w:rsid w:val="00CE384C"/>
    <w:rsid w:val="00CE38D4"/>
    <w:rsid w:val="00CE395F"/>
    <w:rsid w:val="00CE39D3"/>
    <w:rsid w:val="00CE3A23"/>
    <w:rsid w:val="00CE3A2F"/>
    <w:rsid w:val="00CE3A5C"/>
    <w:rsid w:val="00CE3BEC"/>
    <w:rsid w:val="00CE3C9F"/>
    <w:rsid w:val="00CE3CB5"/>
    <w:rsid w:val="00CE3D1C"/>
    <w:rsid w:val="00CE3D56"/>
    <w:rsid w:val="00CE3E44"/>
    <w:rsid w:val="00CE3E9F"/>
    <w:rsid w:val="00CE3F16"/>
    <w:rsid w:val="00CE4006"/>
    <w:rsid w:val="00CE406F"/>
    <w:rsid w:val="00CE40FE"/>
    <w:rsid w:val="00CE4142"/>
    <w:rsid w:val="00CE41D3"/>
    <w:rsid w:val="00CE4249"/>
    <w:rsid w:val="00CE429C"/>
    <w:rsid w:val="00CE4322"/>
    <w:rsid w:val="00CE4332"/>
    <w:rsid w:val="00CE43A7"/>
    <w:rsid w:val="00CE444B"/>
    <w:rsid w:val="00CE4871"/>
    <w:rsid w:val="00CE4874"/>
    <w:rsid w:val="00CE4879"/>
    <w:rsid w:val="00CE4A3D"/>
    <w:rsid w:val="00CE4A56"/>
    <w:rsid w:val="00CE4B7F"/>
    <w:rsid w:val="00CE4BA5"/>
    <w:rsid w:val="00CE4BB8"/>
    <w:rsid w:val="00CE4BE4"/>
    <w:rsid w:val="00CE4BEE"/>
    <w:rsid w:val="00CE4CD0"/>
    <w:rsid w:val="00CE4CE2"/>
    <w:rsid w:val="00CE4D4F"/>
    <w:rsid w:val="00CE4D50"/>
    <w:rsid w:val="00CE4D56"/>
    <w:rsid w:val="00CE4D7C"/>
    <w:rsid w:val="00CE4D90"/>
    <w:rsid w:val="00CE4E26"/>
    <w:rsid w:val="00CE4E9F"/>
    <w:rsid w:val="00CE4F44"/>
    <w:rsid w:val="00CE4F88"/>
    <w:rsid w:val="00CE5068"/>
    <w:rsid w:val="00CE51E3"/>
    <w:rsid w:val="00CE5284"/>
    <w:rsid w:val="00CE529A"/>
    <w:rsid w:val="00CE5342"/>
    <w:rsid w:val="00CE53DF"/>
    <w:rsid w:val="00CE5436"/>
    <w:rsid w:val="00CE54CE"/>
    <w:rsid w:val="00CE55F8"/>
    <w:rsid w:val="00CE5637"/>
    <w:rsid w:val="00CE56FF"/>
    <w:rsid w:val="00CE5760"/>
    <w:rsid w:val="00CE576F"/>
    <w:rsid w:val="00CE5775"/>
    <w:rsid w:val="00CE57B1"/>
    <w:rsid w:val="00CE57B6"/>
    <w:rsid w:val="00CE57DC"/>
    <w:rsid w:val="00CE585A"/>
    <w:rsid w:val="00CE5903"/>
    <w:rsid w:val="00CE5993"/>
    <w:rsid w:val="00CE59AE"/>
    <w:rsid w:val="00CE59D4"/>
    <w:rsid w:val="00CE5A4F"/>
    <w:rsid w:val="00CE5A99"/>
    <w:rsid w:val="00CE5AC3"/>
    <w:rsid w:val="00CE5B8C"/>
    <w:rsid w:val="00CE5C1A"/>
    <w:rsid w:val="00CE5C2F"/>
    <w:rsid w:val="00CE5C9A"/>
    <w:rsid w:val="00CE5CBE"/>
    <w:rsid w:val="00CE5CDC"/>
    <w:rsid w:val="00CE5CE0"/>
    <w:rsid w:val="00CE5D07"/>
    <w:rsid w:val="00CE5D39"/>
    <w:rsid w:val="00CE5D6F"/>
    <w:rsid w:val="00CE5D7F"/>
    <w:rsid w:val="00CE5DA0"/>
    <w:rsid w:val="00CE5E83"/>
    <w:rsid w:val="00CE5F59"/>
    <w:rsid w:val="00CE5F96"/>
    <w:rsid w:val="00CE6077"/>
    <w:rsid w:val="00CE608E"/>
    <w:rsid w:val="00CE6143"/>
    <w:rsid w:val="00CE6151"/>
    <w:rsid w:val="00CE6179"/>
    <w:rsid w:val="00CE639C"/>
    <w:rsid w:val="00CE63DD"/>
    <w:rsid w:val="00CE63EC"/>
    <w:rsid w:val="00CE649F"/>
    <w:rsid w:val="00CE6529"/>
    <w:rsid w:val="00CE657A"/>
    <w:rsid w:val="00CE658F"/>
    <w:rsid w:val="00CE65A4"/>
    <w:rsid w:val="00CE65AD"/>
    <w:rsid w:val="00CE6603"/>
    <w:rsid w:val="00CE6673"/>
    <w:rsid w:val="00CE66CA"/>
    <w:rsid w:val="00CE66F2"/>
    <w:rsid w:val="00CE6708"/>
    <w:rsid w:val="00CE6763"/>
    <w:rsid w:val="00CE676F"/>
    <w:rsid w:val="00CE67F4"/>
    <w:rsid w:val="00CE681D"/>
    <w:rsid w:val="00CE694C"/>
    <w:rsid w:val="00CE69DD"/>
    <w:rsid w:val="00CE69E4"/>
    <w:rsid w:val="00CE6A0B"/>
    <w:rsid w:val="00CE6A4B"/>
    <w:rsid w:val="00CE6B20"/>
    <w:rsid w:val="00CE6B9B"/>
    <w:rsid w:val="00CE6BA4"/>
    <w:rsid w:val="00CE6BC7"/>
    <w:rsid w:val="00CE6BE8"/>
    <w:rsid w:val="00CE6C47"/>
    <w:rsid w:val="00CE6C84"/>
    <w:rsid w:val="00CE6CA8"/>
    <w:rsid w:val="00CE6CB4"/>
    <w:rsid w:val="00CE6CF7"/>
    <w:rsid w:val="00CE6CFF"/>
    <w:rsid w:val="00CE6D82"/>
    <w:rsid w:val="00CE6DED"/>
    <w:rsid w:val="00CE6EC6"/>
    <w:rsid w:val="00CE6FB3"/>
    <w:rsid w:val="00CE704F"/>
    <w:rsid w:val="00CE709E"/>
    <w:rsid w:val="00CE70C1"/>
    <w:rsid w:val="00CE720A"/>
    <w:rsid w:val="00CE7250"/>
    <w:rsid w:val="00CE72BA"/>
    <w:rsid w:val="00CE72CF"/>
    <w:rsid w:val="00CE7312"/>
    <w:rsid w:val="00CE732E"/>
    <w:rsid w:val="00CE7424"/>
    <w:rsid w:val="00CE742A"/>
    <w:rsid w:val="00CE74A7"/>
    <w:rsid w:val="00CE74E1"/>
    <w:rsid w:val="00CE7527"/>
    <w:rsid w:val="00CE761D"/>
    <w:rsid w:val="00CE769B"/>
    <w:rsid w:val="00CE76C2"/>
    <w:rsid w:val="00CE7758"/>
    <w:rsid w:val="00CE7804"/>
    <w:rsid w:val="00CE7814"/>
    <w:rsid w:val="00CE78A7"/>
    <w:rsid w:val="00CE78A9"/>
    <w:rsid w:val="00CE78D5"/>
    <w:rsid w:val="00CE7918"/>
    <w:rsid w:val="00CE79D4"/>
    <w:rsid w:val="00CE79E8"/>
    <w:rsid w:val="00CE7A14"/>
    <w:rsid w:val="00CE7A1A"/>
    <w:rsid w:val="00CE7A20"/>
    <w:rsid w:val="00CE7A49"/>
    <w:rsid w:val="00CE7A59"/>
    <w:rsid w:val="00CE7AA6"/>
    <w:rsid w:val="00CE7B97"/>
    <w:rsid w:val="00CE7C2B"/>
    <w:rsid w:val="00CE7C65"/>
    <w:rsid w:val="00CE7D7F"/>
    <w:rsid w:val="00CE7E29"/>
    <w:rsid w:val="00CE7E2F"/>
    <w:rsid w:val="00CE7F07"/>
    <w:rsid w:val="00CF00E4"/>
    <w:rsid w:val="00CF015F"/>
    <w:rsid w:val="00CF01C6"/>
    <w:rsid w:val="00CF01DC"/>
    <w:rsid w:val="00CF01EA"/>
    <w:rsid w:val="00CF01F6"/>
    <w:rsid w:val="00CF023F"/>
    <w:rsid w:val="00CF0243"/>
    <w:rsid w:val="00CF0266"/>
    <w:rsid w:val="00CF02F2"/>
    <w:rsid w:val="00CF032C"/>
    <w:rsid w:val="00CF03AB"/>
    <w:rsid w:val="00CF03BB"/>
    <w:rsid w:val="00CF043E"/>
    <w:rsid w:val="00CF04A0"/>
    <w:rsid w:val="00CF0616"/>
    <w:rsid w:val="00CF0665"/>
    <w:rsid w:val="00CF066A"/>
    <w:rsid w:val="00CF06B6"/>
    <w:rsid w:val="00CF06C0"/>
    <w:rsid w:val="00CF06F2"/>
    <w:rsid w:val="00CF06F4"/>
    <w:rsid w:val="00CF0722"/>
    <w:rsid w:val="00CF0768"/>
    <w:rsid w:val="00CF077D"/>
    <w:rsid w:val="00CF07CD"/>
    <w:rsid w:val="00CF07EF"/>
    <w:rsid w:val="00CF09AB"/>
    <w:rsid w:val="00CF09D3"/>
    <w:rsid w:val="00CF09E2"/>
    <w:rsid w:val="00CF0A5D"/>
    <w:rsid w:val="00CF0ABB"/>
    <w:rsid w:val="00CF0AC4"/>
    <w:rsid w:val="00CF0B6A"/>
    <w:rsid w:val="00CF0B88"/>
    <w:rsid w:val="00CF0B96"/>
    <w:rsid w:val="00CF0BE6"/>
    <w:rsid w:val="00CF0CCD"/>
    <w:rsid w:val="00CF0CD8"/>
    <w:rsid w:val="00CF0CFE"/>
    <w:rsid w:val="00CF0E7D"/>
    <w:rsid w:val="00CF0E8F"/>
    <w:rsid w:val="00CF0F83"/>
    <w:rsid w:val="00CF0FC2"/>
    <w:rsid w:val="00CF1006"/>
    <w:rsid w:val="00CF1026"/>
    <w:rsid w:val="00CF103D"/>
    <w:rsid w:val="00CF1186"/>
    <w:rsid w:val="00CF11D4"/>
    <w:rsid w:val="00CF127C"/>
    <w:rsid w:val="00CF12AB"/>
    <w:rsid w:val="00CF1369"/>
    <w:rsid w:val="00CF13C4"/>
    <w:rsid w:val="00CF142A"/>
    <w:rsid w:val="00CF144A"/>
    <w:rsid w:val="00CF145C"/>
    <w:rsid w:val="00CF14A1"/>
    <w:rsid w:val="00CF14D5"/>
    <w:rsid w:val="00CF150C"/>
    <w:rsid w:val="00CF1516"/>
    <w:rsid w:val="00CF15EE"/>
    <w:rsid w:val="00CF1602"/>
    <w:rsid w:val="00CF1686"/>
    <w:rsid w:val="00CF1694"/>
    <w:rsid w:val="00CF16D9"/>
    <w:rsid w:val="00CF1750"/>
    <w:rsid w:val="00CF1766"/>
    <w:rsid w:val="00CF177A"/>
    <w:rsid w:val="00CF1794"/>
    <w:rsid w:val="00CF1861"/>
    <w:rsid w:val="00CF186B"/>
    <w:rsid w:val="00CF1875"/>
    <w:rsid w:val="00CF187C"/>
    <w:rsid w:val="00CF18F8"/>
    <w:rsid w:val="00CF190D"/>
    <w:rsid w:val="00CF1922"/>
    <w:rsid w:val="00CF1952"/>
    <w:rsid w:val="00CF1A34"/>
    <w:rsid w:val="00CF1AA0"/>
    <w:rsid w:val="00CF1B85"/>
    <w:rsid w:val="00CF1BD0"/>
    <w:rsid w:val="00CF1BF5"/>
    <w:rsid w:val="00CF1C91"/>
    <w:rsid w:val="00CF1CCB"/>
    <w:rsid w:val="00CF1D1F"/>
    <w:rsid w:val="00CF1DD0"/>
    <w:rsid w:val="00CF1E08"/>
    <w:rsid w:val="00CF1ECC"/>
    <w:rsid w:val="00CF1F12"/>
    <w:rsid w:val="00CF1F19"/>
    <w:rsid w:val="00CF1FF3"/>
    <w:rsid w:val="00CF208C"/>
    <w:rsid w:val="00CF209D"/>
    <w:rsid w:val="00CF219D"/>
    <w:rsid w:val="00CF2263"/>
    <w:rsid w:val="00CF228A"/>
    <w:rsid w:val="00CF22EA"/>
    <w:rsid w:val="00CF23B9"/>
    <w:rsid w:val="00CF23D2"/>
    <w:rsid w:val="00CF241B"/>
    <w:rsid w:val="00CF2527"/>
    <w:rsid w:val="00CF252A"/>
    <w:rsid w:val="00CF257A"/>
    <w:rsid w:val="00CF2659"/>
    <w:rsid w:val="00CF2702"/>
    <w:rsid w:val="00CF2756"/>
    <w:rsid w:val="00CF2758"/>
    <w:rsid w:val="00CF278C"/>
    <w:rsid w:val="00CF280B"/>
    <w:rsid w:val="00CF2842"/>
    <w:rsid w:val="00CF28C2"/>
    <w:rsid w:val="00CF2904"/>
    <w:rsid w:val="00CF2913"/>
    <w:rsid w:val="00CF2A19"/>
    <w:rsid w:val="00CF2A72"/>
    <w:rsid w:val="00CF2A80"/>
    <w:rsid w:val="00CF2AFE"/>
    <w:rsid w:val="00CF2B90"/>
    <w:rsid w:val="00CF2BE4"/>
    <w:rsid w:val="00CF2C4C"/>
    <w:rsid w:val="00CF2C84"/>
    <w:rsid w:val="00CF2CC2"/>
    <w:rsid w:val="00CF2CEA"/>
    <w:rsid w:val="00CF2DAC"/>
    <w:rsid w:val="00CF2E4F"/>
    <w:rsid w:val="00CF2E56"/>
    <w:rsid w:val="00CF2E5F"/>
    <w:rsid w:val="00CF2E79"/>
    <w:rsid w:val="00CF2EA8"/>
    <w:rsid w:val="00CF2F15"/>
    <w:rsid w:val="00CF2FF0"/>
    <w:rsid w:val="00CF3074"/>
    <w:rsid w:val="00CF309F"/>
    <w:rsid w:val="00CF3192"/>
    <w:rsid w:val="00CF31A4"/>
    <w:rsid w:val="00CF33BC"/>
    <w:rsid w:val="00CF33CF"/>
    <w:rsid w:val="00CF3446"/>
    <w:rsid w:val="00CF3473"/>
    <w:rsid w:val="00CF3485"/>
    <w:rsid w:val="00CF349D"/>
    <w:rsid w:val="00CF3541"/>
    <w:rsid w:val="00CF3599"/>
    <w:rsid w:val="00CF35A3"/>
    <w:rsid w:val="00CF35B8"/>
    <w:rsid w:val="00CF35DC"/>
    <w:rsid w:val="00CF36E7"/>
    <w:rsid w:val="00CF3716"/>
    <w:rsid w:val="00CF3753"/>
    <w:rsid w:val="00CF37E4"/>
    <w:rsid w:val="00CF388A"/>
    <w:rsid w:val="00CF3898"/>
    <w:rsid w:val="00CF38B2"/>
    <w:rsid w:val="00CF3A04"/>
    <w:rsid w:val="00CF3AAC"/>
    <w:rsid w:val="00CF3AB2"/>
    <w:rsid w:val="00CF3AFA"/>
    <w:rsid w:val="00CF3B96"/>
    <w:rsid w:val="00CF3BB4"/>
    <w:rsid w:val="00CF3C71"/>
    <w:rsid w:val="00CF3D6C"/>
    <w:rsid w:val="00CF3DA9"/>
    <w:rsid w:val="00CF3DCA"/>
    <w:rsid w:val="00CF3DFC"/>
    <w:rsid w:val="00CF3E18"/>
    <w:rsid w:val="00CF3F06"/>
    <w:rsid w:val="00CF403C"/>
    <w:rsid w:val="00CF4071"/>
    <w:rsid w:val="00CF40FB"/>
    <w:rsid w:val="00CF4118"/>
    <w:rsid w:val="00CF4129"/>
    <w:rsid w:val="00CF4172"/>
    <w:rsid w:val="00CF418D"/>
    <w:rsid w:val="00CF4226"/>
    <w:rsid w:val="00CF4239"/>
    <w:rsid w:val="00CF428E"/>
    <w:rsid w:val="00CF42BB"/>
    <w:rsid w:val="00CF4324"/>
    <w:rsid w:val="00CF4336"/>
    <w:rsid w:val="00CF4537"/>
    <w:rsid w:val="00CF45CB"/>
    <w:rsid w:val="00CF468E"/>
    <w:rsid w:val="00CF46D8"/>
    <w:rsid w:val="00CF47C6"/>
    <w:rsid w:val="00CF47CD"/>
    <w:rsid w:val="00CF4848"/>
    <w:rsid w:val="00CF48BD"/>
    <w:rsid w:val="00CF48C5"/>
    <w:rsid w:val="00CF48D9"/>
    <w:rsid w:val="00CF4902"/>
    <w:rsid w:val="00CF490D"/>
    <w:rsid w:val="00CF4976"/>
    <w:rsid w:val="00CF4A1A"/>
    <w:rsid w:val="00CF4A4A"/>
    <w:rsid w:val="00CF4CEF"/>
    <w:rsid w:val="00CF4E06"/>
    <w:rsid w:val="00CF50B5"/>
    <w:rsid w:val="00CF50EE"/>
    <w:rsid w:val="00CF51EE"/>
    <w:rsid w:val="00CF522C"/>
    <w:rsid w:val="00CF5256"/>
    <w:rsid w:val="00CF5284"/>
    <w:rsid w:val="00CF5306"/>
    <w:rsid w:val="00CF534A"/>
    <w:rsid w:val="00CF5372"/>
    <w:rsid w:val="00CF53E1"/>
    <w:rsid w:val="00CF54C5"/>
    <w:rsid w:val="00CF560A"/>
    <w:rsid w:val="00CF56ED"/>
    <w:rsid w:val="00CF575D"/>
    <w:rsid w:val="00CF57AC"/>
    <w:rsid w:val="00CF57DE"/>
    <w:rsid w:val="00CF57F5"/>
    <w:rsid w:val="00CF5871"/>
    <w:rsid w:val="00CF587B"/>
    <w:rsid w:val="00CF5895"/>
    <w:rsid w:val="00CF58CA"/>
    <w:rsid w:val="00CF590A"/>
    <w:rsid w:val="00CF595B"/>
    <w:rsid w:val="00CF59DD"/>
    <w:rsid w:val="00CF59FB"/>
    <w:rsid w:val="00CF5AC3"/>
    <w:rsid w:val="00CF5B54"/>
    <w:rsid w:val="00CF5BD3"/>
    <w:rsid w:val="00CF5C1D"/>
    <w:rsid w:val="00CF5CA9"/>
    <w:rsid w:val="00CF5CB8"/>
    <w:rsid w:val="00CF5D5A"/>
    <w:rsid w:val="00CF5D84"/>
    <w:rsid w:val="00CF5D8D"/>
    <w:rsid w:val="00CF5EE7"/>
    <w:rsid w:val="00CF5FA6"/>
    <w:rsid w:val="00CF6026"/>
    <w:rsid w:val="00CF60E3"/>
    <w:rsid w:val="00CF614F"/>
    <w:rsid w:val="00CF6164"/>
    <w:rsid w:val="00CF61B8"/>
    <w:rsid w:val="00CF61CC"/>
    <w:rsid w:val="00CF625A"/>
    <w:rsid w:val="00CF62BD"/>
    <w:rsid w:val="00CF62C9"/>
    <w:rsid w:val="00CF63DC"/>
    <w:rsid w:val="00CF643B"/>
    <w:rsid w:val="00CF6504"/>
    <w:rsid w:val="00CF6538"/>
    <w:rsid w:val="00CF6547"/>
    <w:rsid w:val="00CF655F"/>
    <w:rsid w:val="00CF6677"/>
    <w:rsid w:val="00CF66E0"/>
    <w:rsid w:val="00CF6728"/>
    <w:rsid w:val="00CF677A"/>
    <w:rsid w:val="00CF67D8"/>
    <w:rsid w:val="00CF6800"/>
    <w:rsid w:val="00CF682B"/>
    <w:rsid w:val="00CF6861"/>
    <w:rsid w:val="00CF6913"/>
    <w:rsid w:val="00CF691F"/>
    <w:rsid w:val="00CF69CF"/>
    <w:rsid w:val="00CF69F6"/>
    <w:rsid w:val="00CF6B3E"/>
    <w:rsid w:val="00CF6B4A"/>
    <w:rsid w:val="00CF6B52"/>
    <w:rsid w:val="00CF6BBA"/>
    <w:rsid w:val="00CF6CB0"/>
    <w:rsid w:val="00CF6CC9"/>
    <w:rsid w:val="00CF6D7D"/>
    <w:rsid w:val="00CF6DDC"/>
    <w:rsid w:val="00CF6F17"/>
    <w:rsid w:val="00CF6F8D"/>
    <w:rsid w:val="00CF6F96"/>
    <w:rsid w:val="00CF7013"/>
    <w:rsid w:val="00CF7018"/>
    <w:rsid w:val="00CF70F2"/>
    <w:rsid w:val="00CF7117"/>
    <w:rsid w:val="00CF71D5"/>
    <w:rsid w:val="00CF71E3"/>
    <w:rsid w:val="00CF7285"/>
    <w:rsid w:val="00CF73B3"/>
    <w:rsid w:val="00CF73BE"/>
    <w:rsid w:val="00CF7463"/>
    <w:rsid w:val="00CF747D"/>
    <w:rsid w:val="00CF74E6"/>
    <w:rsid w:val="00CF754B"/>
    <w:rsid w:val="00CF755E"/>
    <w:rsid w:val="00CF75A3"/>
    <w:rsid w:val="00CF76C3"/>
    <w:rsid w:val="00CF781C"/>
    <w:rsid w:val="00CF787D"/>
    <w:rsid w:val="00CF78B4"/>
    <w:rsid w:val="00CF7977"/>
    <w:rsid w:val="00CF7A86"/>
    <w:rsid w:val="00CF7AA6"/>
    <w:rsid w:val="00CF7AB6"/>
    <w:rsid w:val="00CF7B36"/>
    <w:rsid w:val="00CF7B9A"/>
    <w:rsid w:val="00CF7B9B"/>
    <w:rsid w:val="00CF7CAD"/>
    <w:rsid w:val="00CF7CFD"/>
    <w:rsid w:val="00CF7E98"/>
    <w:rsid w:val="00CF7ECF"/>
    <w:rsid w:val="00CF7ED9"/>
    <w:rsid w:val="00CF7FB6"/>
    <w:rsid w:val="00CF7FDB"/>
    <w:rsid w:val="00D00018"/>
    <w:rsid w:val="00D0014A"/>
    <w:rsid w:val="00D0018C"/>
    <w:rsid w:val="00D00197"/>
    <w:rsid w:val="00D00244"/>
    <w:rsid w:val="00D002F0"/>
    <w:rsid w:val="00D00367"/>
    <w:rsid w:val="00D00412"/>
    <w:rsid w:val="00D004EB"/>
    <w:rsid w:val="00D00580"/>
    <w:rsid w:val="00D005A0"/>
    <w:rsid w:val="00D00655"/>
    <w:rsid w:val="00D00677"/>
    <w:rsid w:val="00D0068B"/>
    <w:rsid w:val="00D006F3"/>
    <w:rsid w:val="00D0074C"/>
    <w:rsid w:val="00D007C0"/>
    <w:rsid w:val="00D007EB"/>
    <w:rsid w:val="00D0088A"/>
    <w:rsid w:val="00D008C7"/>
    <w:rsid w:val="00D00970"/>
    <w:rsid w:val="00D009DC"/>
    <w:rsid w:val="00D00B53"/>
    <w:rsid w:val="00D00C0B"/>
    <w:rsid w:val="00D00C31"/>
    <w:rsid w:val="00D00C45"/>
    <w:rsid w:val="00D00C60"/>
    <w:rsid w:val="00D00CC8"/>
    <w:rsid w:val="00D00D7C"/>
    <w:rsid w:val="00D00D90"/>
    <w:rsid w:val="00D00D97"/>
    <w:rsid w:val="00D00E5A"/>
    <w:rsid w:val="00D00E69"/>
    <w:rsid w:val="00D00F0C"/>
    <w:rsid w:val="00D00F54"/>
    <w:rsid w:val="00D0106E"/>
    <w:rsid w:val="00D01094"/>
    <w:rsid w:val="00D010A1"/>
    <w:rsid w:val="00D010CA"/>
    <w:rsid w:val="00D010D9"/>
    <w:rsid w:val="00D011B3"/>
    <w:rsid w:val="00D0122E"/>
    <w:rsid w:val="00D013B3"/>
    <w:rsid w:val="00D013CF"/>
    <w:rsid w:val="00D014E1"/>
    <w:rsid w:val="00D01528"/>
    <w:rsid w:val="00D016E5"/>
    <w:rsid w:val="00D016EA"/>
    <w:rsid w:val="00D01786"/>
    <w:rsid w:val="00D01874"/>
    <w:rsid w:val="00D0188D"/>
    <w:rsid w:val="00D01902"/>
    <w:rsid w:val="00D0192E"/>
    <w:rsid w:val="00D019A6"/>
    <w:rsid w:val="00D01A57"/>
    <w:rsid w:val="00D01A68"/>
    <w:rsid w:val="00D01AA3"/>
    <w:rsid w:val="00D01AEB"/>
    <w:rsid w:val="00D01B00"/>
    <w:rsid w:val="00D01B42"/>
    <w:rsid w:val="00D01C7C"/>
    <w:rsid w:val="00D01CDA"/>
    <w:rsid w:val="00D01D0F"/>
    <w:rsid w:val="00D01D13"/>
    <w:rsid w:val="00D01D50"/>
    <w:rsid w:val="00D01DA3"/>
    <w:rsid w:val="00D01E0C"/>
    <w:rsid w:val="00D0205C"/>
    <w:rsid w:val="00D02073"/>
    <w:rsid w:val="00D02123"/>
    <w:rsid w:val="00D0214E"/>
    <w:rsid w:val="00D02286"/>
    <w:rsid w:val="00D02290"/>
    <w:rsid w:val="00D022C3"/>
    <w:rsid w:val="00D02318"/>
    <w:rsid w:val="00D02336"/>
    <w:rsid w:val="00D02341"/>
    <w:rsid w:val="00D02377"/>
    <w:rsid w:val="00D023CA"/>
    <w:rsid w:val="00D0247F"/>
    <w:rsid w:val="00D024F2"/>
    <w:rsid w:val="00D024F7"/>
    <w:rsid w:val="00D02526"/>
    <w:rsid w:val="00D0260A"/>
    <w:rsid w:val="00D0261C"/>
    <w:rsid w:val="00D026D7"/>
    <w:rsid w:val="00D028F3"/>
    <w:rsid w:val="00D02918"/>
    <w:rsid w:val="00D02947"/>
    <w:rsid w:val="00D0294F"/>
    <w:rsid w:val="00D02AB2"/>
    <w:rsid w:val="00D02B20"/>
    <w:rsid w:val="00D02BAC"/>
    <w:rsid w:val="00D02BCE"/>
    <w:rsid w:val="00D02C49"/>
    <w:rsid w:val="00D02CAC"/>
    <w:rsid w:val="00D02D08"/>
    <w:rsid w:val="00D02D66"/>
    <w:rsid w:val="00D02DB7"/>
    <w:rsid w:val="00D02F20"/>
    <w:rsid w:val="00D03014"/>
    <w:rsid w:val="00D030F8"/>
    <w:rsid w:val="00D0318C"/>
    <w:rsid w:val="00D031F9"/>
    <w:rsid w:val="00D03211"/>
    <w:rsid w:val="00D03219"/>
    <w:rsid w:val="00D0322B"/>
    <w:rsid w:val="00D032F3"/>
    <w:rsid w:val="00D032FA"/>
    <w:rsid w:val="00D032FD"/>
    <w:rsid w:val="00D033CA"/>
    <w:rsid w:val="00D033DE"/>
    <w:rsid w:val="00D033FE"/>
    <w:rsid w:val="00D03484"/>
    <w:rsid w:val="00D0348C"/>
    <w:rsid w:val="00D034C6"/>
    <w:rsid w:val="00D034C7"/>
    <w:rsid w:val="00D034DD"/>
    <w:rsid w:val="00D03554"/>
    <w:rsid w:val="00D03601"/>
    <w:rsid w:val="00D03615"/>
    <w:rsid w:val="00D03620"/>
    <w:rsid w:val="00D03626"/>
    <w:rsid w:val="00D0366A"/>
    <w:rsid w:val="00D03675"/>
    <w:rsid w:val="00D0368E"/>
    <w:rsid w:val="00D036D2"/>
    <w:rsid w:val="00D037A6"/>
    <w:rsid w:val="00D038B6"/>
    <w:rsid w:val="00D03938"/>
    <w:rsid w:val="00D0393A"/>
    <w:rsid w:val="00D039E8"/>
    <w:rsid w:val="00D03A46"/>
    <w:rsid w:val="00D03ACE"/>
    <w:rsid w:val="00D03B60"/>
    <w:rsid w:val="00D03BE4"/>
    <w:rsid w:val="00D03C2C"/>
    <w:rsid w:val="00D03C94"/>
    <w:rsid w:val="00D03D4E"/>
    <w:rsid w:val="00D03D56"/>
    <w:rsid w:val="00D03E61"/>
    <w:rsid w:val="00D03EC3"/>
    <w:rsid w:val="00D03F83"/>
    <w:rsid w:val="00D03FC2"/>
    <w:rsid w:val="00D03FE5"/>
    <w:rsid w:val="00D04035"/>
    <w:rsid w:val="00D04058"/>
    <w:rsid w:val="00D04072"/>
    <w:rsid w:val="00D040B0"/>
    <w:rsid w:val="00D0415B"/>
    <w:rsid w:val="00D0425D"/>
    <w:rsid w:val="00D042D2"/>
    <w:rsid w:val="00D04383"/>
    <w:rsid w:val="00D0439C"/>
    <w:rsid w:val="00D04422"/>
    <w:rsid w:val="00D0443D"/>
    <w:rsid w:val="00D04462"/>
    <w:rsid w:val="00D0466D"/>
    <w:rsid w:val="00D04684"/>
    <w:rsid w:val="00D046CF"/>
    <w:rsid w:val="00D0474B"/>
    <w:rsid w:val="00D047BA"/>
    <w:rsid w:val="00D04821"/>
    <w:rsid w:val="00D04862"/>
    <w:rsid w:val="00D0489B"/>
    <w:rsid w:val="00D0499D"/>
    <w:rsid w:val="00D049D2"/>
    <w:rsid w:val="00D04ACF"/>
    <w:rsid w:val="00D04AE2"/>
    <w:rsid w:val="00D04AEE"/>
    <w:rsid w:val="00D04B1F"/>
    <w:rsid w:val="00D04B5F"/>
    <w:rsid w:val="00D04BB8"/>
    <w:rsid w:val="00D04BC5"/>
    <w:rsid w:val="00D04C4F"/>
    <w:rsid w:val="00D04CBE"/>
    <w:rsid w:val="00D04D73"/>
    <w:rsid w:val="00D04E8F"/>
    <w:rsid w:val="00D04E91"/>
    <w:rsid w:val="00D04E9B"/>
    <w:rsid w:val="00D04F1A"/>
    <w:rsid w:val="00D04F2F"/>
    <w:rsid w:val="00D0501C"/>
    <w:rsid w:val="00D0502C"/>
    <w:rsid w:val="00D0502E"/>
    <w:rsid w:val="00D05118"/>
    <w:rsid w:val="00D05186"/>
    <w:rsid w:val="00D051AC"/>
    <w:rsid w:val="00D0535F"/>
    <w:rsid w:val="00D0544C"/>
    <w:rsid w:val="00D05461"/>
    <w:rsid w:val="00D054A3"/>
    <w:rsid w:val="00D0550F"/>
    <w:rsid w:val="00D0553E"/>
    <w:rsid w:val="00D0560B"/>
    <w:rsid w:val="00D05648"/>
    <w:rsid w:val="00D0564F"/>
    <w:rsid w:val="00D0565A"/>
    <w:rsid w:val="00D056AD"/>
    <w:rsid w:val="00D056D5"/>
    <w:rsid w:val="00D056F4"/>
    <w:rsid w:val="00D05723"/>
    <w:rsid w:val="00D0572A"/>
    <w:rsid w:val="00D05770"/>
    <w:rsid w:val="00D057A3"/>
    <w:rsid w:val="00D058E0"/>
    <w:rsid w:val="00D05998"/>
    <w:rsid w:val="00D0599F"/>
    <w:rsid w:val="00D059A3"/>
    <w:rsid w:val="00D059DE"/>
    <w:rsid w:val="00D05A3A"/>
    <w:rsid w:val="00D05ACA"/>
    <w:rsid w:val="00D05AD1"/>
    <w:rsid w:val="00D05B00"/>
    <w:rsid w:val="00D05B13"/>
    <w:rsid w:val="00D05B43"/>
    <w:rsid w:val="00D05C3C"/>
    <w:rsid w:val="00D05DBC"/>
    <w:rsid w:val="00D05DED"/>
    <w:rsid w:val="00D05E02"/>
    <w:rsid w:val="00D05E43"/>
    <w:rsid w:val="00D05E86"/>
    <w:rsid w:val="00D05EA6"/>
    <w:rsid w:val="00D05EAF"/>
    <w:rsid w:val="00D05EDC"/>
    <w:rsid w:val="00D05EE0"/>
    <w:rsid w:val="00D05F0D"/>
    <w:rsid w:val="00D05FA9"/>
    <w:rsid w:val="00D05FFA"/>
    <w:rsid w:val="00D060C6"/>
    <w:rsid w:val="00D06137"/>
    <w:rsid w:val="00D06249"/>
    <w:rsid w:val="00D0624B"/>
    <w:rsid w:val="00D06252"/>
    <w:rsid w:val="00D0625B"/>
    <w:rsid w:val="00D06278"/>
    <w:rsid w:val="00D062B0"/>
    <w:rsid w:val="00D06349"/>
    <w:rsid w:val="00D06431"/>
    <w:rsid w:val="00D06473"/>
    <w:rsid w:val="00D06478"/>
    <w:rsid w:val="00D0649E"/>
    <w:rsid w:val="00D064C8"/>
    <w:rsid w:val="00D064F3"/>
    <w:rsid w:val="00D065CE"/>
    <w:rsid w:val="00D06621"/>
    <w:rsid w:val="00D06681"/>
    <w:rsid w:val="00D06779"/>
    <w:rsid w:val="00D06797"/>
    <w:rsid w:val="00D067A7"/>
    <w:rsid w:val="00D06894"/>
    <w:rsid w:val="00D06912"/>
    <w:rsid w:val="00D0695F"/>
    <w:rsid w:val="00D069B0"/>
    <w:rsid w:val="00D06B0F"/>
    <w:rsid w:val="00D06C02"/>
    <w:rsid w:val="00D06CC8"/>
    <w:rsid w:val="00D06DD8"/>
    <w:rsid w:val="00D06DE4"/>
    <w:rsid w:val="00D06E17"/>
    <w:rsid w:val="00D06EF3"/>
    <w:rsid w:val="00D070BF"/>
    <w:rsid w:val="00D07292"/>
    <w:rsid w:val="00D072BA"/>
    <w:rsid w:val="00D07332"/>
    <w:rsid w:val="00D073AA"/>
    <w:rsid w:val="00D07431"/>
    <w:rsid w:val="00D074E0"/>
    <w:rsid w:val="00D0754F"/>
    <w:rsid w:val="00D07574"/>
    <w:rsid w:val="00D07590"/>
    <w:rsid w:val="00D0769E"/>
    <w:rsid w:val="00D07740"/>
    <w:rsid w:val="00D077BF"/>
    <w:rsid w:val="00D0793A"/>
    <w:rsid w:val="00D07A10"/>
    <w:rsid w:val="00D07B27"/>
    <w:rsid w:val="00D07B59"/>
    <w:rsid w:val="00D07B90"/>
    <w:rsid w:val="00D07BB3"/>
    <w:rsid w:val="00D07BEF"/>
    <w:rsid w:val="00D07C2B"/>
    <w:rsid w:val="00D07C70"/>
    <w:rsid w:val="00D07D0E"/>
    <w:rsid w:val="00D07D62"/>
    <w:rsid w:val="00D07D79"/>
    <w:rsid w:val="00D07D81"/>
    <w:rsid w:val="00D07D9E"/>
    <w:rsid w:val="00D07E4C"/>
    <w:rsid w:val="00D07EE0"/>
    <w:rsid w:val="00D07F1C"/>
    <w:rsid w:val="00D07F48"/>
    <w:rsid w:val="00D07F54"/>
    <w:rsid w:val="00D07F56"/>
    <w:rsid w:val="00D07F5B"/>
    <w:rsid w:val="00D100C1"/>
    <w:rsid w:val="00D101BE"/>
    <w:rsid w:val="00D102F4"/>
    <w:rsid w:val="00D103A0"/>
    <w:rsid w:val="00D103A7"/>
    <w:rsid w:val="00D1042B"/>
    <w:rsid w:val="00D104AE"/>
    <w:rsid w:val="00D10571"/>
    <w:rsid w:val="00D105AC"/>
    <w:rsid w:val="00D10684"/>
    <w:rsid w:val="00D10696"/>
    <w:rsid w:val="00D10781"/>
    <w:rsid w:val="00D1082B"/>
    <w:rsid w:val="00D1082F"/>
    <w:rsid w:val="00D10870"/>
    <w:rsid w:val="00D1089F"/>
    <w:rsid w:val="00D10915"/>
    <w:rsid w:val="00D109B4"/>
    <w:rsid w:val="00D109FA"/>
    <w:rsid w:val="00D10A25"/>
    <w:rsid w:val="00D10AB5"/>
    <w:rsid w:val="00D10AFB"/>
    <w:rsid w:val="00D10B0C"/>
    <w:rsid w:val="00D10B5D"/>
    <w:rsid w:val="00D10BA8"/>
    <w:rsid w:val="00D10BE1"/>
    <w:rsid w:val="00D10C21"/>
    <w:rsid w:val="00D10C53"/>
    <w:rsid w:val="00D10C8E"/>
    <w:rsid w:val="00D10CD1"/>
    <w:rsid w:val="00D10D2D"/>
    <w:rsid w:val="00D10D32"/>
    <w:rsid w:val="00D111EE"/>
    <w:rsid w:val="00D11238"/>
    <w:rsid w:val="00D1124F"/>
    <w:rsid w:val="00D112D0"/>
    <w:rsid w:val="00D113B0"/>
    <w:rsid w:val="00D11412"/>
    <w:rsid w:val="00D1141B"/>
    <w:rsid w:val="00D11473"/>
    <w:rsid w:val="00D1149D"/>
    <w:rsid w:val="00D114C2"/>
    <w:rsid w:val="00D115AB"/>
    <w:rsid w:val="00D115EF"/>
    <w:rsid w:val="00D115F1"/>
    <w:rsid w:val="00D1163A"/>
    <w:rsid w:val="00D11680"/>
    <w:rsid w:val="00D116A3"/>
    <w:rsid w:val="00D11757"/>
    <w:rsid w:val="00D11790"/>
    <w:rsid w:val="00D11920"/>
    <w:rsid w:val="00D11975"/>
    <w:rsid w:val="00D119CE"/>
    <w:rsid w:val="00D11A22"/>
    <w:rsid w:val="00D11AF6"/>
    <w:rsid w:val="00D11B07"/>
    <w:rsid w:val="00D11B16"/>
    <w:rsid w:val="00D11B4D"/>
    <w:rsid w:val="00D11BCB"/>
    <w:rsid w:val="00D11C82"/>
    <w:rsid w:val="00D11D7C"/>
    <w:rsid w:val="00D11E49"/>
    <w:rsid w:val="00D11E6C"/>
    <w:rsid w:val="00D11E7A"/>
    <w:rsid w:val="00D11EBB"/>
    <w:rsid w:val="00D11F72"/>
    <w:rsid w:val="00D11FD4"/>
    <w:rsid w:val="00D12107"/>
    <w:rsid w:val="00D12251"/>
    <w:rsid w:val="00D1235D"/>
    <w:rsid w:val="00D12405"/>
    <w:rsid w:val="00D124F7"/>
    <w:rsid w:val="00D12642"/>
    <w:rsid w:val="00D12686"/>
    <w:rsid w:val="00D126C1"/>
    <w:rsid w:val="00D12713"/>
    <w:rsid w:val="00D12733"/>
    <w:rsid w:val="00D12865"/>
    <w:rsid w:val="00D1286D"/>
    <w:rsid w:val="00D1287C"/>
    <w:rsid w:val="00D129AC"/>
    <w:rsid w:val="00D129B2"/>
    <w:rsid w:val="00D12A11"/>
    <w:rsid w:val="00D12AF4"/>
    <w:rsid w:val="00D12BEE"/>
    <w:rsid w:val="00D12C6C"/>
    <w:rsid w:val="00D12D10"/>
    <w:rsid w:val="00D12D2E"/>
    <w:rsid w:val="00D12E22"/>
    <w:rsid w:val="00D12EEB"/>
    <w:rsid w:val="00D12F0F"/>
    <w:rsid w:val="00D12F6C"/>
    <w:rsid w:val="00D12FB3"/>
    <w:rsid w:val="00D13012"/>
    <w:rsid w:val="00D13049"/>
    <w:rsid w:val="00D13097"/>
    <w:rsid w:val="00D13111"/>
    <w:rsid w:val="00D131C0"/>
    <w:rsid w:val="00D131D5"/>
    <w:rsid w:val="00D13216"/>
    <w:rsid w:val="00D13219"/>
    <w:rsid w:val="00D13233"/>
    <w:rsid w:val="00D13249"/>
    <w:rsid w:val="00D1324F"/>
    <w:rsid w:val="00D1325C"/>
    <w:rsid w:val="00D1327E"/>
    <w:rsid w:val="00D132CE"/>
    <w:rsid w:val="00D13301"/>
    <w:rsid w:val="00D13313"/>
    <w:rsid w:val="00D13455"/>
    <w:rsid w:val="00D13468"/>
    <w:rsid w:val="00D13562"/>
    <w:rsid w:val="00D1365A"/>
    <w:rsid w:val="00D136B6"/>
    <w:rsid w:val="00D136C6"/>
    <w:rsid w:val="00D1381F"/>
    <w:rsid w:val="00D138E8"/>
    <w:rsid w:val="00D138EC"/>
    <w:rsid w:val="00D1390F"/>
    <w:rsid w:val="00D139D1"/>
    <w:rsid w:val="00D13B4A"/>
    <w:rsid w:val="00D13BD4"/>
    <w:rsid w:val="00D13C0A"/>
    <w:rsid w:val="00D13C33"/>
    <w:rsid w:val="00D13CAF"/>
    <w:rsid w:val="00D13CC6"/>
    <w:rsid w:val="00D13CF8"/>
    <w:rsid w:val="00D13D42"/>
    <w:rsid w:val="00D13D86"/>
    <w:rsid w:val="00D13DEE"/>
    <w:rsid w:val="00D13E75"/>
    <w:rsid w:val="00D13EB2"/>
    <w:rsid w:val="00D13EDA"/>
    <w:rsid w:val="00D1405B"/>
    <w:rsid w:val="00D140FB"/>
    <w:rsid w:val="00D14105"/>
    <w:rsid w:val="00D14132"/>
    <w:rsid w:val="00D1416F"/>
    <w:rsid w:val="00D141A2"/>
    <w:rsid w:val="00D141B9"/>
    <w:rsid w:val="00D141F0"/>
    <w:rsid w:val="00D14220"/>
    <w:rsid w:val="00D14262"/>
    <w:rsid w:val="00D1428F"/>
    <w:rsid w:val="00D142E9"/>
    <w:rsid w:val="00D142FD"/>
    <w:rsid w:val="00D14339"/>
    <w:rsid w:val="00D143AD"/>
    <w:rsid w:val="00D143FF"/>
    <w:rsid w:val="00D14512"/>
    <w:rsid w:val="00D1464F"/>
    <w:rsid w:val="00D1477B"/>
    <w:rsid w:val="00D1480C"/>
    <w:rsid w:val="00D1481C"/>
    <w:rsid w:val="00D148AE"/>
    <w:rsid w:val="00D149AC"/>
    <w:rsid w:val="00D149F0"/>
    <w:rsid w:val="00D14A34"/>
    <w:rsid w:val="00D14A96"/>
    <w:rsid w:val="00D14AA8"/>
    <w:rsid w:val="00D14AEA"/>
    <w:rsid w:val="00D14B98"/>
    <w:rsid w:val="00D14BF2"/>
    <w:rsid w:val="00D14C8E"/>
    <w:rsid w:val="00D14CD5"/>
    <w:rsid w:val="00D14D0B"/>
    <w:rsid w:val="00D14D72"/>
    <w:rsid w:val="00D14DB9"/>
    <w:rsid w:val="00D14DC7"/>
    <w:rsid w:val="00D14DF3"/>
    <w:rsid w:val="00D14E0F"/>
    <w:rsid w:val="00D14E11"/>
    <w:rsid w:val="00D14E2E"/>
    <w:rsid w:val="00D14E2F"/>
    <w:rsid w:val="00D14E3C"/>
    <w:rsid w:val="00D14E7E"/>
    <w:rsid w:val="00D14F40"/>
    <w:rsid w:val="00D15040"/>
    <w:rsid w:val="00D150A1"/>
    <w:rsid w:val="00D15112"/>
    <w:rsid w:val="00D1511A"/>
    <w:rsid w:val="00D151AB"/>
    <w:rsid w:val="00D15209"/>
    <w:rsid w:val="00D1524C"/>
    <w:rsid w:val="00D152B1"/>
    <w:rsid w:val="00D152FB"/>
    <w:rsid w:val="00D15395"/>
    <w:rsid w:val="00D15449"/>
    <w:rsid w:val="00D154AB"/>
    <w:rsid w:val="00D1551B"/>
    <w:rsid w:val="00D155F0"/>
    <w:rsid w:val="00D155FB"/>
    <w:rsid w:val="00D156F4"/>
    <w:rsid w:val="00D15768"/>
    <w:rsid w:val="00D15773"/>
    <w:rsid w:val="00D157FF"/>
    <w:rsid w:val="00D15819"/>
    <w:rsid w:val="00D1585D"/>
    <w:rsid w:val="00D1590B"/>
    <w:rsid w:val="00D159FB"/>
    <w:rsid w:val="00D15B06"/>
    <w:rsid w:val="00D15B71"/>
    <w:rsid w:val="00D15B9D"/>
    <w:rsid w:val="00D15BC5"/>
    <w:rsid w:val="00D15BEC"/>
    <w:rsid w:val="00D15D33"/>
    <w:rsid w:val="00D15D5E"/>
    <w:rsid w:val="00D15EE9"/>
    <w:rsid w:val="00D15F93"/>
    <w:rsid w:val="00D15FD7"/>
    <w:rsid w:val="00D16049"/>
    <w:rsid w:val="00D160D5"/>
    <w:rsid w:val="00D161EE"/>
    <w:rsid w:val="00D16237"/>
    <w:rsid w:val="00D162F6"/>
    <w:rsid w:val="00D163B0"/>
    <w:rsid w:val="00D163D9"/>
    <w:rsid w:val="00D163E4"/>
    <w:rsid w:val="00D1640C"/>
    <w:rsid w:val="00D16410"/>
    <w:rsid w:val="00D16443"/>
    <w:rsid w:val="00D1645E"/>
    <w:rsid w:val="00D16526"/>
    <w:rsid w:val="00D16529"/>
    <w:rsid w:val="00D1658A"/>
    <w:rsid w:val="00D1663D"/>
    <w:rsid w:val="00D16706"/>
    <w:rsid w:val="00D1676E"/>
    <w:rsid w:val="00D16886"/>
    <w:rsid w:val="00D168B2"/>
    <w:rsid w:val="00D168EA"/>
    <w:rsid w:val="00D16933"/>
    <w:rsid w:val="00D16987"/>
    <w:rsid w:val="00D16B28"/>
    <w:rsid w:val="00D16B89"/>
    <w:rsid w:val="00D16BF2"/>
    <w:rsid w:val="00D16C1C"/>
    <w:rsid w:val="00D16D15"/>
    <w:rsid w:val="00D16DFF"/>
    <w:rsid w:val="00D16E28"/>
    <w:rsid w:val="00D16E9F"/>
    <w:rsid w:val="00D16EB6"/>
    <w:rsid w:val="00D16EBA"/>
    <w:rsid w:val="00D16ED5"/>
    <w:rsid w:val="00D17018"/>
    <w:rsid w:val="00D1714B"/>
    <w:rsid w:val="00D17176"/>
    <w:rsid w:val="00D1723A"/>
    <w:rsid w:val="00D17312"/>
    <w:rsid w:val="00D17383"/>
    <w:rsid w:val="00D17446"/>
    <w:rsid w:val="00D17473"/>
    <w:rsid w:val="00D174D4"/>
    <w:rsid w:val="00D17518"/>
    <w:rsid w:val="00D1751A"/>
    <w:rsid w:val="00D175F4"/>
    <w:rsid w:val="00D17688"/>
    <w:rsid w:val="00D17742"/>
    <w:rsid w:val="00D1777F"/>
    <w:rsid w:val="00D17835"/>
    <w:rsid w:val="00D1786C"/>
    <w:rsid w:val="00D17A32"/>
    <w:rsid w:val="00D17A81"/>
    <w:rsid w:val="00D17AEE"/>
    <w:rsid w:val="00D17AFD"/>
    <w:rsid w:val="00D17B61"/>
    <w:rsid w:val="00D17BBD"/>
    <w:rsid w:val="00D17BC7"/>
    <w:rsid w:val="00D17CB3"/>
    <w:rsid w:val="00D17D13"/>
    <w:rsid w:val="00D17D94"/>
    <w:rsid w:val="00D17E13"/>
    <w:rsid w:val="00D17E95"/>
    <w:rsid w:val="00D17EB7"/>
    <w:rsid w:val="00D17F8C"/>
    <w:rsid w:val="00D17FFE"/>
    <w:rsid w:val="00D20134"/>
    <w:rsid w:val="00D2024B"/>
    <w:rsid w:val="00D202A3"/>
    <w:rsid w:val="00D20325"/>
    <w:rsid w:val="00D20340"/>
    <w:rsid w:val="00D2037E"/>
    <w:rsid w:val="00D2038F"/>
    <w:rsid w:val="00D20441"/>
    <w:rsid w:val="00D204FF"/>
    <w:rsid w:val="00D20529"/>
    <w:rsid w:val="00D206E0"/>
    <w:rsid w:val="00D207CA"/>
    <w:rsid w:val="00D20A75"/>
    <w:rsid w:val="00D20AC6"/>
    <w:rsid w:val="00D20B99"/>
    <w:rsid w:val="00D20BC7"/>
    <w:rsid w:val="00D20BF6"/>
    <w:rsid w:val="00D20C52"/>
    <w:rsid w:val="00D20C8E"/>
    <w:rsid w:val="00D20DA3"/>
    <w:rsid w:val="00D20DC3"/>
    <w:rsid w:val="00D20DDA"/>
    <w:rsid w:val="00D20E19"/>
    <w:rsid w:val="00D20E47"/>
    <w:rsid w:val="00D20E67"/>
    <w:rsid w:val="00D20EA1"/>
    <w:rsid w:val="00D20EAA"/>
    <w:rsid w:val="00D20EC6"/>
    <w:rsid w:val="00D20FDA"/>
    <w:rsid w:val="00D21147"/>
    <w:rsid w:val="00D211F8"/>
    <w:rsid w:val="00D21206"/>
    <w:rsid w:val="00D21270"/>
    <w:rsid w:val="00D21275"/>
    <w:rsid w:val="00D212D7"/>
    <w:rsid w:val="00D212E1"/>
    <w:rsid w:val="00D2148B"/>
    <w:rsid w:val="00D2148F"/>
    <w:rsid w:val="00D214F3"/>
    <w:rsid w:val="00D2167B"/>
    <w:rsid w:val="00D216BE"/>
    <w:rsid w:val="00D2176B"/>
    <w:rsid w:val="00D2176C"/>
    <w:rsid w:val="00D21796"/>
    <w:rsid w:val="00D21798"/>
    <w:rsid w:val="00D2182E"/>
    <w:rsid w:val="00D21841"/>
    <w:rsid w:val="00D218F0"/>
    <w:rsid w:val="00D2192B"/>
    <w:rsid w:val="00D2195E"/>
    <w:rsid w:val="00D219E1"/>
    <w:rsid w:val="00D21A2D"/>
    <w:rsid w:val="00D21ABD"/>
    <w:rsid w:val="00D21AC2"/>
    <w:rsid w:val="00D21AC6"/>
    <w:rsid w:val="00D21B76"/>
    <w:rsid w:val="00D21C99"/>
    <w:rsid w:val="00D21CCF"/>
    <w:rsid w:val="00D21E83"/>
    <w:rsid w:val="00D22023"/>
    <w:rsid w:val="00D2204A"/>
    <w:rsid w:val="00D22110"/>
    <w:rsid w:val="00D22295"/>
    <w:rsid w:val="00D222D2"/>
    <w:rsid w:val="00D223DB"/>
    <w:rsid w:val="00D2243A"/>
    <w:rsid w:val="00D2243F"/>
    <w:rsid w:val="00D22610"/>
    <w:rsid w:val="00D22673"/>
    <w:rsid w:val="00D226C6"/>
    <w:rsid w:val="00D22700"/>
    <w:rsid w:val="00D22737"/>
    <w:rsid w:val="00D227E9"/>
    <w:rsid w:val="00D22803"/>
    <w:rsid w:val="00D228A0"/>
    <w:rsid w:val="00D228D0"/>
    <w:rsid w:val="00D2292A"/>
    <w:rsid w:val="00D2292B"/>
    <w:rsid w:val="00D22A01"/>
    <w:rsid w:val="00D22A07"/>
    <w:rsid w:val="00D22B7E"/>
    <w:rsid w:val="00D22CB2"/>
    <w:rsid w:val="00D22CE4"/>
    <w:rsid w:val="00D22D2D"/>
    <w:rsid w:val="00D22D53"/>
    <w:rsid w:val="00D22D9F"/>
    <w:rsid w:val="00D22DDF"/>
    <w:rsid w:val="00D22E1A"/>
    <w:rsid w:val="00D22E54"/>
    <w:rsid w:val="00D22EF2"/>
    <w:rsid w:val="00D22F0D"/>
    <w:rsid w:val="00D22F29"/>
    <w:rsid w:val="00D22F63"/>
    <w:rsid w:val="00D23073"/>
    <w:rsid w:val="00D231BD"/>
    <w:rsid w:val="00D232C4"/>
    <w:rsid w:val="00D2333E"/>
    <w:rsid w:val="00D23342"/>
    <w:rsid w:val="00D2335E"/>
    <w:rsid w:val="00D233B9"/>
    <w:rsid w:val="00D23424"/>
    <w:rsid w:val="00D23488"/>
    <w:rsid w:val="00D234EF"/>
    <w:rsid w:val="00D23568"/>
    <w:rsid w:val="00D2356D"/>
    <w:rsid w:val="00D23582"/>
    <w:rsid w:val="00D235E8"/>
    <w:rsid w:val="00D23627"/>
    <w:rsid w:val="00D23711"/>
    <w:rsid w:val="00D23744"/>
    <w:rsid w:val="00D237FC"/>
    <w:rsid w:val="00D238C8"/>
    <w:rsid w:val="00D23951"/>
    <w:rsid w:val="00D2396E"/>
    <w:rsid w:val="00D23A12"/>
    <w:rsid w:val="00D23AB6"/>
    <w:rsid w:val="00D23C28"/>
    <w:rsid w:val="00D23CDA"/>
    <w:rsid w:val="00D23DA5"/>
    <w:rsid w:val="00D23DBD"/>
    <w:rsid w:val="00D23EC4"/>
    <w:rsid w:val="00D23F42"/>
    <w:rsid w:val="00D23F82"/>
    <w:rsid w:val="00D23FBE"/>
    <w:rsid w:val="00D24023"/>
    <w:rsid w:val="00D2410C"/>
    <w:rsid w:val="00D2414C"/>
    <w:rsid w:val="00D2416B"/>
    <w:rsid w:val="00D24191"/>
    <w:rsid w:val="00D241C8"/>
    <w:rsid w:val="00D24277"/>
    <w:rsid w:val="00D2429F"/>
    <w:rsid w:val="00D24372"/>
    <w:rsid w:val="00D243BB"/>
    <w:rsid w:val="00D243BE"/>
    <w:rsid w:val="00D24407"/>
    <w:rsid w:val="00D2452B"/>
    <w:rsid w:val="00D2453E"/>
    <w:rsid w:val="00D2461C"/>
    <w:rsid w:val="00D2463D"/>
    <w:rsid w:val="00D24649"/>
    <w:rsid w:val="00D2467F"/>
    <w:rsid w:val="00D24697"/>
    <w:rsid w:val="00D246E0"/>
    <w:rsid w:val="00D246ED"/>
    <w:rsid w:val="00D24780"/>
    <w:rsid w:val="00D247DE"/>
    <w:rsid w:val="00D247E5"/>
    <w:rsid w:val="00D2487D"/>
    <w:rsid w:val="00D249EE"/>
    <w:rsid w:val="00D24A47"/>
    <w:rsid w:val="00D24A51"/>
    <w:rsid w:val="00D24AA8"/>
    <w:rsid w:val="00D24AB6"/>
    <w:rsid w:val="00D24B36"/>
    <w:rsid w:val="00D24D1D"/>
    <w:rsid w:val="00D24D7D"/>
    <w:rsid w:val="00D24E83"/>
    <w:rsid w:val="00D24ED5"/>
    <w:rsid w:val="00D25149"/>
    <w:rsid w:val="00D25213"/>
    <w:rsid w:val="00D25342"/>
    <w:rsid w:val="00D25381"/>
    <w:rsid w:val="00D2538C"/>
    <w:rsid w:val="00D25496"/>
    <w:rsid w:val="00D25544"/>
    <w:rsid w:val="00D25567"/>
    <w:rsid w:val="00D2565D"/>
    <w:rsid w:val="00D25793"/>
    <w:rsid w:val="00D2584B"/>
    <w:rsid w:val="00D25894"/>
    <w:rsid w:val="00D25930"/>
    <w:rsid w:val="00D25958"/>
    <w:rsid w:val="00D259C8"/>
    <w:rsid w:val="00D25A0C"/>
    <w:rsid w:val="00D25A7C"/>
    <w:rsid w:val="00D25AB8"/>
    <w:rsid w:val="00D25B2A"/>
    <w:rsid w:val="00D25BAF"/>
    <w:rsid w:val="00D25BDD"/>
    <w:rsid w:val="00D25BED"/>
    <w:rsid w:val="00D25D05"/>
    <w:rsid w:val="00D25D1B"/>
    <w:rsid w:val="00D25DA4"/>
    <w:rsid w:val="00D25DA9"/>
    <w:rsid w:val="00D25DDD"/>
    <w:rsid w:val="00D25E87"/>
    <w:rsid w:val="00D25EA1"/>
    <w:rsid w:val="00D25F03"/>
    <w:rsid w:val="00D25FA1"/>
    <w:rsid w:val="00D26075"/>
    <w:rsid w:val="00D260EC"/>
    <w:rsid w:val="00D26182"/>
    <w:rsid w:val="00D261A2"/>
    <w:rsid w:val="00D261E6"/>
    <w:rsid w:val="00D26269"/>
    <w:rsid w:val="00D26295"/>
    <w:rsid w:val="00D262D1"/>
    <w:rsid w:val="00D26345"/>
    <w:rsid w:val="00D2634F"/>
    <w:rsid w:val="00D263D1"/>
    <w:rsid w:val="00D26450"/>
    <w:rsid w:val="00D26462"/>
    <w:rsid w:val="00D26542"/>
    <w:rsid w:val="00D2657D"/>
    <w:rsid w:val="00D26588"/>
    <w:rsid w:val="00D265A3"/>
    <w:rsid w:val="00D266B2"/>
    <w:rsid w:val="00D2670C"/>
    <w:rsid w:val="00D2672E"/>
    <w:rsid w:val="00D269DB"/>
    <w:rsid w:val="00D26A0A"/>
    <w:rsid w:val="00D26A14"/>
    <w:rsid w:val="00D26A4F"/>
    <w:rsid w:val="00D26A5B"/>
    <w:rsid w:val="00D26A80"/>
    <w:rsid w:val="00D26AF6"/>
    <w:rsid w:val="00D26B1C"/>
    <w:rsid w:val="00D26B2F"/>
    <w:rsid w:val="00D26B9C"/>
    <w:rsid w:val="00D26BBC"/>
    <w:rsid w:val="00D26C5C"/>
    <w:rsid w:val="00D26CC7"/>
    <w:rsid w:val="00D26DF1"/>
    <w:rsid w:val="00D26E6C"/>
    <w:rsid w:val="00D26ECE"/>
    <w:rsid w:val="00D26F62"/>
    <w:rsid w:val="00D26F9D"/>
    <w:rsid w:val="00D26FAF"/>
    <w:rsid w:val="00D27076"/>
    <w:rsid w:val="00D270F5"/>
    <w:rsid w:val="00D27119"/>
    <w:rsid w:val="00D2713B"/>
    <w:rsid w:val="00D27193"/>
    <w:rsid w:val="00D2723E"/>
    <w:rsid w:val="00D27257"/>
    <w:rsid w:val="00D27301"/>
    <w:rsid w:val="00D27329"/>
    <w:rsid w:val="00D2733D"/>
    <w:rsid w:val="00D2737E"/>
    <w:rsid w:val="00D27440"/>
    <w:rsid w:val="00D2751A"/>
    <w:rsid w:val="00D276A9"/>
    <w:rsid w:val="00D2771B"/>
    <w:rsid w:val="00D27733"/>
    <w:rsid w:val="00D27773"/>
    <w:rsid w:val="00D2777E"/>
    <w:rsid w:val="00D27786"/>
    <w:rsid w:val="00D277A5"/>
    <w:rsid w:val="00D277E9"/>
    <w:rsid w:val="00D27803"/>
    <w:rsid w:val="00D27864"/>
    <w:rsid w:val="00D2790F"/>
    <w:rsid w:val="00D2791A"/>
    <w:rsid w:val="00D2795D"/>
    <w:rsid w:val="00D27978"/>
    <w:rsid w:val="00D279F1"/>
    <w:rsid w:val="00D27A09"/>
    <w:rsid w:val="00D27A63"/>
    <w:rsid w:val="00D27A70"/>
    <w:rsid w:val="00D27AB6"/>
    <w:rsid w:val="00D27AEA"/>
    <w:rsid w:val="00D27B30"/>
    <w:rsid w:val="00D27BB7"/>
    <w:rsid w:val="00D27BC8"/>
    <w:rsid w:val="00D27BCE"/>
    <w:rsid w:val="00D27BF9"/>
    <w:rsid w:val="00D27BFA"/>
    <w:rsid w:val="00D27C26"/>
    <w:rsid w:val="00D27C2C"/>
    <w:rsid w:val="00D27C48"/>
    <w:rsid w:val="00D27D26"/>
    <w:rsid w:val="00D27DC3"/>
    <w:rsid w:val="00D27E2A"/>
    <w:rsid w:val="00D27F14"/>
    <w:rsid w:val="00D27F6A"/>
    <w:rsid w:val="00D27F79"/>
    <w:rsid w:val="00D27F88"/>
    <w:rsid w:val="00D30067"/>
    <w:rsid w:val="00D30114"/>
    <w:rsid w:val="00D3012C"/>
    <w:rsid w:val="00D3016A"/>
    <w:rsid w:val="00D30199"/>
    <w:rsid w:val="00D3024C"/>
    <w:rsid w:val="00D30324"/>
    <w:rsid w:val="00D3037F"/>
    <w:rsid w:val="00D30396"/>
    <w:rsid w:val="00D3043C"/>
    <w:rsid w:val="00D304DB"/>
    <w:rsid w:val="00D30522"/>
    <w:rsid w:val="00D3054B"/>
    <w:rsid w:val="00D30772"/>
    <w:rsid w:val="00D307FB"/>
    <w:rsid w:val="00D307FC"/>
    <w:rsid w:val="00D30823"/>
    <w:rsid w:val="00D308AF"/>
    <w:rsid w:val="00D3090D"/>
    <w:rsid w:val="00D30944"/>
    <w:rsid w:val="00D309CB"/>
    <w:rsid w:val="00D309FC"/>
    <w:rsid w:val="00D30A7F"/>
    <w:rsid w:val="00D30A9F"/>
    <w:rsid w:val="00D30B0B"/>
    <w:rsid w:val="00D30BC0"/>
    <w:rsid w:val="00D30BF3"/>
    <w:rsid w:val="00D30C68"/>
    <w:rsid w:val="00D30CBE"/>
    <w:rsid w:val="00D30E44"/>
    <w:rsid w:val="00D30E4E"/>
    <w:rsid w:val="00D30E8B"/>
    <w:rsid w:val="00D30EFD"/>
    <w:rsid w:val="00D30F80"/>
    <w:rsid w:val="00D30FB6"/>
    <w:rsid w:val="00D30FD7"/>
    <w:rsid w:val="00D30FDC"/>
    <w:rsid w:val="00D31001"/>
    <w:rsid w:val="00D3102C"/>
    <w:rsid w:val="00D31040"/>
    <w:rsid w:val="00D31059"/>
    <w:rsid w:val="00D310A8"/>
    <w:rsid w:val="00D31151"/>
    <w:rsid w:val="00D31206"/>
    <w:rsid w:val="00D31231"/>
    <w:rsid w:val="00D3125E"/>
    <w:rsid w:val="00D31273"/>
    <w:rsid w:val="00D3127E"/>
    <w:rsid w:val="00D31280"/>
    <w:rsid w:val="00D313C0"/>
    <w:rsid w:val="00D31422"/>
    <w:rsid w:val="00D31488"/>
    <w:rsid w:val="00D314E1"/>
    <w:rsid w:val="00D3157A"/>
    <w:rsid w:val="00D315CD"/>
    <w:rsid w:val="00D31670"/>
    <w:rsid w:val="00D3170C"/>
    <w:rsid w:val="00D317B3"/>
    <w:rsid w:val="00D317FB"/>
    <w:rsid w:val="00D3187C"/>
    <w:rsid w:val="00D3188F"/>
    <w:rsid w:val="00D318F7"/>
    <w:rsid w:val="00D31920"/>
    <w:rsid w:val="00D31937"/>
    <w:rsid w:val="00D31961"/>
    <w:rsid w:val="00D319EB"/>
    <w:rsid w:val="00D31A2C"/>
    <w:rsid w:val="00D31A72"/>
    <w:rsid w:val="00D31A7F"/>
    <w:rsid w:val="00D31A81"/>
    <w:rsid w:val="00D31BE1"/>
    <w:rsid w:val="00D31C5D"/>
    <w:rsid w:val="00D31C7A"/>
    <w:rsid w:val="00D31C9A"/>
    <w:rsid w:val="00D31CBF"/>
    <w:rsid w:val="00D31D2B"/>
    <w:rsid w:val="00D31E80"/>
    <w:rsid w:val="00D3209B"/>
    <w:rsid w:val="00D320AE"/>
    <w:rsid w:val="00D320EA"/>
    <w:rsid w:val="00D3211A"/>
    <w:rsid w:val="00D32154"/>
    <w:rsid w:val="00D3217A"/>
    <w:rsid w:val="00D32202"/>
    <w:rsid w:val="00D32282"/>
    <w:rsid w:val="00D3241A"/>
    <w:rsid w:val="00D3242E"/>
    <w:rsid w:val="00D3252F"/>
    <w:rsid w:val="00D32558"/>
    <w:rsid w:val="00D32610"/>
    <w:rsid w:val="00D3262B"/>
    <w:rsid w:val="00D3280D"/>
    <w:rsid w:val="00D328B9"/>
    <w:rsid w:val="00D32998"/>
    <w:rsid w:val="00D32AD3"/>
    <w:rsid w:val="00D32AEE"/>
    <w:rsid w:val="00D32BBD"/>
    <w:rsid w:val="00D32BD7"/>
    <w:rsid w:val="00D32BE8"/>
    <w:rsid w:val="00D32BF4"/>
    <w:rsid w:val="00D32D52"/>
    <w:rsid w:val="00D32DEC"/>
    <w:rsid w:val="00D32DEE"/>
    <w:rsid w:val="00D32E02"/>
    <w:rsid w:val="00D32E08"/>
    <w:rsid w:val="00D32E2F"/>
    <w:rsid w:val="00D32E98"/>
    <w:rsid w:val="00D32EA6"/>
    <w:rsid w:val="00D32F6B"/>
    <w:rsid w:val="00D33040"/>
    <w:rsid w:val="00D33053"/>
    <w:rsid w:val="00D3309B"/>
    <w:rsid w:val="00D330AD"/>
    <w:rsid w:val="00D330C4"/>
    <w:rsid w:val="00D330E0"/>
    <w:rsid w:val="00D33136"/>
    <w:rsid w:val="00D33196"/>
    <w:rsid w:val="00D331A1"/>
    <w:rsid w:val="00D331BC"/>
    <w:rsid w:val="00D331CA"/>
    <w:rsid w:val="00D3327C"/>
    <w:rsid w:val="00D3328F"/>
    <w:rsid w:val="00D333D9"/>
    <w:rsid w:val="00D3344D"/>
    <w:rsid w:val="00D3346B"/>
    <w:rsid w:val="00D3358C"/>
    <w:rsid w:val="00D335B6"/>
    <w:rsid w:val="00D335EC"/>
    <w:rsid w:val="00D33610"/>
    <w:rsid w:val="00D33618"/>
    <w:rsid w:val="00D33620"/>
    <w:rsid w:val="00D337CB"/>
    <w:rsid w:val="00D33877"/>
    <w:rsid w:val="00D3395E"/>
    <w:rsid w:val="00D33961"/>
    <w:rsid w:val="00D33A1C"/>
    <w:rsid w:val="00D33A41"/>
    <w:rsid w:val="00D33A4D"/>
    <w:rsid w:val="00D33AAC"/>
    <w:rsid w:val="00D33B20"/>
    <w:rsid w:val="00D33B55"/>
    <w:rsid w:val="00D33B8F"/>
    <w:rsid w:val="00D33C58"/>
    <w:rsid w:val="00D33C89"/>
    <w:rsid w:val="00D33C9A"/>
    <w:rsid w:val="00D33D2C"/>
    <w:rsid w:val="00D33D49"/>
    <w:rsid w:val="00D33D5F"/>
    <w:rsid w:val="00D33FFA"/>
    <w:rsid w:val="00D34050"/>
    <w:rsid w:val="00D3406F"/>
    <w:rsid w:val="00D3408E"/>
    <w:rsid w:val="00D340E4"/>
    <w:rsid w:val="00D340FD"/>
    <w:rsid w:val="00D34105"/>
    <w:rsid w:val="00D3411A"/>
    <w:rsid w:val="00D3413A"/>
    <w:rsid w:val="00D341CE"/>
    <w:rsid w:val="00D341F7"/>
    <w:rsid w:val="00D343D9"/>
    <w:rsid w:val="00D343DF"/>
    <w:rsid w:val="00D3445A"/>
    <w:rsid w:val="00D34581"/>
    <w:rsid w:val="00D34618"/>
    <w:rsid w:val="00D346E0"/>
    <w:rsid w:val="00D346FE"/>
    <w:rsid w:val="00D34713"/>
    <w:rsid w:val="00D34760"/>
    <w:rsid w:val="00D347C2"/>
    <w:rsid w:val="00D3485F"/>
    <w:rsid w:val="00D348ED"/>
    <w:rsid w:val="00D34929"/>
    <w:rsid w:val="00D34938"/>
    <w:rsid w:val="00D34B08"/>
    <w:rsid w:val="00D34B49"/>
    <w:rsid w:val="00D34BC8"/>
    <w:rsid w:val="00D34C28"/>
    <w:rsid w:val="00D34CE4"/>
    <w:rsid w:val="00D34D19"/>
    <w:rsid w:val="00D34DD7"/>
    <w:rsid w:val="00D34DFF"/>
    <w:rsid w:val="00D34F30"/>
    <w:rsid w:val="00D350CB"/>
    <w:rsid w:val="00D350DE"/>
    <w:rsid w:val="00D35181"/>
    <w:rsid w:val="00D35196"/>
    <w:rsid w:val="00D35232"/>
    <w:rsid w:val="00D3525C"/>
    <w:rsid w:val="00D35274"/>
    <w:rsid w:val="00D352E8"/>
    <w:rsid w:val="00D353AA"/>
    <w:rsid w:val="00D354A0"/>
    <w:rsid w:val="00D35503"/>
    <w:rsid w:val="00D35514"/>
    <w:rsid w:val="00D355A3"/>
    <w:rsid w:val="00D3562F"/>
    <w:rsid w:val="00D356EB"/>
    <w:rsid w:val="00D3576F"/>
    <w:rsid w:val="00D3580B"/>
    <w:rsid w:val="00D35888"/>
    <w:rsid w:val="00D35897"/>
    <w:rsid w:val="00D358FF"/>
    <w:rsid w:val="00D3593F"/>
    <w:rsid w:val="00D3594B"/>
    <w:rsid w:val="00D35A0C"/>
    <w:rsid w:val="00D35A13"/>
    <w:rsid w:val="00D35A32"/>
    <w:rsid w:val="00D35A7E"/>
    <w:rsid w:val="00D35B4D"/>
    <w:rsid w:val="00D35B5C"/>
    <w:rsid w:val="00D35C8C"/>
    <w:rsid w:val="00D35C93"/>
    <w:rsid w:val="00D35CCB"/>
    <w:rsid w:val="00D35D84"/>
    <w:rsid w:val="00D35E97"/>
    <w:rsid w:val="00D35EA5"/>
    <w:rsid w:val="00D35EB5"/>
    <w:rsid w:val="00D35EEB"/>
    <w:rsid w:val="00D35F10"/>
    <w:rsid w:val="00D35F27"/>
    <w:rsid w:val="00D35F99"/>
    <w:rsid w:val="00D35FFF"/>
    <w:rsid w:val="00D3604B"/>
    <w:rsid w:val="00D3608C"/>
    <w:rsid w:val="00D360E8"/>
    <w:rsid w:val="00D360FF"/>
    <w:rsid w:val="00D36106"/>
    <w:rsid w:val="00D36139"/>
    <w:rsid w:val="00D36158"/>
    <w:rsid w:val="00D36193"/>
    <w:rsid w:val="00D361A5"/>
    <w:rsid w:val="00D361EA"/>
    <w:rsid w:val="00D36307"/>
    <w:rsid w:val="00D36324"/>
    <w:rsid w:val="00D3637A"/>
    <w:rsid w:val="00D36450"/>
    <w:rsid w:val="00D36467"/>
    <w:rsid w:val="00D364A8"/>
    <w:rsid w:val="00D364E2"/>
    <w:rsid w:val="00D364F5"/>
    <w:rsid w:val="00D364FA"/>
    <w:rsid w:val="00D36503"/>
    <w:rsid w:val="00D36577"/>
    <w:rsid w:val="00D36591"/>
    <w:rsid w:val="00D3668D"/>
    <w:rsid w:val="00D36738"/>
    <w:rsid w:val="00D36757"/>
    <w:rsid w:val="00D3676B"/>
    <w:rsid w:val="00D367A7"/>
    <w:rsid w:val="00D367FB"/>
    <w:rsid w:val="00D36855"/>
    <w:rsid w:val="00D368D8"/>
    <w:rsid w:val="00D36A28"/>
    <w:rsid w:val="00D36A3D"/>
    <w:rsid w:val="00D36AF5"/>
    <w:rsid w:val="00D36B71"/>
    <w:rsid w:val="00D36D37"/>
    <w:rsid w:val="00D36D41"/>
    <w:rsid w:val="00D36D86"/>
    <w:rsid w:val="00D36D87"/>
    <w:rsid w:val="00D36DB3"/>
    <w:rsid w:val="00D36DEC"/>
    <w:rsid w:val="00D36E4A"/>
    <w:rsid w:val="00D36E98"/>
    <w:rsid w:val="00D36EFC"/>
    <w:rsid w:val="00D36F8D"/>
    <w:rsid w:val="00D371AD"/>
    <w:rsid w:val="00D37277"/>
    <w:rsid w:val="00D372EB"/>
    <w:rsid w:val="00D37300"/>
    <w:rsid w:val="00D3739F"/>
    <w:rsid w:val="00D3744D"/>
    <w:rsid w:val="00D374E8"/>
    <w:rsid w:val="00D37546"/>
    <w:rsid w:val="00D3756D"/>
    <w:rsid w:val="00D37688"/>
    <w:rsid w:val="00D376B0"/>
    <w:rsid w:val="00D37767"/>
    <w:rsid w:val="00D37807"/>
    <w:rsid w:val="00D37876"/>
    <w:rsid w:val="00D3787F"/>
    <w:rsid w:val="00D378CA"/>
    <w:rsid w:val="00D378D7"/>
    <w:rsid w:val="00D379B5"/>
    <w:rsid w:val="00D379CE"/>
    <w:rsid w:val="00D379FB"/>
    <w:rsid w:val="00D37A14"/>
    <w:rsid w:val="00D37AFF"/>
    <w:rsid w:val="00D37B11"/>
    <w:rsid w:val="00D37B45"/>
    <w:rsid w:val="00D37B71"/>
    <w:rsid w:val="00D37C66"/>
    <w:rsid w:val="00D37C6E"/>
    <w:rsid w:val="00D37D1C"/>
    <w:rsid w:val="00D37D23"/>
    <w:rsid w:val="00D37D27"/>
    <w:rsid w:val="00D37D7D"/>
    <w:rsid w:val="00D37EC8"/>
    <w:rsid w:val="00D37EEF"/>
    <w:rsid w:val="00D37F36"/>
    <w:rsid w:val="00D37F9C"/>
    <w:rsid w:val="00D37F9E"/>
    <w:rsid w:val="00D37FCE"/>
    <w:rsid w:val="00D4001E"/>
    <w:rsid w:val="00D4007F"/>
    <w:rsid w:val="00D40111"/>
    <w:rsid w:val="00D401D4"/>
    <w:rsid w:val="00D401EB"/>
    <w:rsid w:val="00D4020B"/>
    <w:rsid w:val="00D40225"/>
    <w:rsid w:val="00D4027A"/>
    <w:rsid w:val="00D402E1"/>
    <w:rsid w:val="00D403D0"/>
    <w:rsid w:val="00D404F5"/>
    <w:rsid w:val="00D4052D"/>
    <w:rsid w:val="00D4056B"/>
    <w:rsid w:val="00D405BA"/>
    <w:rsid w:val="00D405DA"/>
    <w:rsid w:val="00D40615"/>
    <w:rsid w:val="00D40620"/>
    <w:rsid w:val="00D406D0"/>
    <w:rsid w:val="00D407C1"/>
    <w:rsid w:val="00D40854"/>
    <w:rsid w:val="00D40A18"/>
    <w:rsid w:val="00D40B87"/>
    <w:rsid w:val="00D40C26"/>
    <w:rsid w:val="00D40CC5"/>
    <w:rsid w:val="00D40CE9"/>
    <w:rsid w:val="00D40CF7"/>
    <w:rsid w:val="00D40D35"/>
    <w:rsid w:val="00D40D4D"/>
    <w:rsid w:val="00D40E70"/>
    <w:rsid w:val="00D40E93"/>
    <w:rsid w:val="00D40F7D"/>
    <w:rsid w:val="00D4118D"/>
    <w:rsid w:val="00D412C5"/>
    <w:rsid w:val="00D41352"/>
    <w:rsid w:val="00D413DC"/>
    <w:rsid w:val="00D414E0"/>
    <w:rsid w:val="00D4155D"/>
    <w:rsid w:val="00D41630"/>
    <w:rsid w:val="00D416BB"/>
    <w:rsid w:val="00D4179A"/>
    <w:rsid w:val="00D4180E"/>
    <w:rsid w:val="00D41813"/>
    <w:rsid w:val="00D41892"/>
    <w:rsid w:val="00D41902"/>
    <w:rsid w:val="00D41948"/>
    <w:rsid w:val="00D41996"/>
    <w:rsid w:val="00D41A4E"/>
    <w:rsid w:val="00D41A5E"/>
    <w:rsid w:val="00D41ADF"/>
    <w:rsid w:val="00D41B4B"/>
    <w:rsid w:val="00D41B6B"/>
    <w:rsid w:val="00D41C46"/>
    <w:rsid w:val="00D41DBE"/>
    <w:rsid w:val="00D41E1B"/>
    <w:rsid w:val="00D41E83"/>
    <w:rsid w:val="00D41EB3"/>
    <w:rsid w:val="00D41EC0"/>
    <w:rsid w:val="00D41FA7"/>
    <w:rsid w:val="00D41FAE"/>
    <w:rsid w:val="00D41FED"/>
    <w:rsid w:val="00D42083"/>
    <w:rsid w:val="00D421B6"/>
    <w:rsid w:val="00D4221A"/>
    <w:rsid w:val="00D42377"/>
    <w:rsid w:val="00D4237D"/>
    <w:rsid w:val="00D4264F"/>
    <w:rsid w:val="00D42720"/>
    <w:rsid w:val="00D42800"/>
    <w:rsid w:val="00D42816"/>
    <w:rsid w:val="00D42942"/>
    <w:rsid w:val="00D42A06"/>
    <w:rsid w:val="00D42A4F"/>
    <w:rsid w:val="00D42AD9"/>
    <w:rsid w:val="00D42B02"/>
    <w:rsid w:val="00D42BC0"/>
    <w:rsid w:val="00D42CF3"/>
    <w:rsid w:val="00D42DE0"/>
    <w:rsid w:val="00D42E11"/>
    <w:rsid w:val="00D42E4B"/>
    <w:rsid w:val="00D42F5A"/>
    <w:rsid w:val="00D42F5B"/>
    <w:rsid w:val="00D42FE2"/>
    <w:rsid w:val="00D42FEF"/>
    <w:rsid w:val="00D430A4"/>
    <w:rsid w:val="00D430F2"/>
    <w:rsid w:val="00D43134"/>
    <w:rsid w:val="00D43137"/>
    <w:rsid w:val="00D4313E"/>
    <w:rsid w:val="00D4317E"/>
    <w:rsid w:val="00D43195"/>
    <w:rsid w:val="00D4319E"/>
    <w:rsid w:val="00D43227"/>
    <w:rsid w:val="00D43245"/>
    <w:rsid w:val="00D4326E"/>
    <w:rsid w:val="00D4329A"/>
    <w:rsid w:val="00D43311"/>
    <w:rsid w:val="00D4333E"/>
    <w:rsid w:val="00D43369"/>
    <w:rsid w:val="00D4337E"/>
    <w:rsid w:val="00D433B8"/>
    <w:rsid w:val="00D4345D"/>
    <w:rsid w:val="00D434B9"/>
    <w:rsid w:val="00D43542"/>
    <w:rsid w:val="00D43577"/>
    <w:rsid w:val="00D4358A"/>
    <w:rsid w:val="00D43601"/>
    <w:rsid w:val="00D4361C"/>
    <w:rsid w:val="00D4370F"/>
    <w:rsid w:val="00D43774"/>
    <w:rsid w:val="00D43897"/>
    <w:rsid w:val="00D43974"/>
    <w:rsid w:val="00D43987"/>
    <w:rsid w:val="00D439AB"/>
    <w:rsid w:val="00D439B4"/>
    <w:rsid w:val="00D43A70"/>
    <w:rsid w:val="00D43AF6"/>
    <w:rsid w:val="00D43B7E"/>
    <w:rsid w:val="00D43CA5"/>
    <w:rsid w:val="00D43CCD"/>
    <w:rsid w:val="00D43D0C"/>
    <w:rsid w:val="00D43D8C"/>
    <w:rsid w:val="00D43DEB"/>
    <w:rsid w:val="00D43E27"/>
    <w:rsid w:val="00D43E37"/>
    <w:rsid w:val="00D43EEA"/>
    <w:rsid w:val="00D43EF0"/>
    <w:rsid w:val="00D43F37"/>
    <w:rsid w:val="00D43FB9"/>
    <w:rsid w:val="00D43FCF"/>
    <w:rsid w:val="00D44056"/>
    <w:rsid w:val="00D440A0"/>
    <w:rsid w:val="00D4415B"/>
    <w:rsid w:val="00D44184"/>
    <w:rsid w:val="00D441E2"/>
    <w:rsid w:val="00D44279"/>
    <w:rsid w:val="00D44289"/>
    <w:rsid w:val="00D442AC"/>
    <w:rsid w:val="00D442FD"/>
    <w:rsid w:val="00D44370"/>
    <w:rsid w:val="00D4437D"/>
    <w:rsid w:val="00D44383"/>
    <w:rsid w:val="00D4449A"/>
    <w:rsid w:val="00D4455F"/>
    <w:rsid w:val="00D44561"/>
    <w:rsid w:val="00D445BE"/>
    <w:rsid w:val="00D446E6"/>
    <w:rsid w:val="00D44754"/>
    <w:rsid w:val="00D447E8"/>
    <w:rsid w:val="00D448B5"/>
    <w:rsid w:val="00D4492D"/>
    <w:rsid w:val="00D44988"/>
    <w:rsid w:val="00D44989"/>
    <w:rsid w:val="00D4499F"/>
    <w:rsid w:val="00D449AD"/>
    <w:rsid w:val="00D449F5"/>
    <w:rsid w:val="00D44A62"/>
    <w:rsid w:val="00D44D53"/>
    <w:rsid w:val="00D44E22"/>
    <w:rsid w:val="00D44FB8"/>
    <w:rsid w:val="00D45071"/>
    <w:rsid w:val="00D450B8"/>
    <w:rsid w:val="00D450BB"/>
    <w:rsid w:val="00D450E2"/>
    <w:rsid w:val="00D450E6"/>
    <w:rsid w:val="00D4514A"/>
    <w:rsid w:val="00D452AB"/>
    <w:rsid w:val="00D4530C"/>
    <w:rsid w:val="00D453A0"/>
    <w:rsid w:val="00D453FC"/>
    <w:rsid w:val="00D45431"/>
    <w:rsid w:val="00D454FE"/>
    <w:rsid w:val="00D45539"/>
    <w:rsid w:val="00D4559B"/>
    <w:rsid w:val="00D45676"/>
    <w:rsid w:val="00D4579D"/>
    <w:rsid w:val="00D457B3"/>
    <w:rsid w:val="00D457E7"/>
    <w:rsid w:val="00D45960"/>
    <w:rsid w:val="00D45993"/>
    <w:rsid w:val="00D459A1"/>
    <w:rsid w:val="00D45A01"/>
    <w:rsid w:val="00D45A0C"/>
    <w:rsid w:val="00D45A74"/>
    <w:rsid w:val="00D45A79"/>
    <w:rsid w:val="00D45AD5"/>
    <w:rsid w:val="00D45AF2"/>
    <w:rsid w:val="00D45BB1"/>
    <w:rsid w:val="00D45C7D"/>
    <w:rsid w:val="00D45D2D"/>
    <w:rsid w:val="00D45D34"/>
    <w:rsid w:val="00D45D7C"/>
    <w:rsid w:val="00D45EA9"/>
    <w:rsid w:val="00D45EE4"/>
    <w:rsid w:val="00D45EEE"/>
    <w:rsid w:val="00D45F53"/>
    <w:rsid w:val="00D45F7F"/>
    <w:rsid w:val="00D45F8C"/>
    <w:rsid w:val="00D46013"/>
    <w:rsid w:val="00D4604A"/>
    <w:rsid w:val="00D4611B"/>
    <w:rsid w:val="00D462B7"/>
    <w:rsid w:val="00D46306"/>
    <w:rsid w:val="00D46358"/>
    <w:rsid w:val="00D4636A"/>
    <w:rsid w:val="00D463E5"/>
    <w:rsid w:val="00D46421"/>
    <w:rsid w:val="00D46490"/>
    <w:rsid w:val="00D46544"/>
    <w:rsid w:val="00D46573"/>
    <w:rsid w:val="00D46646"/>
    <w:rsid w:val="00D4669F"/>
    <w:rsid w:val="00D46783"/>
    <w:rsid w:val="00D467B6"/>
    <w:rsid w:val="00D46872"/>
    <w:rsid w:val="00D46889"/>
    <w:rsid w:val="00D46A1E"/>
    <w:rsid w:val="00D46A70"/>
    <w:rsid w:val="00D46BF8"/>
    <w:rsid w:val="00D46C1D"/>
    <w:rsid w:val="00D46CB0"/>
    <w:rsid w:val="00D46CB9"/>
    <w:rsid w:val="00D46CC7"/>
    <w:rsid w:val="00D46D6E"/>
    <w:rsid w:val="00D46F3E"/>
    <w:rsid w:val="00D47051"/>
    <w:rsid w:val="00D47060"/>
    <w:rsid w:val="00D470B6"/>
    <w:rsid w:val="00D470D6"/>
    <w:rsid w:val="00D4710D"/>
    <w:rsid w:val="00D47126"/>
    <w:rsid w:val="00D47136"/>
    <w:rsid w:val="00D4718D"/>
    <w:rsid w:val="00D47207"/>
    <w:rsid w:val="00D47226"/>
    <w:rsid w:val="00D47314"/>
    <w:rsid w:val="00D47441"/>
    <w:rsid w:val="00D474DF"/>
    <w:rsid w:val="00D47523"/>
    <w:rsid w:val="00D47545"/>
    <w:rsid w:val="00D47558"/>
    <w:rsid w:val="00D47651"/>
    <w:rsid w:val="00D4767B"/>
    <w:rsid w:val="00D47691"/>
    <w:rsid w:val="00D476C9"/>
    <w:rsid w:val="00D47746"/>
    <w:rsid w:val="00D477A6"/>
    <w:rsid w:val="00D47805"/>
    <w:rsid w:val="00D4783A"/>
    <w:rsid w:val="00D478C7"/>
    <w:rsid w:val="00D47A20"/>
    <w:rsid w:val="00D47A4C"/>
    <w:rsid w:val="00D47B68"/>
    <w:rsid w:val="00D47BA2"/>
    <w:rsid w:val="00D47BA7"/>
    <w:rsid w:val="00D47C0E"/>
    <w:rsid w:val="00D47C89"/>
    <w:rsid w:val="00D47CF1"/>
    <w:rsid w:val="00D47D0A"/>
    <w:rsid w:val="00D47D18"/>
    <w:rsid w:val="00D47D20"/>
    <w:rsid w:val="00D47E1F"/>
    <w:rsid w:val="00D47F4D"/>
    <w:rsid w:val="00D47FCE"/>
    <w:rsid w:val="00D47FF2"/>
    <w:rsid w:val="00D5006E"/>
    <w:rsid w:val="00D500F0"/>
    <w:rsid w:val="00D5022D"/>
    <w:rsid w:val="00D50339"/>
    <w:rsid w:val="00D5033F"/>
    <w:rsid w:val="00D50360"/>
    <w:rsid w:val="00D50372"/>
    <w:rsid w:val="00D503EA"/>
    <w:rsid w:val="00D5046C"/>
    <w:rsid w:val="00D504B2"/>
    <w:rsid w:val="00D504F9"/>
    <w:rsid w:val="00D50504"/>
    <w:rsid w:val="00D5055A"/>
    <w:rsid w:val="00D50567"/>
    <w:rsid w:val="00D50640"/>
    <w:rsid w:val="00D50677"/>
    <w:rsid w:val="00D506A4"/>
    <w:rsid w:val="00D506B0"/>
    <w:rsid w:val="00D507A3"/>
    <w:rsid w:val="00D507BC"/>
    <w:rsid w:val="00D507CE"/>
    <w:rsid w:val="00D50892"/>
    <w:rsid w:val="00D50959"/>
    <w:rsid w:val="00D50B15"/>
    <w:rsid w:val="00D50B17"/>
    <w:rsid w:val="00D50B6B"/>
    <w:rsid w:val="00D50B98"/>
    <w:rsid w:val="00D50BAD"/>
    <w:rsid w:val="00D50C6D"/>
    <w:rsid w:val="00D50C8E"/>
    <w:rsid w:val="00D50D3E"/>
    <w:rsid w:val="00D50E02"/>
    <w:rsid w:val="00D50E2E"/>
    <w:rsid w:val="00D50E69"/>
    <w:rsid w:val="00D50EFF"/>
    <w:rsid w:val="00D50F14"/>
    <w:rsid w:val="00D50F54"/>
    <w:rsid w:val="00D50F6D"/>
    <w:rsid w:val="00D50FEF"/>
    <w:rsid w:val="00D510D6"/>
    <w:rsid w:val="00D510FE"/>
    <w:rsid w:val="00D51187"/>
    <w:rsid w:val="00D51197"/>
    <w:rsid w:val="00D511EC"/>
    <w:rsid w:val="00D511F8"/>
    <w:rsid w:val="00D51251"/>
    <w:rsid w:val="00D5128F"/>
    <w:rsid w:val="00D512DB"/>
    <w:rsid w:val="00D512F5"/>
    <w:rsid w:val="00D51343"/>
    <w:rsid w:val="00D513E7"/>
    <w:rsid w:val="00D51537"/>
    <w:rsid w:val="00D515A2"/>
    <w:rsid w:val="00D515A8"/>
    <w:rsid w:val="00D5164D"/>
    <w:rsid w:val="00D5172B"/>
    <w:rsid w:val="00D5176D"/>
    <w:rsid w:val="00D517B3"/>
    <w:rsid w:val="00D517D2"/>
    <w:rsid w:val="00D517ED"/>
    <w:rsid w:val="00D51871"/>
    <w:rsid w:val="00D51A98"/>
    <w:rsid w:val="00D51B3E"/>
    <w:rsid w:val="00D51B70"/>
    <w:rsid w:val="00D51BCD"/>
    <w:rsid w:val="00D51BD2"/>
    <w:rsid w:val="00D51C17"/>
    <w:rsid w:val="00D51C32"/>
    <w:rsid w:val="00D51C54"/>
    <w:rsid w:val="00D51C81"/>
    <w:rsid w:val="00D51CF6"/>
    <w:rsid w:val="00D51D0E"/>
    <w:rsid w:val="00D51E26"/>
    <w:rsid w:val="00D51E48"/>
    <w:rsid w:val="00D51E53"/>
    <w:rsid w:val="00D51E86"/>
    <w:rsid w:val="00D51EA4"/>
    <w:rsid w:val="00D51EC8"/>
    <w:rsid w:val="00D51F20"/>
    <w:rsid w:val="00D51F37"/>
    <w:rsid w:val="00D5200B"/>
    <w:rsid w:val="00D52023"/>
    <w:rsid w:val="00D52072"/>
    <w:rsid w:val="00D5210C"/>
    <w:rsid w:val="00D5230C"/>
    <w:rsid w:val="00D52434"/>
    <w:rsid w:val="00D52486"/>
    <w:rsid w:val="00D524B6"/>
    <w:rsid w:val="00D525F5"/>
    <w:rsid w:val="00D5263B"/>
    <w:rsid w:val="00D528A4"/>
    <w:rsid w:val="00D528D2"/>
    <w:rsid w:val="00D5290B"/>
    <w:rsid w:val="00D52928"/>
    <w:rsid w:val="00D52962"/>
    <w:rsid w:val="00D52985"/>
    <w:rsid w:val="00D5299A"/>
    <w:rsid w:val="00D529B3"/>
    <w:rsid w:val="00D52A16"/>
    <w:rsid w:val="00D52A3D"/>
    <w:rsid w:val="00D52A9E"/>
    <w:rsid w:val="00D52BC0"/>
    <w:rsid w:val="00D52CB7"/>
    <w:rsid w:val="00D52D3C"/>
    <w:rsid w:val="00D52D3F"/>
    <w:rsid w:val="00D52D62"/>
    <w:rsid w:val="00D52D7D"/>
    <w:rsid w:val="00D52EA9"/>
    <w:rsid w:val="00D52EBC"/>
    <w:rsid w:val="00D52FB3"/>
    <w:rsid w:val="00D5301E"/>
    <w:rsid w:val="00D53042"/>
    <w:rsid w:val="00D53094"/>
    <w:rsid w:val="00D5312F"/>
    <w:rsid w:val="00D53251"/>
    <w:rsid w:val="00D5326F"/>
    <w:rsid w:val="00D53273"/>
    <w:rsid w:val="00D53320"/>
    <w:rsid w:val="00D53460"/>
    <w:rsid w:val="00D534F7"/>
    <w:rsid w:val="00D53562"/>
    <w:rsid w:val="00D53615"/>
    <w:rsid w:val="00D53636"/>
    <w:rsid w:val="00D53723"/>
    <w:rsid w:val="00D5383C"/>
    <w:rsid w:val="00D538CE"/>
    <w:rsid w:val="00D538DF"/>
    <w:rsid w:val="00D53919"/>
    <w:rsid w:val="00D53961"/>
    <w:rsid w:val="00D5397F"/>
    <w:rsid w:val="00D5398D"/>
    <w:rsid w:val="00D539E6"/>
    <w:rsid w:val="00D53A3A"/>
    <w:rsid w:val="00D53B2E"/>
    <w:rsid w:val="00D53B59"/>
    <w:rsid w:val="00D53BD4"/>
    <w:rsid w:val="00D53BF5"/>
    <w:rsid w:val="00D53ED5"/>
    <w:rsid w:val="00D53FFF"/>
    <w:rsid w:val="00D540F7"/>
    <w:rsid w:val="00D5418B"/>
    <w:rsid w:val="00D5419E"/>
    <w:rsid w:val="00D541FA"/>
    <w:rsid w:val="00D541FB"/>
    <w:rsid w:val="00D54227"/>
    <w:rsid w:val="00D54341"/>
    <w:rsid w:val="00D543F1"/>
    <w:rsid w:val="00D54421"/>
    <w:rsid w:val="00D54442"/>
    <w:rsid w:val="00D544E9"/>
    <w:rsid w:val="00D54595"/>
    <w:rsid w:val="00D545B1"/>
    <w:rsid w:val="00D54627"/>
    <w:rsid w:val="00D54683"/>
    <w:rsid w:val="00D54775"/>
    <w:rsid w:val="00D547D9"/>
    <w:rsid w:val="00D54841"/>
    <w:rsid w:val="00D54905"/>
    <w:rsid w:val="00D54919"/>
    <w:rsid w:val="00D549D5"/>
    <w:rsid w:val="00D549E9"/>
    <w:rsid w:val="00D54A4D"/>
    <w:rsid w:val="00D54ACD"/>
    <w:rsid w:val="00D54BBC"/>
    <w:rsid w:val="00D54C07"/>
    <w:rsid w:val="00D54D34"/>
    <w:rsid w:val="00D54D71"/>
    <w:rsid w:val="00D54DB1"/>
    <w:rsid w:val="00D54DCA"/>
    <w:rsid w:val="00D54E60"/>
    <w:rsid w:val="00D54E64"/>
    <w:rsid w:val="00D54EC5"/>
    <w:rsid w:val="00D54EF8"/>
    <w:rsid w:val="00D55019"/>
    <w:rsid w:val="00D55026"/>
    <w:rsid w:val="00D550BA"/>
    <w:rsid w:val="00D55137"/>
    <w:rsid w:val="00D551D2"/>
    <w:rsid w:val="00D554A4"/>
    <w:rsid w:val="00D554ED"/>
    <w:rsid w:val="00D5553E"/>
    <w:rsid w:val="00D555AD"/>
    <w:rsid w:val="00D55627"/>
    <w:rsid w:val="00D55660"/>
    <w:rsid w:val="00D556C7"/>
    <w:rsid w:val="00D5570E"/>
    <w:rsid w:val="00D55756"/>
    <w:rsid w:val="00D557D9"/>
    <w:rsid w:val="00D558A0"/>
    <w:rsid w:val="00D558FB"/>
    <w:rsid w:val="00D55919"/>
    <w:rsid w:val="00D5597F"/>
    <w:rsid w:val="00D559BB"/>
    <w:rsid w:val="00D55BCC"/>
    <w:rsid w:val="00D55C02"/>
    <w:rsid w:val="00D55D40"/>
    <w:rsid w:val="00D55D98"/>
    <w:rsid w:val="00D55E27"/>
    <w:rsid w:val="00D55E64"/>
    <w:rsid w:val="00D55EC6"/>
    <w:rsid w:val="00D55FB5"/>
    <w:rsid w:val="00D56140"/>
    <w:rsid w:val="00D56215"/>
    <w:rsid w:val="00D56248"/>
    <w:rsid w:val="00D5624A"/>
    <w:rsid w:val="00D5624E"/>
    <w:rsid w:val="00D5632A"/>
    <w:rsid w:val="00D563BD"/>
    <w:rsid w:val="00D5640B"/>
    <w:rsid w:val="00D5649E"/>
    <w:rsid w:val="00D5651E"/>
    <w:rsid w:val="00D5655B"/>
    <w:rsid w:val="00D5659B"/>
    <w:rsid w:val="00D565A6"/>
    <w:rsid w:val="00D565B1"/>
    <w:rsid w:val="00D5666B"/>
    <w:rsid w:val="00D56725"/>
    <w:rsid w:val="00D567C4"/>
    <w:rsid w:val="00D5682C"/>
    <w:rsid w:val="00D56967"/>
    <w:rsid w:val="00D56990"/>
    <w:rsid w:val="00D569BD"/>
    <w:rsid w:val="00D569CC"/>
    <w:rsid w:val="00D569D9"/>
    <w:rsid w:val="00D569F1"/>
    <w:rsid w:val="00D56AC6"/>
    <w:rsid w:val="00D56B0D"/>
    <w:rsid w:val="00D56BCF"/>
    <w:rsid w:val="00D56BFD"/>
    <w:rsid w:val="00D56C01"/>
    <w:rsid w:val="00D56CBE"/>
    <w:rsid w:val="00D56DFF"/>
    <w:rsid w:val="00D56E22"/>
    <w:rsid w:val="00D56EEE"/>
    <w:rsid w:val="00D56F42"/>
    <w:rsid w:val="00D56F9A"/>
    <w:rsid w:val="00D56FC8"/>
    <w:rsid w:val="00D57027"/>
    <w:rsid w:val="00D57145"/>
    <w:rsid w:val="00D5719E"/>
    <w:rsid w:val="00D5720E"/>
    <w:rsid w:val="00D5728B"/>
    <w:rsid w:val="00D5731C"/>
    <w:rsid w:val="00D5734E"/>
    <w:rsid w:val="00D57364"/>
    <w:rsid w:val="00D5745A"/>
    <w:rsid w:val="00D574A3"/>
    <w:rsid w:val="00D574A5"/>
    <w:rsid w:val="00D574C3"/>
    <w:rsid w:val="00D576C5"/>
    <w:rsid w:val="00D576EB"/>
    <w:rsid w:val="00D57771"/>
    <w:rsid w:val="00D5777E"/>
    <w:rsid w:val="00D5778C"/>
    <w:rsid w:val="00D5779D"/>
    <w:rsid w:val="00D577A2"/>
    <w:rsid w:val="00D57893"/>
    <w:rsid w:val="00D578EC"/>
    <w:rsid w:val="00D578EE"/>
    <w:rsid w:val="00D57921"/>
    <w:rsid w:val="00D57945"/>
    <w:rsid w:val="00D57982"/>
    <w:rsid w:val="00D579E9"/>
    <w:rsid w:val="00D57A81"/>
    <w:rsid w:val="00D57A8E"/>
    <w:rsid w:val="00D57B34"/>
    <w:rsid w:val="00D57B93"/>
    <w:rsid w:val="00D57BAE"/>
    <w:rsid w:val="00D57BC2"/>
    <w:rsid w:val="00D57BC6"/>
    <w:rsid w:val="00D57C16"/>
    <w:rsid w:val="00D57C1A"/>
    <w:rsid w:val="00D57C8E"/>
    <w:rsid w:val="00D57CE7"/>
    <w:rsid w:val="00D57D59"/>
    <w:rsid w:val="00D57E28"/>
    <w:rsid w:val="00D57EAD"/>
    <w:rsid w:val="00D57F05"/>
    <w:rsid w:val="00D57F2D"/>
    <w:rsid w:val="00D57F38"/>
    <w:rsid w:val="00D57F61"/>
    <w:rsid w:val="00D57F92"/>
    <w:rsid w:val="00D57FB5"/>
    <w:rsid w:val="00D6000D"/>
    <w:rsid w:val="00D600E3"/>
    <w:rsid w:val="00D6011B"/>
    <w:rsid w:val="00D60124"/>
    <w:rsid w:val="00D6012F"/>
    <w:rsid w:val="00D60135"/>
    <w:rsid w:val="00D6014E"/>
    <w:rsid w:val="00D601CE"/>
    <w:rsid w:val="00D602D4"/>
    <w:rsid w:val="00D602DD"/>
    <w:rsid w:val="00D60392"/>
    <w:rsid w:val="00D604DC"/>
    <w:rsid w:val="00D60524"/>
    <w:rsid w:val="00D60555"/>
    <w:rsid w:val="00D6055F"/>
    <w:rsid w:val="00D60580"/>
    <w:rsid w:val="00D6058E"/>
    <w:rsid w:val="00D60599"/>
    <w:rsid w:val="00D606EE"/>
    <w:rsid w:val="00D60709"/>
    <w:rsid w:val="00D60798"/>
    <w:rsid w:val="00D607DC"/>
    <w:rsid w:val="00D6086E"/>
    <w:rsid w:val="00D608CA"/>
    <w:rsid w:val="00D6097C"/>
    <w:rsid w:val="00D6098F"/>
    <w:rsid w:val="00D60A19"/>
    <w:rsid w:val="00D60A4D"/>
    <w:rsid w:val="00D60AE3"/>
    <w:rsid w:val="00D60AF6"/>
    <w:rsid w:val="00D60B12"/>
    <w:rsid w:val="00D60B24"/>
    <w:rsid w:val="00D60B59"/>
    <w:rsid w:val="00D60B91"/>
    <w:rsid w:val="00D60C33"/>
    <w:rsid w:val="00D60C55"/>
    <w:rsid w:val="00D60C63"/>
    <w:rsid w:val="00D60C7A"/>
    <w:rsid w:val="00D60CCE"/>
    <w:rsid w:val="00D60CDD"/>
    <w:rsid w:val="00D60D6C"/>
    <w:rsid w:val="00D60D8B"/>
    <w:rsid w:val="00D60E35"/>
    <w:rsid w:val="00D60E40"/>
    <w:rsid w:val="00D60F19"/>
    <w:rsid w:val="00D60F28"/>
    <w:rsid w:val="00D60F3D"/>
    <w:rsid w:val="00D60F3E"/>
    <w:rsid w:val="00D6100E"/>
    <w:rsid w:val="00D61046"/>
    <w:rsid w:val="00D6104C"/>
    <w:rsid w:val="00D61109"/>
    <w:rsid w:val="00D6110A"/>
    <w:rsid w:val="00D6117D"/>
    <w:rsid w:val="00D611CC"/>
    <w:rsid w:val="00D611CE"/>
    <w:rsid w:val="00D611D1"/>
    <w:rsid w:val="00D6123D"/>
    <w:rsid w:val="00D61250"/>
    <w:rsid w:val="00D61261"/>
    <w:rsid w:val="00D6126A"/>
    <w:rsid w:val="00D6135A"/>
    <w:rsid w:val="00D61367"/>
    <w:rsid w:val="00D61400"/>
    <w:rsid w:val="00D6142B"/>
    <w:rsid w:val="00D614A8"/>
    <w:rsid w:val="00D6151E"/>
    <w:rsid w:val="00D6157A"/>
    <w:rsid w:val="00D61749"/>
    <w:rsid w:val="00D61777"/>
    <w:rsid w:val="00D6181B"/>
    <w:rsid w:val="00D618DD"/>
    <w:rsid w:val="00D61913"/>
    <w:rsid w:val="00D6195A"/>
    <w:rsid w:val="00D619A5"/>
    <w:rsid w:val="00D61A02"/>
    <w:rsid w:val="00D61A8E"/>
    <w:rsid w:val="00D61AE4"/>
    <w:rsid w:val="00D61BA5"/>
    <w:rsid w:val="00D61BF9"/>
    <w:rsid w:val="00D61C39"/>
    <w:rsid w:val="00D61C80"/>
    <w:rsid w:val="00D61E6A"/>
    <w:rsid w:val="00D61E9B"/>
    <w:rsid w:val="00D61EF7"/>
    <w:rsid w:val="00D61F12"/>
    <w:rsid w:val="00D61F38"/>
    <w:rsid w:val="00D61F4C"/>
    <w:rsid w:val="00D61F71"/>
    <w:rsid w:val="00D61FA9"/>
    <w:rsid w:val="00D61FBC"/>
    <w:rsid w:val="00D61FBD"/>
    <w:rsid w:val="00D62014"/>
    <w:rsid w:val="00D6201A"/>
    <w:rsid w:val="00D62044"/>
    <w:rsid w:val="00D62100"/>
    <w:rsid w:val="00D62128"/>
    <w:rsid w:val="00D62173"/>
    <w:rsid w:val="00D62192"/>
    <w:rsid w:val="00D621EE"/>
    <w:rsid w:val="00D6221D"/>
    <w:rsid w:val="00D6232A"/>
    <w:rsid w:val="00D623EE"/>
    <w:rsid w:val="00D623F4"/>
    <w:rsid w:val="00D62409"/>
    <w:rsid w:val="00D62436"/>
    <w:rsid w:val="00D6247E"/>
    <w:rsid w:val="00D62484"/>
    <w:rsid w:val="00D62499"/>
    <w:rsid w:val="00D624AC"/>
    <w:rsid w:val="00D624F8"/>
    <w:rsid w:val="00D6251B"/>
    <w:rsid w:val="00D6256F"/>
    <w:rsid w:val="00D62599"/>
    <w:rsid w:val="00D62617"/>
    <w:rsid w:val="00D62629"/>
    <w:rsid w:val="00D6268A"/>
    <w:rsid w:val="00D62757"/>
    <w:rsid w:val="00D627A9"/>
    <w:rsid w:val="00D627CA"/>
    <w:rsid w:val="00D62827"/>
    <w:rsid w:val="00D628D0"/>
    <w:rsid w:val="00D62946"/>
    <w:rsid w:val="00D6295A"/>
    <w:rsid w:val="00D62960"/>
    <w:rsid w:val="00D62962"/>
    <w:rsid w:val="00D62A0E"/>
    <w:rsid w:val="00D62A5F"/>
    <w:rsid w:val="00D62AA1"/>
    <w:rsid w:val="00D62AD3"/>
    <w:rsid w:val="00D62BA4"/>
    <w:rsid w:val="00D62C7E"/>
    <w:rsid w:val="00D62CB3"/>
    <w:rsid w:val="00D62CE0"/>
    <w:rsid w:val="00D62D7D"/>
    <w:rsid w:val="00D62F0C"/>
    <w:rsid w:val="00D62FFA"/>
    <w:rsid w:val="00D6308B"/>
    <w:rsid w:val="00D63111"/>
    <w:rsid w:val="00D6315E"/>
    <w:rsid w:val="00D6317B"/>
    <w:rsid w:val="00D6318F"/>
    <w:rsid w:val="00D6319D"/>
    <w:rsid w:val="00D631D9"/>
    <w:rsid w:val="00D63201"/>
    <w:rsid w:val="00D63267"/>
    <w:rsid w:val="00D63287"/>
    <w:rsid w:val="00D632A8"/>
    <w:rsid w:val="00D6331B"/>
    <w:rsid w:val="00D633AE"/>
    <w:rsid w:val="00D634DB"/>
    <w:rsid w:val="00D63723"/>
    <w:rsid w:val="00D63744"/>
    <w:rsid w:val="00D63758"/>
    <w:rsid w:val="00D6376D"/>
    <w:rsid w:val="00D637FF"/>
    <w:rsid w:val="00D63A12"/>
    <w:rsid w:val="00D63A19"/>
    <w:rsid w:val="00D63A29"/>
    <w:rsid w:val="00D63A49"/>
    <w:rsid w:val="00D63AA7"/>
    <w:rsid w:val="00D63B54"/>
    <w:rsid w:val="00D63BCA"/>
    <w:rsid w:val="00D63C35"/>
    <w:rsid w:val="00D63CFB"/>
    <w:rsid w:val="00D63D05"/>
    <w:rsid w:val="00D63D93"/>
    <w:rsid w:val="00D63E43"/>
    <w:rsid w:val="00D63F29"/>
    <w:rsid w:val="00D6403F"/>
    <w:rsid w:val="00D6408D"/>
    <w:rsid w:val="00D64223"/>
    <w:rsid w:val="00D642A7"/>
    <w:rsid w:val="00D642E8"/>
    <w:rsid w:val="00D6432B"/>
    <w:rsid w:val="00D643B0"/>
    <w:rsid w:val="00D643BA"/>
    <w:rsid w:val="00D643D8"/>
    <w:rsid w:val="00D643DC"/>
    <w:rsid w:val="00D644AA"/>
    <w:rsid w:val="00D644BD"/>
    <w:rsid w:val="00D644D4"/>
    <w:rsid w:val="00D644DB"/>
    <w:rsid w:val="00D645CE"/>
    <w:rsid w:val="00D6464C"/>
    <w:rsid w:val="00D646DE"/>
    <w:rsid w:val="00D64750"/>
    <w:rsid w:val="00D64756"/>
    <w:rsid w:val="00D6487B"/>
    <w:rsid w:val="00D64918"/>
    <w:rsid w:val="00D649B6"/>
    <w:rsid w:val="00D649D2"/>
    <w:rsid w:val="00D649E7"/>
    <w:rsid w:val="00D64A70"/>
    <w:rsid w:val="00D64A8C"/>
    <w:rsid w:val="00D64AAB"/>
    <w:rsid w:val="00D64B39"/>
    <w:rsid w:val="00D64B50"/>
    <w:rsid w:val="00D64CA9"/>
    <w:rsid w:val="00D64D1B"/>
    <w:rsid w:val="00D64D45"/>
    <w:rsid w:val="00D64D73"/>
    <w:rsid w:val="00D64D7B"/>
    <w:rsid w:val="00D64DA2"/>
    <w:rsid w:val="00D64DDA"/>
    <w:rsid w:val="00D64ED7"/>
    <w:rsid w:val="00D64F01"/>
    <w:rsid w:val="00D64F20"/>
    <w:rsid w:val="00D64F26"/>
    <w:rsid w:val="00D64F4D"/>
    <w:rsid w:val="00D6502A"/>
    <w:rsid w:val="00D6504C"/>
    <w:rsid w:val="00D65167"/>
    <w:rsid w:val="00D651A9"/>
    <w:rsid w:val="00D651B8"/>
    <w:rsid w:val="00D651DF"/>
    <w:rsid w:val="00D65224"/>
    <w:rsid w:val="00D652D3"/>
    <w:rsid w:val="00D652EE"/>
    <w:rsid w:val="00D65346"/>
    <w:rsid w:val="00D65347"/>
    <w:rsid w:val="00D653B0"/>
    <w:rsid w:val="00D653F6"/>
    <w:rsid w:val="00D653FB"/>
    <w:rsid w:val="00D6542D"/>
    <w:rsid w:val="00D65449"/>
    <w:rsid w:val="00D6557A"/>
    <w:rsid w:val="00D655FD"/>
    <w:rsid w:val="00D65627"/>
    <w:rsid w:val="00D65634"/>
    <w:rsid w:val="00D65676"/>
    <w:rsid w:val="00D656BE"/>
    <w:rsid w:val="00D656C1"/>
    <w:rsid w:val="00D65737"/>
    <w:rsid w:val="00D65769"/>
    <w:rsid w:val="00D6578B"/>
    <w:rsid w:val="00D657F5"/>
    <w:rsid w:val="00D65827"/>
    <w:rsid w:val="00D65847"/>
    <w:rsid w:val="00D65871"/>
    <w:rsid w:val="00D65919"/>
    <w:rsid w:val="00D65958"/>
    <w:rsid w:val="00D659D9"/>
    <w:rsid w:val="00D65A3C"/>
    <w:rsid w:val="00D65AB7"/>
    <w:rsid w:val="00D65ADF"/>
    <w:rsid w:val="00D65AF8"/>
    <w:rsid w:val="00D65B3C"/>
    <w:rsid w:val="00D65C5D"/>
    <w:rsid w:val="00D65CEB"/>
    <w:rsid w:val="00D65D72"/>
    <w:rsid w:val="00D65D96"/>
    <w:rsid w:val="00D65E64"/>
    <w:rsid w:val="00D65F01"/>
    <w:rsid w:val="00D65FA1"/>
    <w:rsid w:val="00D66020"/>
    <w:rsid w:val="00D660A2"/>
    <w:rsid w:val="00D660B2"/>
    <w:rsid w:val="00D66109"/>
    <w:rsid w:val="00D6613B"/>
    <w:rsid w:val="00D6615D"/>
    <w:rsid w:val="00D661AF"/>
    <w:rsid w:val="00D661F6"/>
    <w:rsid w:val="00D6621A"/>
    <w:rsid w:val="00D66263"/>
    <w:rsid w:val="00D662E7"/>
    <w:rsid w:val="00D6630E"/>
    <w:rsid w:val="00D66396"/>
    <w:rsid w:val="00D663C0"/>
    <w:rsid w:val="00D6641B"/>
    <w:rsid w:val="00D664AC"/>
    <w:rsid w:val="00D665AE"/>
    <w:rsid w:val="00D66619"/>
    <w:rsid w:val="00D66639"/>
    <w:rsid w:val="00D66644"/>
    <w:rsid w:val="00D666B5"/>
    <w:rsid w:val="00D666F7"/>
    <w:rsid w:val="00D66728"/>
    <w:rsid w:val="00D6678B"/>
    <w:rsid w:val="00D667A6"/>
    <w:rsid w:val="00D66822"/>
    <w:rsid w:val="00D6692A"/>
    <w:rsid w:val="00D669BE"/>
    <w:rsid w:val="00D669DD"/>
    <w:rsid w:val="00D669F2"/>
    <w:rsid w:val="00D66ADD"/>
    <w:rsid w:val="00D66B59"/>
    <w:rsid w:val="00D66BCB"/>
    <w:rsid w:val="00D66C48"/>
    <w:rsid w:val="00D66C78"/>
    <w:rsid w:val="00D66CB0"/>
    <w:rsid w:val="00D66CFA"/>
    <w:rsid w:val="00D66F32"/>
    <w:rsid w:val="00D66F7A"/>
    <w:rsid w:val="00D66FA7"/>
    <w:rsid w:val="00D67019"/>
    <w:rsid w:val="00D67031"/>
    <w:rsid w:val="00D67082"/>
    <w:rsid w:val="00D67181"/>
    <w:rsid w:val="00D671D2"/>
    <w:rsid w:val="00D671FE"/>
    <w:rsid w:val="00D67235"/>
    <w:rsid w:val="00D6724F"/>
    <w:rsid w:val="00D67273"/>
    <w:rsid w:val="00D673DB"/>
    <w:rsid w:val="00D67411"/>
    <w:rsid w:val="00D674AE"/>
    <w:rsid w:val="00D674B4"/>
    <w:rsid w:val="00D674E7"/>
    <w:rsid w:val="00D675A8"/>
    <w:rsid w:val="00D675BE"/>
    <w:rsid w:val="00D676C5"/>
    <w:rsid w:val="00D676F6"/>
    <w:rsid w:val="00D677CC"/>
    <w:rsid w:val="00D677F1"/>
    <w:rsid w:val="00D679BC"/>
    <w:rsid w:val="00D67A2F"/>
    <w:rsid w:val="00D67A59"/>
    <w:rsid w:val="00D67A61"/>
    <w:rsid w:val="00D67AC3"/>
    <w:rsid w:val="00D67B84"/>
    <w:rsid w:val="00D67BAB"/>
    <w:rsid w:val="00D67C51"/>
    <w:rsid w:val="00D67D8A"/>
    <w:rsid w:val="00D67DA8"/>
    <w:rsid w:val="00D67DB9"/>
    <w:rsid w:val="00D67DC2"/>
    <w:rsid w:val="00D67E4A"/>
    <w:rsid w:val="00D67ECF"/>
    <w:rsid w:val="00D67ED0"/>
    <w:rsid w:val="00D70055"/>
    <w:rsid w:val="00D70069"/>
    <w:rsid w:val="00D7009A"/>
    <w:rsid w:val="00D70286"/>
    <w:rsid w:val="00D7029C"/>
    <w:rsid w:val="00D702D7"/>
    <w:rsid w:val="00D70380"/>
    <w:rsid w:val="00D70448"/>
    <w:rsid w:val="00D70548"/>
    <w:rsid w:val="00D7064D"/>
    <w:rsid w:val="00D70708"/>
    <w:rsid w:val="00D7070C"/>
    <w:rsid w:val="00D7073B"/>
    <w:rsid w:val="00D70760"/>
    <w:rsid w:val="00D707B1"/>
    <w:rsid w:val="00D707B9"/>
    <w:rsid w:val="00D70803"/>
    <w:rsid w:val="00D70823"/>
    <w:rsid w:val="00D70859"/>
    <w:rsid w:val="00D70A25"/>
    <w:rsid w:val="00D70A3A"/>
    <w:rsid w:val="00D70A5B"/>
    <w:rsid w:val="00D70B15"/>
    <w:rsid w:val="00D70BED"/>
    <w:rsid w:val="00D70C05"/>
    <w:rsid w:val="00D70C6A"/>
    <w:rsid w:val="00D70D44"/>
    <w:rsid w:val="00D70DF7"/>
    <w:rsid w:val="00D70E03"/>
    <w:rsid w:val="00D70E51"/>
    <w:rsid w:val="00D70F36"/>
    <w:rsid w:val="00D70FB6"/>
    <w:rsid w:val="00D71177"/>
    <w:rsid w:val="00D7120E"/>
    <w:rsid w:val="00D71225"/>
    <w:rsid w:val="00D7122A"/>
    <w:rsid w:val="00D712A0"/>
    <w:rsid w:val="00D713F8"/>
    <w:rsid w:val="00D713FB"/>
    <w:rsid w:val="00D7142D"/>
    <w:rsid w:val="00D7149C"/>
    <w:rsid w:val="00D714C2"/>
    <w:rsid w:val="00D71505"/>
    <w:rsid w:val="00D7152F"/>
    <w:rsid w:val="00D7154F"/>
    <w:rsid w:val="00D7161B"/>
    <w:rsid w:val="00D716F5"/>
    <w:rsid w:val="00D71709"/>
    <w:rsid w:val="00D7177A"/>
    <w:rsid w:val="00D717B0"/>
    <w:rsid w:val="00D717F2"/>
    <w:rsid w:val="00D71803"/>
    <w:rsid w:val="00D718DD"/>
    <w:rsid w:val="00D718F6"/>
    <w:rsid w:val="00D71A8E"/>
    <w:rsid w:val="00D71AB7"/>
    <w:rsid w:val="00D71B2B"/>
    <w:rsid w:val="00D71B64"/>
    <w:rsid w:val="00D71C12"/>
    <w:rsid w:val="00D71C87"/>
    <w:rsid w:val="00D71CC8"/>
    <w:rsid w:val="00D71CCD"/>
    <w:rsid w:val="00D71D78"/>
    <w:rsid w:val="00D71D88"/>
    <w:rsid w:val="00D71E21"/>
    <w:rsid w:val="00D71E54"/>
    <w:rsid w:val="00D71E61"/>
    <w:rsid w:val="00D71EA5"/>
    <w:rsid w:val="00D71EDC"/>
    <w:rsid w:val="00D71F05"/>
    <w:rsid w:val="00D72005"/>
    <w:rsid w:val="00D720AB"/>
    <w:rsid w:val="00D72161"/>
    <w:rsid w:val="00D7216A"/>
    <w:rsid w:val="00D7216B"/>
    <w:rsid w:val="00D721C0"/>
    <w:rsid w:val="00D722CF"/>
    <w:rsid w:val="00D7233E"/>
    <w:rsid w:val="00D7238D"/>
    <w:rsid w:val="00D724F9"/>
    <w:rsid w:val="00D725A1"/>
    <w:rsid w:val="00D726AE"/>
    <w:rsid w:val="00D72709"/>
    <w:rsid w:val="00D72755"/>
    <w:rsid w:val="00D72845"/>
    <w:rsid w:val="00D72854"/>
    <w:rsid w:val="00D7288A"/>
    <w:rsid w:val="00D72901"/>
    <w:rsid w:val="00D7290E"/>
    <w:rsid w:val="00D72911"/>
    <w:rsid w:val="00D72928"/>
    <w:rsid w:val="00D72960"/>
    <w:rsid w:val="00D7296C"/>
    <w:rsid w:val="00D729BD"/>
    <w:rsid w:val="00D729F6"/>
    <w:rsid w:val="00D72A1D"/>
    <w:rsid w:val="00D72A46"/>
    <w:rsid w:val="00D72B97"/>
    <w:rsid w:val="00D72BDA"/>
    <w:rsid w:val="00D72BE3"/>
    <w:rsid w:val="00D72C16"/>
    <w:rsid w:val="00D72D3A"/>
    <w:rsid w:val="00D72DEF"/>
    <w:rsid w:val="00D72E09"/>
    <w:rsid w:val="00D72E37"/>
    <w:rsid w:val="00D72EA8"/>
    <w:rsid w:val="00D72FE8"/>
    <w:rsid w:val="00D73023"/>
    <w:rsid w:val="00D7302F"/>
    <w:rsid w:val="00D7305A"/>
    <w:rsid w:val="00D730C5"/>
    <w:rsid w:val="00D73129"/>
    <w:rsid w:val="00D7316E"/>
    <w:rsid w:val="00D7319D"/>
    <w:rsid w:val="00D731EE"/>
    <w:rsid w:val="00D73205"/>
    <w:rsid w:val="00D732FA"/>
    <w:rsid w:val="00D73460"/>
    <w:rsid w:val="00D73488"/>
    <w:rsid w:val="00D7359E"/>
    <w:rsid w:val="00D73683"/>
    <w:rsid w:val="00D737F6"/>
    <w:rsid w:val="00D7382C"/>
    <w:rsid w:val="00D73939"/>
    <w:rsid w:val="00D7396E"/>
    <w:rsid w:val="00D73993"/>
    <w:rsid w:val="00D73A09"/>
    <w:rsid w:val="00D73B38"/>
    <w:rsid w:val="00D73B41"/>
    <w:rsid w:val="00D73B4D"/>
    <w:rsid w:val="00D73B9B"/>
    <w:rsid w:val="00D73B9E"/>
    <w:rsid w:val="00D73BCF"/>
    <w:rsid w:val="00D73BDF"/>
    <w:rsid w:val="00D73C61"/>
    <w:rsid w:val="00D73D00"/>
    <w:rsid w:val="00D73D32"/>
    <w:rsid w:val="00D73D39"/>
    <w:rsid w:val="00D73D98"/>
    <w:rsid w:val="00D73DC8"/>
    <w:rsid w:val="00D73EEB"/>
    <w:rsid w:val="00D73F0D"/>
    <w:rsid w:val="00D73F61"/>
    <w:rsid w:val="00D73F68"/>
    <w:rsid w:val="00D73FB7"/>
    <w:rsid w:val="00D73FB9"/>
    <w:rsid w:val="00D74010"/>
    <w:rsid w:val="00D7409F"/>
    <w:rsid w:val="00D7411C"/>
    <w:rsid w:val="00D741A2"/>
    <w:rsid w:val="00D74251"/>
    <w:rsid w:val="00D742CF"/>
    <w:rsid w:val="00D74385"/>
    <w:rsid w:val="00D743FE"/>
    <w:rsid w:val="00D7447C"/>
    <w:rsid w:val="00D744B7"/>
    <w:rsid w:val="00D744C3"/>
    <w:rsid w:val="00D74500"/>
    <w:rsid w:val="00D74557"/>
    <w:rsid w:val="00D7457A"/>
    <w:rsid w:val="00D745D2"/>
    <w:rsid w:val="00D745F8"/>
    <w:rsid w:val="00D74600"/>
    <w:rsid w:val="00D74626"/>
    <w:rsid w:val="00D7462F"/>
    <w:rsid w:val="00D74642"/>
    <w:rsid w:val="00D7467B"/>
    <w:rsid w:val="00D746AE"/>
    <w:rsid w:val="00D746C9"/>
    <w:rsid w:val="00D74702"/>
    <w:rsid w:val="00D74764"/>
    <w:rsid w:val="00D747E5"/>
    <w:rsid w:val="00D747FF"/>
    <w:rsid w:val="00D74827"/>
    <w:rsid w:val="00D74881"/>
    <w:rsid w:val="00D7499B"/>
    <w:rsid w:val="00D74A60"/>
    <w:rsid w:val="00D74A62"/>
    <w:rsid w:val="00D74B83"/>
    <w:rsid w:val="00D74C36"/>
    <w:rsid w:val="00D74C9C"/>
    <w:rsid w:val="00D74CEF"/>
    <w:rsid w:val="00D74D11"/>
    <w:rsid w:val="00D74D12"/>
    <w:rsid w:val="00D74D74"/>
    <w:rsid w:val="00D74ED7"/>
    <w:rsid w:val="00D74FE6"/>
    <w:rsid w:val="00D75048"/>
    <w:rsid w:val="00D75091"/>
    <w:rsid w:val="00D750AD"/>
    <w:rsid w:val="00D75164"/>
    <w:rsid w:val="00D751D1"/>
    <w:rsid w:val="00D752C2"/>
    <w:rsid w:val="00D75317"/>
    <w:rsid w:val="00D75458"/>
    <w:rsid w:val="00D754A7"/>
    <w:rsid w:val="00D754FB"/>
    <w:rsid w:val="00D755A8"/>
    <w:rsid w:val="00D7560F"/>
    <w:rsid w:val="00D75634"/>
    <w:rsid w:val="00D756A6"/>
    <w:rsid w:val="00D75708"/>
    <w:rsid w:val="00D7578F"/>
    <w:rsid w:val="00D758A5"/>
    <w:rsid w:val="00D75A73"/>
    <w:rsid w:val="00D75AC6"/>
    <w:rsid w:val="00D75B2A"/>
    <w:rsid w:val="00D75B4C"/>
    <w:rsid w:val="00D75B83"/>
    <w:rsid w:val="00D75BA6"/>
    <w:rsid w:val="00D75C4F"/>
    <w:rsid w:val="00D75C8D"/>
    <w:rsid w:val="00D75D6A"/>
    <w:rsid w:val="00D75DD5"/>
    <w:rsid w:val="00D75E0A"/>
    <w:rsid w:val="00D75F4A"/>
    <w:rsid w:val="00D75F5F"/>
    <w:rsid w:val="00D75FCB"/>
    <w:rsid w:val="00D75FFA"/>
    <w:rsid w:val="00D75FFB"/>
    <w:rsid w:val="00D7600A"/>
    <w:rsid w:val="00D7603D"/>
    <w:rsid w:val="00D76070"/>
    <w:rsid w:val="00D760A1"/>
    <w:rsid w:val="00D761B2"/>
    <w:rsid w:val="00D761ED"/>
    <w:rsid w:val="00D76295"/>
    <w:rsid w:val="00D762ED"/>
    <w:rsid w:val="00D763A7"/>
    <w:rsid w:val="00D763FC"/>
    <w:rsid w:val="00D7645A"/>
    <w:rsid w:val="00D764ED"/>
    <w:rsid w:val="00D7651F"/>
    <w:rsid w:val="00D76560"/>
    <w:rsid w:val="00D765A3"/>
    <w:rsid w:val="00D76704"/>
    <w:rsid w:val="00D767F3"/>
    <w:rsid w:val="00D76A4C"/>
    <w:rsid w:val="00D76B67"/>
    <w:rsid w:val="00D76B78"/>
    <w:rsid w:val="00D76BA6"/>
    <w:rsid w:val="00D76BDF"/>
    <w:rsid w:val="00D76BE0"/>
    <w:rsid w:val="00D76C12"/>
    <w:rsid w:val="00D76CDD"/>
    <w:rsid w:val="00D76DA0"/>
    <w:rsid w:val="00D76DA4"/>
    <w:rsid w:val="00D76E06"/>
    <w:rsid w:val="00D76E7F"/>
    <w:rsid w:val="00D76F68"/>
    <w:rsid w:val="00D77017"/>
    <w:rsid w:val="00D77133"/>
    <w:rsid w:val="00D77141"/>
    <w:rsid w:val="00D771BF"/>
    <w:rsid w:val="00D771D2"/>
    <w:rsid w:val="00D771DC"/>
    <w:rsid w:val="00D771ED"/>
    <w:rsid w:val="00D771F8"/>
    <w:rsid w:val="00D7725B"/>
    <w:rsid w:val="00D7728F"/>
    <w:rsid w:val="00D77318"/>
    <w:rsid w:val="00D77362"/>
    <w:rsid w:val="00D773AB"/>
    <w:rsid w:val="00D77462"/>
    <w:rsid w:val="00D77555"/>
    <w:rsid w:val="00D7758C"/>
    <w:rsid w:val="00D775AA"/>
    <w:rsid w:val="00D775B2"/>
    <w:rsid w:val="00D775F4"/>
    <w:rsid w:val="00D7761C"/>
    <w:rsid w:val="00D77630"/>
    <w:rsid w:val="00D77944"/>
    <w:rsid w:val="00D77963"/>
    <w:rsid w:val="00D779DB"/>
    <w:rsid w:val="00D77AC1"/>
    <w:rsid w:val="00D77B14"/>
    <w:rsid w:val="00D77B9C"/>
    <w:rsid w:val="00D77BA5"/>
    <w:rsid w:val="00D77BF9"/>
    <w:rsid w:val="00D77C1F"/>
    <w:rsid w:val="00D77C2B"/>
    <w:rsid w:val="00D77CF7"/>
    <w:rsid w:val="00D77CFC"/>
    <w:rsid w:val="00D77D2B"/>
    <w:rsid w:val="00D77D31"/>
    <w:rsid w:val="00D77DC9"/>
    <w:rsid w:val="00D77E6C"/>
    <w:rsid w:val="00D77E89"/>
    <w:rsid w:val="00D77EA5"/>
    <w:rsid w:val="00D77FCB"/>
    <w:rsid w:val="00D80060"/>
    <w:rsid w:val="00D8006E"/>
    <w:rsid w:val="00D80095"/>
    <w:rsid w:val="00D800CE"/>
    <w:rsid w:val="00D800E3"/>
    <w:rsid w:val="00D800F7"/>
    <w:rsid w:val="00D80175"/>
    <w:rsid w:val="00D8029D"/>
    <w:rsid w:val="00D80314"/>
    <w:rsid w:val="00D80318"/>
    <w:rsid w:val="00D803F9"/>
    <w:rsid w:val="00D804B5"/>
    <w:rsid w:val="00D804BA"/>
    <w:rsid w:val="00D80549"/>
    <w:rsid w:val="00D80568"/>
    <w:rsid w:val="00D80635"/>
    <w:rsid w:val="00D806C1"/>
    <w:rsid w:val="00D80718"/>
    <w:rsid w:val="00D8071A"/>
    <w:rsid w:val="00D80770"/>
    <w:rsid w:val="00D807C4"/>
    <w:rsid w:val="00D807E3"/>
    <w:rsid w:val="00D80831"/>
    <w:rsid w:val="00D808A6"/>
    <w:rsid w:val="00D8090B"/>
    <w:rsid w:val="00D80A88"/>
    <w:rsid w:val="00D80AB7"/>
    <w:rsid w:val="00D80AFD"/>
    <w:rsid w:val="00D80B31"/>
    <w:rsid w:val="00D80B85"/>
    <w:rsid w:val="00D80B88"/>
    <w:rsid w:val="00D80C03"/>
    <w:rsid w:val="00D80C2C"/>
    <w:rsid w:val="00D80D46"/>
    <w:rsid w:val="00D80DA9"/>
    <w:rsid w:val="00D80DF2"/>
    <w:rsid w:val="00D80E07"/>
    <w:rsid w:val="00D80EF8"/>
    <w:rsid w:val="00D80FD6"/>
    <w:rsid w:val="00D81102"/>
    <w:rsid w:val="00D81141"/>
    <w:rsid w:val="00D811FF"/>
    <w:rsid w:val="00D81232"/>
    <w:rsid w:val="00D8127F"/>
    <w:rsid w:val="00D8139F"/>
    <w:rsid w:val="00D813CA"/>
    <w:rsid w:val="00D813D1"/>
    <w:rsid w:val="00D813F9"/>
    <w:rsid w:val="00D81410"/>
    <w:rsid w:val="00D81424"/>
    <w:rsid w:val="00D8153D"/>
    <w:rsid w:val="00D81554"/>
    <w:rsid w:val="00D815E7"/>
    <w:rsid w:val="00D815F9"/>
    <w:rsid w:val="00D816B1"/>
    <w:rsid w:val="00D816EF"/>
    <w:rsid w:val="00D81700"/>
    <w:rsid w:val="00D817A5"/>
    <w:rsid w:val="00D8181E"/>
    <w:rsid w:val="00D81A4C"/>
    <w:rsid w:val="00D81BD2"/>
    <w:rsid w:val="00D81C77"/>
    <w:rsid w:val="00D81CA1"/>
    <w:rsid w:val="00D81D8F"/>
    <w:rsid w:val="00D81E11"/>
    <w:rsid w:val="00D81E2B"/>
    <w:rsid w:val="00D81E38"/>
    <w:rsid w:val="00D81E64"/>
    <w:rsid w:val="00D81F5F"/>
    <w:rsid w:val="00D81F60"/>
    <w:rsid w:val="00D81FB0"/>
    <w:rsid w:val="00D81FD0"/>
    <w:rsid w:val="00D81FED"/>
    <w:rsid w:val="00D81FF5"/>
    <w:rsid w:val="00D82032"/>
    <w:rsid w:val="00D82050"/>
    <w:rsid w:val="00D8207C"/>
    <w:rsid w:val="00D8207D"/>
    <w:rsid w:val="00D8212F"/>
    <w:rsid w:val="00D822BE"/>
    <w:rsid w:val="00D822C1"/>
    <w:rsid w:val="00D8231F"/>
    <w:rsid w:val="00D8238A"/>
    <w:rsid w:val="00D8245D"/>
    <w:rsid w:val="00D824F9"/>
    <w:rsid w:val="00D8251B"/>
    <w:rsid w:val="00D82535"/>
    <w:rsid w:val="00D8266F"/>
    <w:rsid w:val="00D8267D"/>
    <w:rsid w:val="00D82688"/>
    <w:rsid w:val="00D826CF"/>
    <w:rsid w:val="00D82737"/>
    <w:rsid w:val="00D827CD"/>
    <w:rsid w:val="00D8280E"/>
    <w:rsid w:val="00D8283A"/>
    <w:rsid w:val="00D8299E"/>
    <w:rsid w:val="00D829F2"/>
    <w:rsid w:val="00D82A50"/>
    <w:rsid w:val="00D82B0C"/>
    <w:rsid w:val="00D82B75"/>
    <w:rsid w:val="00D82BF0"/>
    <w:rsid w:val="00D82C34"/>
    <w:rsid w:val="00D82C54"/>
    <w:rsid w:val="00D82D05"/>
    <w:rsid w:val="00D82D59"/>
    <w:rsid w:val="00D82D5A"/>
    <w:rsid w:val="00D82E39"/>
    <w:rsid w:val="00D82E4D"/>
    <w:rsid w:val="00D82F37"/>
    <w:rsid w:val="00D82F7E"/>
    <w:rsid w:val="00D82FC3"/>
    <w:rsid w:val="00D83050"/>
    <w:rsid w:val="00D830E5"/>
    <w:rsid w:val="00D8312E"/>
    <w:rsid w:val="00D83134"/>
    <w:rsid w:val="00D8319A"/>
    <w:rsid w:val="00D831B5"/>
    <w:rsid w:val="00D8349B"/>
    <w:rsid w:val="00D8350C"/>
    <w:rsid w:val="00D8354F"/>
    <w:rsid w:val="00D83588"/>
    <w:rsid w:val="00D835F5"/>
    <w:rsid w:val="00D83672"/>
    <w:rsid w:val="00D836A1"/>
    <w:rsid w:val="00D83742"/>
    <w:rsid w:val="00D83744"/>
    <w:rsid w:val="00D837A7"/>
    <w:rsid w:val="00D837AA"/>
    <w:rsid w:val="00D83860"/>
    <w:rsid w:val="00D83882"/>
    <w:rsid w:val="00D8391E"/>
    <w:rsid w:val="00D8394C"/>
    <w:rsid w:val="00D83955"/>
    <w:rsid w:val="00D8396A"/>
    <w:rsid w:val="00D8397F"/>
    <w:rsid w:val="00D83A77"/>
    <w:rsid w:val="00D83ADA"/>
    <w:rsid w:val="00D83CAD"/>
    <w:rsid w:val="00D83D44"/>
    <w:rsid w:val="00D83E85"/>
    <w:rsid w:val="00D83EDE"/>
    <w:rsid w:val="00D83F81"/>
    <w:rsid w:val="00D83FA1"/>
    <w:rsid w:val="00D84028"/>
    <w:rsid w:val="00D8405E"/>
    <w:rsid w:val="00D840E0"/>
    <w:rsid w:val="00D8417C"/>
    <w:rsid w:val="00D842FE"/>
    <w:rsid w:val="00D8431D"/>
    <w:rsid w:val="00D8441F"/>
    <w:rsid w:val="00D844BA"/>
    <w:rsid w:val="00D844C3"/>
    <w:rsid w:val="00D84546"/>
    <w:rsid w:val="00D845B0"/>
    <w:rsid w:val="00D845B8"/>
    <w:rsid w:val="00D8469A"/>
    <w:rsid w:val="00D8469B"/>
    <w:rsid w:val="00D84737"/>
    <w:rsid w:val="00D8475B"/>
    <w:rsid w:val="00D84767"/>
    <w:rsid w:val="00D8477E"/>
    <w:rsid w:val="00D84810"/>
    <w:rsid w:val="00D848F8"/>
    <w:rsid w:val="00D84943"/>
    <w:rsid w:val="00D84961"/>
    <w:rsid w:val="00D84A19"/>
    <w:rsid w:val="00D84AC3"/>
    <w:rsid w:val="00D84BBB"/>
    <w:rsid w:val="00D84BE5"/>
    <w:rsid w:val="00D84C06"/>
    <w:rsid w:val="00D84C2D"/>
    <w:rsid w:val="00D84C45"/>
    <w:rsid w:val="00D84C80"/>
    <w:rsid w:val="00D84CF9"/>
    <w:rsid w:val="00D84DC0"/>
    <w:rsid w:val="00D84DF6"/>
    <w:rsid w:val="00D84E0A"/>
    <w:rsid w:val="00D84E12"/>
    <w:rsid w:val="00D84E1A"/>
    <w:rsid w:val="00D84E29"/>
    <w:rsid w:val="00D84E5B"/>
    <w:rsid w:val="00D84EE4"/>
    <w:rsid w:val="00D85030"/>
    <w:rsid w:val="00D85080"/>
    <w:rsid w:val="00D85129"/>
    <w:rsid w:val="00D8516B"/>
    <w:rsid w:val="00D8516C"/>
    <w:rsid w:val="00D851D1"/>
    <w:rsid w:val="00D851D5"/>
    <w:rsid w:val="00D8533B"/>
    <w:rsid w:val="00D8533D"/>
    <w:rsid w:val="00D85343"/>
    <w:rsid w:val="00D85350"/>
    <w:rsid w:val="00D85382"/>
    <w:rsid w:val="00D8545F"/>
    <w:rsid w:val="00D854DB"/>
    <w:rsid w:val="00D85593"/>
    <w:rsid w:val="00D85644"/>
    <w:rsid w:val="00D85667"/>
    <w:rsid w:val="00D856F2"/>
    <w:rsid w:val="00D85723"/>
    <w:rsid w:val="00D8582F"/>
    <w:rsid w:val="00D858E9"/>
    <w:rsid w:val="00D8592F"/>
    <w:rsid w:val="00D85986"/>
    <w:rsid w:val="00D859D0"/>
    <w:rsid w:val="00D859EF"/>
    <w:rsid w:val="00D85A2F"/>
    <w:rsid w:val="00D85B53"/>
    <w:rsid w:val="00D85CA9"/>
    <w:rsid w:val="00D85CEF"/>
    <w:rsid w:val="00D85DD8"/>
    <w:rsid w:val="00D85DF6"/>
    <w:rsid w:val="00D85F18"/>
    <w:rsid w:val="00D85F3E"/>
    <w:rsid w:val="00D85F7C"/>
    <w:rsid w:val="00D85FF5"/>
    <w:rsid w:val="00D8600A"/>
    <w:rsid w:val="00D8608F"/>
    <w:rsid w:val="00D8628A"/>
    <w:rsid w:val="00D862BE"/>
    <w:rsid w:val="00D86329"/>
    <w:rsid w:val="00D8633C"/>
    <w:rsid w:val="00D8633E"/>
    <w:rsid w:val="00D8647F"/>
    <w:rsid w:val="00D864EA"/>
    <w:rsid w:val="00D8650B"/>
    <w:rsid w:val="00D8655D"/>
    <w:rsid w:val="00D86635"/>
    <w:rsid w:val="00D86643"/>
    <w:rsid w:val="00D866EA"/>
    <w:rsid w:val="00D8681C"/>
    <w:rsid w:val="00D86898"/>
    <w:rsid w:val="00D868B1"/>
    <w:rsid w:val="00D86903"/>
    <w:rsid w:val="00D8693E"/>
    <w:rsid w:val="00D8696E"/>
    <w:rsid w:val="00D86988"/>
    <w:rsid w:val="00D869C0"/>
    <w:rsid w:val="00D869CE"/>
    <w:rsid w:val="00D869D7"/>
    <w:rsid w:val="00D86AB9"/>
    <w:rsid w:val="00D86AC1"/>
    <w:rsid w:val="00D86B2A"/>
    <w:rsid w:val="00D86C1D"/>
    <w:rsid w:val="00D86C75"/>
    <w:rsid w:val="00D86C90"/>
    <w:rsid w:val="00D86CDB"/>
    <w:rsid w:val="00D86D23"/>
    <w:rsid w:val="00D86D2A"/>
    <w:rsid w:val="00D86D74"/>
    <w:rsid w:val="00D86D91"/>
    <w:rsid w:val="00D86E0F"/>
    <w:rsid w:val="00D86F38"/>
    <w:rsid w:val="00D86FA2"/>
    <w:rsid w:val="00D86FA7"/>
    <w:rsid w:val="00D87074"/>
    <w:rsid w:val="00D87118"/>
    <w:rsid w:val="00D87126"/>
    <w:rsid w:val="00D87182"/>
    <w:rsid w:val="00D87357"/>
    <w:rsid w:val="00D873C7"/>
    <w:rsid w:val="00D873E0"/>
    <w:rsid w:val="00D87417"/>
    <w:rsid w:val="00D874A4"/>
    <w:rsid w:val="00D8756E"/>
    <w:rsid w:val="00D87614"/>
    <w:rsid w:val="00D87618"/>
    <w:rsid w:val="00D8765E"/>
    <w:rsid w:val="00D876A6"/>
    <w:rsid w:val="00D87796"/>
    <w:rsid w:val="00D877D0"/>
    <w:rsid w:val="00D877EE"/>
    <w:rsid w:val="00D8783B"/>
    <w:rsid w:val="00D878B2"/>
    <w:rsid w:val="00D87984"/>
    <w:rsid w:val="00D879BE"/>
    <w:rsid w:val="00D879F4"/>
    <w:rsid w:val="00D87A8E"/>
    <w:rsid w:val="00D87ADE"/>
    <w:rsid w:val="00D87B4F"/>
    <w:rsid w:val="00D87B90"/>
    <w:rsid w:val="00D87B9E"/>
    <w:rsid w:val="00D87D4B"/>
    <w:rsid w:val="00D87DAC"/>
    <w:rsid w:val="00D87DB8"/>
    <w:rsid w:val="00D87DFE"/>
    <w:rsid w:val="00D87E36"/>
    <w:rsid w:val="00D87E91"/>
    <w:rsid w:val="00D87EE2"/>
    <w:rsid w:val="00D87F77"/>
    <w:rsid w:val="00D87FB7"/>
    <w:rsid w:val="00D87FE8"/>
    <w:rsid w:val="00D902C6"/>
    <w:rsid w:val="00D902ED"/>
    <w:rsid w:val="00D90316"/>
    <w:rsid w:val="00D90328"/>
    <w:rsid w:val="00D90388"/>
    <w:rsid w:val="00D903DF"/>
    <w:rsid w:val="00D90455"/>
    <w:rsid w:val="00D90469"/>
    <w:rsid w:val="00D904AC"/>
    <w:rsid w:val="00D90519"/>
    <w:rsid w:val="00D906B4"/>
    <w:rsid w:val="00D906B7"/>
    <w:rsid w:val="00D906FC"/>
    <w:rsid w:val="00D9077E"/>
    <w:rsid w:val="00D907B2"/>
    <w:rsid w:val="00D908C5"/>
    <w:rsid w:val="00D908EE"/>
    <w:rsid w:val="00D908F7"/>
    <w:rsid w:val="00D908FC"/>
    <w:rsid w:val="00D90952"/>
    <w:rsid w:val="00D9096D"/>
    <w:rsid w:val="00D909D4"/>
    <w:rsid w:val="00D90A2E"/>
    <w:rsid w:val="00D90A59"/>
    <w:rsid w:val="00D90A7A"/>
    <w:rsid w:val="00D90A8A"/>
    <w:rsid w:val="00D90AAC"/>
    <w:rsid w:val="00D90BAD"/>
    <w:rsid w:val="00D90BE8"/>
    <w:rsid w:val="00D90C7B"/>
    <w:rsid w:val="00D90C9E"/>
    <w:rsid w:val="00D90D86"/>
    <w:rsid w:val="00D90DF6"/>
    <w:rsid w:val="00D90E13"/>
    <w:rsid w:val="00D90ECE"/>
    <w:rsid w:val="00D90F17"/>
    <w:rsid w:val="00D90F76"/>
    <w:rsid w:val="00D90FD5"/>
    <w:rsid w:val="00D91076"/>
    <w:rsid w:val="00D910BC"/>
    <w:rsid w:val="00D91173"/>
    <w:rsid w:val="00D9120A"/>
    <w:rsid w:val="00D91266"/>
    <w:rsid w:val="00D912BF"/>
    <w:rsid w:val="00D91437"/>
    <w:rsid w:val="00D9146C"/>
    <w:rsid w:val="00D914D5"/>
    <w:rsid w:val="00D91525"/>
    <w:rsid w:val="00D9160C"/>
    <w:rsid w:val="00D917A7"/>
    <w:rsid w:val="00D917BF"/>
    <w:rsid w:val="00D917F2"/>
    <w:rsid w:val="00D917F8"/>
    <w:rsid w:val="00D918A6"/>
    <w:rsid w:val="00D918AB"/>
    <w:rsid w:val="00D918F9"/>
    <w:rsid w:val="00D91A0B"/>
    <w:rsid w:val="00D91A49"/>
    <w:rsid w:val="00D91AAC"/>
    <w:rsid w:val="00D91AD4"/>
    <w:rsid w:val="00D91B31"/>
    <w:rsid w:val="00D91B5C"/>
    <w:rsid w:val="00D91C73"/>
    <w:rsid w:val="00D91C7A"/>
    <w:rsid w:val="00D91C8C"/>
    <w:rsid w:val="00D91CA7"/>
    <w:rsid w:val="00D91CB1"/>
    <w:rsid w:val="00D91E92"/>
    <w:rsid w:val="00D91F1F"/>
    <w:rsid w:val="00D91FB0"/>
    <w:rsid w:val="00D92053"/>
    <w:rsid w:val="00D920FA"/>
    <w:rsid w:val="00D9213D"/>
    <w:rsid w:val="00D92148"/>
    <w:rsid w:val="00D9217B"/>
    <w:rsid w:val="00D921B8"/>
    <w:rsid w:val="00D92248"/>
    <w:rsid w:val="00D9224E"/>
    <w:rsid w:val="00D922B2"/>
    <w:rsid w:val="00D9230D"/>
    <w:rsid w:val="00D92342"/>
    <w:rsid w:val="00D9238B"/>
    <w:rsid w:val="00D92399"/>
    <w:rsid w:val="00D92415"/>
    <w:rsid w:val="00D924E4"/>
    <w:rsid w:val="00D9253B"/>
    <w:rsid w:val="00D9254D"/>
    <w:rsid w:val="00D9258D"/>
    <w:rsid w:val="00D925C5"/>
    <w:rsid w:val="00D9265E"/>
    <w:rsid w:val="00D9274E"/>
    <w:rsid w:val="00D9277E"/>
    <w:rsid w:val="00D92783"/>
    <w:rsid w:val="00D927BF"/>
    <w:rsid w:val="00D92890"/>
    <w:rsid w:val="00D928C2"/>
    <w:rsid w:val="00D928CE"/>
    <w:rsid w:val="00D929CC"/>
    <w:rsid w:val="00D92A05"/>
    <w:rsid w:val="00D92B4B"/>
    <w:rsid w:val="00D92BE5"/>
    <w:rsid w:val="00D92C10"/>
    <w:rsid w:val="00D92CF6"/>
    <w:rsid w:val="00D92D37"/>
    <w:rsid w:val="00D92DD1"/>
    <w:rsid w:val="00D92DE6"/>
    <w:rsid w:val="00D92E5F"/>
    <w:rsid w:val="00D92E79"/>
    <w:rsid w:val="00D92F33"/>
    <w:rsid w:val="00D92FFE"/>
    <w:rsid w:val="00D93024"/>
    <w:rsid w:val="00D9303D"/>
    <w:rsid w:val="00D9304D"/>
    <w:rsid w:val="00D93063"/>
    <w:rsid w:val="00D930F2"/>
    <w:rsid w:val="00D9310C"/>
    <w:rsid w:val="00D93163"/>
    <w:rsid w:val="00D931E1"/>
    <w:rsid w:val="00D93207"/>
    <w:rsid w:val="00D9322D"/>
    <w:rsid w:val="00D9322E"/>
    <w:rsid w:val="00D93230"/>
    <w:rsid w:val="00D932BF"/>
    <w:rsid w:val="00D932D3"/>
    <w:rsid w:val="00D932D9"/>
    <w:rsid w:val="00D9339B"/>
    <w:rsid w:val="00D933A5"/>
    <w:rsid w:val="00D93482"/>
    <w:rsid w:val="00D9359A"/>
    <w:rsid w:val="00D935EE"/>
    <w:rsid w:val="00D93663"/>
    <w:rsid w:val="00D936C7"/>
    <w:rsid w:val="00D9378F"/>
    <w:rsid w:val="00D9381C"/>
    <w:rsid w:val="00D9383C"/>
    <w:rsid w:val="00D93883"/>
    <w:rsid w:val="00D938EB"/>
    <w:rsid w:val="00D93936"/>
    <w:rsid w:val="00D939C5"/>
    <w:rsid w:val="00D939FD"/>
    <w:rsid w:val="00D93A6E"/>
    <w:rsid w:val="00D93AB6"/>
    <w:rsid w:val="00D93B71"/>
    <w:rsid w:val="00D93BC6"/>
    <w:rsid w:val="00D93BF5"/>
    <w:rsid w:val="00D93C40"/>
    <w:rsid w:val="00D93DAA"/>
    <w:rsid w:val="00D93DF0"/>
    <w:rsid w:val="00D93DFB"/>
    <w:rsid w:val="00D93E24"/>
    <w:rsid w:val="00D93E86"/>
    <w:rsid w:val="00D93EE3"/>
    <w:rsid w:val="00D93FD6"/>
    <w:rsid w:val="00D9408E"/>
    <w:rsid w:val="00D94114"/>
    <w:rsid w:val="00D9417F"/>
    <w:rsid w:val="00D94276"/>
    <w:rsid w:val="00D94281"/>
    <w:rsid w:val="00D94286"/>
    <w:rsid w:val="00D942B3"/>
    <w:rsid w:val="00D94338"/>
    <w:rsid w:val="00D9439C"/>
    <w:rsid w:val="00D943B6"/>
    <w:rsid w:val="00D94509"/>
    <w:rsid w:val="00D94526"/>
    <w:rsid w:val="00D94563"/>
    <w:rsid w:val="00D946A6"/>
    <w:rsid w:val="00D946E7"/>
    <w:rsid w:val="00D94711"/>
    <w:rsid w:val="00D94776"/>
    <w:rsid w:val="00D9491E"/>
    <w:rsid w:val="00D94925"/>
    <w:rsid w:val="00D9493D"/>
    <w:rsid w:val="00D949BA"/>
    <w:rsid w:val="00D949ED"/>
    <w:rsid w:val="00D94B2F"/>
    <w:rsid w:val="00D94B3A"/>
    <w:rsid w:val="00D94B94"/>
    <w:rsid w:val="00D94BB0"/>
    <w:rsid w:val="00D94C59"/>
    <w:rsid w:val="00D94C97"/>
    <w:rsid w:val="00D94D1B"/>
    <w:rsid w:val="00D94F8B"/>
    <w:rsid w:val="00D95133"/>
    <w:rsid w:val="00D95171"/>
    <w:rsid w:val="00D95216"/>
    <w:rsid w:val="00D9523F"/>
    <w:rsid w:val="00D952B8"/>
    <w:rsid w:val="00D9531F"/>
    <w:rsid w:val="00D95335"/>
    <w:rsid w:val="00D953C2"/>
    <w:rsid w:val="00D9540A"/>
    <w:rsid w:val="00D95450"/>
    <w:rsid w:val="00D95507"/>
    <w:rsid w:val="00D95587"/>
    <w:rsid w:val="00D9571A"/>
    <w:rsid w:val="00D957D5"/>
    <w:rsid w:val="00D957FD"/>
    <w:rsid w:val="00D9580A"/>
    <w:rsid w:val="00D9583C"/>
    <w:rsid w:val="00D9584A"/>
    <w:rsid w:val="00D95B8C"/>
    <w:rsid w:val="00D95BF9"/>
    <w:rsid w:val="00D95BFB"/>
    <w:rsid w:val="00D95C3F"/>
    <w:rsid w:val="00D95D07"/>
    <w:rsid w:val="00D95D4D"/>
    <w:rsid w:val="00D95D88"/>
    <w:rsid w:val="00D95DFF"/>
    <w:rsid w:val="00D95F1D"/>
    <w:rsid w:val="00D95F7B"/>
    <w:rsid w:val="00D95FBB"/>
    <w:rsid w:val="00D95FD1"/>
    <w:rsid w:val="00D96012"/>
    <w:rsid w:val="00D96051"/>
    <w:rsid w:val="00D9605C"/>
    <w:rsid w:val="00D96145"/>
    <w:rsid w:val="00D961A6"/>
    <w:rsid w:val="00D96218"/>
    <w:rsid w:val="00D9621D"/>
    <w:rsid w:val="00D96250"/>
    <w:rsid w:val="00D96251"/>
    <w:rsid w:val="00D96315"/>
    <w:rsid w:val="00D9637B"/>
    <w:rsid w:val="00D9639B"/>
    <w:rsid w:val="00D963BF"/>
    <w:rsid w:val="00D963FF"/>
    <w:rsid w:val="00D9647E"/>
    <w:rsid w:val="00D964C7"/>
    <w:rsid w:val="00D964E3"/>
    <w:rsid w:val="00D96527"/>
    <w:rsid w:val="00D96572"/>
    <w:rsid w:val="00D965CC"/>
    <w:rsid w:val="00D9660F"/>
    <w:rsid w:val="00D967EB"/>
    <w:rsid w:val="00D9682A"/>
    <w:rsid w:val="00D968CB"/>
    <w:rsid w:val="00D96943"/>
    <w:rsid w:val="00D96977"/>
    <w:rsid w:val="00D969C8"/>
    <w:rsid w:val="00D969EB"/>
    <w:rsid w:val="00D96A3F"/>
    <w:rsid w:val="00D96A9F"/>
    <w:rsid w:val="00D96AE0"/>
    <w:rsid w:val="00D96B34"/>
    <w:rsid w:val="00D96BC5"/>
    <w:rsid w:val="00D96D09"/>
    <w:rsid w:val="00D96D5A"/>
    <w:rsid w:val="00D96DE1"/>
    <w:rsid w:val="00D96DF2"/>
    <w:rsid w:val="00D96E1B"/>
    <w:rsid w:val="00D96EB2"/>
    <w:rsid w:val="00D96EB5"/>
    <w:rsid w:val="00D96F01"/>
    <w:rsid w:val="00D96F1E"/>
    <w:rsid w:val="00D96F21"/>
    <w:rsid w:val="00D96F5D"/>
    <w:rsid w:val="00D96F60"/>
    <w:rsid w:val="00D96F89"/>
    <w:rsid w:val="00D97008"/>
    <w:rsid w:val="00D970DB"/>
    <w:rsid w:val="00D97109"/>
    <w:rsid w:val="00D972A5"/>
    <w:rsid w:val="00D97336"/>
    <w:rsid w:val="00D97353"/>
    <w:rsid w:val="00D9738C"/>
    <w:rsid w:val="00D97395"/>
    <w:rsid w:val="00D97487"/>
    <w:rsid w:val="00D974D9"/>
    <w:rsid w:val="00D97577"/>
    <w:rsid w:val="00D975CB"/>
    <w:rsid w:val="00D975D1"/>
    <w:rsid w:val="00D975F0"/>
    <w:rsid w:val="00D97620"/>
    <w:rsid w:val="00D97671"/>
    <w:rsid w:val="00D9769F"/>
    <w:rsid w:val="00D97785"/>
    <w:rsid w:val="00D97798"/>
    <w:rsid w:val="00D97A95"/>
    <w:rsid w:val="00D97B35"/>
    <w:rsid w:val="00D97B38"/>
    <w:rsid w:val="00D97B95"/>
    <w:rsid w:val="00D97C3A"/>
    <w:rsid w:val="00D97C46"/>
    <w:rsid w:val="00D97D0A"/>
    <w:rsid w:val="00D97D50"/>
    <w:rsid w:val="00D97DA8"/>
    <w:rsid w:val="00D97E14"/>
    <w:rsid w:val="00D97E18"/>
    <w:rsid w:val="00D97F24"/>
    <w:rsid w:val="00D97F9F"/>
    <w:rsid w:val="00D97FB7"/>
    <w:rsid w:val="00DA0127"/>
    <w:rsid w:val="00DA024F"/>
    <w:rsid w:val="00DA04F1"/>
    <w:rsid w:val="00DA051E"/>
    <w:rsid w:val="00DA0549"/>
    <w:rsid w:val="00DA05E1"/>
    <w:rsid w:val="00DA0695"/>
    <w:rsid w:val="00DA06BA"/>
    <w:rsid w:val="00DA088B"/>
    <w:rsid w:val="00DA0922"/>
    <w:rsid w:val="00DA0983"/>
    <w:rsid w:val="00DA0A3C"/>
    <w:rsid w:val="00DA0AE9"/>
    <w:rsid w:val="00DA0B23"/>
    <w:rsid w:val="00DA0B44"/>
    <w:rsid w:val="00DA0B91"/>
    <w:rsid w:val="00DA0C62"/>
    <w:rsid w:val="00DA0CE0"/>
    <w:rsid w:val="00DA0D1D"/>
    <w:rsid w:val="00DA0D8B"/>
    <w:rsid w:val="00DA0E34"/>
    <w:rsid w:val="00DA0E61"/>
    <w:rsid w:val="00DA0EB1"/>
    <w:rsid w:val="00DA0F17"/>
    <w:rsid w:val="00DA1028"/>
    <w:rsid w:val="00DA1093"/>
    <w:rsid w:val="00DA10C0"/>
    <w:rsid w:val="00DA10DE"/>
    <w:rsid w:val="00DA1138"/>
    <w:rsid w:val="00DA120C"/>
    <w:rsid w:val="00DA1265"/>
    <w:rsid w:val="00DA127B"/>
    <w:rsid w:val="00DA128A"/>
    <w:rsid w:val="00DA12D5"/>
    <w:rsid w:val="00DA138B"/>
    <w:rsid w:val="00DA13B4"/>
    <w:rsid w:val="00DA14B3"/>
    <w:rsid w:val="00DA14C3"/>
    <w:rsid w:val="00DA1589"/>
    <w:rsid w:val="00DA15F7"/>
    <w:rsid w:val="00DA1707"/>
    <w:rsid w:val="00DA1715"/>
    <w:rsid w:val="00DA172A"/>
    <w:rsid w:val="00DA1822"/>
    <w:rsid w:val="00DA1829"/>
    <w:rsid w:val="00DA185C"/>
    <w:rsid w:val="00DA1A3D"/>
    <w:rsid w:val="00DA1B34"/>
    <w:rsid w:val="00DA1BF6"/>
    <w:rsid w:val="00DA1C12"/>
    <w:rsid w:val="00DA1CAF"/>
    <w:rsid w:val="00DA1CF0"/>
    <w:rsid w:val="00DA1CFD"/>
    <w:rsid w:val="00DA1D0E"/>
    <w:rsid w:val="00DA1D24"/>
    <w:rsid w:val="00DA1E14"/>
    <w:rsid w:val="00DA1E22"/>
    <w:rsid w:val="00DA1E6A"/>
    <w:rsid w:val="00DA1EE7"/>
    <w:rsid w:val="00DA1F99"/>
    <w:rsid w:val="00DA1FF9"/>
    <w:rsid w:val="00DA2139"/>
    <w:rsid w:val="00DA2234"/>
    <w:rsid w:val="00DA22D7"/>
    <w:rsid w:val="00DA22E4"/>
    <w:rsid w:val="00DA2311"/>
    <w:rsid w:val="00DA2338"/>
    <w:rsid w:val="00DA233B"/>
    <w:rsid w:val="00DA23A9"/>
    <w:rsid w:val="00DA2488"/>
    <w:rsid w:val="00DA24B2"/>
    <w:rsid w:val="00DA24BD"/>
    <w:rsid w:val="00DA2504"/>
    <w:rsid w:val="00DA250B"/>
    <w:rsid w:val="00DA25C4"/>
    <w:rsid w:val="00DA265D"/>
    <w:rsid w:val="00DA266A"/>
    <w:rsid w:val="00DA26BD"/>
    <w:rsid w:val="00DA27A7"/>
    <w:rsid w:val="00DA2852"/>
    <w:rsid w:val="00DA2860"/>
    <w:rsid w:val="00DA28B9"/>
    <w:rsid w:val="00DA28D0"/>
    <w:rsid w:val="00DA2926"/>
    <w:rsid w:val="00DA29D2"/>
    <w:rsid w:val="00DA2AB6"/>
    <w:rsid w:val="00DA2AE6"/>
    <w:rsid w:val="00DA2B2B"/>
    <w:rsid w:val="00DA2B8B"/>
    <w:rsid w:val="00DA2C22"/>
    <w:rsid w:val="00DA2C62"/>
    <w:rsid w:val="00DA2C98"/>
    <w:rsid w:val="00DA2CBC"/>
    <w:rsid w:val="00DA2CC8"/>
    <w:rsid w:val="00DA2CFA"/>
    <w:rsid w:val="00DA2D04"/>
    <w:rsid w:val="00DA2D27"/>
    <w:rsid w:val="00DA2D44"/>
    <w:rsid w:val="00DA2DC7"/>
    <w:rsid w:val="00DA2DF5"/>
    <w:rsid w:val="00DA2E6E"/>
    <w:rsid w:val="00DA2F04"/>
    <w:rsid w:val="00DA2F3D"/>
    <w:rsid w:val="00DA2F75"/>
    <w:rsid w:val="00DA2F80"/>
    <w:rsid w:val="00DA2FAC"/>
    <w:rsid w:val="00DA2FC0"/>
    <w:rsid w:val="00DA2FF6"/>
    <w:rsid w:val="00DA300D"/>
    <w:rsid w:val="00DA3010"/>
    <w:rsid w:val="00DA302C"/>
    <w:rsid w:val="00DA305B"/>
    <w:rsid w:val="00DA3093"/>
    <w:rsid w:val="00DA31CD"/>
    <w:rsid w:val="00DA320B"/>
    <w:rsid w:val="00DA3214"/>
    <w:rsid w:val="00DA322A"/>
    <w:rsid w:val="00DA335A"/>
    <w:rsid w:val="00DA3538"/>
    <w:rsid w:val="00DA35D0"/>
    <w:rsid w:val="00DA362B"/>
    <w:rsid w:val="00DA363E"/>
    <w:rsid w:val="00DA370C"/>
    <w:rsid w:val="00DA371E"/>
    <w:rsid w:val="00DA3758"/>
    <w:rsid w:val="00DA3787"/>
    <w:rsid w:val="00DA3793"/>
    <w:rsid w:val="00DA38E3"/>
    <w:rsid w:val="00DA38E9"/>
    <w:rsid w:val="00DA38F4"/>
    <w:rsid w:val="00DA399D"/>
    <w:rsid w:val="00DA3A3C"/>
    <w:rsid w:val="00DA3AE2"/>
    <w:rsid w:val="00DA3AE9"/>
    <w:rsid w:val="00DA3B76"/>
    <w:rsid w:val="00DA3BA7"/>
    <w:rsid w:val="00DA3BBB"/>
    <w:rsid w:val="00DA3BE7"/>
    <w:rsid w:val="00DA3BF9"/>
    <w:rsid w:val="00DA3C32"/>
    <w:rsid w:val="00DA3D1A"/>
    <w:rsid w:val="00DA3D8E"/>
    <w:rsid w:val="00DA3E97"/>
    <w:rsid w:val="00DA3F49"/>
    <w:rsid w:val="00DA3F60"/>
    <w:rsid w:val="00DA3FA6"/>
    <w:rsid w:val="00DA3FBE"/>
    <w:rsid w:val="00DA400C"/>
    <w:rsid w:val="00DA403D"/>
    <w:rsid w:val="00DA408D"/>
    <w:rsid w:val="00DA40FA"/>
    <w:rsid w:val="00DA41D5"/>
    <w:rsid w:val="00DA41E5"/>
    <w:rsid w:val="00DA4263"/>
    <w:rsid w:val="00DA436F"/>
    <w:rsid w:val="00DA43C8"/>
    <w:rsid w:val="00DA4419"/>
    <w:rsid w:val="00DA4422"/>
    <w:rsid w:val="00DA44E3"/>
    <w:rsid w:val="00DA460C"/>
    <w:rsid w:val="00DA4627"/>
    <w:rsid w:val="00DA47B5"/>
    <w:rsid w:val="00DA4801"/>
    <w:rsid w:val="00DA4826"/>
    <w:rsid w:val="00DA4841"/>
    <w:rsid w:val="00DA487C"/>
    <w:rsid w:val="00DA48DF"/>
    <w:rsid w:val="00DA4A49"/>
    <w:rsid w:val="00DA4AE0"/>
    <w:rsid w:val="00DA4C4E"/>
    <w:rsid w:val="00DA4C75"/>
    <w:rsid w:val="00DA4C98"/>
    <w:rsid w:val="00DA4C9B"/>
    <w:rsid w:val="00DA4D5B"/>
    <w:rsid w:val="00DA4DC8"/>
    <w:rsid w:val="00DA4EF6"/>
    <w:rsid w:val="00DA4EFA"/>
    <w:rsid w:val="00DA4F6D"/>
    <w:rsid w:val="00DA4FAD"/>
    <w:rsid w:val="00DA4FE4"/>
    <w:rsid w:val="00DA5005"/>
    <w:rsid w:val="00DA50D0"/>
    <w:rsid w:val="00DA5120"/>
    <w:rsid w:val="00DA518F"/>
    <w:rsid w:val="00DA51DD"/>
    <w:rsid w:val="00DA5230"/>
    <w:rsid w:val="00DA5268"/>
    <w:rsid w:val="00DA5276"/>
    <w:rsid w:val="00DA533C"/>
    <w:rsid w:val="00DA53AA"/>
    <w:rsid w:val="00DA53AE"/>
    <w:rsid w:val="00DA53E3"/>
    <w:rsid w:val="00DA5435"/>
    <w:rsid w:val="00DA548C"/>
    <w:rsid w:val="00DA54D6"/>
    <w:rsid w:val="00DA550D"/>
    <w:rsid w:val="00DA56AB"/>
    <w:rsid w:val="00DA56D3"/>
    <w:rsid w:val="00DA56E1"/>
    <w:rsid w:val="00DA5783"/>
    <w:rsid w:val="00DA5806"/>
    <w:rsid w:val="00DA58B9"/>
    <w:rsid w:val="00DA58C8"/>
    <w:rsid w:val="00DA58E7"/>
    <w:rsid w:val="00DA5905"/>
    <w:rsid w:val="00DA5913"/>
    <w:rsid w:val="00DA5944"/>
    <w:rsid w:val="00DA5979"/>
    <w:rsid w:val="00DA598B"/>
    <w:rsid w:val="00DA59AB"/>
    <w:rsid w:val="00DA59D7"/>
    <w:rsid w:val="00DA5A27"/>
    <w:rsid w:val="00DA5B11"/>
    <w:rsid w:val="00DA5B74"/>
    <w:rsid w:val="00DA5BD5"/>
    <w:rsid w:val="00DA5C2D"/>
    <w:rsid w:val="00DA5C62"/>
    <w:rsid w:val="00DA5E03"/>
    <w:rsid w:val="00DA5E66"/>
    <w:rsid w:val="00DA5EEC"/>
    <w:rsid w:val="00DA5EF4"/>
    <w:rsid w:val="00DA5F17"/>
    <w:rsid w:val="00DA5F4F"/>
    <w:rsid w:val="00DA6003"/>
    <w:rsid w:val="00DA6048"/>
    <w:rsid w:val="00DA6060"/>
    <w:rsid w:val="00DA610A"/>
    <w:rsid w:val="00DA619B"/>
    <w:rsid w:val="00DA61C7"/>
    <w:rsid w:val="00DA61F0"/>
    <w:rsid w:val="00DA6215"/>
    <w:rsid w:val="00DA624C"/>
    <w:rsid w:val="00DA62C4"/>
    <w:rsid w:val="00DA62F7"/>
    <w:rsid w:val="00DA6321"/>
    <w:rsid w:val="00DA6337"/>
    <w:rsid w:val="00DA636E"/>
    <w:rsid w:val="00DA638A"/>
    <w:rsid w:val="00DA6397"/>
    <w:rsid w:val="00DA63CB"/>
    <w:rsid w:val="00DA6552"/>
    <w:rsid w:val="00DA668B"/>
    <w:rsid w:val="00DA6697"/>
    <w:rsid w:val="00DA66AF"/>
    <w:rsid w:val="00DA66D5"/>
    <w:rsid w:val="00DA670F"/>
    <w:rsid w:val="00DA67A1"/>
    <w:rsid w:val="00DA69D1"/>
    <w:rsid w:val="00DA69F7"/>
    <w:rsid w:val="00DA6A4C"/>
    <w:rsid w:val="00DA6A5D"/>
    <w:rsid w:val="00DA6AE4"/>
    <w:rsid w:val="00DA6B34"/>
    <w:rsid w:val="00DA6BEC"/>
    <w:rsid w:val="00DA6D28"/>
    <w:rsid w:val="00DA6D44"/>
    <w:rsid w:val="00DA6DC3"/>
    <w:rsid w:val="00DA6E18"/>
    <w:rsid w:val="00DA6E98"/>
    <w:rsid w:val="00DA6EAC"/>
    <w:rsid w:val="00DA6F0A"/>
    <w:rsid w:val="00DA6F14"/>
    <w:rsid w:val="00DA6F41"/>
    <w:rsid w:val="00DA70A7"/>
    <w:rsid w:val="00DA70C9"/>
    <w:rsid w:val="00DA7152"/>
    <w:rsid w:val="00DA71B1"/>
    <w:rsid w:val="00DA71B3"/>
    <w:rsid w:val="00DA7255"/>
    <w:rsid w:val="00DA729A"/>
    <w:rsid w:val="00DA733E"/>
    <w:rsid w:val="00DA74D4"/>
    <w:rsid w:val="00DA74F1"/>
    <w:rsid w:val="00DA752F"/>
    <w:rsid w:val="00DA7625"/>
    <w:rsid w:val="00DA7738"/>
    <w:rsid w:val="00DA77BE"/>
    <w:rsid w:val="00DA77E3"/>
    <w:rsid w:val="00DA77FA"/>
    <w:rsid w:val="00DA7860"/>
    <w:rsid w:val="00DA78CD"/>
    <w:rsid w:val="00DA78E1"/>
    <w:rsid w:val="00DA7943"/>
    <w:rsid w:val="00DA79AF"/>
    <w:rsid w:val="00DA79F4"/>
    <w:rsid w:val="00DA7A09"/>
    <w:rsid w:val="00DA7B05"/>
    <w:rsid w:val="00DA7B26"/>
    <w:rsid w:val="00DA7B62"/>
    <w:rsid w:val="00DA7B84"/>
    <w:rsid w:val="00DA7BC6"/>
    <w:rsid w:val="00DA7C62"/>
    <w:rsid w:val="00DA7D13"/>
    <w:rsid w:val="00DA7D65"/>
    <w:rsid w:val="00DA7DD4"/>
    <w:rsid w:val="00DA7DED"/>
    <w:rsid w:val="00DA7E2C"/>
    <w:rsid w:val="00DA7E83"/>
    <w:rsid w:val="00DA7F6A"/>
    <w:rsid w:val="00DA7F9E"/>
    <w:rsid w:val="00DA7FE3"/>
    <w:rsid w:val="00DB013C"/>
    <w:rsid w:val="00DB0166"/>
    <w:rsid w:val="00DB01EE"/>
    <w:rsid w:val="00DB021B"/>
    <w:rsid w:val="00DB0249"/>
    <w:rsid w:val="00DB0255"/>
    <w:rsid w:val="00DB0285"/>
    <w:rsid w:val="00DB032C"/>
    <w:rsid w:val="00DB0393"/>
    <w:rsid w:val="00DB039F"/>
    <w:rsid w:val="00DB03F3"/>
    <w:rsid w:val="00DB04A7"/>
    <w:rsid w:val="00DB05D8"/>
    <w:rsid w:val="00DB060B"/>
    <w:rsid w:val="00DB0611"/>
    <w:rsid w:val="00DB06B5"/>
    <w:rsid w:val="00DB06C3"/>
    <w:rsid w:val="00DB0726"/>
    <w:rsid w:val="00DB07ED"/>
    <w:rsid w:val="00DB07F9"/>
    <w:rsid w:val="00DB0831"/>
    <w:rsid w:val="00DB0849"/>
    <w:rsid w:val="00DB0852"/>
    <w:rsid w:val="00DB087A"/>
    <w:rsid w:val="00DB089F"/>
    <w:rsid w:val="00DB08E9"/>
    <w:rsid w:val="00DB0961"/>
    <w:rsid w:val="00DB09FA"/>
    <w:rsid w:val="00DB0A98"/>
    <w:rsid w:val="00DB0AA1"/>
    <w:rsid w:val="00DB0B17"/>
    <w:rsid w:val="00DB0B1C"/>
    <w:rsid w:val="00DB0B20"/>
    <w:rsid w:val="00DB0BC4"/>
    <w:rsid w:val="00DB0BF4"/>
    <w:rsid w:val="00DB0C20"/>
    <w:rsid w:val="00DB0C55"/>
    <w:rsid w:val="00DB0D5F"/>
    <w:rsid w:val="00DB0D70"/>
    <w:rsid w:val="00DB0D75"/>
    <w:rsid w:val="00DB0D8E"/>
    <w:rsid w:val="00DB0DBD"/>
    <w:rsid w:val="00DB0E20"/>
    <w:rsid w:val="00DB0E5C"/>
    <w:rsid w:val="00DB0ED6"/>
    <w:rsid w:val="00DB0EEC"/>
    <w:rsid w:val="00DB0F03"/>
    <w:rsid w:val="00DB0F7C"/>
    <w:rsid w:val="00DB0FF1"/>
    <w:rsid w:val="00DB10E1"/>
    <w:rsid w:val="00DB1162"/>
    <w:rsid w:val="00DB1297"/>
    <w:rsid w:val="00DB12AD"/>
    <w:rsid w:val="00DB12B9"/>
    <w:rsid w:val="00DB12CE"/>
    <w:rsid w:val="00DB1413"/>
    <w:rsid w:val="00DB1436"/>
    <w:rsid w:val="00DB1494"/>
    <w:rsid w:val="00DB1504"/>
    <w:rsid w:val="00DB15BD"/>
    <w:rsid w:val="00DB169D"/>
    <w:rsid w:val="00DB1744"/>
    <w:rsid w:val="00DB1758"/>
    <w:rsid w:val="00DB186B"/>
    <w:rsid w:val="00DB1877"/>
    <w:rsid w:val="00DB1A1C"/>
    <w:rsid w:val="00DB1A87"/>
    <w:rsid w:val="00DB1B12"/>
    <w:rsid w:val="00DB1B6D"/>
    <w:rsid w:val="00DB1B8F"/>
    <w:rsid w:val="00DB1BAA"/>
    <w:rsid w:val="00DB1BBE"/>
    <w:rsid w:val="00DB1C29"/>
    <w:rsid w:val="00DB1D15"/>
    <w:rsid w:val="00DB1D54"/>
    <w:rsid w:val="00DB1E07"/>
    <w:rsid w:val="00DB1F10"/>
    <w:rsid w:val="00DB2083"/>
    <w:rsid w:val="00DB20BB"/>
    <w:rsid w:val="00DB218E"/>
    <w:rsid w:val="00DB224D"/>
    <w:rsid w:val="00DB22D2"/>
    <w:rsid w:val="00DB240D"/>
    <w:rsid w:val="00DB240F"/>
    <w:rsid w:val="00DB2449"/>
    <w:rsid w:val="00DB2659"/>
    <w:rsid w:val="00DB26B6"/>
    <w:rsid w:val="00DB26FE"/>
    <w:rsid w:val="00DB277E"/>
    <w:rsid w:val="00DB278B"/>
    <w:rsid w:val="00DB27AC"/>
    <w:rsid w:val="00DB2970"/>
    <w:rsid w:val="00DB29EF"/>
    <w:rsid w:val="00DB2AD6"/>
    <w:rsid w:val="00DB2B20"/>
    <w:rsid w:val="00DB2B2A"/>
    <w:rsid w:val="00DB2BA3"/>
    <w:rsid w:val="00DB2BAC"/>
    <w:rsid w:val="00DB2BCA"/>
    <w:rsid w:val="00DB2C18"/>
    <w:rsid w:val="00DB2CBD"/>
    <w:rsid w:val="00DB2D7F"/>
    <w:rsid w:val="00DB2D8D"/>
    <w:rsid w:val="00DB2DCF"/>
    <w:rsid w:val="00DB2DE3"/>
    <w:rsid w:val="00DB2E0C"/>
    <w:rsid w:val="00DB2E61"/>
    <w:rsid w:val="00DB2EFE"/>
    <w:rsid w:val="00DB2F74"/>
    <w:rsid w:val="00DB2F86"/>
    <w:rsid w:val="00DB2FA2"/>
    <w:rsid w:val="00DB3044"/>
    <w:rsid w:val="00DB30AA"/>
    <w:rsid w:val="00DB30CB"/>
    <w:rsid w:val="00DB3112"/>
    <w:rsid w:val="00DB3224"/>
    <w:rsid w:val="00DB3237"/>
    <w:rsid w:val="00DB3296"/>
    <w:rsid w:val="00DB32D5"/>
    <w:rsid w:val="00DB32F5"/>
    <w:rsid w:val="00DB3336"/>
    <w:rsid w:val="00DB3344"/>
    <w:rsid w:val="00DB33AE"/>
    <w:rsid w:val="00DB34E2"/>
    <w:rsid w:val="00DB34F5"/>
    <w:rsid w:val="00DB3552"/>
    <w:rsid w:val="00DB360B"/>
    <w:rsid w:val="00DB3647"/>
    <w:rsid w:val="00DB36A6"/>
    <w:rsid w:val="00DB3720"/>
    <w:rsid w:val="00DB37E7"/>
    <w:rsid w:val="00DB3881"/>
    <w:rsid w:val="00DB39AC"/>
    <w:rsid w:val="00DB39D9"/>
    <w:rsid w:val="00DB39EC"/>
    <w:rsid w:val="00DB3A06"/>
    <w:rsid w:val="00DB3A10"/>
    <w:rsid w:val="00DB3B02"/>
    <w:rsid w:val="00DB3B36"/>
    <w:rsid w:val="00DB3BC6"/>
    <w:rsid w:val="00DB3CD2"/>
    <w:rsid w:val="00DB3D4B"/>
    <w:rsid w:val="00DB3E5B"/>
    <w:rsid w:val="00DB4098"/>
    <w:rsid w:val="00DB4112"/>
    <w:rsid w:val="00DB4116"/>
    <w:rsid w:val="00DB412B"/>
    <w:rsid w:val="00DB41D6"/>
    <w:rsid w:val="00DB4202"/>
    <w:rsid w:val="00DB4219"/>
    <w:rsid w:val="00DB4380"/>
    <w:rsid w:val="00DB43B4"/>
    <w:rsid w:val="00DB441D"/>
    <w:rsid w:val="00DB450B"/>
    <w:rsid w:val="00DB450C"/>
    <w:rsid w:val="00DB4582"/>
    <w:rsid w:val="00DB4639"/>
    <w:rsid w:val="00DB467B"/>
    <w:rsid w:val="00DB4697"/>
    <w:rsid w:val="00DB47DF"/>
    <w:rsid w:val="00DB48A7"/>
    <w:rsid w:val="00DB48E1"/>
    <w:rsid w:val="00DB492F"/>
    <w:rsid w:val="00DB4949"/>
    <w:rsid w:val="00DB49EA"/>
    <w:rsid w:val="00DB4B1F"/>
    <w:rsid w:val="00DB4B41"/>
    <w:rsid w:val="00DB4C29"/>
    <w:rsid w:val="00DB4CA2"/>
    <w:rsid w:val="00DB4D65"/>
    <w:rsid w:val="00DB4DD5"/>
    <w:rsid w:val="00DB4DE2"/>
    <w:rsid w:val="00DB4E02"/>
    <w:rsid w:val="00DB4E09"/>
    <w:rsid w:val="00DB4EDB"/>
    <w:rsid w:val="00DB4F54"/>
    <w:rsid w:val="00DB4F69"/>
    <w:rsid w:val="00DB5038"/>
    <w:rsid w:val="00DB504F"/>
    <w:rsid w:val="00DB5053"/>
    <w:rsid w:val="00DB50D9"/>
    <w:rsid w:val="00DB5112"/>
    <w:rsid w:val="00DB5200"/>
    <w:rsid w:val="00DB5263"/>
    <w:rsid w:val="00DB5499"/>
    <w:rsid w:val="00DB54B2"/>
    <w:rsid w:val="00DB54BB"/>
    <w:rsid w:val="00DB5541"/>
    <w:rsid w:val="00DB565F"/>
    <w:rsid w:val="00DB5662"/>
    <w:rsid w:val="00DB56E7"/>
    <w:rsid w:val="00DB5717"/>
    <w:rsid w:val="00DB5758"/>
    <w:rsid w:val="00DB5769"/>
    <w:rsid w:val="00DB5776"/>
    <w:rsid w:val="00DB57FB"/>
    <w:rsid w:val="00DB5935"/>
    <w:rsid w:val="00DB5A02"/>
    <w:rsid w:val="00DB5BB3"/>
    <w:rsid w:val="00DB5BBE"/>
    <w:rsid w:val="00DB5BEE"/>
    <w:rsid w:val="00DB5C3C"/>
    <w:rsid w:val="00DB5C4A"/>
    <w:rsid w:val="00DB5CD9"/>
    <w:rsid w:val="00DB5DF0"/>
    <w:rsid w:val="00DB5ECD"/>
    <w:rsid w:val="00DB60C8"/>
    <w:rsid w:val="00DB60F4"/>
    <w:rsid w:val="00DB615F"/>
    <w:rsid w:val="00DB617D"/>
    <w:rsid w:val="00DB61B9"/>
    <w:rsid w:val="00DB61BC"/>
    <w:rsid w:val="00DB61CF"/>
    <w:rsid w:val="00DB61F6"/>
    <w:rsid w:val="00DB62F2"/>
    <w:rsid w:val="00DB6305"/>
    <w:rsid w:val="00DB6310"/>
    <w:rsid w:val="00DB6456"/>
    <w:rsid w:val="00DB64F0"/>
    <w:rsid w:val="00DB64F2"/>
    <w:rsid w:val="00DB65B7"/>
    <w:rsid w:val="00DB65F6"/>
    <w:rsid w:val="00DB663C"/>
    <w:rsid w:val="00DB6671"/>
    <w:rsid w:val="00DB66F3"/>
    <w:rsid w:val="00DB6710"/>
    <w:rsid w:val="00DB6726"/>
    <w:rsid w:val="00DB6727"/>
    <w:rsid w:val="00DB67D5"/>
    <w:rsid w:val="00DB680A"/>
    <w:rsid w:val="00DB681D"/>
    <w:rsid w:val="00DB6834"/>
    <w:rsid w:val="00DB689A"/>
    <w:rsid w:val="00DB69A0"/>
    <w:rsid w:val="00DB69E0"/>
    <w:rsid w:val="00DB69EE"/>
    <w:rsid w:val="00DB6ADD"/>
    <w:rsid w:val="00DB6B43"/>
    <w:rsid w:val="00DB6B4E"/>
    <w:rsid w:val="00DB6B82"/>
    <w:rsid w:val="00DB6C2B"/>
    <w:rsid w:val="00DB6C93"/>
    <w:rsid w:val="00DB6CFF"/>
    <w:rsid w:val="00DB6D48"/>
    <w:rsid w:val="00DB6D9B"/>
    <w:rsid w:val="00DB6DCD"/>
    <w:rsid w:val="00DB6E1A"/>
    <w:rsid w:val="00DB6F33"/>
    <w:rsid w:val="00DB6F90"/>
    <w:rsid w:val="00DB6F98"/>
    <w:rsid w:val="00DB705D"/>
    <w:rsid w:val="00DB708B"/>
    <w:rsid w:val="00DB7130"/>
    <w:rsid w:val="00DB7135"/>
    <w:rsid w:val="00DB7171"/>
    <w:rsid w:val="00DB7183"/>
    <w:rsid w:val="00DB71C5"/>
    <w:rsid w:val="00DB733B"/>
    <w:rsid w:val="00DB74EB"/>
    <w:rsid w:val="00DB7507"/>
    <w:rsid w:val="00DB75A4"/>
    <w:rsid w:val="00DB762B"/>
    <w:rsid w:val="00DB76A2"/>
    <w:rsid w:val="00DB770F"/>
    <w:rsid w:val="00DB778A"/>
    <w:rsid w:val="00DB77FE"/>
    <w:rsid w:val="00DB7857"/>
    <w:rsid w:val="00DB7884"/>
    <w:rsid w:val="00DB78E8"/>
    <w:rsid w:val="00DB792F"/>
    <w:rsid w:val="00DB796F"/>
    <w:rsid w:val="00DB79F9"/>
    <w:rsid w:val="00DB79FF"/>
    <w:rsid w:val="00DB7A0B"/>
    <w:rsid w:val="00DB7A63"/>
    <w:rsid w:val="00DB7ACE"/>
    <w:rsid w:val="00DB7B66"/>
    <w:rsid w:val="00DB7C53"/>
    <w:rsid w:val="00DB7CB2"/>
    <w:rsid w:val="00DB7CB7"/>
    <w:rsid w:val="00DB7EC1"/>
    <w:rsid w:val="00DB7F02"/>
    <w:rsid w:val="00DB7F56"/>
    <w:rsid w:val="00DB7F70"/>
    <w:rsid w:val="00DC0021"/>
    <w:rsid w:val="00DC003E"/>
    <w:rsid w:val="00DC004D"/>
    <w:rsid w:val="00DC012D"/>
    <w:rsid w:val="00DC01A7"/>
    <w:rsid w:val="00DC01D5"/>
    <w:rsid w:val="00DC0277"/>
    <w:rsid w:val="00DC027F"/>
    <w:rsid w:val="00DC0318"/>
    <w:rsid w:val="00DC0350"/>
    <w:rsid w:val="00DC03E5"/>
    <w:rsid w:val="00DC04A1"/>
    <w:rsid w:val="00DC04FB"/>
    <w:rsid w:val="00DC0635"/>
    <w:rsid w:val="00DC06D6"/>
    <w:rsid w:val="00DC077C"/>
    <w:rsid w:val="00DC07D4"/>
    <w:rsid w:val="00DC07D8"/>
    <w:rsid w:val="00DC07E1"/>
    <w:rsid w:val="00DC082E"/>
    <w:rsid w:val="00DC0871"/>
    <w:rsid w:val="00DC08F8"/>
    <w:rsid w:val="00DC090F"/>
    <w:rsid w:val="00DC091F"/>
    <w:rsid w:val="00DC0A16"/>
    <w:rsid w:val="00DC0A30"/>
    <w:rsid w:val="00DC0A97"/>
    <w:rsid w:val="00DC0AE9"/>
    <w:rsid w:val="00DC0B65"/>
    <w:rsid w:val="00DC0B9F"/>
    <w:rsid w:val="00DC0D5C"/>
    <w:rsid w:val="00DC0D5D"/>
    <w:rsid w:val="00DC0D7B"/>
    <w:rsid w:val="00DC0E22"/>
    <w:rsid w:val="00DC0E51"/>
    <w:rsid w:val="00DC0EAB"/>
    <w:rsid w:val="00DC0EC2"/>
    <w:rsid w:val="00DC0F28"/>
    <w:rsid w:val="00DC0F7D"/>
    <w:rsid w:val="00DC0FE5"/>
    <w:rsid w:val="00DC1050"/>
    <w:rsid w:val="00DC11EF"/>
    <w:rsid w:val="00DC13DB"/>
    <w:rsid w:val="00DC13ED"/>
    <w:rsid w:val="00DC1426"/>
    <w:rsid w:val="00DC158E"/>
    <w:rsid w:val="00DC163E"/>
    <w:rsid w:val="00DC1663"/>
    <w:rsid w:val="00DC1670"/>
    <w:rsid w:val="00DC167E"/>
    <w:rsid w:val="00DC16C1"/>
    <w:rsid w:val="00DC1818"/>
    <w:rsid w:val="00DC1878"/>
    <w:rsid w:val="00DC1893"/>
    <w:rsid w:val="00DC18D5"/>
    <w:rsid w:val="00DC190A"/>
    <w:rsid w:val="00DC1922"/>
    <w:rsid w:val="00DC19BF"/>
    <w:rsid w:val="00DC1A60"/>
    <w:rsid w:val="00DC1AD6"/>
    <w:rsid w:val="00DC1BD2"/>
    <w:rsid w:val="00DC1D49"/>
    <w:rsid w:val="00DC1D56"/>
    <w:rsid w:val="00DC1DE7"/>
    <w:rsid w:val="00DC1ECD"/>
    <w:rsid w:val="00DC1ED7"/>
    <w:rsid w:val="00DC1FA1"/>
    <w:rsid w:val="00DC1FE5"/>
    <w:rsid w:val="00DC2036"/>
    <w:rsid w:val="00DC2079"/>
    <w:rsid w:val="00DC207D"/>
    <w:rsid w:val="00DC20FF"/>
    <w:rsid w:val="00DC2105"/>
    <w:rsid w:val="00DC2127"/>
    <w:rsid w:val="00DC2234"/>
    <w:rsid w:val="00DC2260"/>
    <w:rsid w:val="00DC2313"/>
    <w:rsid w:val="00DC23C8"/>
    <w:rsid w:val="00DC23EE"/>
    <w:rsid w:val="00DC2492"/>
    <w:rsid w:val="00DC2561"/>
    <w:rsid w:val="00DC25B1"/>
    <w:rsid w:val="00DC265B"/>
    <w:rsid w:val="00DC2665"/>
    <w:rsid w:val="00DC26B7"/>
    <w:rsid w:val="00DC272D"/>
    <w:rsid w:val="00DC2775"/>
    <w:rsid w:val="00DC285A"/>
    <w:rsid w:val="00DC29C2"/>
    <w:rsid w:val="00DC2AE7"/>
    <w:rsid w:val="00DC2B35"/>
    <w:rsid w:val="00DC2B61"/>
    <w:rsid w:val="00DC2B78"/>
    <w:rsid w:val="00DC2C47"/>
    <w:rsid w:val="00DC2CA6"/>
    <w:rsid w:val="00DC2D7A"/>
    <w:rsid w:val="00DC2D83"/>
    <w:rsid w:val="00DC2D91"/>
    <w:rsid w:val="00DC2DAB"/>
    <w:rsid w:val="00DC2DBE"/>
    <w:rsid w:val="00DC2DC3"/>
    <w:rsid w:val="00DC2E40"/>
    <w:rsid w:val="00DC2F53"/>
    <w:rsid w:val="00DC2F5C"/>
    <w:rsid w:val="00DC2FD1"/>
    <w:rsid w:val="00DC30CD"/>
    <w:rsid w:val="00DC3104"/>
    <w:rsid w:val="00DC3157"/>
    <w:rsid w:val="00DC31D1"/>
    <w:rsid w:val="00DC32A0"/>
    <w:rsid w:val="00DC32E6"/>
    <w:rsid w:val="00DC32FD"/>
    <w:rsid w:val="00DC335A"/>
    <w:rsid w:val="00DC3369"/>
    <w:rsid w:val="00DC336D"/>
    <w:rsid w:val="00DC33B1"/>
    <w:rsid w:val="00DC342F"/>
    <w:rsid w:val="00DC344A"/>
    <w:rsid w:val="00DC34CA"/>
    <w:rsid w:val="00DC3537"/>
    <w:rsid w:val="00DC3560"/>
    <w:rsid w:val="00DC3575"/>
    <w:rsid w:val="00DC360E"/>
    <w:rsid w:val="00DC3643"/>
    <w:rsid w:val="00DC369D"/>
    <w:rsid w:val="00DC36CC"/>
    <w:rsid w:val="00DC375D"/>
    <w:rsid w:val="00DC37E1"/>
    <w:rsid w:val="00DC3900"/>
    <w:rsid w:val="00DC398B"/>
    <w:rsid w:val="00DC39C2"/>
    <w:rsid w:val="00DC39EB"/>
    <w:rsid w:val="00DC3A96"/>
    <w:rsid w:val="00DC3AD2"/>
    <w:rsid w:val="00DC3B72"/>
    <w:rsid w:val="00DC3D21"/>
    <w:rsid w:val="00DC3E91"/>
    <w:rsid w:val="00DC3F0B"/>
    <w:rsid w:val="00DC3F37"/>
    <w:rsid w:val="00DC3F72"/>
    <w:rsid w:val="00DC3F7C"/>
    <w:rsid w:val="00DC4085"/>
    <w:rsid w:val="00DC40E1"/>
    <w:rsid w:val="00DC4115"/>
    <w:rsid w:val="00DC41DD"/>
    <w:rsid w:val="00DC429C"/>
    <w:rsid w:val="00DC42B2"/>
    <w:rsid w:val="00DC42ED"/>
    <w:rsid w:val="00DC4559"/>
    <w:rsid w:val="00DC4584"/>
    <w:rsid w:val="00DC45FD"/>
    <w:rsid w:val="00DC4633"/>
    <w:rsid w:val="00DC4635"/>
    <w:rsid w:val="00DC46B2"/>
    <w:rsid w:val="00DC46BA"/>
    <w:rsid w:val="00DC4730"/>
    <w:rsid w:val="00DC47A4"/>
    <w:rsid w:val="00DC47A8"/>
    <w:rsid w:val="00DC47CB"/>
    <w:rsid w:val="00DC47E9"/>
    <w:rsid w:val="00DC4801"/>
    <w:rsid w:val="00DC4808"/>
    <w:rsid w:val="00DC4841"/>
    <w:rsid w:val="00DC4878"/>
    <w:rsid w:val="00DC48CE"/>
    <w:rsid w:val="00DC48FF"/>
    <w:rsid w:val="00DC4910"/>
    <w:rsid w:val="00DC4973"/>
    <w:rsid w:val="00DC4A02"/>
    <w:rsid w:val="00DC4A61"/>
    <w:rsid w:val="00DC4A93"/>
    <w:rsid w:val="00DC4B55"/>
    <w:rsid w:val="00DC4CCC"/>
    <w:rsid w:val="00DC4D8A"/>
    <w:rsid w:val="00DC4DAF"/>
    <w:rsid w:val="00DC4ECB"/>
    <w:rsid w:val="00DC4FA0"/>
    <w:rsid w:val="00DC4FBE"/>
    <w:rsid w:val="00DC502C"/>
    <w:rsid w:val="00DC5140"/>
    <w:rsid w:val="00DC520A"/>
    <w:rsid w:val="00DC525C"/>
    <w:rsid w:val="00DC5266"/>
    <w:rsid w:val="00DC5298"/>
    <w:rsid w:val="00DC53B0"/>
    <w:rsid w:val="00DC53CF"/>
    <w:rsid w:val="00DC5554"/>
    <w:rsid w:val="00DC5582"/>
    <w:rsid w:val="00DC5596"/>
    <w:rsid w:val="00DC566A"/>
    <w:rsid w:val="00DC57BE"/>
    <w:rsid w:val="00DC588E"/>
    <w:rsid w:val="00DC597A"/>
    <w:rsid w:val="00DC59FB"/>
    <w:rsid w:val="00DC5A6D"/>
    <w:rsid w:val="00DC5A78"/>
    <w:rsid w:val="00DC5AEF"/>
    <w:rsid w:val="00DC5B50"/>
    <w:rsid w:val="00DC5B70"/>
    <w:rsid w:val="00DC5B9A"/>
    <w:rsid w:val="00DC5BA3"/>
    <w:rsid w:val="00DC5BC1"/>
    <w:rsid w:val="00DC5BE6"/>
    <w:rsid w:val="00DC5C5C"/>
    <w:rsid w:val="00DC5CF2"/>
    <w:rsid w:val="00DC5D19"/>
    <w:rsid w:val="00DC5D78"/>
    <w:rsid w:val="00DC5EB1"/>
    <w:rsid w:val="00DC5EF7"/>
    <w:rsid w:val="00DC5F61"/>
    <w:rsid w:val="00DC5FA4"/>
    <w:rsid w:val="00DC6039"/>
    <w:rsid w:val="00DC60E3"/>
    <w:rsid w:val="00DC62D0"/>
    <w:rsid w:val="00DC62E5"/>
    <w:rsid w:val="00DC6323"/>
    <w:rsid w:val="00DC634C"/>
    <w:rsid w:val="00DC6408"/>
    <w:rsid w:val="00DC643D"/>
    <w:rsid w:val="00DC64BE"/>
    <w:rsid w:val="00DC651C"/>
    <w:rsid w:val="00DC6528"/>
    <w:rsid w:val="00DC6601"/>
    <w:rsid w:val="00DC6606"/>
    <w:rsid w:val="00DC6615"/>
    <w:rsid w:val="00DC662F"/>
    <w:rsid w:val="00DC69AB"/>
    <w:rsid w:val="00DC69F0"/>
    <w:rsid w:val="00DC6A31"/>
    <w:rsid w:val="00DC6A78"/>
    <w:rsid w:val="00DC6AEC"/>
    <w:rsid w:val="00DC6B15"/>
    <w:rsid w:val="00DC6B22"/>
    <w:rsid w:val="00DC6B6B"/>
    <w:rsid w:val="00DC6BA6"/>
    <w:rsid w:val="00DC6BEA"/>
    <w:rsid w:val="00DC6C03"/>
    <w:rsid w:val="00DC6D2D"/>
    <w:rsid w:val="00DC6DA1"/>
    <w:rsid w:val="00DC6DB3"/>
    <w:rsid w:val="00DC6E38"/>
    <w:rsid w:val="00DC6EA2"/>
    <w:rsid w:val="00DC6EE0"/>
    <w:rsid w:val="00DC6EEA"/>
    <w:rsid w:val="00DC6EFB"/>
    <w:rsid w:val="00DC6F20"/>
    <w:rsid w:val="00DC6F90"/>
    <w:rsid w:val="00DC70D1"/>
    <w:rsid w:val="00DC718C"/>
    <w:rsid w:val="00DC7236"/>
    <w:rsid w:val="00DC72C9"/>
    <w:rsid w:val="00DC7336"/>
    <w:rsid w:val="00DC7374"/>
    <w:rsid w:val="00DC739B"/>
    <w:rsid w:val="00DC743F"/>
    <w:rsid w:val="00DC747A"/>
    <w:rsid w:val="00DC748A"/>
    <w:rsid w:val="00DC74A5"/>
    <w:rsid w:val="00DC7501"/>
    <w:rsid w:val="00DC750A"/>
    <w:rsid w:val="00DC768D"/>
    <w:rsid w:val="00DC768E"/>
    <w:rsid w:val="00DC76C0"/>
    <w:rsid w:val="00DC777E"/>
    <w:rsid w:val="00DC77C7"/>
    <w:rsid w:val="00DC785B"/>
    <w:rsid w:val="00DC7899"/>
    <w:rsid w:val="00DC78DC"/>
    <w:rsid w:val="00DC7929"/>
    <w:rsid w:val="00DC79AB"/>
    <w:rsid w:val="00DC79B1"/>
    <w:rsid w:val="00DC79DD"/>
    <w:rsid w:val="00DC7A84"/>
    <w:rsid w:val="00DC7B0F"/>
    <w:rsid w:val="00DC7B86"/>
    <w:rsid w:val="00DC7B8C"/>
    <w:rsid w:val="00DC7BAE"/>
    <w:rsid w:val="00DC7D96"/>
    <w:rsid w:val="00DC7DA1"/>
    <w:rsid w:val="00DC7F35"/>
    <w:rsid w:val="00DC7F44"/>
    <w:rsid w:val="00DD0009"/>
    <w:rsid w:val="00DD0110"/>
    <w:rsid w:val="00DD0181"/>
    <w:rsid w:val="00DD01BD"/>
    <w:rsid w:val="00DD01E3"/>
    <w:rsid w:val="00DD0211"/>
    <w:rsid w:val="00DD024F"/>
    <w:rsid w:val="00DD0281"/>
    <w:rsid w:val="00DD028C"/>
    <w:rsid w:val="00DD0290"/>
    <w:rsid w:val="00DD029C"/>
    <w:rsid w:val="00DD02A8"/>
    <w:rsid w:val="00DD042C"/>
    <w:rsid w:val="00DD051C"/>
    <w:rsid w:val="00DD0526"/>
    <w:rsid w:val="00DD05AE"/>
    <w:rsid w:val="00DD0689"/>
    <w:rsid w:val="00DD068A"/>
    <w:rsid w:val="00DD06BE"/>
    <w:rsid w:val="00DD06CF"/>
    <w:rsid w:val="00DD0903"/>
    <w:rsid w:val="00DD0973"/>
    <w:rsid w:val="00DD0A1A"/>
    <w:rsid w:val="00DD0A8A"/>
    <w:rsid w:val="00DD0AFC"/>
    <w:rsid w:val="00DD0BB9"/>
    <w:rsid w:val="00DD0C80"/>
    <w:rsid w:val="00DD0CB5"/>
    <w:rsid w:val="00DD0D29"/>
    <w:rsid w:val="00DD0EDA"/>
    <w:rsid w:val="00DD0F04"/>
    <w:rsid w:val="00DD0F30"/>
    <w:rsid w:val="00DD0F46"/>
    <w:rsid w:val="00DD0F4C"/>
    <w:rsid w:val="00DD0FA1"/>
    <w:rsid w:val="00DD0FA6"/>
    <w:rsid w:val="00DD1043"/>
    <w:rsid w:val="00DD104D"/>
    <w:rsid w:val="00DD1115"/>
    <w:rsid w:val="00DD115D"/>
    <w:rsid w:val="00DD116A"/>
    <w:rsid w:val="00DD11A6"/>
    <w:rsid w:val="00DD11D2"/>
    <w:rsid w:val="00DD11ED"/>
    <w:rsid w:val="00DD12C6"/>
    <w:rsid w:val="00DD132C"/>
    <w:rsid w:val="00DD13C7"/>
    <w:rsid w:val="00DD1411"/>
    <w:rsid w:val="00DD1415"/>
    <w:rsid w:val="00DD143F"/>
    <w:rsid w:val="00DD14F2"/>
    <w:rsid w:val="00DD1520"/>
    <w:rsid w:val="00DD153E"/>
    <w:rsid w:val="00DD1563"/>
    <w:rsid w:val="00DD156E"/>
    <w:rsid w:val="00DD1581"/>
    <w:rsid w:val="00DD15C6"/>
    <w:rsid w:val="00DD1657"/>
    <w:rsid w:val="00DD16B8"/>
    <w:rsid w:val="00DD170F"/>
    <w:rsid w:val="00DD1714"/>
    <w:rsid w:val="00DD172E"/>
    <w:rsid w:val="00DD1777"/>
    <w:rsid w:val="00DD17CE"/>
    <w:rsid w:val="00DD185F"/>
    <w:rsid w:val="00DD1877"/>
    <w:rsid w:val="00DD1887"/>
    <w:rsid w:val="00DD18A5"/>
    <w:rsid w:val="00DD19C0"/>
    <w:rsid w:val="00DD19C8"/>
    <w:rsid w:val="00DD19DA"/>
    <w:rsid w:val="00DD1B14"/>
    <w:rsid w:val="00DD1B39"/>
    <w:rsid w:val="00DD1B7A"/>
    <w:rsid w:val="00DD1BCF"/>
    <w:rsid w:val="00DD1C07"/>
    <w:rsid w:val="00DD1CED"/>
    <w:rsid w:val="00DD1DDB"/>
    <w:rsid w:val="00DD1EC5"/>
    <w:rsid w:val="00DD1F0D"/>
    <w:rsid w:val="00DD1F22"/>
    <w:rsid w:val="00DD1FB3"/>
    <w:rsid w:val="00DD2029"/>
    <w:rsid w:val="00DD20DE"/>
    <w:rsid w:val="00DD2104"/>
    <w:rsid w:val="00DD2110"/>
    <w:rsid w:val="00DD211E"/>
    <w:rsid w:val="00DD219F"/>
    <w:rsid w:val="00DD2265"/>
    <w:rsid w:val="00DD2349"/>
    <w:rsid w:val="00DD23C6"/>
    <w:rsid w:val="00DD23F1"/>
    <w:rsid w:val="00DD2434"/>
    <w:rsid w:val="00DD24ED"/>
    <w:rsid w:val="00DD256F"/>
    <w:rsid w:val="00DD2575"/>
    <w:rsid w:val="00DD2579"/>
    <w:rsid w:val="00DD266D"/>
    <w:rsid w:val="00DD2770"/>
    <w:rsid w:val="00DD29B6"/>
    <w:rsid w:val="00DD2A4E"/>
    <w:rsid w:val="00DD2AC3"/>
    <w:rsid w:val="00DD2ADF"/>
    <w:rsid w:val="00DD2B72"/>
    <w:rsid w:val="00DD2B73"/>
    <w:rsid w:val="00DD2C08"/>
    <w:rsid w:val="00DD2C44"/>
    <w:rsid w:val="00DD2CA5"/>
    <w:rsid w:val="00DD2D0E"/>
    <w:rsid w:val="00DD2DC2"/>
    <w:rsid w:val="00DD2E39"/>
    <w:rsid w:val="00DD2E46"/>
    <w:rsid w:val="00DD2EB9"/>
    <w:rsid w:val="00DD2F70"/>
    <w:rsid w:val="00DD2F7F"/>
    <w:rsid w:val="00DD2F80"/>
    <w:rsid w:val="00DD2FE3"/>
    <w:rsid w:val="00DD3025"/>
    <w:rsid w:val="00DD3092"/>
    <w:rsid w:val="00DD30DF"/>
    <w:rsid w:val="00DD3109"/>
    <w:rsid w:val="00DD3389"/>
    <w:rsid w:val="00DD3406"/>
    <w:rsid w:val="00DD343C"/>
    <w:rsid w:val="00DD34DE"/>
    <w:rsid w:val="00DD354A"/>
    <w:rsid w:val="00DD3588"/>
    <w:rsid w:val="00DD35D4"/>
    <w:rsid w:val="00DD369D"/>
    <w:rsid w:val="00DD36AA"/>
    <w:rsid w:val="00DD36EF"/>
    <w:rsid w:val="00DD37D1"/>
    <w:rsid w:val="00DD38E9"/>
    <w:rsid w:val="00DD38FA"/>
    <w:rsid w:val="00DD3901"/>
    <w:rsid w:val="00DD3ACC"/>
    <w:rsid w:val="00DD3ACF"/>
    <w:rsid w:val="00DD3B4F"/>
    <w:rsid w:val="00DD3C39"/>
    <w:rsid w:val="00DD3D60"/>
    <w:rsid w:val="00DD3D79"/>
    <w:rsid w:val="00DD3DB0"/>
    <w:rsid w:val="00DD3E88"/>
    <w:rsid w:val="00DD3E98"/>
    <w:rsid w:val="00DD3FE1"/>
    <w:rsid w:val="00DD4024"/>
    <w:rsid w:val="00DD4074"/>
    <w:rsid w:val="00DD40C1"/>
    <w:rsid w:val="00DD412A"/>
    <w:rsid w:val="00DD4199"/>
    <w:rsid w:val="00DD41DE"/>
    <w:rsid w:val="00DD42B6"/>
    <w:rsid w:val="00DD4343"/>
    <w:rsid w:val="00DD43DC"/>
    <w:rsid w:val="00DD43EC"/>
    <w:rsid w:val="00DD4476"/>
    <w:rsid w:val="00DD44E3"/>
    <w:rsid w:val="00DD4543"/>
    <w:rsid w:val="00DD463E"/>
    <w:rsid w:val="00DD46E0"/>
    <w:rsid w:val="00DD477C"/>
    <w:rsid w:val="00DD478A"/>
    <w:rsid w:val="00DD47F0"/>
    <w:rsid w:val="00DD481B"/>
    <w:rsid w:val="00DD4921"/>
    <w:rsid w:val="00DD4998"/>
    <w:rsid w:val="00DD4A27"/>
    <w:rsid w:val="00DD4A59"/>
    <w:rsid w:val="00DD4AA5"/>
    <w:rsid w:val="00DD4BF7"/>
    <w:rsid w:val="00DD4C2B"/>
    <w:rsid w:val="00DD4C49"/>
    <w:rsid w:val="00DD4C66"/>
    <w:rsid w:val="00DD4CB7"/>
    <w:rsid w:val="00DD4D11"/>
    <w:rsid w:val="00DD4D12"/>
    <w:rsid w:val="00DD4D63"/>
    <w:rsid w:val="00DD4D69"/>
    <w:rsid w:val="00DD4E43"/>
    <w:rsid w:val="00DD4E98"/>
    <w:rsid w:val="00DD4F90"/>
    <w:rsid w:val="00DD5027"/>
    <w:rsid w:val="00DD5050"/>
    <w:rsid w:val="00DD50DF"/>
    <w:rsid w:val="00DD5235"/>
    <w:rsid w:val="00DD5277"/>
    <w:rsid w:val="00DD52A9"/>
    <w:rsid w:val="00DD52DA"/>
    <w:rsid w:val="00DD5379"/>
    <w:rsid w:val="00DD5385"/>
    <w:rsid w:val="00DD53AD"/>
    <w:rsid w:val="00DD54A4"/>
    <w:rsid w:val="00DD54D6"/>
    <w:rsid w:val="00DD55CC"/>
    <w:rsid w:val="00DD5635"/>
    <w:rsid w:val="00DD56ED"/>
    <w:rsid w:val="00DD56F4"/>
    <w:rsid w:val="00DD5795"/>
    <w:rsid w:val="00DD57BB"/>
    <w:rsid w:val="00DD57DB"/>
    <w:rsid w:val="00DD5969"/>
    <w:rsid w:val="00DD5A65"/>
    <w:rsid w:val="00DD5ABE"/>
    <w:rsid w:val="00DD5ACA"/>
    <w:rsid w:val="00DD5B20"/>
    <w:rsid w:val="00DD5B74"/>
    <w:rsid w:val="00DD5BD1"/>
    <w:rsid w:val="00DD5BD3"/>
    <w:rsid w:val="00DD5CA3"/>
    <w:rsid w:val="00DD5CFC"/>
    <w:rsid w:val="00DD5D39"/>
    <w:rsid w:val="00DD5E1B"/>
    <w:rsid w:val="00DD5E56"/>
    <w:rsid w:val="00DD5FB5"/>
    <w:rsid w:val="00DD6057"/>
    <w:rsid w:val="00DD60A7"/>
    <w:rsid w:val="00DD614D"/>
    <w:rsid w:val="00DD624A"/>
    <w:rsid w:val="00DD6269"/>
    <w:rsid w:val="00DD6324"/>
    <w:rsid w:val="00DD6406"/>
    <w:rsid w:val="00DD6575"/>
    <w:rsid w:val="00DD6657"/>
    <w:rsid w:val="00DD666C"/>
    <w:rsid w:val="00DD6705"/>
    <w:rsid w:val="00DD687D"/>
    <w:rsid w:val="00DD696A"/>
    <w:rsid w:val="00DD6976"/>
    <w:rsid w:val="00DD6994"/>
    <w:rsid w:val="00DD69A4"/>
    <w:rsid w:val="00DD69AB"/>
    <w:rsid w:val="00DD69CC"/>
    <w:rsid w:val="00DD69D2"/>
    <w:rsid w:val="00DD6A29"/>
    <w:rsid w:val="00DD6A6D"/>
    <w:rsid w:val="00DD6AED"/>
    <w:rsid w:val="00DD6C1A"/>
    <w:rsid w:val="00DD6C1C"/>
    <w:rsid w:val="00DD6C86"/>
    <w:rsid w:val="00DD6CCA"/>
    <w:rsid w:val="00DD6D6C"/>
    <w:rsid w:val="00DD6E4C"/>
    <w:rsid w:val="00DD6EEC"/>
    <w:rsid w:val="00DD6F01"/>
    <w:rsid w:val="00DD6F06"/>
    <w:rsid w:val="00DD6F43"/>
    <w:rsid w:val="00DD6FCF"/>
    <w:rsid w:val="00DD6FD5"/>
    <w:rsid w:val="00DD6FDC"/>
    <w:rsid w:val="00DD70E2"/>
    <w:rsid w:val="00DD716F"/>
    <w:rsid w:val="00DD733C"/>
    <w:rsid w:val="00DD7396"/>
    <w:rsid w:val="00DD7409"/>
    <w:rsid w:val="00DD7415"/>
    <w:rsid w:val="00DD7428"/>
    <w:rsid w:val="00DD74D9"/>
    <w:rsid w:val="00DD74FE"/>
    <w:rsid w:val="00DD753D"/>
    <w:rsid w:val="00DD7542"/>
    <w:rsid w:val="00DD7546"/>
    <w:rsid w:val="00DD75DA"/>
    <w:rsid w:val="00DD7676"/>
    <w:rsid w:val="00DD7722"/>
    <w:rsid w:val="00DD774B"/>
    <w:rsid w:val="00DD7756"/>
    <w:rsid w:val="00DD7773"/>
    <w:rsid w:val="00DD7774"/>
    <w:rsid w:val="00DD7782"/>
    <w:rsid w:val="00DD77B6"/>
    <w:rsid w:val="00DD77DA"/>
    <w:rsid w:val="00DD77DE"/>
    <w:rsid w:val="00DD77E5"/>
    <w:rsid w:val="00DD78A2"/>
    <w:rsid w:val="00DD7923"/>
    <w:rsid w:val="00DD796F"/>
    <w:rsid w:val="00DD79B6"/>
    <w:rsid w:val="00DD7A3F"/>
    <w:rsid w:val="00DD7A56"/>
    <w:rsid w:val="00DD7A5F"/>
    <w:rsid w:val="00DD7A60"/>
    <w:rsid w:val="00DD7BBE"/>
    <w:rsid w:val="00DD7BF2"/>
    <w:rsid w:val="00DD7C44"/>
    <w:rsid w:val="00DD7CE6"/>
    <w:rsid w:val="00DD7D19"/>
    <w:rsid w:val="00DD7D4C"/>
    <w:rsid w:val="00DD7D81"/>
    <w:rsid w:val="00DD7E14"/>
    <w:rsid w:val="00DD7E53"/>
    <w:rsid w:val="00DD7EBD"/>
    <w:rsid w:val="00DD7F46"/>
    <w:rsid w:val="00DD7F4F"/>
    <w:rsid w:val="00DD7F67"/>
    <w:rsid w:val="00DD7F70"/>
    <w:rsid w:val="00DD7FDF"/>
    <w:rsid w:val="00DE002E"/>
    <w:rsid w:val="00DE0072"/>
    <w:rsid w:val="00DE00C9"/>
    <w:rsid w:val="00DE012C"/>
    <w:rsid w:val="00DE01AD"/>
    <w:rsid w:val="00DE01F8"/>
    <w:rsid w:val="00DE0200"/>
    <w:rsid w:val="00DE0290"/>
    <w:rsid w:val="00DE0297"/>
    <w:rsid w:val="00DE02AA"/>
    <w:rsid w:val="00DE02B2"/>
    <w:rsid w:val="00DE031E"/>
    <w:rsid w:val="00DE03B3"/>
    <w:rsid w:val="00DE03E7"/>
    <w:rsid w:val="00DE0465"/>
    <w:rsid w:val="00DE0478"/>
    <w:rsid w:val="00DE04A4"/>
    <w:rsid w:val="00DE04F9"/>
    <w:rsid w:val="00DE059E"/>
    <w:rsid w:val="00DE05A2"/>
    <w:rsid w:val="00DE0681"/>
    <w:rsid w:val="00DE06DE"/>
    <w:rsid w:val="00DE0706"/>
    <w:rsid w:val="00DE08AF"/>
    <w:rsid w:val="00DE0928"/>
    <w:rsid w:val="00DE09BB"/>
    <w:rsid w:val="00DE09D0"/>
    <w:rsid w:val="00DE09D6"/>
    <w:rsid w:val="00DE0A19"/>
    <w:rsid w:val="00DE0B4B"/>
    <w:rsid w:val="00DE0C75"/>
    <w:rsid w:val="00DE0CA0"/>
    <w:rsid w:val="00DE0D31"/>
    <w:rsid w:val="00DE0D50"/>
    <w:rsid w:val="00DE0DC7"/>
    <w:rsid w:val="00DE0E34"/>
    <w:rsid w:val="00DE0E50"/>
    <w:rsid w:val="00DE0ECB"/>
    <w:rsid w:val="00DE0F81"/>
    <w:rsid w:val="00DE0F93"/>
    <w:rsid w:val="00DE0FD7"/>
    <w:rsid w:val="00DE1025"/>
    <w:rsid w:val="00DE10D0"/>
    <w:rsid w:val="00DE1142"/>
    <w:rsid w:val="00DE11EA"/>
    <w:rsid w:val="00DE1229"/>
    <w:rsid w:val="00DE127B"/>
    <w:rsid w:val="00DE1300"/>
    <w:rsid w:val="00DE13A4"/>
    <w:rsid w:val="00DE13BC"/>
    <w:rsid w:val="00DE14F6"/>
    <w:rsid w:val="00DE1512"/>
    <w:rsid w:val="00DE1514"/>
    <w:rsid w:val="00DE15A1"/>
    <w:rsid w:val="00DE15F0"/>
    <w:rsid w:val="00DE161B"/>
    <w:rsid w:val="00DE1652"/>
    <w:rsid w:val="00DE16BA"/>
    <w:rsid w:val="00DE16DE"/>
    <w:rsid w:val="00DE16EC"/>
    <w:rsid w:val="00DE184F"/>
    <w:rsid w:val="00DE1859"/>
    <w:rsid w:val="00DE18DE"/>
    <w:rsid w:val="00DE197A"/>
    <w:rsid w:val="00DE1A78"/>
    <w:rsid w:val="00DE1AF0"/>
    <w:rsid w:val="00DE1B2F"/>
    <w:rsid w:val="00DE1B6D"/>
    <w:rsid w:val="00DE1BD1"/>
    <w:rsid w:val="00DE1C5D"/>
    <w:rsid w:val="00DE1C9A"/>
    <w:rsid w:val="00DE1D3B"/>
    <w:rsid w:val="00DE1D7C"/>
    <w:rsid w:val="00DE1DBB"/>
    <w:rsid w:val="00DE1DEB"/>
    <w:rsid w:val="00DE1EFD"/>
    <w:rsid w:val="00DE1F07"/>
    <w:rsid w:val="00DE1F32"/>
    <w:rsid w:val="00DE1F51"/>
    <w:rsid w:val="00DE1F5D"/>
    <w:rsid w:val="00DE2156"/>
    <w:rsid w:val="00DE215F"/>
    <w:rsid w:val="00DE2168"/>
    <w:rsid w:val="00DE21B2"/>
    <w:rsid w:val="00DE22FA"/>
    <w:rsid w:val="00DE2363"/>
    <w:rsid w:val="00DE23FF"/>
    <w:rsid w:val="00DE248C"/>
    <w:rsid w:val="00DE24A3"/>
    <w:rsid w:val="00DE2518"/>
    <w:rsid w:val="00DE2815"/>
    <w:rsid w:val="00DE2866"/>
    <w:rsid w:val="00DE28A4"/>
    <w:rsid w:val="00DE2922"/>
    <w:rsid w:val="00DE2953"/>
    <w:rsid w:val="00DE2978"/>
    <w:rsid w:val="00DE298B"/>
    <w:rsid w:val="00DE2997"/>
    <w:rsid w:val="00DE29AC"/>
    <w:rsid w:val="00DE2A57"/>
    <w:rsid w:val="00DE2A8D"/>
    <w:rsid w:val="00DE2AAC"/>
    <w:rsid w:val="00DE2ADF"/>
    <w:rsid w:val="00DE2B20"/>
    <w:rsid w:val="00DE2BD1"/>
    <w:rsid w:val="00DE2BDD"/>
    <w:rsid w:val="00DE2BFA"/>
    <w:rsid w:val="00DE2C6C"/>
    <w:rsid w:val="00DE2E3D"/>
    <w:rsid w:val="00DE2EA9"/>
    <w:rsid w:val="00DE2F37"/>
    <w:rsid w:val="00DE2F3D"/>
    <w:rsid w:val="00DE2F55"/>
    <w:rsid w:val="00DE3067"/>
    <w:rsid w:val="00DE31B2"/>
    <w:rsid w:val="00DE31DE"/>
    <w:rsid w:val="00DE32A0"/>
    <w:rsid w:val="00DE3307"/>
    <w:rsid w:val="00DE3372"/>
    <w:rsid w:val="00DE33CB"/>
    <w:rsid w:val="00DE33FA"/>
    <w:rsid w:val="00DE342B"/>
    <w:rsid w:val="00DE3502"/>
    <w:rsid w:val="00DE3512"/>
    <w:rsid w:val="00DE3576"/>
    <w:rsid w:val="00DE358E"/>
    <w:rsid w:val="00DE35BF"/>
    <w:rsid w:val="00DE35DD"/>
    <w:rsid w:val="00DE3698"/>
    <w:rsid w:val="00DE36AA"/>
    <w:rsid w:val="00DE3710"/>
    <w:rsid w:val="00DE3757"/>
    <w:rsid w:val="00DE38EC"/>
    <w:rsid w:val="00DE3938"/>
    <w:rsid w:val="00DE39E2"/>
    <w:rsid w:val="00DE3A37"/>
    <w:rsid w:val="00DE3AC8"/>
    <w:rsid w:val="00DE3AEB"/>
    <w:rsid w:val="00DE3B23"/>
    <w:rsid w:val="00DE3BC0"/>
    <w:rsid w:val="00DE3CB9"/>
    <w:rsid w:val="00DE3D73"/>
    <w:rsid w:val="00DE3D9D"/>
    <w:rsid w:val="00DE3DD5"/>
    <w:rsid w:val="00DE3DD7"/>
    <w:rsid w:val="00DE3E80"/>
    <w:rsid w:val="00DE3F0E"/>
    <w:rsid w:val="00DE3F94"/>
    <w:rsid w:val="00DE3F98"/>
    <w:rsid w:val="00DE402D"/>
    <w:rsid w:val="00DE41E0"/>
    <w:rsid w:val="00DE420F"/>
    <w:rsid w:val="00DE42C5"/>
    <w:rsid w:val="00DE4385"/>
    <w:rsid w:val="00DE439E"/>
    <w:rsid w:val="00DE43B4"/>
    <w:rsid w:val="00DE43F0"/>
    <w:rsid w:val="00DE4457"/>
    <w:rsid w:val="00DE448B"/>
    <w:rsid w:val="00DE44E2"/>
    <w:rsid w:val="00DE4539"/>
    <w:rsid w:val="00DE4592"/>
    <w:rsid w:val="00DE45D5"/>
    <w:rsid w:val="00DE4650"/>
    <w:rsid w:val="00DE46D9"/>
    <w:rsid w:val="00DE4732"/>
    <w:rsid w:val="00DE4734"/>
    <w:rsid w:val="00DE4736"/>
    <w:rsid w:val="00DE4878"/>
    <w:rsid w:val="00DE490B"/>
    <w:rsid w:val="00DE493F"/>
    <w:rsid w:val="00DE4974"/>
    <w:rsid w:val="00DE49BE"/>
    <w:rsid w:val="00DE4B5E"/>
    <w:rsid w:val="00DE4B74"/>
    <w:rsid w:val="00DE4C08"/>
    <w:rsid w:val="00DE4EE4"/>
    <w:rsid w:val="00DE4F93"/>
    <w:rsid w:val="00DE506B"/>
    <w:rsid w:val="00DE509F"/>
    <w:rsid w:val="00DE5118"/>
    <w:rsid w:val="00DE5195"/>
    <w:rsid w:val="00DE525B"/>
    <w:rsid w:val="00DE52B2"/>
    <w:rsid w:val="00DE52C1"/>
    <w:rsid w:val="00DE5317"/>
    <w:rsid w:val="00DE539D"/>
    <w:rsid w:val="00DE544B"/>
    <w:rsid w:val="00DE5462"/>
    <w:rsid w:val="00DE54CA"/>
    <w:rsid w:val="00DE553D"/>
    <w:rsid w:val="00DE55A8"/>
    <w:rsid w:val="00DE5630"/>
    <w:rsid w:val="00DE5690"/>
    <w:rsid w:val="00DE56BC"/>
    <w:rsid w:val="00DE5786"/>
    <w:rsid w:val="00DE5787"/>
    <w:rsid w:val="00DE57A5"/>
    <w:rsid w:val="00DE57D4"/>
    <w:rsid w:val="00DE581B"/>
    <w:rsid w:val="00DE584E"/>
    <w:rsid w:val="00DE5862"/>
    <w:rsid w:val="00DE590F"/>
    <w:rsid w:val="00DE591A"/>
    <w:rsid w:val="00DE59C5"/>
    <w:rsid w:val="00DE5A1E"/>
    <w:rsid w:val="00DE5A8A"/>
    <w:rsid w:val="00DE5B27"/>
    <w:rsid w:val="00DE5C16"/>
    <w:rsid w:val="00DE5C6B"/>
    <w:rsid w:val="00DE5CA4"/>
    <w:rsid w:val="00DE5CD8"/>
    <w:rsid w:val="00DE5D29"/>
    <w:rsid w:val="00DE5D35"/>
    <w:rsid w:val="00DE5D3A"/>
    <w:rsid w:val="00DE5D5F"/>
    <w:rsid w:val="00DE5D74"/>
    <w:rsid w:val="00DE5EA4"/>
    <w:rsid w:val="00DE5EB0"/>
    <w:rsid w:val="00DE5F43"/>
    <w:rsid w:val="00DE5F5B"/>
    <w:rsid w:val="00DE5F84"/>
    <w:rsid w:val="00DE5F9D"/>
    <w:rsid w:val="00DE5FC1"/>
    <w:rsid w:val="00DE6058"/>
    <w:rsid w:val="00DE60A0"/>
    <w:rsid w:val="00DE612C"/>
    <w:rsid w:val="00DE6142"/>
    <w:rsid w:val="00DE61E4"/>
    <w:rsid w:val="00DE61F7"/>
    <w:rsid w:val="00DE6235"/>
    <w:rsid w:val="00DE6256"/>
    <w:rsid w:val="00DE62BA"/>
    <w:rsid w:val="00DE632A"/>
    <w:rsid w:val="00DE6476"/>
    <w:rsid w:val="00DE64B8"/>
    <w:rsid w:val="00DE65F8"/>
    <w:rsid w:val="00DE660E"/>
    <w:rsid w:val="00DE6690"/>
    <w:rsid w:val="00DE66BD"/>
    <w:rsid w:val="00DE66E2"/>
    <w:rsid w:val="00DE6805"/>
    <w:rsid w:val="00DE6826"/>
    <w:rsid w:val="00DE6851"/>
    <w:rsid w:val="00DE6888"/>
    <w:rsid w:val="00DE6AB5"/>
    <w:rsid w:val="00DE6B15"/>
    <w:rsid w:val="00DE6B4C"/>
    <w:rsid w:val="00DE6BC4"/>
    <w:rsid w:val="00DE6C26"/>
    <w:rsid w:val="00DE6C4A"/>
    <w:rsid w:val="00DE6CDA"/>
    <w:rsid w:val="00DE6CEF"/>
    <w:rsid w:val="00DE6D6A"/>
    <w:rsid w:val="00DE6DBD"/>
    <w:rsid w:val="00DE6E75"/>
    <w:rsid w:val="00DE6E83"/>
    <w:rsid w:val="00DE6F29"/>
    <w:rsid w:val="00DE6F91"/>
    <w:rsid w:val="00DE708B"/>
    <w:rsid w:val="00DE728B"/>
    <w:rsid w:val="00DE7385"/>
    <w:rsid w:val="00DE73A4"/>
    <w:rsid w:val="00DE740F"/>
    <w:rsid w:val="00DE744F"/>
    <w:rsid w:val="00DE7462"/>
    <w:rsid w:val="00DE7494"/>
    <w:rsid w:val="00DE75AC"/>
    <w:rsid w:val="00DE75CA"/>
    <w:rsid w:val="00DE760E"/>
    <w:rsid w:val="00DE76A2"/>
    <w:rsid w:val="00DE76E2"/>
    <w:rsid w:val="00DE7721"/>
    <w:rsid w:val="00DE78FA"/>
    <w:rsid w:val="00DE7A17"/>
    <w:rsid w:val="00DE7A5C"/>
    <w:rsid w:val="00DE7A94"/>
    <w:rsid w:val="00DE7A95"/>
    <w:rsid w:val="00DE7AD2"/>
    <w:rsid w:val="00DE7B35"/>
    <w:rsid w:val="00DE7B5A"/>
    <w:rsid w:val="00DE7B5B"/>
    <w:rsid w:val="00DE7C09"/>
    <w:rsid w:val="00DE7C1B"/>
    <w:rsid w:val="00DE7C2E"/>
    <w:rsid w:val="00DE7C43"/>
    <w:rsid w:val="00DE7CCE"/>
    <w:rsid w:val="00DE7D8B"/>
    <w:rsid w:val="00DE7D92"/>
    <w:rsid w:val="00DE7DC4"/>
    <w:rsid w:val="00DE7E81"/>
    <w:rsid w:val="00DE7E89"/>
    <w:rsid w:val="00DE7E9B"/>
    <w:rsid w:val="00DE7EBA"/>
    <w:rsid w:val="00DE7ED4"/>
    <w:rsid w:val="00DE7FE0"/>
    <w:rsid w:val="00DE7FE5"/>
    <w:rsid w:val="00DF0039"/>
    <w:rsid w:val="00DF00B5"/>
    <w:rsid w:val="00DF012A"/>
    <w:rsid w:val="00DF0164"/>
    <w:rsid w:val="00DF0202"/>
    <w:rsid w:val="00DF0275"/>
    <w:rsid w:val="00DF02A2"/>
    <w:rsid w:val="00DF02C2"/>
    <w:rsid w:val="00DF0313"/>
    <w:rsid w:val="00DF03C5"/>
    <w:rsid w:val="00DF03D0"/>
    <w:rsid w:val="00DF040B"/>
    <w:rsid w:val="00DF0539"/>
    <w:rsid w:val="00DF058D"/>
    <w:rsid w:val="00DF06A3"/>
    <w:rsid w:val="00DF06E2"/>
    <w:rsid w:val="00DF0726"/>
    <w:rsid w:val="00DF07E5"/>
    <w:rsid w:val="00DF081E"/>
    <w:rsid w:val="00DF08B6"/>
    <w:rsid w:val="00DF0961"/>
    <w:rsid w:val="00DF0A5C"/>
    <w:rsid w:val="00DF0A92"/>
    <w:rsid w:val="00DF0AA9"/>
    <w:rsid w:val="00DF0AEA"/>
    <w:rsid w:val="00DF0B60"/>
    <w:rsid w:val="00DF0B97"/>
    <w:rsid w:val="00DF0C36"/>
    <w:rsid w:val="00DF0C39"/>
    <w:rsid w:val="00DF0C4C"/>
    <w:rsid w:val="00DF0CD2"/>
    <w:rsid w:val="00DF0DC6"/>
    <w:rsid w:val="00DF0E36"/>
    <w:rsid w:val="00DF0E64"/>
    <w:rsid w:val="00DF0E6C"/>
    <w:rsid w:val="00DF0F84"/>
    <w:rsid w:val="00DF0F85"/>
    <w:rsid w:val="00DF0FCA"/>
    <w:rsid w:val="00DF0FEA"/>
    <w:rsid w:val="00DF106D"/>
    <w:rsid w:val="00DF1139"/>
    <w:rsid w:val="00DF11EA"/>
    <w:rsid w:val="00DF1235"/>
    <w:rsid w:val="00DF1237"/>
    <w:rsid w:val="00DF1242"/>
    <w:rsid w:val="00DF1248"/>
    <w:rsid w:val="00DF13C6"/>
    <w:rsid w:val="00DF13EC"/>
    <w:rsid w:val="00DF144A"/>
    <w:rsid w:val="00DF144D"/>
    <w:rsid w:val="00DF1465"/>
    <w:rsid w:val="00DF1469"/>
    <w:rsid w:val="00DF147A"/>
    <w:rsid w:val="00DF1494"/>
    <w:rsid w:val="00DF150A"/>
    <w:rsid w:val="00DF158A"/>
    <w:rsid w:val="00DF162B"/>
    <w:rsid w:val="00DF167B"/>
    <w:rsid w:val="00DF17C4"/>
    <w:rsid w:val="00DF183D"/>
    <w:rsid w:val="00DF18C5"/>
    <w:rsid w:val="00DF18CD"/>
    <w:rsid w:val="00DF18CF"/>
    <w:rsid w:val="00DF1901"/>
    <w:rsid w:val="00DF193D"/>
    <w:rsid w:val="00DF1956"/>
    <w:rsid w:val="00DF19B5"/>
    <w:rsid w:val="00DF1A2B"/>
    <w:rsid w:val="00DF1A56"/>
    <w:rsid w:val="00DF1A73"/>
    <w:rsid w:val="00DF1AB9"/>
    <w:rsid w:val="00DF1C86"/>
    <w:rsid w:val="00DF1D2E"/>
    <w:rsid w:val="00DF1D78"/>
    <w:rsid w:val="00DF1DA5"/>
    <w:rsid w:val="00DF1DE6"/>
    <w:rsid w:val="00DF1F6E"/>
    <w:rsid w:val="00DF1FDD"/>
    <w:rsid w:val="00DF2024"/>
    <w:rsid w:val="00DF20EF"/>
    <w:rsid w:val="00DF2131"/>
    <w:rsid w:val="00DF215E"/>
    <w:rsid w:val="00DF219B"/>
    <w:rsid w:val="00DF21B8"/>
    <w:rsid w:val="00DF225D"/>
    <w:rsid w:val="00DF2316"/>
    <w:rsid w:val="00DF231B"/>
    <w:rsid w:val="00DF2388"/>
    <w:rsid w:val="00DF2462"/>
    <w:rsid w:val="00DF2500"/>
    <w:rsid w:val="00DF2580"/>
    <w:rsid w:val="00DF25CA"/>
    <w:rsid w:val="00DF25F1"/>
    <w:rsid w:val="00DF2629"/>
    <w:rsid w:val="00DF2633"/>
    <w:rsid w:val="00DF2677"/>
    <w:rsid w:val="00DF26DE"/>
    <w:rsid w:val="00DF2860"/>
    <w:rsid w:val="00DF2874"/>
    <w:rsid w:val="00DF297A"/>
    <w:rsid w:val="00DF2987"/>
    <w:rsid w:val="00DF2AA8"/>
    <w:rsid w:val="00DF2BF6"/>
    <w:rsid w:val="00DF2D21"/>
    <w:rsid w:val="00DF2DA5"/>
    <w:rsid w:val="00DF2DED"/>
    <w:rsid w:val="00DF2E10"/>
    <w:rsid w:val="00DF2E15"/>
    <w:rsid w:val="00DF2E7B"/>
    <w:rsid w:val="00DF2E91"/>
    <w:rsid w:val="00DF2F3B"/>
    <w:rsid w:val="00DF2F69"/>
    <w:rsid w:val="00DF2FF7"/>
    <w:rsid w:val="00DF3053"/>
    <w:rsid w:val="00DF307F"/>
    <w:rsid w:val="00DF30A2"/>
    <w:rsid w:val="00DF30B7"/>
    <w:rsid w:val="00DF30D0"/>
    <w:rsid w:val="00DF30E9"/>
    <w:rsid w:val="00DF3117"/>
    <w:rsid w:val="00DF3138"/>
    <w:rsid w:val="00DF3147"/>
    <w:rsid w:val="00DF314E"/>
    <w:rsid w:val="00DF3175"/>
    <w:rsid w:val="00DF319C"/>
    <w:rsid w:val="00DF3225"/>
    <w:rsid w:val="00DF327D"/>
    <w:rsid w:val="00DF3298"/>
    <w:rsid w:val="00DF32C1"/>
    <w:rsid w:val="00DF32E3"/>
    <w:rsid w:val="00DF32ED"/>
    <w:rsid w:val="00DF353B"/>
    <w:rsid w:val="00DF3591"/>
    <w:rsid w:val="00DF3716"/>
    <w:rsid w:val="00DF3755"/>
    <w:rsid w:val="00DF37F7"/>
    <w:rsid w:val="00DF382E"/>
    <w:rsid w:val="00DF38AD"/>
    <w:rsid w:val="00DF38D9"/>
    <w:rsid w:val="00DF3931"/>
    <w:rsid w:val="00DF396A"/>
    <w:rsid w:val="00DF3A75"/>
    <w:rsid w:val="00DF3B8E"/>
    <w:rsid w:val="00DF3B90"/>
    <w:rsid w:val="00DF3BE7"/>
    <w:rsid w:val="00DF3C15"/>
    <w:rsid w:val="00DF3C57"/>
    <w:rsid w:val="00DF3D11"/>
    <w:rsid w:val="00DF3D2B"/>
    <w:rsid w:val="00DF3D7F"/>
    <w:rsid w:val="00DF3DE2"/>
    <w:rsid w:val="00DF3E02"/>
    <w:rsid w:val="00DF3E0B"/>
    <w:rsid w:val="00DF3F3C"/>
    <w:rsid w:val="00DF3F3E"/>
    <w:rsid w:val="00DF3F5D"/>
    <w:rsid w:val="00DF3F68"/>
    <w:rsid w:val="00DF3FF3"/>
    <w:rsid w:val="00DF4046"/>
    <w:rsid w:val="00DF404D"/>
    <w:rsid w:val="00DF4058"/>
    <w:rsid w:val="00DF409B"/>
    <w:rsid w:val="00DF411D"/>
    <w:rsid w:val="00DF41C7"/>
    <w:rsid w:val="00DF4226"/>
    <w:rsid w:val="00DF4262"/>
    <w:rsid w:val="00DF42E7"/>
    <w:rsid w:val="00DF42FC"/>
    <w:rsid w:val="00DF4396"/>
    <w:rsid w:val="00DF43BE"/>
    <w:rsid w:val="00DF4404"/>
    <w:rsid w:val="00DF4415"/>
    <w:rsid w:val="00DF4445"/>
    <w:rsid w:val="00DF44AF"/>
    <w:rsid w:val="00DF4594"/>
    <w:rsid w:val="00DF466E"/>
    <w:rsid w:val="00DF4675"/>
    <w:rsid w:val="00DF467B"/>
    <w:rsid w:val="00DF46F0"/>
    <w:rsid w:val="00DF47E3"/>
    <w:rsid w:val="00DF4865"/>
    <w:rsid w:val="00DF4879"/>
    <w:rsid w:val="00DF4A1F"/>
    <w:rsid w:val="00DF4A4B"/>
    <w:rsid w:val="00DF4A79"/>
    <w:rsid w:val="00DF4B1A"/>
    <w:rsid w:val="00DF4B45"/>
    <w:rsid w:val="00DF4B54"/>
    <w:rsid w:val="00DF4C05"/>
    <w:rsid w:val="00DF4C60"/>
    <w:rsid w:val="00DF4E74"/>
    <w:rsid w:val="00DF4F17"/>
    <w:rsid w:val="00DF4F9F"/>
    <w:rsid w:val="00DF4FC6"/>
    <w:rsid w:val="00DF5032"/>
    <w:rsid w:val="00DF51F1"/>
    <w:rsid w:val="00DF5303"/>
    <w:rsid w:val="00DF5338"/>
    <w:rsid w:val="00DF53D3"/>
    <w:rsid w:val="00DF5430"/>
    <w:rsid w:val="00DF55B4"/>
    <w:rsid w:val="00DF55B9"/>
    <w:rsid w:val="00DF5631"/>
    <w:rsid w:val="00DF566C"/>
    <w:rsid w:val="00DF57BD"/>
    <w:rsid w:val="00DF57DC"/>
    <w:rsid w:val="00DF58AD"/>
    <w:rsid w:val="00DF59A0"/>
    <w:rsid w:val="00DF5A30"/>
    <w:rsid w:val="00DF5AA5"/>
    <w:rsid w:val="00DF5AE1"/>
    <w:rsid w:val="00DF5D52"/>
    <w:rsid w:val="00DF5D70"/>
    <w:rsid w:val="00DF5DC0"/>
    <w:rsid w:val="00DF5DE2"/>
    <w:rsid w:val="00DF5E04"/>
    <w:rsid w:val="00DF5E47"/>
    <w:rsid w:val="00DF5E4F"/>
    <w:rsid w:val="00DF5EF7"/>
    <w:rsid w:val="00DF5F0E"/>
    <w:rsid w:val="00DF5F0F"/>
    <w:rsid w:val="00DF5F13"/>
    <w:rsid w:val="00DF5F86"/>
    <w:rsid w:val="00DF601A"/>
    <w:rsid w:val="00DF6075"/>
    <w:rsid w:val="00DF6199"/>
    <w:rsid w:val="00DF61A9"/>
    <w:rsid w:val="00DF61D3"/>
    <w:rsid w:val="00DF6208"/>
    <w:rsid w:val="00DF63F4"/>
    <w:rsid w:val="00DF64A6"/>
    <w:rsid w:val="00DF6522"/>
    <w:rsid w:val="00DF67D5"/>
    <w:rsid w:val="00DF67D8"/>
    <w:rsid w:val="00DF67F0"/>
    <w:rsid w:val="00DF67F7"/>
    <w:rsid w:val="00DF680D"/>
    <w:rsid w:val="00DF6822"/>
    <w:rsid w:val="00DF6911"/>
    <w:rsid w:val="00DF695E"/>
    <w:rsid w:val="00DF6A45"/>
    <w:rsid w:val="00DF6A64"/>
    <w:rsid w:val="00DF6A87"/>
    <w:rsid w:val="00DF6AC5"/>
    <w:rsid w:val="00DF6AFB"/>
    <w:rsid w:val="00DF6B44"/>
    <w:rsid w:val="00DF6B63"/>
    <w:rsid w:val="00DF6BA9"/>
    <w:rsid w:val="00DF6CEF"/>
    <w:rsid w:val="00DF6CFE"/>
    <w:rsid w:val="00DF6D98"/>
    <w:rsid w:val="00DF6DC1"/>
    <w:rsid w:val="00DF6E32"/>
    <w:rsid w:val="00DF6ED0"/>
    <w:rsid w:val="00DF6F43"/>
    <w:rsid w:val="00DF6F78"/>
    <w:rsid w:val="00DF6FB1"/>
    <w:rsid w:val="00DF6FF6"/>
    <w:rsid w:val="00DF70AC"/>
    <w:rsid w:val="00DF70C3"/>
    <w:rsid w:val="00DF70F5"/>
    <w:rsid w:val="00DF7121"/>
    <w:rsid w:val="00DF7123"/>
    <w:rsid w:val="00DF71DA"/>
    <w:rsid w:val="00DF71FC"/>
    <w:rsid w:val="00DF72A5"/>
    <w:rsid w:val="00DF72E7"/>
    <w:rsid w:val="00DF7437"/>
    <w:rsid w:val="00DF7471"/>
    <w:rsid w:val="00DF7482"/>
    <w:rsid w:val="00DF74AD"/>
    <w:rsid w:val="00DF74F1"/>
    <w:rsid w:val="00DF7542"/>
    <w:rsid w:val="00DF7550"/>
    <w:rsid w:val="00DF7589"/>
    <w:rsid w:val="00DF75DE"/>
    <w:rsid w:val="00DF7664"/>
    <w:rsid w:val="00DF76F7"/>
    <w:rsid w:val="00DF7721"/>
    <w:rsid w:val="00DF773C"/>
    <w:rsid w:val="00DF7755"/>
    <w:rsid w:val="00DF778C"/>
    <w:rsid w:val="00DF77C8"/>
    <w:rsid w:val="00DF7867"/>
    <w:rsid w:val="00DF78CF"/>
    <w:rsid w:val="00DF7913"/>
    <w:rsid w:val="00DF798C"/>
    <w:rsid w:val="00DF7A27"/>
    <w:rsid w:val="00DF7AAB"/>
    <w:rsid w:val="00DF7B1E"/>
    <w:rsid w:val="00DF7B46"/>
    <w:rsid w:val="00DF7CA4"/>
    <w:rsid w:val="00DF7CB3"/>
    <w:rsid w:val="00DF7CC1"/>
    <w:rsid w:val="00DF7D41"/>
    <w:rsid w:val="00DF7D81"/>
    <w:rsid w:val="00DF7DAF"/>
    <w:rsid w:val="00DF7DFC"/>
    <w:rsid w:val="00DF7ED3"/>
    <w:rsid w:val="00DF7F3F"/>
    <w:rsid w:val="00DF7F43"/>
    <w:rsid w:val="00DF7F48"/>
    <w:rsid w:val="00DF7F76"/>
    <w:rsid w:val="00DF7FE7"/>
    <w:rsid w:val="00E00007"/>
    <w:rsid w:val="00E0000F"/>
    <w:rsid w:val="00E00059"/>
    <w:rsid w:val="00E001EA"/>
    <w:rsid w:val="00E0022E"/>
    <w:rsid w:val="00E00272"/>
    <w:rsid w:val="00E0029A"/>
    <w:rsid w:val="00E00384"/>
    <w:rsid w:val="00E003A1"/>
    <w:rsid w:val="00E003B7"/>
    <w:rsid w:val="00E00404"/>
    <w:rsid w:val="00E00410"/>
    <w:rsid w:val="00E00425"/>
    <w:rsid w:val="00E0048D"/>
    <w:rsid w:val="00E0049B"/>
    <w:rsid w:val="00E004FB"/>
    <w:rsid w:val="00E00505"/>
    <w:rsid w:val="00E00523"/>
    <w:rsid w:val="00E0055E"/>
    <w:rsid w:val="00E00585"/>
    <w:rsid w:val="00E00597"/>
    <w:rsid w:val="00E00599"/>
    <w:rsid w:val="00E00605"/>
    <w:rsid w:val="00E0078C"/>
    <w:rsid w:val="00E00794"/>
    <w:rsid w:val="00E007F7"/>
    <w:rsid w:val="00E00845"/>
    <w:rsid w:val="00E009A6"/>
    <w:rsid w:val="00E00A1C"/>
    <w:rsid w:val="00E00A6A"/>
    <w:rsid w:val="00E00AE4"/>
    <w:rsid w:val="00E00B03"/>
    <w:rsid w:val="00E00C79"/>
    <w:rsid w:val="00E00CBD"/>
    <w:rsid w:val="00E00D95"/>
    <w:rsid w:val="00E00EFE"/>
    <w:rsid w:val="00E00F16"/>
    <w:rsid w:val="00E00F88"/>
    <w:rsid w:val="00E00FA1"/>
    <w:rsid w:val="00E0104E"/>
    <w:rsid w:val="00E01058"/>
    <w:rsid w:val="00E0105C"/>
    <w:rsid w:val="00E010A8"/>
    <w:rsid w:val="00E010E4"/>
    <w:rsid w:val="00E012BB"/>
    <w:rsid w:val="00E012E3"/>
    <w:rsid w:val="00E01352"/>
    <w:rsid w:val="00E0139F"/>
    <w:rsid w:val="00E01457"/>
    <w:rsid w:val="00E01472"/>
    <w:rsid w:val="00E01484"/>
    <w:rsid w:val="00E0152B"/>
    <w:rsid w:val="00E0152F"/>
    <w:rsid w:val="00E015F4"/>
    <w:rsid w:val="00E01630"/>
    <w:rsid w:val="00E01653"/>
    <w:rsid w:val="00E01704"/>
    <w:rsid w:val="00E01745"/>
    <w:rsid w:val="00E01819"/>
    <w:rsid w:val="00E0184F"/>
    <w:rsid w:val="00E0192C"/>
    <w:rsid w:val="00E01934"/>
    <w:rsid w:val="00E01977"/>
    <w:rsid w:val="00E01985"/>
    <w:rsid w:val="00E019E6"/>
    <w:rsid w:val="00E019F8"/>
    <w:rsid w:val="00E01B7B"/>
    <w:rsid w:val="00E01B89"/>
    <w:rsid w:val="00E01B92"/>
    <w:rsid w:val="00E01BA7"/>
    <w:rsid w:val="00E01D20"/>
    <w:rsid w:val="00E01D36"/>
    <w:rsid w:val="00E01D3A"/>
    <w:rsid w:val="00E01D41"/>
    <w:rsid w:val="00E01E41"/>
    <w:rsid w:val="00E01E50"/>
    <w:rsid w:val="00E01E9F"/>
    <w:rsid w:val="00E01EED"/>
    <w:rsid w:val="00E01F3A"/>
    <w:rsid w:val="00E01F70"/>
    <w:rsid w:val="00E01FC8"/>
    <w:rsid w:val="00E01FCD"/>
    <w:rsid w:val="00E01FEE"/>
    <w:rsid w:val="00E02015"/>
    <w:rsid w:val="00E0207C"/>
    <w:rsid w:val="00E020ED"/>
    <w:rsid w:val="00E0214F"/>
    <w:rsid w:val="00E02195"/>
    <w:rsid w:val="00E02247"/>
    <w:rsid w:val="00E022BA"/>
    <w:rsid w:val="00E022DF"/>
    <w:rsid w:val="00E022E4"/>
    <w:rsid w:val="00E02376"/>
    <w:rsid w:val="00E02468"/>
    <w:rsid w:val="00E0246B"/>
    <w:rsid w:val="00E02649"/>
    <w:rsid w:val="00E0267D"/>
    <w:rsid w:val="00E02693"/>
    <w:rsid w:val="00E0273E"/>
    <w:rsid w:val="00E027A8"/>
    <w:rsid w:val="00E027B8"/>
    <w:rsid w:val="00E027E7"/>
    <w:rsid w:val="00E02802"/>
    <w:rsid w:val="00E02824"/>
    <w:rsid w:val="00E02897"/>
    <w:rsid w:val="00E028D0"/>
    <w:rsid w:val="00E028DC"/>
    <w:rsid w:val="00E02949"/>
    <w:rsid w:val="00E029C9"/>
    <w:rsid w:val="00E02A13"/>
    <w:rsid w:val="00E02A74"/>
    <w:rsid w:val="00E02AE2"/>
    <w:rsid w:val="00E02AFC"/>
    <w:rsid w:val="00E02B0D"/>
    <w:rsid w:val="00E02B39"/>
    <w:rsid w:val="00E02B3C"/>
    <w:rsid w:val="00E02BE4"/>
    <w:rsid w:val="00E02D5A"/>
    <w:rsid w:val="00E02D97"/>
    <w:rsid w:val="00E02E92"/>
    <w:rsid w:val="00E02EED"/>
    <w:rsid w:val="00E02F0B"/>
    <w:rsid w:val="00E02F59"/>
    <w:rsid w:val="00E02FFA"/>
    <w:rsid w:val="00E03074"/>
    <w:rsid w:val="00E030D1"/>
    <w:rsid w:val="00E03144"/>
    <w:rsid w:val="00E03146"/>
    <w:rsid w:val="00E03148"/>
    <w:rsid w:val="00E031AA"/>
    <w:rsid w:val="00E031AC"/>
    <w:rsid w:val="00E0322E"/>
    <w:rsid w:val="00E03234"/>
    <w:rsid w:val="00E03243"/>
    <w:rsid w:val="00E032A2"/>
    <w:rsid w:val="00E032C3"/>
    <w:rsid w:val="00E032CA"/>
    <w:rsid w:val="00E032F3"/>
    <w:rsid w:val="00E03321"/>
    <w:rsid w:val="00E0333B"/>
    <w:rsid w:val="00E03357"/>
    <w:rsid w:val="00E0340F"/>
    <w:rsid w:val="00E03415"/>
    <w:rsid w:val="00E03468"/>
    <w:rsid w:val="00E034E3"/>
    <w:rsid w:val="00E0354D"/>
    <w:rsid w:val="00E03554"/>
    <w:rsid w:val="00E0356A"/>
    <w:rsid w:val="00E0359C"/>
    <w:rsid w:val="00E035A7"/>
    <w:rsid w:val="00E035D6"/>
    <w:rsid w:val="00E035D7"/>
    <w:rsid w:val="00E03662"/>
    <w:rsid w:val="00E03694"/>
    <w:rsid w:val="00E036C1"/>
    <w:rsid w:val="00E03750"/>
    <w:rsid w:val="00E0379E"/>
    <w:rsid w:val="00E038CD"/>
    <w:rsid w:val="00E03993"/>
    <w:rsid w:val="00E03A5E"/>
    <w:rsid w:val="00E03AB6"/>
    <w:rsid w:val="00E03B5F"/>
    <w:rsid w:val="00E03BEB"/>
    <w:rsid w:val="00E03C97"/>
    <w:rsid w:val="00E03D4B"/>
    <w:rsid w:val="00E03DBC"/>
    <w:rsid w:val="00E03DCA"/>
    <w:rsid w:val="00E03DD1"/>
    <w:rsid w:val="00E03E44"/>
    <w:rsid w:val="00E03E65"/>
    <w:rsid w:val="00E03EC3"/>
    <w:rsid w:val="00E03EC6"/>
    <w:rsid w:val="00E03ED3"/>
    <w:rsid w:val="00E03EF7"/>
    <w:rsid w:val="00E03F6B"/>
    <w:rsid w:val="00E0405B"/>
    <w:rsid w:val="00E04108"/>
    <w:rsid w:val="00E04135"/>
    <w:rsid w:val="00E0414E"/>
    <w:rsid w:val="00E0422E"/>
    <w:rsid w:val="00E04270"/>
    <w:rsid w:val="00E04280"/>
    <w:rsid w:val="00E04448"/>
    <w:rsid w:val="00E04483"/>
    <w:rsid w:val="00E0455E"/>
    <w:rsid w:val="00E0468C"/>
    <w:rsid w:val="00E046E1"/>
    <w:rsid w:val="00E046F1"/>
    <w:rsid w:val="00E047D7"/>
    <w:rsid w:val="00E04880"/>
    <w:rsid w:val="00E048C5"/>
    <w:rsid w:val="00E048E7"/>
    <w:rsid w:val="00E0494A"/>
    <w:rsid w:val="00E0499E"/>
    <w:rsid w:val="00E049C1"/>
    <w:rsid w:val="00E049E4"/>
    <w:rsid w:val="00E04AA5"/>
    <w:rsid w:val="00E04AE8"/>
    <w:rsid w:val="00E04B67"/>
    <w:rsid w:val="00E04B75"/>
    <w:rsid w:val="00E04B89"/>
    <w:rsid w:val="00E04BA8"/>
    <w:rsid w:val="00E04BB3"/>
    <w:rsid w:val="00E04BE2"/>
    <w:rsid w:val="00E04C29"/>
    <w:rsid w:val="00E04D09"/>
    <w:rsid w:val="00E04DF4"/>
    <w:rsid w:val="00E04E39"/>
    <w:rsid w:val="00E04E80"/>
    <w:rsid w:val="00E04EF6"/>
    <w:rsid w:val="00E04FA9"/>
    <w:rsid w:val="00E050A3"/>
    <w:rsid w:val="00E05126"/>
    <w:rsid w:val="00E0514F"/>
    <w:rsid w:val="00E05183"/>
    <w:rsid w:val="00E051C3"/>
    <w:rsid w:val="00E051D2"/>
    <w:rsid w:val="00E053C9"/>
    <w:rsid w:val="00E0546F"/>
    <w:rsid w:val="00E05492"/>
    <w:rsid w:val="00E054C6"/>
    <w:rsid w:val="00E054DB"/>
    <w:rsid w:val="00E0550D"/>
    <w:rsid w:val="00E0552B"/>
    <w:rsid w:val="00E055BB"/>
    <w:rsid w:val="00E056CD"/>
    <w:rsid w:val="00E056D8"/>
    <w:rsid w:val="00E05716"/>
    <w:rsid w:val="00E05754"/>
    <w:rsid w:val="00E0580A"/>
    <w:rsid w:val="00E0581E"/>
    <w:rsid w:val="00E05868"/>
    <w:rsid w:val="00E0587F"/>
    <w:rsid w:val="00E0599F"/>
    <w:rsid w:val="00E05A3D"/>
    <w:rsid w:val="00E05A57"/>
    <w:rsid w:val="00E05AED"/>
    <w:rsid w:val="00E05BE3"/>
    <w:rsid w:val="00E05C47"/>
    <w:rsid w:val="00E05C6B"/>
    <w:rsid w:val="00E05CA6"/>
    <w:rsid w:val="00E05D85"/>
    <w:rsid w:val="00E05F37"/>
    <w:rsid w:val="00E06011"/>
    <w:rsid w:val="00E0617A"/>
    <w:rsid w:val="00E06217"/>
    <w:rsid w:val="00E06294"/>
    <w:rsid w:val="00E062E6"/>
    <w:rsid w:val="00E062F3"/>
    <w:rsid w:val="00E06374"/>
    <w:rsid w:val="00E0640A"/>
    <w:rsid w:val="00E064A7"/>
    <w:rsid w:val="00E064CE"/>
    <w:rsid w:val="00E06509"/>
    <w:rsid w:val="00E06559"/>
    <w:rsid w:val="00E065E6"/>
    <w:rsid w:val="00E066AF"/>
    <w:rsid w:val="00E0672E"/>
    <w:rsid w:val="00E0674D"/>
    <w:rsid w:val="00E06779"/>
    <w:rsid w:val="00E067B6"/>
    <w:rsid w:val="00E068EF"/>
    <w:rsid w:val="00E06A1E"/>
    <w:rsid w:val="00E06A1F"/>
    <w:rsid w:val="00E06A4B"/>
    <w:rsid w:val="00E06AAF"/>
    <w:rsid w:val="00E06B61"/>
    <w:rsid w:val="00E06B67"/>
    <w:rsid w:val="00E06BB0"/>
    <w:rsid w:val="00E06BF9"/>
    <w:rsid w:val="00E06C20"/>
    <w:rsid w:val="00E06C67"/>
    <w:rsid w:val="00E06CDA"/>
    <w:rsid w:val="00E06D0C"/>
    <w:rsid w:val="00E06D30"/>
    <w:rsid w:val="00E06D48"/>
    <w:rsid w:val="00E06D5A"/>
    <w:rsid w:val="00E06D75"/>
    <w:rsid w:val="00E06DB7"/>
    <w:rsid w:val="00E06E51"/>
    <w:rsid w:val="00E06F01"/>
    <w:rsid w:val="00E06FD8"/>
    <w:rsid w:val="00E071A2"/>
    <w:rsid w:val="00E07221"/>
    <w:rsid w:val="00E0726C"/>
    <w:rsid w:val="00E072A8"/>
    <w:rsid w:val="00E072D5"/>
    <w:rsid w:val="00E072E1"/>
    <w:rsid w:val="00E072F8"/>
    <w:rsid w:val="00E07323"/>
    <w:rsid w:val="00E07468"/>
    <w:rsid w:val="00E074A4"/>
    <w:rsid w:val="00E07534"/>
    <w:rsid w:val="00E07560"/>
    <w:rsid w:val="00E07580"/>
    <w:rsid w:val="00E07629"/>
    <w:rsid w:val="00E076A1"/>
    <w:rsid w:val="00E076BC"/>
    <w:rsid w:val="00E078E6"/>
    <w:rsid w:val="00E079F1"/>
    <w:rsid w:val="00E07BB3"/>
    <w:rsid w:val="00E07BD7"/>
    <w:rsid w:val="00E07BF5"/>
    <w:rsid w:val="00E07C15"/>
    <w:rsid w:val="00E07CA8"/>
    <w:rsid w:val="00E07CCB"/>
    <w:rsid w:val="00E07CF6"/>
    <w:rsid w:val="00E07D4F"/>
    <w:rsid w:val="00E07E05"/>
    <w:rsid w:val="00E07E75"/>
    <w:rsid w:val="00E07E9C"/>
    <w:rsid w:val="00E07F5F"/>
    <w:rsid w:val="00E07F94"/>
    <w:rsid w:val="00E07FCA"/>
    <w:rsid w:val="00E10016"/>
    <w:rsid w:val="00E10031"/>
    <w:rsid w:val="00E100F7"/>
    <w:rsid w:val="00E10104"/>
    <w:rsid w:val="00E101F2"/>
    <w:rsid w:val="00E10292"/>
    <w:rsid w:val="00E1031B"/>
    <w:rsid w:val="00E10337"/>
    <w:rsid w:val="00E10377"/>
    <w:rsid w:val="00E103CF"/>
    <w:rsid w:val="00E103D0"/>
    <w:rsid w:val="00E10470"/>
    <w:rsid w:val="00E1047C"/>
    <w:rsid w:val="00E1047F"/>
    <w:rsid w:val="00E104E1"/>
    <w:rsid w:val="00E106A4"/>
    <w:rsid w:val="00E106D3"/>
    <w:rsid w:val="00E1070B"/>
    <w:rsid w:val="00E10877"/>
    <w:rsid w:val="00E1090F"/>
    <w:rsid w:val="00E1093E"/>
    <w:rsid w:val="00E109FE"/>
    <w:rsid w:val="00E10A0A"/>
    <w:rsid w:val="00E10B16"/>
    <w:rsid w:val="00E10B7B"/>
    <w:rsid w:val="00E10BF8"/>
    <w:rsid w:val="00E10C68"/>
    <w:rsid w:val="00E10C6F"/>
    <w:rsid w:val="00E10CF5"/>
    <w:rsid w:val="00E10D45"/>
    <w:rsid w:val="00E10DE6"/>
    <w:rsid w:val="00E10F24"/>
    <w:rsid w:val="00E10F56"/>
    <w:rsid w:val="00E10FB7"/>
    <w:rsid w:val="00E11005"/>
    <w:rsid w:val="00E110D6"/>
    <w:rsid w:val="00E11140"/>
    <w:rsid w:val="00E11175"/>
    <w:rsid w:val="00E111C9"/>
    <w:rsid w:val="00E11201"/>
    <w:rsid w:val="00E1121A"/>
    <w:rsid w:val="00E112A6"/>
    <w:rsid w:val="00E112CA"/>
    <w:rsid w:val="00E112D3"/>
    <w:rsid w:val="00E11326"/>
    <w:rsid w:val="00E11388"/>
    <w:rsid w:val="00E113F0"/>
    <w:rsid w:val="00E11444"/>
    <w:rsid w:val="00E11503"/>
    <w:rsid w:val="00E115B0"/>
    <w:rsid w:val="00E115C8"/>
    <w:rsid w:val="00E11664"/>
    <w:rsid w:val="00E11721"/>
    <w:rsid w:val="00E11871"/>
    <w:rsid w:val="00E11961"/>
    <w:rsid w:val="00E11976"/>
    <w:rsid w:val="00E11991"/>
    <w:rsid w:val="00E119A8"/>
    <w:rsid w:val="00E11A43"/>
    <w:rsid w:val="00E11A81"/>
    <w:rsid w:val="00E11ACD"/>
    <w:rsid w:val="00E11AD9"/>
    <w:rsid w:val="00E11B12"/>
    <w:rsid w:val="00E11BCD"/>
    <w:rsid w:val="00E11D34"/>
    <w:rsid w:val="00E11D3C"/>
    <w:rsid w:val="00E11DEE"/>
    <w:rsid w:val="00E11FD0"/>
    <w:rsid w:val="00E1202F"/>
    <w:rsid w:val="00E1204D"/>
    <w:rsid w:val="00E120A3"/>
    <w:rsid w:val="00E12108"/>
    <w:rsid w:val="00E12193"/>
    <w:rsid w:val="00E121B9"/>
    <w:rsid w:val="00E121EF"/>
    <w:rsid w:val="00E1220C"/>
    <w:rsid w:val="00E12243"/>
    <w:rsid w:val="00E122DC"/>
    <w:rsid w:val="00E1236B"/>
    <w:rsid w:val="00E123D7"/>
    <w:rsid w:val="00E1241C"/>
    <w:rsid w:val="00E12424"/>
    <w:rsid w:val="00E1247D"/>
    <w:rsid w:val="00E125C8"/>
    <w:rsid w:val="00E126D7"/>
    <w:rsid w:val="00E12728"/>
    <w:rsid w:val="00E12754"/>
    <w:rsid w:val="00E12774"/>
    <w:rsid w:val="00E1279A"/>
    <w:rsid w:val="00E127F9"/>
    <w:rsid w:val="00E1283F"/>
    <w:rsid w:val="00E12841"/>
    <w:rsid w:val="00E1286F"/>
    <w:rsid w:val="00E128C3"/>
    <w:rsid w:val="00E12908"/>
    <w:rsid w:val="00E1291D"/>
    <w:rsid w:val="00E12920"/>
    <w:rsid w:val="00E12AC6"/>
    <w:rsid w:val="00E12AD2"/>
    <w:rsid w:val="00E12AD8"/>
    <w:rsid w:val="00E12DEF"/>
    <w:rsid w:val="00E12DF4"/>
    <w:rsid w:val="00E12E27"/>
    <w:rsid w:val="00E12FAF"/>
    <w:rsid w:val="00E12FB1"/>
    <w:rsid w:val="00E1303D"/>
    <w:rsid w:val="00E13054"/>
    <w:rsid w:val="00E1307E"/>
    <w:rsid w:val="00E1310F"/>
    <w:rsid w:val="00E131F9"/>
    <w:rsid w:val="00E13212"/>
    <w:rsid w:val="00E1322D"/>
    <w:rsid w:val="00E13424"/>
    <w:rsid w:val="00E1343E"/>
    <w:rsid w:val="00E134A3"/>
    <w:rsid w:val="00E134BF"/>
    <w:rsid w:val="00E13546"/>
    <w:rsid w:val="00E1361F"/>
    <w:rsid w:val="00E136A7"/>
    <w:rsid w:val="00E136C5"/>
    <w:rsid w:val="00E137DE"/>
    <w:rsid w:val="00E13807"/>
    <w:rsid w:val="00E13815"/>
    <w:rsid w:val="00E1381D"/>
    <w:rsid w:val="00E1384F"/>
    <w:rsid w:val="00E13876"/>
    <w:rsid w:val="00E13A1F"/>
    <w:rsid w:val="00E13A61"/>
    <w:rsid w:val="00E13B79"/>
    <w:rsid w:val="00E13B80"/>
    <w:rsid w:val="00E13B82"/>
    <w:rsid w:val="00E13BD3"/>
    <w:rsid w:val="00E13CC2"/>
    <w:rsid w:val="00E13CEC"/>
    <w:rsid w:val="00E13D12"/>
    <w:rsid w:val="00E13DB9"/>
    <w:rsid w:val="00E13DD7"/>
    <w:rsid w:val="00E13DFB"/>
    <w:rsid w:val="00E13E5D"/>
    <w:rsid w:val="00E13F33"/>
    <w:rsid w:val="00E14030"/>
    <w:rsid w:val="00E14043"/>
    <w:rsid w:val="00E14079"/>
    <w:rsid w:val="00E140C3"/>
    <w:rsid w:val="00E14107"/>
    <w:rsid w:val="00E14135"/>
    <w:rsid w:val="00E1417A"/>
    <w:rsid w:val="00E141D8"/>
    <w:rsid w:val="00E1421D"/>
    <w:rsid w:val="00E14222"/>
    <w:rsid w:val="00E14275"/>
    <w:rsid w:val="00E14346"/>
    <w:rsid w:val="00E1436B"/>
    <w:rsid w:val="00E1439E"/>
    <w:rsid w:val="00E14406"/>
    <w:rsid w:val="00E14408"/>
    <w:rsid w:val="00E14447"/>
    <w:rsid w:val="00E14451"/>
    <w:rsid w:val="00E144B7"/>
    <w:rsid w:val="00E144D9"/>
    <w:rsid w:val="00E1457B"/>
    <w:rsid w:val="00E145EE"/>
    <w:rsid w:val="00E1466F"/>
    <w:rsid w:val="00E14731"/>
    <w:rsid w:val="00E1473D"/>
    <w:rsid w:val="00E14816"/>
    <w:rsid w:val="00E148E0"/>
    <w:rsid w:val="00E14913"/>
    <w:rsid w:val="00E14A3A"/>
    <w:rsid w:val="00E14AC9"/>
    <w:rsid w:val="00E14AE5"/>
    <w:rsid w:val="00E14AF1"/>
    <w:rsid w:val="00E14B0E"/>
    <w:rsid w:val="00E14B6F"/>
    <w:rsid w:val="00E14BC1"/>
    <w:rsid w:val="00E14BD4"/>
    <w:rsid w:val="00E14C21"/>
    <w:rsid w:val="00E14C64"/>
    <w:rsid w:val="00E14CC7"/>
    <w:rsid w:val="00E14D6A"/>
    <w:rsid w:val="00E14D82"/>
    <w:rsid w:val="00E14DB2"/>
    <w:rsid w:val="00E14DD0"/>
    <w:rsid w:val="00E14DFB"/>
    <w:rsid w:val="00E14E9A"/>
    <w:rsid w:val="00E14F1E"/>
    <w:rsid w:val="00E14FA2"/>
    <w:rsid w:val="00E14FF9"/>
    <w:rsid w:val="00E1503C"/>
    <w:rsid w:val="00E1506A"/>
    <w:rsid w:val="00E1506F"/>
    <w:rsid w:val="00E15077"/>
    <w:rsid w:val="00E150B7"/>
    <w:rsid w:val="00E150DB"/>
    <w:rsid w:val="00E1514C"/>
    <w:rsid w:val="00E151A1"/>
    <w:rsid w:val="00E151EC"/>
    <w:rsid w:val="00E15216"/>
    <w:rsid w:val="00E15282"/>
    <w:rsid w:val="00E15287"/>
    <w:rsid w:val="00E15361"/>
    <w:rsid w:val="00E153BC"/>
    <w:rsid w:val="00E153D6"/>
    <w:rsid w:val="00E153E7"/>
    <w:rsid w:val="00E15422"/>
    <w:rsid w:val="00E15432"/>
    <w:rsid w:val="00E1554E"/>
    <w:rsid w:val="00E15584"/>
    <w:rsid w:val="00E155A3"/>
    <w:rsid w:val="00E15702"/>
    <w:rsid w:val="00E15762"/>
    <w:rsid w:val="00E1578C"/>
    <w:rsid w:val="00E157CF"/>
    <w:rsid w:val="00E15803"/>
    <w:rsid w:val="00E15821"/>
    <w:rsid w:val="00E158D3"/>
    <w:rsid w:val="00E15A64"/>
    <w:rsid w:val="00E15A80"/>
    <w:rsid w:val="00E15AEC"/>
    <w:rsid w:val="00E15C35"/>
    <w:rsid w:val="00E15C8B"/>
    <w:rsid w:val="00E15C93"/>
    <w:rsid w:val="00E15CD9"/>
    <w:rsid w:val="00E15D42"/>
    <w:rsid w:val="00E15E19"/>
    <w:rsid w:val="00E15E9F"/>
    <w:rsid w:val="00E15FAD"/>
    <w:rsid w:val="00E15FB9"/>
    <w:rsid w:val="00E15FD3"/>
    <w:rsid w:val="00E15FD5"/>
    <w:rsid w:val="00E1602D"/>
    <w:rsid w:val="00E1608E"/>
    <w:rsid w:val="00E160E6"/>
    <w:rsid w:val="00E1610B"/>
    <w:rsid w:val="00E1612F"/>
    <w:rsid w:val="00E16181"/>
    <w:rsid w:val="00E161A4"/>
    <w:rsid w:val="00E161C1"/>
    <w:rsid w:val="00E1623A"/>
    <w:rsid w:val="00E16352"/>
    <w:rsid w:val="00E16408"/>
    <w:rsid w:val="00E16426"/>
    <w:rsid w:val="00E16443"/>
    <w:rsid w:val="00E16461"/>
    <w:rsid w:val="00E164BA"/>
    <w:rsid w:val="00E1651A"/>
    <w:rsid w:val="00E1654F"/>
    <w:rsid w:val="00E16695"/>
    <w:rsid w:val="00E1687C"/>
    <w:rsid w:val="00E168D1"/>
    <w:rsid w:val="00E169A2"/>
    <w:rsid w:val="00E16A5D"/>
    <w:rsid w:val="00E16B59"/>
    <w:rsid w:val="00E16BAA"/>
    <w:rsid w:val="00E16BDF"/>
    <w:rsid w:val="00E16BE0"/>
    <w:rsid w:val="00E16C1A"/>
    <w:rsid w:val="00E16D2E"/>
    <w:rsid w:val="00E16D47"/>
    <w:rsid w:val="00E16E09"/>
    <w:rsid w:val="00E16E45"/>
    <w:rsid w:val="00E16EBD"/>
    <w:rsid w:val="00E16F77"/>
    <w:rsid w:val="00E17039"/>
    <w:rsid w:val="00E17071"/>
    <w:rsid w:val="00E17074"/>
    <w:rsid w:val="00E17109"/>
    <w:rsid w:val="00E1715C"/>
    <w:rsid w:val="00E171ED"/>
    <w:rsid w:val="00E1721F"/>
    <w:rsid w:val="00E1729B"/>
    <w:rsid w:val="00E17397"/>
    <w:rsid w:val="00E17446"/>
    <w:rsid w:val="00E17464"/>
    <w:rsid w:val="00E174CE"/>
    <w:rsid w:val="00E17512"/>
    <w:rsid w:val="00E17555"/>
    <w:rsid w:val="00E175EA"/>
    <w:rsid w:val="00E17632"/>
    <w:rsid w:val="00E17678"/>
    <w:rsid w:val="00E17681"/>
    <w:rsid w:val="00E176E8"/>
    <w:rsid w:val="00E1773C"/>
    <w:rsid w:val="00E17743"/>
    <w:rsid w:val="00E177D1"/>
    <w:rsid w:val="00E177EC"/>
    <w:rsid w:val="00E17837"/>
    <w:rsid w:val="00E17992"/>
    <w:rsid w:val="00E179A6"/>
    <w:rsid w:val="00E17A94"/>
    <w:rsid w:val="00E17AA6"/>
    <w:rsid w:val="00E17AEB"/>
    <w:rsid w:val="00E17B25"/>
    <w:rsid w:val="00E17BDC"/>
    <w:rsid w:val="00E17C64"/>
    <w:rsid w:val="00E17D42"/>
    <w:rsid w:val="00E17D92"/>
    <w:rsid w:val="00E17E1C"/>
    <w:rsid w:val="00E17E4B"/>
    <w:rsid w:val="00E17F34"/>
    <w:rsid w:val="00E17FAC"/>
    <w:rsid w:val="00E17FD0"/>
    <w:rsid w:val="00E20100"/>
    <w:rsid w:val="00E2012A"/>
    <w:rsid w:val="00E2029A"/>
    <w:rsid w:val="00E202A4"/>
    <w:rsid w:val="00E202F3"/>
    <w:rsid w:val="00E2033F"/>
    <w:rsid w:val="00E20388"/>
    <w:rsid w:val="00E203BD"/>
    <w:rsid w:val="00E203E3"/>
    <w:rsid w:val="00E20446"/>
    <w:rsid w:val="00E204E0"/>
    <w:rsid w:val="00E20512"/>
    <w:rsid w:val="00E20560"/>
    <w:rsid w:val="00E20610"/>
    <w:rsid w:val="00E2064E"/>
    <w:rsid w:val="00E206BD"/>
    <w:rsid w:val="00E20754"/>
    <w:rsid w:val="00E207BF"/>
    <w:rsid w:val="00E207EF"/>
    <w:rsid w:val="00E207F0"/>
    <w:rsid w:val="00E2080C"/>
    <w:rsid w:val="00E20817"/>
    <w:rsid w:val="00E2092E"/>
    <w:rsid w:val="00E2093E"/>
    <w:rsid w:val="00E20A32"/>
    <w:rsid w:val="00E20A43"/>
    <w:rsid w:val="00E20AAB"/>
    <w:rsid w:val="00E20B26"/>
    <w:rsid w:val="00E20B3F"/>
    <w:rsid w:val="00E20B99"/>
    <w:rsid w:val="00E20BEE"/>
    <w:rsid w:val="00E20C6A"/>
    <w:rsid w:val="00E20CA9"/>
    <w:rsid w:val="00E20D9C"/>
    <w:rsid w:val="00E20E21"/>
    <w:rsid w:val="00E20F72"/>
    <w:rsid w:val="00E2106C"/>
    <w:rsid w:val="00E2106F"/>
    <w:rsid w:val="00E210AF"/>
    <w:rsid w:val="00E210BD"/>
    <w:rsid w:val="00E210CC"/>
    <w:rsid w:val="00E210D5"/>
    <w:rsid w:val="00E21147"/>
    <w:rsid w:val="00E2116C"/>
    <w:rsid w:val="00E211A2"/>
    <w:rsid w:val="00E211BC"/>
    <w:rsid w:val="00E211E6"/>
    <w:rsid w:val="00E2129A"/>
    <w:rsid w:val="00E2129C"/>
    <w:rsid w:val="00E212B4"/>
    <w:rsid w:val="00E212E7"/>
    <w:rsid w:val="00E213D2"/>
    <w:rsid w:val="00E214AB"/>
    <w:rsid w:val="00E214F1"/>
    <w:rsid w:val="00E215D0"/>
    <w:rsid w:val="00E21604"/>
    <w:rsid w:val="00E2161B"/>
    <w:rsid w:val="00E2162F"/>
    <w:rsid w:val="00E21655"/>
    <w:rsid w:val="00E217AD"/>
    <w:rsid w:val="00E21823"/>
    <w:rsid w:val="00E21974"/>
    <w:rsid w:val="00E21985"/>
    <w:rsid w:val="00E21990"/>
    <w:rsid w:val="00E21A22"/>
    <w:rsid w:val="00E21AA9"/>
    <w:rsid w:val="00E21B32"/>
    <w:rsid w:val="00E21B37"/>
    <w:rsid w:val="00E21BCE"/>
    <w:rsid w:val="00E21C64"/>
    <w:rsid w:val="00E21D18"/>
    <w:rsid w:val="00E21E0D"/>
    <w:rsid w:val="00E21FA4"/>
    <w:rsid w:val="00E2200E"/>
    <w:rsid w:val="00E22033"/>
    <w:rsid w:val="00E22096"/>
    <w:rsid w:val="00E22136"/>
    <w:rsid w:val="00E22189"/>
    <w:rsid w:val="00E221FC"/>
    <w:rsid w:val="00E22287"/>
    <w:rsid w:val="00E223A5"/>
    <w:rsid w:val="00E22459"/>
    <w:rsid w:val="00E2246B"/>
    <w:rsid w:val="00E224BA"/>
    <w:rsid w:val="00E224FD"/>
    <w:rsid w:val="00E224FE"/>
    <w:rsid w:val="00E22510"/>
    <w:rsid w:val="00E22558"/>
    <w:rsid w:val="00E22562"/>
    <w:rsid w:val="00E225AB"/>
    <w:rsid w:val="00E22648"/>
    <w:rsid w:val="00E2266E"/>
    <w:rsid w:val="00E226B0"/>
    <w:rsid w:val="00E226D7"/>
    <w:rsid w:val="00E226F7"/>
    <w:rsid w:val="00E2270C"/>
    <w:rsid w:val="00E227CC"/>
    <w:rsid w:val="00E228E6"/>
    <w:rsid w:val="00E2297A"/>
    <w:rsid w:val="00E22A54"/>
    <w:rsid w:val="00E22A84"/>
    <w:rsid w:val="00E22C66"/>
    <w:rsid w:val="00E22CE9"/>
    <w:rsid w:val="00E22CF8"/>
    <w:rsid w:val="00E22D25"/>
    <w:rsid w:val="00E22D7F"/>
    <w:rsid w:val="00E22EC5"/>
    <w:rsid w:val="00E22ED2"/>
    <w:rsid w:val="00E22F91"/>
    <w:rsid w:val="00E23114"/>
    <w:rsid w:val="00E2311C"/>
    <w:rsid w:val="00E23196"/>
    <w:rsid w:val="00E23233"/>
    <w:rsid w:val="00E23276"/>
    <w:rsid w:val="00E232E2"/>
    <w:rsid w:val="00E233EB"/>
    <w:rsid w:val="00E2347C"/>
    <w:rsid w:val="00E234E5"/>
    <w:rsid w:val="00E234F0"/>
    <w:rsid w:val="00E23511"/>
    <w:rsid w:val="00E23525"/>
    <w:rsid w:val="00E235F1"/>
    <w:rsid w:val="00E235F5"/>
    <w:rsid w:val="00E235F8"/>
    <w:rsid w:val="00E236BC"/>
    <w:rsid w:val="00E236FC"/>
    <w:rsid w:val="00E2371A"/>
    <w:rsid w:val="00E23802"/>
    <w:rsid w:val="00E2381C"/>
    <w:rsid w:val="00E23907"/>
    <w:rsid w:val="00E2390E"/>
    <w:rsid w:val="00E2392D"/>
    <w:rsid w:val="00E23A4F"/>
    <w:rsid w:val="00E23A6E"/>
    <w:rsid w:val="00E23AB4"/>
    <w:rsid w:val="00E23B02"/>
    <w:rsid w:val="00E23C40"/>
    <w:rsid w:val="00E23D68"/>
    <w:rsid w:val="00E23D6D"/>
    <w:rsid w:val="00E23E1F"/>
    <w:rsid w:val="00E23E21"/>
    <w:rsid w:val="00E23E24"/>
    <w:rsid w:val="00E23EB6"/>
    <w:rsid w:val="00E24113"/>
    <w:rsid w:val="00E24142"/>
    <w:rsid w:val="00E24245"/>
    <w:rsid w:val="00E242CE"/>
    <w:rsid w:val="00E242D0"/>
    <w:rsid w:val="00E2430C"/>
    <w:rsid w:val="00E2431C"/>
    <w:rsid w:val="00E243C3"/>
    <w:rsid w:val="00E243E9"/>
    <w:rsid w:val="00E243EC"/>
    <w:rsid w:val="00E24400"/>
    <w:rsid w:val="00E2441A"/>
    <w:rsid w:val="00E24424"/>
    <w:rsid w:val="00E24453"/>
    <w:rsid w:val="00E24461"/>
    <w:rsid w:val="00E244AF"/>
    <w:rsid w:val="00E244FB"/>
    <w:rsid w:val="00E2457A"/>
    <w:rsid w:val="00E2459B"/>
    <w:rsid w:val="00E2460E"/>
    <w:rsid w:val="00E24711"/>
    <w:rsid w:val="00E24775"/>
    <w:rsid w:val="00E24795"/>
    <w:rsid w:val="00E247E8"/>
    <w:rsid w:val="00E247F5"/>
    <w:rsid w:val="00E24847"/>
    <w:rsid w:val="00E2484A"/>
    <w:rsid w:val="00E24875"/>
    <w:rsid w:val="00E248A3"/>
    <w:rsid w:val="00E248FD"/>
    <w:rsid w:val="00E24908"/>
    <w:rsid w:val="00E24965"/>
    <w:rsid w:val="00E24978"/>
    <w:rsid w:val="00E249B6"/>
    <w:rsid w:val="00E249E8"/>
    <w:rsid w:val="00E24A20"/>
    <w:rsid w:val="00E24A2F"/>
    <w:rsid w:val="00E24A54"/>
    <w:rsid w:val="00E24AB5"/>
    <w:rsid w:val="00E24ABE"/>
    <w:rsid w:val="00E24B1D"/>
    <w:rsid w:val="00E24B2C"/>
    <w:rsid w:val="00E24BA2"/>
    <w:rsid w:val="00E24C02"/>
    <w:rsid w:val="00E24C6E"/>
    <w:rsid w:val="00E24CBA"/>
    <w:rsid w:val="00E24CFC"/>
    <w:rsid w:val="00E24D4A"/>
    <w:rsid w:val="00E24DB8"/>
    <w:rsid w:val="00E24DEF"/>
    <w:rsid w:val="00E24E3F"/>
    <w:rsid w:val="00E24F20"/>
    <w:rsid w:val="00E25029"/>
    <w:rsid w:val="00E250A8"/>
    <w:rsid w:val="00E251DF"/>
    <w:rsid w:val="00E251EF"/>
    <w:rsid w:val="00E2528B"/>
    <w:rsid w:val="00E2539E"/>
    <w:rsid w:val="00E255DC"/>
    <w:rsid w:val="00E255FD"/>
    <w:rsid w:val="00E25609"/>
    <w:rsid w:val="00E25674"/>
    <w:rsid w:val="00E256C4"/>
    <w:rsid w:val="00E25701"/>
    <w:rsid w:val="00E25741"/>
    <w:rsid w:val="00E257D3"/>
    <w:rsid w:val="00E2586A"/>
    <w:rsid w:val="00E2589C"/>
    <w:rsid w:val="00E25A49"/>
    <w:rsid w:val="00E25AB2"/>
    <w:rsid w:val="00E25B29"/>
    <w:rsid w:val="00E25B32"/>
    <w:rsid w:val="00E25B89"/>
    <w:rsid w:val="00E25C12"/>
    <w:rsid w:val="00E25CC6"/>
    <w:rsid w:val="00E25D29"/>
    <w:rsid w:val="00E25D9C"/>
    <w:rsid w:val="00E25DE0"/>
    <w:rsid w:val="00E25E15"/>
    <w:rsid w:val="00E25E34"/>
    <w:rsid w:val="00E25E35"/>
    <w:rsid w:val="00E25E3E"/>
    <w:rsid w:val="00E25F83"/>
    <w:rsid w:val="00E25FC3"/>
    <w:rsid w:val="00E26015"/>
    <w:rsid w:val="00E26020"/>
    <w:rsid w:val="00E2608E"/>
    <w:rsid w:val="00E260E5"/>
    <w:rsid w:val="00E260EC"/>
    <w:rsid w:val="00E26280"/>
    <w:rsid w:val="00E262BB"/>
    <w:rsid w:val="00E263C2"/>
    <w:rsid w:val="00E2648A"/>
    <w:rsid w:val="00E264F7"/>
    <w:rsid w:val="00E264FD"/>
    <w:rsid w:val="00E26512"/>
    <w:rsid w:val="00E2653C"/>
    <w:rsid w:val="00E265C7"/>
    <w:rsid w:val="00E2668D"/>
    <w:rsid w:val="00E26758"/>
    <w:rsid w:val="00E2681D"/>
    <w:rsid w:val="00E26887"/>
    <w:rsid w:val="00E268E0"/>
    <w:rsid w:val="00E268FC"/>
    <w:rsid w:val="00E26963"/>
    <w:rsid w:val="00E2696C"/>
    <w:rsid w:val="00E2696E"/>
    <w:rsid w:val="00E26998"/>
    <w:rsid w:val="00E26A61"/>
    <w:rsid w:val="00E26C7F"/>
    <w:rsid w:val="00E26CCB"/>
    <w:rsid w:val="00E26D79"/>
    <w:rsid w:val="00E26D7A"/>
    <w:rsid w:val="00E26E9C"/>
    <w:rsid w:val="00E26EAC"/>
    <w:rsid w:val="00E26F69"/>
    <w:rsid w:val="00E26FBC"/>
    <w:rsid w:val="00E270CE"/>
    <w:rsid w:val="00E2710B"/>
    <w:rsid w:val="00E27187"/>
    <w:rsid w:val="00E271A6"/>
    <w:rsid w:val="00E271EF"/>
    <w:rsid w:val="00E27256"/>
    <w:rsid w:val="00E272F9"/>
    <w:rsid w:val="00E27349"/>
    <w:rsid w:val="00E2745E"/>
    <w:rsid w:val="00E27554"/>
    <w:rsid w:val="00E2756D"/>
    <w:rsid w:val="00E27606"/>
    <w:rsid w:val="00E2761A"/>
    <w:rsid w:val="00E27691"/>
    <w:rsid w:val="00E276E4"/>
    <w:rsid w:val="00E2773A"/>
    <w:rsid w:val="00E2775E"/>
    <w:rsid w:val="00E277B0"/>
    <w:rsid w:val="00E277CA"/>
    <w:rsid w:val="00E278A5"/>
    <w:rsid w:val="00E27917"/>
    <w:rsid w:val="00E27B22"/>
    <w:rsid w:val="00E27C67"/>
    <w:rsid w:val="00E27CAE"/>
    <w:rsid w:val="00E27D0B"/>
    <w:rsid w:val="00E27D5C"/>
    <w:rsid w:val="00E27DB0"/>
    <w:rsid w:val="00E27DB2"/>
    <w:rsid w:val="00E27DB4"/>
    <w:rsid w:val="00E27F47"/>
    <w:rsid w:val="00E30021"/>
    <w:rsid w:val="00E300B2"/>
    <w:rsid w:val="00E300BD"/>
    <w:rsid w:val="00E30181"/>
    <w:rsid w:val="00E301AA"/>
    <w:rsid w:val="00E301F0"/>
    <w:rsid w:val="00E302DD"/>
    <w:rsid w:val="00E30313"/>
    <w:rsid w:val="00E3032D"/>
    <w:rsid w:val="00E30417"/>
    <w:rsid w:val="00E3044D"/>
    <w:rsid w:val="00E304A9"/>
    <w:rsid w:val="00E304E4"/>
    <w:rsid w:val="00E3058C"/>
    <w:rsid w:val="00E305A7"/>
    <w:rsid w:val="00E305AC"/>
    <w:rsid w:val="00E30633"/>
    <w:rsid w:val="00E3074F"/>
    <w:rsid w:val="00E30786"/>
    <w:rsid w:val="00E307BF"/>
    <w:rsid w:val="00E307E5"/>
    <w:rsid w:val="00E3081A"/>
    <w:rsid w:val="00E30979"/>
    <w:rsid w:val="00E30980"/>
    <w:rsid w:val="00E30998"/>
    <w:rsid w:val="00E309A0"/>
    <w:rsid w:val="00E309EF"/>
    <w:rsid w:val="00E309F5"/>
    <w:rsid w:val="00E30B24"/>
    <w:rsid w:val="00E30BA1"/>
    <w:rsid w:val="00E30BAE"/>
    <w:rsid w:val="00E30C08"/>
    <w:rsid w:val="00E30CCB"/>
    <w:rsid w:val="00E30D0A"/>
    <w:rsid w:val="00E30D7C"/>
    <w:rsid w:val="00E30D82"/>
    <w:rsid w:val="00E30D83"/>
    <w:rsid w:val="00E30E20"/>
    <w:rsid w:val="00E30E37"/>
    <w:rsid w:val="00E30E82"/>
    <w:rsid w:val="00E30FE1"/>
    <w:rsid w:val="00E31009"/>
    <w:rsid w:val="00E3100C"/>
    <w:rsid w:val="00E3102A"/>
    <w:rsid w:val="00E31054"/>
    <w:rsid w:val="00E3109E"/>
    <w:rsid w:val="00E310A0"/>
    <w:rsid w:val="00E3111D"/>
    <w:rsid w:val="00E3125C"/>
    <w:rsid w:val="00E31275"/>
    <w:rsid w:val="00E313A1"/>
    <w:rsid w:val="00E3148B"/>
    <w:rsid w:val="00E314A0"/>
    <w:rsid w:val="00E314EF"/>
    <w:rsid w:val="00E314FF"/>
    <w:rsid w:val="00E31548"/>
    <w:rsid w:val="00E31662"/>
    <w:rsid w:val="00E316F5"/>
    <w:rsid w:val="00E3170D"/>
    <w:rsid w:val="00E3176B"/>
    <w:rsid w:val="00E31835"/>
    <w:rsid w:val="00E318FC"/>
    <w:rsid w:val="00E319AB"/>
    <w:rsid w:val="00E31AAC"/>
    <w:rsid w:val="00E31AD2"/>
    <w:rsid w:val="00E31B25"/>
    <w:rsid w:val="00E31BF1"/>
    <w:rsid w:val="00E31C18"/>
    <w:rsid w:val="00E31C57"/>
    <w:rsid w:val="00E31C7D"/>
    <w:rsid w:val="00E31D66"/>
    <w:rsid w:val="00E31E8D"/>
    <w:rsid w:val="00E31F11"/>
    <w:rsid w:val="00E31F20"/>
    <w:rsid w:val="00E31F42"/>
    <w:rsid w:val="00E31F5B"/>
    <w:rsid w:val="00E31F9B"/>
    <w:rsid w:val="00E3203B"/>
    <w:rsid w:val="00E320DB"/>
    <w:rsid w:val="00E320FA"/>
    <w:rsid w:val="00E322C0"/>
    <w:rsid w:val="00E3238A"/>
    <w:rsid w:val="00E323B3"/>
    <w:rsid w:val="00E323E3"/>
    <w:rsid w:val="00E32448"/>
    <w:rsid w:val="00E32578"/>
    <w:rsid w:val="00E32579"/>
    <w:rsid w:val="00E325C3"/>
    <w:rsid w:val="00E326DD"/>
    <w:rsid w:val="00E32726"/>
    <w:rsid w:val="00E328CC"/>
    <w:rsid w:val="00E328EF"/>
    <w:rsid w:val="00E32927"/>
    <w:rsid w:val="00E32A48"/>
    <w:rsid w:val="00E32AA5"/>
    <w:rsid w:val="00E32B07"/>
    <w:rsid w:val="00E32B7F"/>
    <w:rsid w:val="00E32B83"/>
    <w:rsid w:val="00E32BCD"/>
    <w:rsid w:val="00E32C8D"/>
    <w:rsid w:val="00E32D0F"/>
    <w:rsid w:val="00E32D13"/>
    <w:rsid w:val="00E32D14"/>
    <w:rsid w:val="00E32D34"/>
    <w:rsid w:val="00E32D61"/>
    <w:rsid w:val="00E32EEF"/>
    <w:rsid w:val="00E32FF3"/>
    <w:rsid w:val="00E3302C"/>
    <w:rsid w:val="00E33080"/>
    <w:rsid w:val="00E330B1"/>
    <w:rsid w:val="00E33209"/>
    <w:rsid w:val="00E3322A"/>
    <w:rsid w:val="00E333F6"/>
    <w:rsid w:val="00E3346A"/>
    <w:rsid w:val="00E33489"/>
    <w:rsid w:val="00E335FE"/>
    <w:rsid w:val="00E3361B"/>
    <w:rsid w:val="00E33620"/>
    <w:rsid w:val="00E33650"/>
    <w:rsid w:val="00E33690"/>
    <w:rsid w:val="00E33697"/>
    <w:rsid w:val="00E336F8"/>
    <w:rsid w:val="00E33747"/>
    <w:rsid w:val="00E3377E"/>
    <w:rsid w:val="00E33829"/>
    <w:rsid w:val="00E33893"/>
    <w:rsid w:val="00E33993"/>
    <w:rsid w:val="00E339DA"/>
    <w:rsid w:val="00E339FA"/>
    <w:rsid w:val="00E33A06"/>
    <w:rsid w:val="00E33A1C"/>
    <w:rsid w:val="00E33A99"/>
    <w:rsid w:val="00E33AB4"/>
    <w:rsid w:val="00E33AE4"/>
    <w:rsid w:val="00E33B5A"/>
    <w:rsid w:val="00E33BF6"/>
    <w:rsid w:val="00E33D07"/>
    <w:rsid w:val="00E33D2F"/>
    <w:rsid w:val="00E33E31"/>
    <w:rsid w:val="00E33E75"/>
    <w:rsid w:val="00E33E90"/>
    <w:rsid w:val="00E33EC9"/>
    <w:rsid w:val="00E33F46"/>
    <w:rsid w:val="00E33FB9"/>
    <w:rsid w:val="00E34054"/>
    <w:rsid w:val="00E34065"/>
    <w:rsid w:val="00E34089"/>
    <w:rsid w:val="00E3413A"/>
    <w:rsid w:val="00E34178"/>
    <w:rsid w:val="00E34212"/>
    <w:rsid w:val="00E3422C"/>
    <w:rsid w:val="00E34246"/>
    <w:rsid w:val="00E3433C"/>
    <w:rsid w:val="00E34362"/>
    <w:rsid w:val="00E3439B"/>
    <w:rsid w:val="00E343B3"/>
    <w:rsid w:val="00E343DE"/>
    <w:rsid w:val="00E343DF"/>
    <w:rsid w:val="00E344B8"/>
    <w:rsid w:val="00E344DF"/>
    <w:rsid w:val="00E34562"/>
    <w:rsid w:val="00E345B7"/>
    <w:rsid w:val="00E34669"/>
    <w:rsid w:val="00E346F8"/>
    <w:rsid w:val="00E347F9"/>
    <w:rsid w:val="00E34878"/>
    <w:rsid w:val="00E3493B"/>
    <w:rsid w:val="00E3494D"/>
    <w:rsid w:val="00E34988"/>
    <w:rsid w:val="00E34ADF"/>
    <w:rsid w:val="00E34AFD"/>
    <w:rsid w:val="00E34B5B"/>
    <w:rsid w:val="00E34B75"/>
    <w:rsid w:val="00E34BA2"/>
    <w:rsid w:val="00E34BA4"/>
    <w:rsid w:val="00E34BCE"/>
    <w:rsid w:val="00E34BDE"/>
    <w:rsid w:val="00E34BFB"/>
    <w:rsid w:val="00E34C2C"/>
    <w:rsid w:val="00E34C61"/>
    <w:rsid w:val="00E34C72"/>
    <w:rsid w:val="00E34CE5"/>
    <w:rsid w:val="00E34CF1"/>
    <w:rsid w:val="00E34D10"/>
    <w:rsid w:val="00E34D4C"/>
    <w:rsid w:val="00E34DB8"/>
    <w:rsid w:val="00E34DD2"/>
    <w:rsid w:val="00E34E59"/>
    <w:rsid w:val="00E34F05"/>
    <w:rsid w:val="00E35065"/>
    <w:rsid w:val="00E350DF"/>
    <w:rsid w:val="00E3510D"/>
    <w:rsid w:val="00E35142"/>
    <w:rsid w:val="00E3519A"/>
    <w:rsid w:val="00E351D1"/>
    <w:rsid w:val="00E35242"/>
    <w:rsid w:val="00E35262"/>
    <w:rsid w:val="00E35290"/>
    <w:rsid w:val="00E3534B"/>
    <w:rsid w:val="00E35417"/>
    <w:rsid w:val="00E35476"/>
    <w:rsid w:val="00E35673"/>
    <w:rsid w:val="00E35676"/>
    <w:rsid w:val="00E35715"/>
    <w:rsid w:val="00E35750"/>
    <w:rsid w:val="00E3576F"/>
    <w:rsid w:val="00E35825"/>
    <w:rsid w:val="00E358A4"/>
    <w:rsid w:val="00E358AF"/>
    <w:rsid w:val="00E358F4"/>
    <w:rsid w:val="00E35941"/>
    <w:rsid w:val="00E35A00"/>
    <w:rsid w:val="00E35A72"/>
    <w:rsid w:val="00E35AE1"/>
    <w:rsid w:val="00E35BF6"/>
    <w:rsid w:val="00E35BFE"/>
    <w:rsid w:val="00E35C1A"/>
    <w:rsid w:val="00E35C2F"/>
    <w:rsid w:val="00E35C71"/>
    <w:rsid w:val="00E35CAD"/>
    <w:rsid w:val="00E35CE9"/>
    <w:rsid w:val="00E35D94"/>
    <w:rsid w:val="00E35E73"/>
    <w:rsid w:val="00E35EDB"/>
    <w:rsid w:val="00E35EE9"/>
    <w:rsid w:val="00E35F6D"/>
    <w:rsid w:val="00E36087"/>
    <w:rsid w:val="00E36132"/>
    <w:rsid w:val="00E36195"/>
    <w:rsid w:val="00E3623C"/>
    <w:rsid w:val="00E36296"/>
    <w:rsid w:val="00E362D3"/>
    <w:rsid w:val="00E36324"/>
    <w:rsid w:val="00E36397"/>
    <w:rsid w:val="00E363A7"/>
    <w:rsid w:val="00E36412"/>
    <w:rsid w:val="00E36419"/>
    <w:rsid w:val="00E36638"/>
    <w:rsid w:val="00E36675"/>
    <w:rsid w:val="00E36701"/>
    <w:rsid w:val="00E36731"/>
    <w:rsid w:val="00E367CE"/>
    <w:rsid w:val="00E36817"/>
    <w:rsid w:val="00E36848"/>
    <w:rsid w:val="00E368E9"/>
    <w:rsid w:val="00E36937"/>
    <w:rsid w:val="00E3693A"/>
    <w:rsid w:val="00E369B4"/>
    <w:rsid w:val="00E36C0A"/>
    <w:rsid w:val="00E36CE9"/>
    <w:rsid w:val="00E36D14"/>
    <w:rsid w:val="00E36D2C"/>
    <w:rsid w:val="00E36D5F"/>
    <w:rsid w:val="00E36DE6"/>
    <w:rsid w:val="00E36E4F"/>
    <w:rsid w:val="00E36E7B"/>
    <w:rsid w:val="00E36E7F"/>
    <w:rsid w:val="00E36EF4"/>
    <w:rsid w:val="00E36EFB"/>
    <w:rsid w:val="00E36F0B"/>
    <w:rsid w:val="00E37050"/>
    <w:rsid w:val="00E37070"/>
    <w:rsid w:val="00E370E2"/>
    <w:rsid w:val="00E37122"/>
    <w:rsid w:val="00E3719D"/>
    <w:rsid w:val="00E371BA"/>
    <w:rsid w:val="00E37203"/>
    <w:rsid w:val="00E37265"/>
    <w:rsid w:val="00E372B5"/>
    <w:rsid w:val="00E372DC"/>
    <w:rsid w:val="00E372FB"/>
    <w:rsid w:val="00E37357"/>
    <w:rsid w:val="00E37363"/>
    <w:rsid w:val="00E3737E"/>
    <w:rsid w:val="00E37459"/>
    <w:rsid w:val="00E375A0"/>
    <w:rsid w:val="00E37671"/>
    <w:rsid w:val="00E37674"/>
    <w:rsid w:val="00E37733"/>
    <w:rsid w:val="00E37787"/>
    <w:rsid w:val="00E37881"/>
    <w:rsid w:val="00E37913"/>
    <w:rsid w:val="00E379C9"/>
    <w:rsid w:val="00E37A8F"/>
    <w:rsid w:val="00E37ACE"/>
    <w:rsid w:val="00E37B0E"/>
    <w:rsid w:val="00E37B7E"/>
    <w:rsid w:val="00E37B9E"/>
    <w:rsid w:val="00E37C0E"/>
    <w:rsid w:val="00E37C5A"/>
    <w:rsid w:val="00E37C6E"/>
    <w:rsid w:val="00E37CEB"/>
    <w:rsid w:val="00E37D03"/>
    <w:rsid w:val="00E37D7F"/>
    <w:rsid w:val="00E37D91"/>
    <w:rsid w:val="00E37DE6"/>
    <w:rsid w:val="00E37EA9"/>
    <w:rsid w:val="00E37FC7"/>
    <w:rsid w:val="00E37FD3"/>
    <w:rsid w:val="00E4003D"/>
    <w:rsid w:val="00E40066"/>
    <w:rsid w:val="00E40249"/>
    <w:rsid w:val="00E40262"/>
    <w:rsid w:val="00E4030E"/>
    <w:rsid w:val="00E4035A"/>
    <w:rsid w:val="00E4036F"/>
    <w:rsid w:val="00E403C4"/>
    <w:rsid w:val="00E404A1"/>
    <w:rsid w:val="00E404C5"/>
    <w:rsid w:val="00E404D6"/>
    <w:rsid w:val="00E404FC"/>
    <w:rsid w:val="00E405C9"/>
    <w:rsid w:val="00E405EA"/>
    <w:rsid w:val="00E4067D"/>
    <w:rsid w:val="00E4069B"/>
    <w:rsid w:val="00E40715"/>
    <w:rsid w:val="00E40719"/>
    <w:rsid w:val="00E40728"/>
    <w:rsid w:val="00E40796"/>
    <w:rsid w:val="00E407AA"/>
    <w:rsid w:val="00E40814"/>
    <w:rsid w:val="00E4082B"/>
    <w:rsid w:val="00E4084F"/>
    <w:rsid w:val="00E40942"/>
    <w:rsid w:val="00E40985"/>
    <w:rsid w:val="00E409DA"/>
    <w:rsid w:val="00E40A52"/>
    <w:rsid w:val="00E40AE7"/>
    <w:rsid w:val="00E40AF3"/>
    <w:rsid w:val="00E40BEB"/>
    <w:rsid w:val="00E40C6A"/>
    <w:rsid w:val="00E40D8C"/>
    <w:rsid w:val="00E40E91"/>
    <w:rsid w:val="00E40E9D"/>
    <w:rsid w:val="00E40EE8"/>
    <w:rsid w:val="00E40F13"/>
    <w:rsid w:val="00E40F5A"/>
    <w:rsid w:val="00E40F8A"/>
    <w:rsid w:val="00E40FCE"/>
    <w:rsid w:val="00E40FD7"/>
    <w:rsid w:val="00E40FE9"/>
    <w:rsid w:val="00E4100A"/>
    <w:rsid w:val="00E41103"/>
    <w:rsid w:val="00E4111D"/>
    <w:rsid w:val="00E411AC"/>
    <w:rsid w:val="00E411E3"/>
    <w:rsid w:val="00E4125A"/>
    <w:rsid w:val="00E412DE"/>
    <w:rsid w:val="00E4130E"/>
    <w:rsid w:val="00E4131F"/>
    <w:rsid w:val="00E41383"/>
    <w:rsid w:val="00E4138C"/>
    <w:rsid w:val="00E414B8"/>
    <w:rsid w:val="00E414D8"/>
    <w:rsid w:val="00E4154E"/>
    <w:rsid w:val="00E4156C"/>
    <w:rsid w:val="00E41576"/>
    <w:rsid w:val="00E415BF"/>
    <w:rsid w:val="00E415D5"/>
    <w:rsid w:val="00E4171D"/>
    <w:rsid w:val="00E417C2"/>
    <w:rsid w:val="00E4184B"/>
    <w:rsid w:val="00E418CE"/>
    <w:rsid w:val="00E418F0"/>
    <w:rsid w:val="00E419D6"/>
    <w:rsid w:val="00E41A03"/>
    <w:rsid w:val="00E41A1D"/>
    <w:rsid w:val="00E41B10"/>
    <w:rsid w:val="00E41B11"/>
    <w:rsid w:val="00E41BDF"/>
    <w:rsid w:val="00E41BF1"/>
    <w:rsid w:val="00E41C77"/>
    <w:rsid w:val="00E41C84"/>
    <w:rsid w:val="00E41D5A"/>
    <w:rsid w:val="00E41D87"/>
    <w:rsid w:val="00E41D96"/>
    <w:rsid w:val="00E41E6A"/>
    <w:rsid w:val="00E41EA1"/>
    <w:rsid w:val="00E41EDD"/>
    <w:rsid w:val="00E41EEC"/>
    <w:rsid w:val="00E41F1F"/>
    <w:rsid w:val="00E41F3C"/>
    <w:rsid w:val="00E41F6A"/>
    <w:rsid w:val="00E41F77"/>
    <w:rsid w:val="00E41F80"/>
    <w:rsid w:val="00E41F94"/>
    <w:rsid w:val="00E41FF8"/>
    <w:rsid w:val="00E4201F"/>
    <w:rsid w:val="00E42116"/>
    <w:rsid w:val="00E42137"/>
    <w:rsid w:val="00E42140"/>
    <w:rsid w:val="00E421DC"/>
    <w:rsid w:val="00E421FD"/>
    <w:rsid w:val="00E42222"/>
    <w:rsid w:val="00E42296"/>
    <w:rsid w:val="00E422E7"/>
    <w:rsid w:val="00E4244C"/>
    <w:rsid w:val="00E42581"/>
    <w:rsid w:val="00E42634"/>
    <w:rsid w:val="00E42670"/>
    <w:rsid w:val="00E42755"/>
    <w:rsid w:val="00E427F8"/>
    <w:rsid w:val="00E4288A"/>
    <w:rsid w:val="00E428C2"/>
    <w:rsid w:val="00E428FA"/>
    <w:rsid w:val="00E42998"/>
    <w:rsid w:val="00E42AB9"/>
    <w:rsid w:val="00E42C7F"/>
    <w:rsid w:val="00E42CC9"/>
    <w:rsid w:val="00E42CF5"/>
    <w:rsid w:val="00E42D00"/>
    <w:rsid w:val="00E42DCB"/>
    <w:rsid w:val="00E42E41"/>
    <w:rsid w:val="00E42E4A"/>
    <w:rsid w:val="00E42E4B"/>
    <w:rsid w:val="00E42E66"/>
    <w:rsid w:val="00E42E68"/>
    <w:rsid w:val="00E42E6C"/>
    <w:rsid w:val="00E42E98"/>
    <w:rsid w:val="00E42E9B"/>
    <w:rsid w:val="00E42F37"/>
    <w:rsid w:val="00E42F41"/>
    <w:rsid w:val="00E42F4C"/>
    <w:rsid w:val="00E42F89"/>
    <w:rsid w:val="00E42FCC"/>
    <w:rsid w:val="00E4305A"/>
    <w:rsid w:val="00E43081"/>
    <w:rsid w:val="00E4308B"/>
    <w:rsid w:val="00E430B8"/>
    <w:rsid w:val="00E4314C"/>
    <w:rsid w:val="00E431E0"/>
    <w:rsid w:val="00E432A5"/>
    <w:rsid w:val="00E432B3"/>
    <w:rsid w:val="00E432B8"/>
    <w:rsid w:val="00E432DD"/>
    <w:rsid w:val="00E432F5"/>
    <w:rsid w:val="00E433B7"/>
    <w:rsid w:val="00E433DE"/>
    <w:rsid w:val="00E4341A"/>
    <w:rsid w:val="00E43449"/>
    <w:rsid w:val="00E43488"/>
    <w:rsid w:val="00E43528"/>
    <w:rsid w:val="00E435BC"/>
    <w:rsid w:val="00E43683"/>
    <w:rsid w:val="00E436A2"/>
    <w:rsid w:val="00E436B9"/>
    <w:rsid w:val="00E436E6"/>
    <w:rsid w:val="00E43733"/>
    <w:rsid w:val="00E437A9"/>
    <w:rsid w:val="00E437E2"/>
    <w:rsid w:val="00E43846"/>
    <w:rsid w:val="00E43883"/>
    <w:rsid w:val="00E438C7"/>
    <w:rsid w:val="00E439BC"/>
    <w:rsid w:val="00E43A62"/>
    <w:rsid w:val="00E43ABF"/>
    <w:rsid w:val="00E43B88"/>
    <w:rsid w:val="00E43BBF"/>
    <w:rsid w:val="00E43CD6"/>
    <w:rsid w:val="00E43D45"/>
    <w:rsid w:val="00E43DB1"/>
    <w:rsid w:val="00E43DD7"/>
    <w:rsid w:val="00E43FC2"/>
    <w:rsid w:val="00E44095"/>
    <w:rsid w:val="00E44140"/>
    <w:rsid w:val="00E44177"/>
    <w:rsid w:val="00E44188"/>
    <w:rsid w:val="00E441FE"/>
    <w:rsid w:val="00E44240"/>
    <w:rsid w:val="00E44252"/>
    <w:rsid w:val="00E442AD"/>
    <w:rsid w:val="00E443F2"/>
    <w:rsid w:val="00E44417"/>
    <w:rsid w:val="00E44425"/>
    <w:rsid w:val="00E44427"/>
    <w:rsid w:val="00E444B2"/>
    <w:rsid w:val="00E444E9"/>
    <w:rsid w:val="00E444FC"/>
    <w:rsid w:val="00E44508"/>
    <w:rsid w:val="00E4453F"/>
    <w:rsid w:val="00E44541"/>
    <w:rsid w:val="00E445A6"/>
    <w:rsid w:val="00E44600"/>
    <w:rsid w:val="00E44670"/>
    <w:rsid w:val="00E446A5"/>
    <w:rsid w:val="00E447AC"/>
    <w:rsid w:val="00E447FE"/>
    <w:rsid w:val="00E44804"/>
    <w:rsid w:val="00E44924"/>
    <w:rsid w:val="00E44992"/>
    <w:rsid w:val="00E449F6"/>
    <w:rsid w:val="00E44A10"/>
    <w:rsid w:val="00E44A1A"/>
    <w:rsid w:val="00E44A50"/>
    <w:rsid w:val="00E44A80"/>
    <w:rsid w:val="00E44AB4"/>
    <w:rsid w:val="00E44B16"/>
    <w:rsid w:val="00E44B1E"/>
    <w:rsid w:val="00E44BE5"/>
    <w:rsid w:val="00E44C03"/>
    <w:rsid w:val="00E44D06"/>
    <w:rsid w:val="00E44DF5"/>
    <w:rsid w:val="00E44E55"/>
    <w:rsid w:val="00E44E87"/>
    <w:rsid w:val="00E44F8D"/>
    <w:rsid w:val="00E44FEA"/>
    <w:rsid w:val="00E45024"/>
    <w:rsid w:val="00E4504C"/>
    <w:rsid w:val="00E4507B"/>
    <w:rsid w:val="00E450AF"/>
    <w:rsid w:val="00E4510E"/>
    <w:rsid w:val="00E45119"/>
    <w:rsid w:val="00E451F2"/>
    <w:rsid w:val="00E45210"/>
    <w:rsid w:val="00E4527A"/>
    <w:rsid w:val="00E452D8"/>
    <w:rsid w:val="00E4536A"/>
    <w:rsid w:val="00E453A4"/>
    <w:rsid w:val="00E453F9"/>
    <w:rsid w:val="00E454B5"/>
    <w:rsid w:val="00E454DE"/>
    <w:rsid w:val="00E45611"/>
    <w:rsid w:val="00E4564B"/>
    <w:rsid w:val="00E456C0"/>
    <w:rsid w:val="00E4572E"/>
    <w:rsid w:val="00E45871"/>
    <w:rsid w:val="00E458E8"/>
    <w:rsid w:val="00E458FE"/>
    <w:rsid w:val="00E459AB"/>
    <w:rsid w:val="00E459EA"/>
    <w:rsid w:val="00E45A88"/>
    <w:rsid w:val="00E45AB3"/>
    <w:rsid w:val="00E45ACC"/>
    <w:rsid w:val="00E45AF2"/>
    <w:rsid w:val="00E45B25"/>
    <w:rsid w:val="00E45B74"/>
    <w:rsid w:val="00E45BEB"/>
    <w:rsid w:val="00E45C2D"/>
    <w:rsid w:val="00E45D48"/>
    <w:rsid w:val="00E45D74"/>
    <w:rsid w:val="00E45DE2"/>
    <w:rsid w:val="00E45DF1"/>
    <w:rsid w:val="00E45EF2"/>
    <w:rsid w:val="00E45F22"/>
    <w:rsid w:val="00E45FF4"/>
    <w:rsid w:val="00E4609A"/>
    <w:rsid w:val="00E460A6"/>
    <w:rsid w:val="00E46166"/>
    <w:rsid w:val="00E46172"/>
    <w:rsid w:val="00E46188"/>
    <w:rsid w:val="00E46229"/>
    <w:rsid w:val="00E4630C"/>
    <w:rsid w:val="00E46346"/>
    <w:rsid w:val="00E46366"/>
    <w:rsid w:val="00E463B8"/>
    <w:rsid w:val="00E463EB"/>
    <w:rsid w:val="00E46454"/>
    <w:rsid w:val="00E4648F"/>
    <w:rsid w:val="00E464B1"/>
    <w:rsid w:val="00E46553"/>
    <w:rsid w:val="00E46571"/>
    <w:rsid w:val="00E465B7"/>
    <w:rsid w:val="00E465D0"/>
    <w:rsid w:val="00E4667C"/>
    <w:rsid w:val="00E4668A"/>
    <w:rsid w:val="00E466CF"/>
    <w:rsid w:val="00E467C2"/>
    <w:rsid w:val="00E46815"/>
    <w:rsid w:val="00E4690C"/>
    <w:rsid w:val="00E4695B"/>
    <w:rsid w:val="00E46B51"/>
    <w:rsid w:val="00E46B8C"/>
    <w:rsid w:val="00E46B92"/>
    <w:rsid w:val="00E46BD7"/>
    <w:rsid w:val="00E46BD9"/>
    <w:rsid w:val="00E46C16"/>
    <w:rsid w:val="00E46CB7"/>
    <w:rsid w:val="00E46D82"/>
    <w:rsid w:val="00E46E63"/>
    <w:rsid w:val="00E46F1B"/>
    <w:rsid w:val="00E46F52"/>
    <w:rsid w:val="00E46FAF"/>
    <w:rsid w:val="00E47069"/>
    <w:rsid w:val="00E47120"/>
    <w:rsid w:val="00E47154"/>
    <w:rsid w:val="00E47220"/>
    <w:rsid w:val="00E47281"/>
    <w:rsid w:val="00E472D3"/>
    <w:rsid w:val="00E473B3"/>
    <w:rsid w:val="00E4748B"/>
    <w:rsid w:val="00E4749C"/>
    <w:rsid w:val="00E4749F"/>
    <w:rsid w:val="00E474A4"/>
    <w:rsid w:val="00E474A5"/>
    <w:rsid w:val="00E474B8"/>
    <w:rsid w:val="00E47542"/>
    <w:rsid w:val="00E4755A"/>
    <w:rsid w:val="00E4759B"/>
    <w:rsid w:val="00E4774D"/>
    <w:rsid w:val="00E477C3"/>
    <w:rsid w:val="00E47830"/>
    <w:rsid w:val="00E4783D"/>
    <w:rsid w:val="00E478CE"/>
    <w:rsid w:val="00E47904"/>
    <w:rsid w:val="00E47949"/>
    <w:rsid w:val="00E47961"/>
    <w:rsid w:val="00E479D9"/>
    <w:rsid w:val="00E47A87"/>
    <w:rsid w:val="00E47B3C"/>
    <w:rsid w:val="00E47B67"/>
    <w:rsid w:val="00E47C99"/>
    <w:rsid w:val="00E47CD6"/>
    <w:rsid w:val="00E47D78"/>
    <w:rsid w:val="00E47E0D"/>
    <w:rsid w:val="00E47FFE"/>
    <w:rsid w:val="00E50055"/>
    <w:rsid w:val="00E5008D"/>
    <w:rsid w:val="00E500BB"/>
    <w:rsid w:val="00E500E8"/>
    <w:rsid w:val="00E50136"/>
    <w:rsid w:val="00E50138"/>
    <w:rsid w:val="00E50213"/>
    <w:rsid w:val="00E502DE"/>
    <w:rsid w:val="00E50370"/>
    <w:rsid w:val="00E503C8"/>
    <w:rsid w:val="00E503FC"/>
    <w:rsid w:val="00E5045F"/>
    <w:rsid w:val="00E504B4"/>
    <w:rsid w:val="00E504D9"/>
    <w:rsid w:val="00E505A0"/>
    <w:rsid w:val="00E506A0"/>
    <w:rsid w:val="00E506AE"/>
    <w:rsid w:val="00E506DC"/>
    <w:rsid w:val="00E50756"/>
    <w:rsid w:val="00E507A0"/>
    <w:rsid w:val="00E507B4"/>
    <w:rsid w:val="00E50826"/>
    <w:rsid w:val="00E50882"/>
    <w:rsid w:val="00E50919"/>
    <w:rsid w:val="00E509A9"/>
    <w:rsid w:val="00E509CD"/>
    <w:rsid w:val="00E50A55"/>
    <w:rsid w:val="00E50AB3"/>
    <w:rsid w:val="00E50AB5"/>
    <w:rsid w:val="00E50AC0"/>
    <w:rsid w:val="00E50AC7"/>
    <w:rsid w:val="00E50B9E"/>
    <w:rsid w:val="00E50BA5"/>
    <w:rsid w:val="00E50BFB"/>
    <w:rsid w:val="00E50D18"/>
    <w:rsid w:val="00E50D6B"/>
    <w:rsid w:val="00E50E55"/>
    <w:rsid w:val="00E50EC6"/>
    <w:rsid w:val="00E50EFA"/>
    <w:rsid w:val="00E50FCC"/>
    <w:rsid w:val="00E5104E"/>
    <w:rsid w:val="00E5105F"/>
    <w:rsid w:val="00E510E7"/>
    <w:rsid w:val="00E512E3"/>
    <w:rsid w:val="00E5146E"/>
    <w:rsid w:val="00E51472"/>
    <w:rsid w:val="00E514C5"/>
    <w:rsid w:val="00E5169F"/>
    <w:rsid w:val="00E516F4"/>
    <w:rsid w:val="00E516F9"/>
    <w:rsid w:val="00E5174C"/>
    <w:rsid w:val="00E517BC"/>
    <w:rsid w:val="00E517C3"/>
    <w:rsid w:val="00E5186A"/>
    <w:rsid w:val="00E518AA"/>
    <w:rsid w:val="00E518C0"/>
    <w:rsid w:val="00E5193D"/>
    <w:rsid w:val="00E51958"/>
    <w:rsid w:val="00E519F2"/>
    <w:rsid w:val="00E51A03"/>
    <w:rsid w:val="00E51A8D"/>
    <w:rsid w:val="00E51A9C"/>
    <w:rsid w:val="00E51AC6"/>
    <w:rsid w:val="00E51AD9"/>
    <w:rsid w:val="00E51B39"/>
    <w:rsid w:val="00E51BBA"/>
    <w:rsid w:val="00E51C09"/>
    <w:rsid w:val="00E51C80"/>
    <w:rsid w:val="00E51DB6"/>
    <w:rsid w:val="00E51E08"/>
    <w:rsid w:val="00E51E3C"/>
    <w:rsid w:val="00E51F28"/>
    <w:rsid w:val="00E51F62"/>
    <w:rsid w:val="00E51FC3"/>
    <w:rsid w:val="00E52014"/>
    <w:rsid w:val="00E521FF"/>
    <w:rsid w:val="00E52249"/>
    <w:rsid w:val="00E522B7"/>
    <w:rsid w:val="00E522BE"/>
    <w:rsid w:val="00E52384"/>
    <w:rsid w:val="00E523B8"/>
    <w:rsid w:val="00E523EF"/>
    <w:rsid w:val="00E523F0"/>
    <w:rsid w:val="00E52473"/>
    <w:rsid w:val="00E524E1"/>
    <w:rsid w:val="00E524EE"/>
    <w:rsid w:val="00E52601"/>
    <w:rsid w:val="00E52672"/>
    <w:rsid w:val="00E52707"/>
    <w:rsid w:val="00E527D3"/>
    <w:rsid w:val="00E52838"/>
    <w:rsid w:val="00E5284E"/>
    <w:rsid w:val="00E528BF"/>
    <w:rsid w:val="00E528DC"/>
    <w:rsid w:val="00E528E1"/>
    <w:rsid w:val="00E5298A"/>
    <w:rsid w:val="00E52A37"/>
    <w:rsid w:val="00E52A8F"/>
    <w:rsid w:val="00E52AAF"/>
    <w:rsid w:val="00E52AB9"/>
    <w:rsid w:val="00E52BAF"/>
    <w:rsid w:val="00E52BE2"/>
    <w:rsid w:val="00E52C3B"/>
    <w:rsid w:val="00E52C93"/>
    <w:rsid w:val="00E52DC2"/>
    <w:rsid w:val="00E52E79"/>
    <w:rsid w:val="00E52F4A"/>
    <w:rsid w:val="00E52F57"/>
    <w:rsid w:val="00E52F74"/>
    <w:rsid w:val="00E52F75"/>
    <w:rsid w:val="00E5310E"/>
    <w:rsid w:val="00E5315B"/>
    <w:rsid w:val="00E531EB"/>
    <w:rsid w:val="00E5320F"/>
    <w:rsid w:val="00E5326E"/>
    <w:rsid w:val="00E5327F"/>
    <w:rsid w:val="00E532C1"/>
    <w:rsid w:val="00E53301"/>
    <w:rsid w:val="00E53304"/>
    <w:rsid w:val="00E53355"/>
    <w:rsid w:val="00E53365"/>
    <w:rsid w:val="00E533F4"/>
    <w:rsid w:val="00E53476"/>
    <w:rsid w:val="00E534C8"/>
    <w:rsid w:val="00E53508"/>
    <w:rsid w:val="00E53561"/>
    <w:rsid w:val="00E53566"/>
    <w:rsid w:val="00E535E4"/>
    <w:rsid w:val="00E53606"/>
    <w:rsid w:val="00E53637"/>
    <w:rsid w:val="00E53639"/>
    <w:rsid w:val="00E53649"/>
    <w:rsid w:val="00E5367D"/>
    <w:rsid w:val="00E53688"/>
    <w:rsid w:val="00E536B0"/>
    <w:rsid w:val="00E53755"/>
    <w:rsid w:val="00E5383B"/>
    <w:rsid w:val="00E53935"/>
    <w:rsid w:val="00E53996"/>
    <w:rsid w:val="00E53A07"/>
    <w:rsid w:val="00E53A34"/>
    <w:rsid w:val="00E53A46"/>
    <w:rsid w:val="00E53B4D"/>
    <w:rsid w:val="00E53B98"/>
    <w:rsid w:val="00E53C7D"/>
    <w:rsid w:val="00E53CB3"/>
    <w:rsid w:val="00E53CC5"/>
    <w:rsid w:val="00E53D2A"/>
    <w:rsid w:val="00E53DE8"/>
    <w:rsid w:val="00E53DF2"/>
    <w:rsid w:val="00E53DF7"/>
    <w:rsid w:val="00E53E2B"/>
    <w:rsid w:val="00E53E5B"/>
    <w:rsid w:val="00E53EA1"/>
    <w:rsid w:val="00E53FF5"/>
    <w:rsid w:val="00E54030"/>
    <w:rsid w:val="00E54074"/>
    <w:rsid w:val="00E540BC"/>
    <w:rsid w:val="00E5418C"/>
    <w:rsid w:val="00E541C3"/>
    <w:rsid w:val="00E541E0"/>
    <w:rsid w:val="00E541E1"/>
    <w:rsid w:val="00E541E2"/>
    <w:rsid w:val="00E54213"/>
    <w:rsid w:val="00E5422C"/>
    <w:rsid w:val="00E542B4"/>
    <w:rsid w:val="00E542C4"/>
    <w:rsid w:val="00E542D4"/>
    <w:rsid w:val="00E54307"/>
    <w:rsid w:val="00E5433D"/>
    <w:rsid w:val="00E54396"/>
    <w:rsid w:val="00E54458"/>
    <w:rsid w:val="00E5446B"/>
    <w:rsid w:val="00E5450E"/>
    <w:rsid w:val="00E54576"/>
    <w:rsid w:val="00E54632"/>
    <w:rsid w:val="00E54634"/>
    <w:rsid w:val="00E54711"/>
    <w:rsid w:val="00E54745"/>
    <w:rsid w:val="00E5474B"/>
    <w:rsid w:val="00E547B8"/>
    <w:rsid w:val="00E547DF"/>
    <w:rsid w:val="00E54808"/>
    <w:rsid w:val="00E5481A"/>
    <w:rsid w:val="00E5495B"/>
    <w:rsid w:val="00E549EE"/>
    <w:rsid w:val="00E54A0E"/>
    <w:rsid w:val="00E54A40"/>
    <w:rsid w:val="00E54A6C"/>
    <w:rsid w:val="00E54A7F"/>
    <w:rsid w:val="00E54AF7"/>
    <w:rsid w:val="00E54B01"/>
    <w:rsid w:val="00E54B5F"/>
    <w:rsid w:val="00E54CA7"/>
    <w:rsid w:val="00E54D04"/>
    <w:rsid w:val="00E54D3D"/>
    <w:rsid w:val="00E54D4F"/>
    <w:rsid w:val="00E54D63"/>
    <w:rsid w:val="00E54DCE"/>
    <w:rsid w:val="00E54E01"/>
    <w:rsid w:val="00E55023"/>
    <w:rsid w:val="00E55214"/>
    <w:rsid w:val="00E552A2"/>
    <w:rsid w:val="00E55344"/>
    <w:rsid w:val="00E55392"/>
    <w:rsid w:val="00E5539B"/>
    <w:rsid w:val="00E5541C"/>
    <w:rsid w:val="00E554BA"/>
    <w:rsid w:val="00E5554F"/>
    <w:rsid w:val="00E55679"/>
    <w:rsid w:val="00E5567A"/>
    <w:rsid w:val="00E556E5"/>
    <w:rsid w:val="00E5570F"/>
    <w:rsid w:val="00E5578D"/>
    <w:rsid w:val="00E55802"/>
    <w:rsid w:val="00E55826"/>
    <w:rsid w:val="00E55830"/>
    <w:rsid w:val="00E55873"/>
    <w:rsid w:val="00E558A9"/>
    <w:rsid w:val="00E558EC"/>
    <w:rsid w:val="00E55920"/>
    <w:rsid w:val="00E55927"/>
    <w:rsid w:val="00E559B4"/>
    <w:rsid w:val="00E559DF"/>
    <w:rsid w:val="00E559E1"/>
    <w:rsid w:val="00E55A0B"/>
    <w:rsid w:val="00E55A1C"/>
    <w:rsid w:val="00E55C1F"/>
    <w:rsid w:val="00E55D0B"/>
    <w:rsid w:val="00E55D6C"/>
    <w:rsid w:val="00E55D6D"/>
    <w:rsid w:val="00E55D7B"/>
    <w:rsid w:val="00E55D9A"/>
    <w:rsid w:val="00E55E98"/>
    <w:rsid w:val="00E55F20"/>
    <w:rsid w:val="00E55F97"/>
    <w:rsid w:val="00E56065"/>
    <w:rsid w:val="00E560A8"/>
    <w:rsid w:val="00E560BD"/>
    <w:rsid w:val="00E56246"/>
    <w:rsid w:val="00E56272"/>
    <w:rsid w:val="00E562BD"/>
    <w:rsid w:val="00E56370"/>
    <w:rsid w:val="00E56385"/>
    <w:rsid w:val="00E563FC"/>
    <w:rsid w:val="00E5648B"/>
    <w:rsid w:val="00E56510"/>
    <w:rsid w:val="00E56606"/>
    <w:rsid w:val="00E56659"/>
    <w:rsid w:val="00E56677"/>
    <w:rsid w:val="00E5667F"/>
    <w:rsid w:val="00E56698"/>
    <w:rsid w:val="00E56724"/>
    <w:rsid w:val="00E56736"/>
    <w:rsid w:val="00E56774"/>
    <w:rsid w:val="00E567B4"/>
    <w:rsid w:val="00E567B9"/>
    <w:rsid w:val="00E567DA"/>
    <w:rsid w:val="00E567DE"/>
    <w:rsid w:val="00E56887"/>
    <w:rsid w:val="00E568A4"/>
    <w:rsid w:val="00E568F9"/>
    <w:rsid w:val="00E569C6"/>
    <w:rsid w:val="00E569C9"/>
    <w:rsid w:val="00E56A3F"/>
    <w:rsid w:val="00E56A42"/>
    <w:rsid w:val="00E56A83"/>
    <w:rsid w:val="00E56AD7"/>
    <w:rsid w:val="00E56CD7"/>
    <w:rsid w:val="00E56D50"/>
    <w:rsid w:val="00E56D71"/>
    <w:rsid w:val="00E56E61"/>
    <w:rsid w:val="00E56EB4"/>
    <w:rsid w:val="00E57098"/>
    <w:rsid w:val="00E57119"/>
    <w:rsid w:val="00E5715A"/>
    <w:rsid w:val="00E57164"/>
    <w:rsid w:val="00E5716F"/>
    <w:rsid w:val="00E571FC"/>
    <w:rsid w:val="00E57202"/>
    <w:rsid w:val="00E57206"/>
    <w:rsid w:val="00E5727F"/>
    <w:rsid w:val="00E57285"/>
    <w:rsid w:val="00E5737E"/>
    <w:rsid w:val="00E573C1"/>
    <w:rsid w:val="00E57438"/>
    <w:rsid w:val="00E57482"/>
    <w:rsid w:val="00E575B9"/>
    <w:rsid w:val="00E57642"/>
    <w:rsid w:val="00E5764F"/>
    <w:rsid w:val="00E57679"/>
    <w:rsid w:val="00E57793"/>
    <w:rsid w:val="00E577A7"/>
    <w:rsid w:val="00E577AC"/>
    <w:rsid w:val="00E577B0"/>
    <w:rsid w:val="00E577E3"/>
    <w:rsid w:val="00E5782B"/>
    <w:rsid w:val="00E5783D"/>
    <w:rsid w:val="00E578A5"/>
    <w:rsid w:val="00E57998"/>
    <w:rsid w:val="00E5799A"/>
    <w:rsid w:val="00E57A61"/>
    <w:rsid w:val="00E57BD3"/>
    <w:rsid w:val="00E57BE0"/>
    <w:rsid w:val="00E57C88"/>
    <w:rsid w:val="00E57D76"/>
    <w:rsid w:val="00E57D88"/>
    <w:rsid w:val="00E57DCF"/>
    <w:rsid w:val="00E57F18"/>
    <w:rsid w:val="00E57F7A"/>
    <w:rsid w:val="00E57FAA"/>
    <w:rsid w:val="00E57FDD"/>
    <w:rsid w:val="00E57FE7"/>
    <w:rsid w:val="00E600B9"/>
    <w:rsid w:val="00E6017C"/>
    <w:rsid w:val="00E601F5"/>
    <w:rsid w:val="00E60214"/>
    <w:rsid w:val="00E60232"/>
    <w:rsid w:val="00E60306"/>
    <w:rsid w:val="00E6045A"/>
    <w:rsid w:val="00E6045F"/>
    <w:rsid w:val="00E60494"/>
    <w:rsid w:val="00E604D4"/>
    <w:rsid w:val="00E60548"/>
    <w:rsid w:val="00E6056F"/>
    <w:rsid w:val="00E605E5"/>
    <w:rsid w:val="00E6060C"/>
    <w:rsid w:val="00E606D0"/>
    <w:rsid w:val="00E6074D"/>
    <w:rsid w:val="00E60814"/>
    <w:rsid w:val="00E608CF"/>
    <w:rsid w:val="00E6092B"/>
    <w:rsid w:val="00E609A9"/>
    <w:rsid w:val="00E609AF"/>
    <w:rsid w:val="00E60AA7"/>
    <w:rsid w:val="00E60AF1"/>
    <w:rsid w:val="00E60AF9"/>
    <w:rsid w:val="00E60C57"/>
    <w:rsid w:val="00E60C8B"/>
    <w:rsid w:val="00E60D02"/>
    <w:rsid w:val="00E60DAD"/>
    <w:rsid w:val="00E60ED8"/>
    <w:rsid w:val="00E6101B"/>
    <w:rsid w:val="00E61074"/>
    <w:rsid w:val="00E61111"/>
    <w:rsid w:val="00E61196"/>
    <w:rsid w:val="00E6128F"/>
    <w:rsid w:val="00E61302"/>
    <w:rsid w:val="00E6139A"/>
    <w:rsid w:val="00E613B9"/>
    <w:rsid w:val="00E61454"/>
    <w:rsid w:val="00E6145D"/>
    <w:rsid w:val="00E614BC"/>
    <w:rsid w:val="00E614BE"/>
    <w:rsid w:val="00E614C9"/>
    <w:rsid w:val="00E614E8"/>
    <w:rsid w:val="00E61587"/>
    <w:rsid w:val="00E61594"/>
    <w:rsid w:val="00E615C5"/>
    <w:rsid w:val="00E615DA"/>
    <w:rsid w:val="00E61662"/>
    <w:rsid w:val="00E6180D"/>
    <w:rsid w:val="00E61864"/>
    <w:rsid w:val="00E61878"/>
    <w:rsid w:val="00E61886"/>
    <w:rsid w:val="00E61888"/>
    <w:rsid w:val="00E61969"/>
    <w:rsid w:val="00E61ADD"/>
    <w:rsid w:val="00E61B91"/>
    <w:rsid w:val="00E61BA6"/>
    <w:rsid w:val="00E61BBD"/>
    <w:rsid w:val="00E61C07"/>
    <w:rsid w:val="00E61C5B"/>
    <w:rsid w:val="00E61C9A"/>
    <w:rsid w:val="00E61D87"/>
    <w:rsid w:val="00E61DF1"/>
    <w:rsid w:val="00E61EAF"/>
    <w:rsid w:val="00E61F02"/>
    <w:rsid w:val="00E61F05"/>
    <w:rsid w:val="00E61F07"/>
    <w:rsid w:val="00E61F41"/>
    <w:rsid w:val="00E61F52"/>
    <w:rsid w:val="00E61F61"/>
    <w:rsid w:val="00E6200F"/>
    <w:rsid w:val="00E6201C"/>
    <w:rsid w:val="00E6203A"/>
    <w:rsid w:val="00E621F6"/>
    <w:rsid w:val="00E6225D"/>
    <w:rsid w:val="00E622CC"/>
    <w:rsid w:val="00E62366"/>
    <w:rsid w:val="00E62468"/>
    <w:rsid w:val="00E6248D"/>
    <w:rsid w:val="00E62575"/>
    <w:rsid w:val="00E62642"/>
    <w:rsid w:val="00E62666"/>
    <w:rsid w:val="00E62706"/>
    <w:rsid w:val="00E6282D"/>
    <w:rsid w:val="00E628D1"/>
    <w:rsid w:val="00E629C5"/>
    <w:rsid w:val="00E62A0D"/>
    <w:rsid w:val="00E62A1A"/>
    <w:rsid w:val="00E62ADE"/>
    <w:rsid w:val="00E62B0E"/>
    <w:rsid w:val="00E62B19"/>
    <w:rsid w:val="00E62B29"/>
    <w:rsid w:val="00E62B33"/>
    <w:rsid w:val="00E62C92"/>
    <w:rsid w:val="00E62CB6"/>
    <w:rsid w:val="00E62DE4"/>
    <w:rsid w:val="00E62E5C"/>
    <w:rsid w:val="00E62F0B"/>
    <w:rsid w:val="00E62F25"/>
    <w:rsid w:val="00E62F6A"/>
    <w:rsid w:val="00E62FF5"/>
    <w:rsid w:val="00E6304D"/>
    <w:rsid w:val="00E63057"/>
    <w:rsid w:val="00E6309C"/>
    <w:rsid w:val="00E630D0"/>
    <w:rsid w:val="00E630F5"/>
    <w:rsid w:val="00E6315E"/>
    <w:rsid w:val="00E6315F"/>
    <w:rsid w:val="00E6328C"/>
    <w:rsid w:val="00E6330D"/>
    <w:rsid w:val="00E6343D"/>
    <w:rsid w:val="00E63606"/>
    <w:rsid w:val="00E6365C"/>
    <w:rsid w:val="00E6367D"/>
    <w:rsid w:val="00E636AB"/>
    <w:rsid w:val="00E636E4"/>
    <w:rsid w:val="00E637B4"/>
    <w:rsid w:val="00E637EC"/>
    <w:rsid w:val="00E63826"/>
    <w:rsid w:val="00E638A8"/>
    <w:rsid w:val="00E638C0"/>
    <w:rsid w:val="00E63932"/>
    <w:rsid w:val="00E63A00"/>
    <w:rsid w:val="00E63A48"/>
    <w:rsid w:val="00E63A72"/>
    <w:rsid w:val="00E63AC0"/>
    <w:rsid w:val="00E63B39"/>
    <w:rsid w:val="00E63B41"/>
    <w:rsid w:val="00E63B69"/>
    <w:rsid w:val="00E63BF2"/>
    <w:rsid w:val="00E63C02"/>
    <w:rsid w:val="00E63C7B"/>
    <w:rsid w:val="00E63F12"/>
    <w:rsid w:val="00E6403C"/>
    <w:rsid w:val="00E640D0"/>
    <w:rsid w:val="00E6410D"/>
    <w:rsid w:val="00E6419B"/>
    <w:rsid w:val="00E641C1"/>
    <w:rsid w:val="00E641DC"/>
    <w:rsid w:val="00E64235"/>
    <w:rsid w:val="00E64237"/>
    <w:rsid w:val="00E64284"/>
    <w:rsid w:val="00E642AB"/>
    <w:rsid w:val="00E642D3"/>
    <w:rsid w:val="00E64405"/>
    <w:rsid w:val="00E6444A"/>
    <w:rsid w:val="00E6444F"/>
    <w:rsid w:val="00E64466"/>
    <w:rsid w:val="00E645F0"/>
    <w:rsid w:val="00E64670"/>
    <w:rsid w:val="00E6472A"/>
    <w:rsid w:val="00E6475E"/>
    <w:rsid w:val="00E647C3"/>
    <w:rsid w:val="00E6486E"/>
    <w:rsid w:val="00E6489E"/>
    <w:rsid w:val="00E64BF6"/>
    <w:rsid w:val="00E64C2B"/>
    <w:rsid w:val="00E64C62"/>
    <w:rsid w:val="00E64DDB"/>
    <w:rsid w:val="00E64DE7"/>
    <w:rsid w:val="00E64F96"/>
    <w:rsid w:val="00E65015"/>
    <w:rsid w:val="00E651F0"/>
    <w:rsid w:val="00E65220"/>
    <w:rsid w:val="00E652A7"/>
    <w:rsid w:val="00E652FE"/>
    <w:rsid w:val="00E6530B"/>
    <w:rsid w:val="00E65370"/>
    <w:rsid w:val="00E65371"/>
    <w:rsid w:val="00E653A0"/>
    <w:rsid w:val="00E653D2"/>
    <w:rsid w:val="00E6542D"/>
    <w:rsid w:val="00E65434"/>
    <w:rsid w:val="00E65584"/>
    <w:rsid w:val="00E6560C"/>
    <w:rsid w:val="00E6571D"/>
    <w:rsid w:val="00E65821"/>
    <w:rsid w:val="00E659DC"/>
    <w:rsid w:val="00E65A26"/>
    <w:rsid w:val="00E65A89"/>
    <w:rsid w:val="00E65AD1"/>
    <w:rsid w:val="00E65B77"/>
    <w:rsid w:val="00E65B8A"/>
    <w:rsid w:val="00E65BE4"/>
    <w:rsid w:val="00E65CCD"/>
    <w:rsid w:val="00E65DB7"/>
    <w:rsid w:val="00E65F9D"/>
    <w:rsid w:val="00E65FFA"/>
    <w:rsid w:val="00E66058"/>
    <w:rsid w:val="00E663A7"/>
    <w:rsid w:val="00E6645F"/>
    <w:rsid w:val="00E66482"/>
    <w:rsid w:val="00E6649C"/>
    <w:rsid w:val="00E665D8"/>
    <w:rsid w:val="00E666DD"/>
    <w:rsid w:val="00E6671F"/>
    <w:rsid w:val="00E667DA"/>
    <w:rsid w:val="00E6680A"/>
    <w:rsid w:val="00E66834"/>
    <w:rsid w:val="00E6684C"/>
    <w:rsid w:val="00E6685C"/>
    <w:rsid w:val="00E668BD"/>
    <w:rsid w:val="00E668D9"/>
    <w:rsid w:val="00E66916"/>
    <w:rsid w:val="00E6691E"/>
    <w:rsid w:val="00E66970"/>
    <w:rsid w:val="00E669A5"/>
    <w:rsid w:val="00E669B7"/>
    <w:rsid w:val="00E669CB"/>
    <w:rsid w:val="00E66AD5"/>
    <w:rsid w:val="00E66AF9"/>
    <w:rsid w:val="00E66BD3"/>
    <w:rsid w:val="00E66BD9"/>
    <w:rsid w:val="00E66C72"/>
    <w:rsid w:val="00E66CB7"/>
    <w:rsid w:val="00E66D4F"/>
    <w:rsid w:val="00E66D7B"/>
    <w:rsid w:val="00E66DE2"/>
    <w:rsid w:val="00E66E5A"/>
    <w:rsid w:val="00E66EA6"/>
    <w:rsid w:val="00E66ED8"/>
    <w:rsid w:val="00E66EE6"/>
    <w:rsid w:val="00E66EF1"/>
    <w:rsid w:val="00E66F28"/>
    <w:rsid w:val="00E66F29"/>
    <w:rsid w:val="00E66F91"/>
    <w:rsid w:val="00E66FC6"/>
    <w:rsid w:val="00E670B8"/>
    <w:rsid w:val="00E6710F"/>
    <w:rsid w:val="00E671B7"/>
    <w:rsid w:val="00E671E5"/>
    <w:rsid w:val="00E67229"/>
    <w:rsid w:val="00E6723A"/>
    <w:rsid w:val="00E6749C"/>
    <w:rsid w:val="00E67527"/>
    <w:rsid w:val="00E67568"/>
    <w:rsid w:val="00E675D9"/>
    <w:rsid w:val="00E6761F"/>
    <w:rsid w:val="00E67625"/>
    <w:rsid w:val="00E6766E"/>
    <w:rsid w:val="00E676D4"/>
    <w:rsid w:val="00E676EC"/>
    <w:rsid w:val="00E67752"/>
    <w:rsid w:val="00E67795"/>
    <w:rsid w:val="00E677E7"/>
    <w:rsid w:val="00E67807"/>
    <w:rsid w:val="00E6785E"/>
    <w:rsid w:val="00E678BB"/>
    <w:rsid w:val="00E679EA"/>
    <w:rsid w:val="00E67A09"/>
    <w:rsid w:val="00E67A31"/>
    <w:rsid w:val="00E67AAF"/>
    <w:rsid w:val="00E67B13"/>
    <w:rsid w:val="00E67C6C"/>
    <w:rsid w:val="00E67CC6"/>
    <w:rsid w:val="00E67CE0"/>
    <w:rsid w:val="00E67D95"/>
    <w:rsid w:val="00E67DF0"/>
    <w:rsid w:val="00E67E09"/>
    <w:rsid w:val="00E67E40"/>
    <w:rsid w:val="00E67E81"/>
    <w:rsid w:val="00E67F43"/>
    <w:rsid w:val="00E6C233"/>
    <w:rsid w:val="00E700B6"/>
    <w:rsid w:val="00E700C3"/>
    <w:rsid w:val="00E700FF"/>
    <w:rsid w:val="00E701E5"/>
    <w:rsid w:val="00E7025C"/>
    <w:rsid w:val="00E7029F"/>
    <w:rsid w:val="00E7030F"/>
    <w:rsid w:val="00E7031C"/>
    <w:rsid w:val="00E70348"/>
    <w:rsid w:val="00E70395"/>
    <w:rsid w:val="00E7039F"/>
    <w:rsid w:val="00E703DA"/>
    <w:rsid w:val="00E70415"/>
    <w:rsid w:val="00E704C2"/>
    <w:rsid w:val="00E704CB"/>
    <w:rsid w:val="00E705D2"/>
    <w:rsid w:val="00E7060C"/>
    <w:rsid w:val="00E70619"/>
    <w:rsid w:val="00E706D3"/>
    <w:rsid w:val="00E70728"/>
    <w:rsid w:val="00E7072E"/>
    <w:rsid w:val="00E70752"/>
    <w:rsid w:val="00E70760"/>
    <w:rsid w:val="00E70842"/>
    <w:rsid w:val="00E70889"/>
    <w:rsid w:val="00E708F7"/>
    <w:rsid w:val="00E709B3"/>
    <w:rsid w:val="00E709EA"/>
    <w:rsid w:val="00E70A0F"/>
    <w:rsid w:val="00E70A34"/>
    <w:rsid w:val="00E70A38"/>
    <w:rsid w:val="00E70A81"/>
    <w:rsid w:val="00E70ADC"/>
    <w:rsid w:val="00E70B0A"/>
    <w:rsid w:val="00E70B26"/>
    <w:rsid w:val="00E70B4A"/>
    <w:rsid w:val="00E70C19"/>
    <w:rsid w:val="00E70C6C"/>
    <w:rsid w:val="00E70C7F"/>
    <w:rsid w:val="00E70D0A"/>
    <w:rsid w:val="00E70D4C"/>
    <w:rsid w:val="00E70D9E"/>
    <w:rsid w:val="00E70DBD"/>
    <w:rsid w:val="00E70E02"/>
    <w:rsid w:val="00E70E65"/>
    <w:rsid w:val="00E70F48"/>
    <w:rsid w:val="00E70FF7"/>
    <w:rsid w:val="00E71089"/>
    <w:rsid w:val="00E71098"/>
    <w:rsid w:val="00E71121"/>
    <w:rsid w:val="00E7118F"/>
    <w:rsid w:val="00E71272"/>
    <w:rsid w:val="00E712FE"/>
    <w:rsid w:val="00E71333"/>
    <w:rsid w:val="00E714AF"/>
    <w:rsid w:val="00E714DC"/>
    <w:rsid w:val="00E7164E"/>
    <w:rsid w:val="00E71666"/>
    <w:rsid w:val="00E7166C"/>
    <w:rsid w:val="00E716C0"/>
    <w:rsid w:val="00E716E7"/>
    <w:rsid w:val="00E71720"/>
    <w:rsid w:val="00E71759"/>
    <w:rsid w:val="00E71786"/>
    <w:rsid w:val="00E717B1"/>
    <w:rsid w:val="00E7187B"/>
    <w:rsid w:val="00E71881"/>
    <w:rsid w:val="00E718F7"/>
    <w:rsid w:val="00E71900"/>
    <w:rsid w:val="00E7192D"/>
    <w:rsid w:val="00E71953"/>
    <w:rsid w:val="00E71A36"/>
    <w:rsid w:val="00E71AE6"/>
    <w:rsid w:val="00E71B0E"/>
    <w:rsid w:val="00E71B4D"/>
    <w:rsid w:val="00E71BE0"/>
    <w:rsid w:val="00E71C11"/>
    <w:rsid w:val="00E71C84"/>
    <w:rsid w:val="00E71D6F"/>
    <w:rsid w:val="00E71DB4"/>
    <w:rsid w:val="00E71E9A"/>
    <w:rsid w:val="00E720F4"/>
    <w:rsid w:val="00E7213A"/>
    <w:rsid w:val="00E72157"/>
    <w:rsid w:val="00E7219E"/>
    <w:rsid w:val="00E72239"/>
    <w:rsid w:val="00E722BF"/>
    <w:rsid w:val="00E722F4"/>
    <w:rsid w:val="00E72323"/>
    <w:rsid w:val="00E72380"/>
    <w:rsid w:val="00E72383"/>
    <w:rsid w:val="00E72484"/>
    <w:rsid w:val="00E724F7"/>
    <w:rsid w:val="00E72512"/>
    <w:rsid w:val="00E7259D"/>
    <w:rsid w:val="00E725E9"/>
    <w:rsid w:val="00E72639"/>
    <w:rsid w:val="00E726B8"/>
    <w:rsid w:val="00E726EF"/>
    <w:rsid w:val="00E7281C"/>
    <w:rsid w:val="00E72852"/>
    <w:rsid w:val="00E728BB"/>
    <w:rsid w:val="00E728C5"/>
    <w:rsid w:val="00E728EA"/>
    <w:rsid w:val="00E7298B"/>
    <w:rsid w:val="00E729FA"/>
    <w:rsid w:val="00E729FB"/>
    <w:rsid w:val="00E72A4E"/>
    <w:rsid w:val="00E72A65"/>
    <w:rsid w:val="00E72A67"/>
    <w:rsid w:val="00E72A8D"/>
    <w:rsid w:val="00E72B2F"/>
    <w:rsid w:val="00E72B8C"/>
    <w:rsid w:val="00E72C65"/>
    <w:rsid w:val="00E72C6D"/>
    <w:rsid w:val="00E72C9B"/>
    <w:rsid w:val="00E72CFB"/>
    <w:rsid w:val="00E72D3D"/>
    <w:rsid w:val="00E72E34"/>
    <w:rsid w:val="00E72E77"/>
    <w:rsid w:val="00E72E9B"/>
    <w:rsid w:val="00E72EE0"/>
    <w:rsid w:val="00E72EF4"/>
    <w:rsid w:val="00E72F81"/>
    <w:rsid w:val="00E7304A"/>
    <w:rsid w:val="00E7307D"/>
    <w:rsid w:val="00E73194"/>
    <w:rsid w:val="00E731F0"/>
    <w:rsid w:val="00E7327E"/>
    <w:rsid w:val="00E732E3"/>
    <w:rsid w:val="00E7334F"/>
    <w:rsid w:val="00E733BC"/>
    <w:rsid w:val="00E733D3"/>
    <w:rsid w:val="00E73424"/>
    <w:rsid w:val="00E7348E"/>
    <w:rsid w:val="00E734C9"/>
    <w:rsid w:val="00E734DE"/>
    <w:rsid w:val="00E7351E"/>
    <w:rsid w:val="00E735A4"/>
    <w:rsid w:val="00E735AF"/>
    <w:rsid w:val="00E73680"/>
    <w:rsid w:val="00E736DF"/>
    <w:rsid w:val="00E7371E"/>
    <w:rsid w:val="00E73743"/>
    <w:rsid w:val="00E73763"/>
    <w:rsid w:val="00E737C8"/>
    <w:rsid w:val="00E7385F"/>
    <w:rsid w:val="00E73AF4"/>
    <w:rsid w:val="00E73B75"/>
    <w:rsid w:val="00E73B7B"/>
    <w:rsid w:val="00E73BC1"/>
    <w:rsid w:val="00E73C01"/>
    <w:rsid w:val="00E73D3C"/>
    <w:rsid w:val="00E73DC0"/>
    <w:rsid w:val="00E73E03"/>
    <w:rsid w:val="00E73E35"/>
    <w:rsid w:val="00E73E4C"/>
    <w:rsid w:val="00E73E8D"/>
    <w:rsid w:val="00E73F51"/>
    <w:rsid w:val="00E73F69"/>
    <w:rsid w:val="00E7403B"/>
    <w:rsid w:val="00E7403D"/>
    <w:rsid w:val="00E740C7"/>
    <w:rsid w:val="00E7411C"/>
    <w:rsid w:val="00E74189"/>
    <w:rsid w:val="00E741BC"/>
    <w:rsid w:val="00E74338"/>
    <w:rsid w:val="00E743A9"/>
    <w:rsid w:val="00E7444F"/>
    <w:rsid w:val="00E744C5"/>
    <w:rsid w:val="00E746A4"/>
    <w:rsid w:val="00E746A8"/>
    <w:rsid w:val="00E74722"/>
    <w:rsid w:val="00E74762"/>
    <w:rsid w:val="00E74787"/>
    <w:rsid w:val="00E74899"/>
    <w:rsid w:val="00E748BF"/>
    <w:rsid w:val="00E748F2"/>
    <w:rsid w:val="00E74974"/>
    <w:rsid w:val="00E74A4E"/>
    <w:rsid w:val="00E74B01"/>
    <w:rsid w:val="00E74BD3"/>
    <w:rsid w:val="00E74BD4"/>
    <w:rsid w:val="00E74C9A"/>
    <w:rsid w:val="00E74CC0"/>
    <w:rsid w:val="00E74CE1"/>
    <w:rsid w:val="00E74E32"/>
    <w:rsid w:val="00E74E4E"/>
    <w:rsid w:val="00E74E8D"/>
    <w:rsid w:val="00E75057"/>
    <w:rsid w:val="00E75258"/>
    <w:rsid w:val="00E752AC"/>
    <w:rsid w:val="00E7536C"/>
    <w:rsid w:val="00E75398"/>
    <w:rsid w:val="00E75416"/>
    <w:rsid w:val="00E7547F"/>
    <w:rsid w:val="00E754BE"/>
    <w:rsid w:val="00E75594"/>
    <w:rsid w:val="00E75630"/>
    <w:rsid w:val="00E756A9"/>
    <w:rsid w:val="00E756B5"/>
    <w:rsid w:val="00E756C4"/>
    <w:rsid w:val="00E756D4"/>
    <w:rsid w:val="00E756EC"/>
    <w:rsid w:val="00E75724"/>
    <w:rsid w:val="00E75919"/>
    <w:rsid w:val="00E7592C"/>
    <w:rsid w:val="00E75930"/>
    <w:rsid w:val="00E75959"/>
    <w:rsid w:val="00E75A3A"/>
    <w:rsid w:val="00E75A8E"/>
    <w:rsid w:val="00E75AA4"/>
    <w:rsid w:val="00E75AB8"/>
    <w:rsid w:val="00E75B6B"/>
    <w:rsid w:val="00E75BAC"/>
    <w:rsid w:val="00E75C09"/>
    <w:rsid w:val="00E75C8E"/>
    <w:rsid w:val="00E75CBA"/>
    <w:rsid w:val="00E75D06"/>
    <w:rsid w:val="00E75D30"/>
    <w:rsid w:val="00E75D6E"/>
    <w:rsid w:val="00E75DF8"/>
    <w:rsid w:val="00E75F9B"/>
    <w:rsid w:val="00E75FDC"/>
    <w:rsid w:val="00E76064"/>
    <w:rsid w:val="00E760C3"/>
    <w:rsid w:val="00E760CD"/>
    <w:rsid w:val="00E76108"/>
    <w:rsid w:val="00E7617A"/>
    <w:rsid w:val="00E761C9"/>
    <w:rsid w:val="00E7621B"/>
    <w:rsid w:val="00E7625A"/>
    <w:rsid w:val="00E76292"/>
    <w:rsid w:val="00E763BD"/>
    <w:rsid w:val="00E7647F"/>
    <w:rsid w:val="00E764D1"/>
    <w:rsid w:val="00E76502"/>
    <w:rsid w:val="00E765DC"/>
    <w:rsid w:val="00E76764"/>
    <w:rsid w:val="00E76776"/>
    <w:rsid w:val="00E767E1"/>
    <w:rsid w:val="00E76843"/>
    <w:rsid w:val="00E76844"/>
    <w:rsid w:val="00E7685F"/>
    <w:rsid w:val="00E768DA"/>
    <w:rsid w:val="00E76928"/>
    <w:rsid w:val="00E76944"/>
    <w:rsid w:val="00E76946"/>
    <w:rsid w:val="00E76958"/>
    <w:rsid w:val="00E769B8"/>
    <w:rsid w:val="00E76A39"/>
    <w:rsid w:val="00E76AAC"/>
    <w:rsid w:val="00E76AE8"/>
    <w:rsid w:val="00E76AFB"/>
    <w:rsid w:val="00E76B26"/>
    <w:rsid w:val="00E76B3E"/>
    <w:rsid w:val="00E76C5B"/>
    <w:rsid w:val="00E76CC8"/>
    <w:rsid w:val="00E76E13"/>
    <w:rsid w:val="00E76E22"/>
    <w:rsid w:val="00E76E6C"/>
    <w:rsid w:val="00E76F1C"/>
    <w:rsid w:val="00E76F33"/>
    <w:rsid w:val="00E76FBA"/>
    <w:rsid w:val="00E77063"/>
    <w:rsid w:val="00E770A4"/>
    <w:rsid w:val="00E7714E"/>
    <w:rsid w:val="00E771C7"/>
    <w:rsid w:val="00E7722C"/>
    <w:rsid w:val="00E77258"/>
    <w:rsid w:val="00E772EE"/>
    <w:rsid w:val="00E7733A"/>
    <w:rsid w:val="00E7736B"/>
    <w:rsid w:val="00E7737F"/>
    <w:rsid w:val="00E773D9"/>
    <w:rsid w:val="00E77435"/>
    <w:rsid w:val="00E77447"/>
    <w:rsid w:val="00E77483"/>
    <w:rsid w:val="00E77497"/>
    <w:rsid w:val="00E774E6"/>
    <w:rsid w:val="00E7756C"/>
    <w:rsid w:val="00E77611"/>
    <w:rsid w:val="00E77677"/>
    <w:rsid w:val="00E776DC"/>
    <w:rsid w:val="00E77710"/>
    <w:rsid w:val="00E77753"/>
    <w:rsid w:val="00E777E0"/>
    <w:rsid w:val="00E77836"/>
    <w:rsid w:val="00E77906"/>
    <w:rsid w:val="00E7794A"/>
    <w:rsid w:val="00E779FD"/>
    <w:rsid w:val="00E77B8A"/>
    <w:rsid w:val="00E77BAD"/>
    <w:rsid w:val="00E77C0C"/>
    <w:rsid w:val="00E77CCD"/>
    <w:rsid w:val="00E77D63"/>
    <w:rsid w:val="00E77DC6"/>
    <w:rsid w:val="00E77E80"/>
    <w:rsid w:val="00E77EF2"/>
    <w:rsid w:val="00E77FD8"/>
    <w:rsid w:val="00E80009"/>
    <w:rsid w:val="00E8000C"/>
    <w:rsid w:val="00E80070"/>
    <w:rsid w:val="00E800F4"/>
    <w:rsid w:val="00E80139"/>
    <w:rsid w:val="00E8017F"/>
    <w:rsid w:val="00E801C9"/>
    <w:rsid w:val="00E8029E"/>
    <w:rsid w:val="00E8031D"/>
    <w:rsid w:val="00E803A6"/>
    <w:rsid w:val="00E803E3"/>
    <w:rsid w:val="00E80464"/>
    <w:rsid w:val="00E8046B"/>
    <w:rsid w:val="00E804FC"/>
    <w:rsid w:val="00E80603"/>
    <w:rsid w:val="00E8060E"/>
    <w:rsid w:val="00E80617"/>
    <w:rsid w:val="00E80690"/>
    <w:rsid w:val="00E806F6"/>
    <w:rsid w:val="00E8078B"/>
    <w:rsid w:val="00E807A4"/>
    <w:rsid w:val="00E8081D"/>
    <w:rsid w:val="00E809DA"/>
    <w:rsid w:val="00E809E8"/>
    <w:rsid w:val="00E80A97"/>
    <w:rsid w:val="00E80AF1"/>
    <w:rsid w:val="00E80C13"/>
    <w:rsid w:val="00E80C19"/>
    <w:rsid w:val="00E80C4F"/>
    <w:rsid w:val="00E80CB9"/>
    <w:rsid w:val="00E80D14"/>
    <w:rsid w:val="00E80D9D"/>
    <w:rsid w:val="00E80E92"/>
    <w:rsid w:val="00E80E9F"/>
    <w:rsid w:val="00E80FD1"/>
    <w:rsid w:val="00E81070"/>
    <w:rsid w:val="00E81122"/>
    <w:rsid w:val="00E81180"/>
    <w:rsid w:val="00E811B6"/>
    <w:rsid w:val="00E81291"/>
    <w:rsid w:val="00E812A1"/>
    <w:rsid w:val="00E812B3"/>
    <w:rsid w:val="00E81400"/>
    <w:rsid w:val="00E814FE"/>
    <w:rsid w:val="00E81507"/>
    <w:rsid w:val="00E8151A"/>
    <w:rsid w:val="00E81560"/>
    <w:rsid w:val="00E81623"/>
    <w:rsid w:val="00E81695"/>
    <w:rsid w:val="00E816D4"/>
    <w:rsid w:val="00E81717"/>
    <w:rsid w:val="00E817DC"/>
    <w:rsid w:val="00E817E6"/>
    <w:rsid w:val="00E81809"/>
    <w:rsid w:val="00E8186E"/>
    <w:rsid w:val="00E81899"/>
    <w:rsid w:val="00E818E9"/>
    <w:rsid w:val="00E81925"/>
    <w:rsid w:val="00E81A2C"/>
    <w:rsid w:val="00E81A3C"/>
    <w:rsid w:val="00E81A45"/>
    <w:rsid w:val="00E81AA0"/>
    <w:rsid w:val="00E81B53"/>
    <w:rsid w:val="00E81B7E"/>
    <w:rsid w:val="00E81BC4"/>
    <w:rsid w:val="00E81D0E"/>
    <w:rsid w:val="00E81D3F"/>
    <w:rsid w:val="00E81DC2"/>
    <w:rsid w:val="00E81DFF"/>
    <w:rsid w:val="00E81E3F"/>
    <w:rsid w:val="00E81ED2"/>
    <w:rsid w:val="00E81F9C"/>
    <w:rsid w:val="00E820E4"/>
    <w:rsid w:val="00E82136"/>
    <w:rsid w:val="00E82188"/>
    <w:rsid w:val="00E821DA"/>
    <w:rsid w:val="00E821F0"/>
    <w:rsid w:val="00E82203"/>
    <w:rsid w:val="00E823ED"/>
    <w:rsid w:val="00E823F1"/>
    <w:rsid w:val="00E82453"/>
    <w:rsid w:val="00E8245F"/>
    <w:rsid w:val="00E8246A"/>
    <w:rsid w:val="00E8246B"/>
    <w:rsid w:val="00E8256E"/>
    <w:rsid w:val="00E82654"/>
    <w:rsid w:val="00E8272E"/>
    <w:rsid w:val="00E827C3"/>
    <w:rsid w:val="00E82927"/>
    <w:rsid w:val="00E8292D"/>
    <w:rsid w:val="00E829C0"/>
    <w:rsid w:val="00E829F9"/>
    <w:rsid w:val="00E82A88"/>
    <w:rsid w:val="00E82BCD"/>
    <w:rsid w:val="00E82C03"/>
    <w:rsid w:val="00E82C06"/>
    <w:rsid w:val="00E82C4F"/>
    <w:rsid w:val="00E82C9F"/>
    <w:rsid w:val="00E82CB7"/>
    <w:rsid w:val="00E82D91"/>
    <w:rsid w:val="00E82E5A"/>
    <w:rsid w:val="00E82EAD"/>
    <w:rsid w:val="00E82FB1"/>
    <w:rsid w:val="00E83007"/>
    <w:rsid w:val="00E83043"/>
    <w:rsid w:val="00E83092"/>
    <w:rsid w:val="00E830DD"/>
    <w:rsid w:val="00E8314D"/>
    <w:rsid w:val="00E83174"/>
    <w:rsid w:val="00E831BB"/>
    <w:rsid w:val="00E831EE"/>
    <w:rsid w:val="00E8320F"/>
    <w:rsid w:val="00E832EB"/>
    <w:rsid w:val="00E83331"/>
    <w:rsid w:val="00E8336E"/>
    <w:rsid w:val="00E83372"/>
    <w:rsid w:val="00E8337E"/>
    <w:rsid w:val="00E83384"/>
    <w:rsid w:val="00E8361E"/>
    <w:rsid w:val="00E83681"/>
    <w:rsid w:val="00E83758"/>
    <w:rsid w:val="00E83771"/>
    <w:rsid w:val="00E8378E"/>
    <w:rsid w:val="00E837A4"/>
    <w:rsid w:val="00E837FB"/>
    <w:rsid w:val="00E83824"/>
    <w:rsid w:val="00E8387E"/>
    <w:rsid w:val="00E838FA"/>
    <w:rsid w:val="00E83953"/>
    <w:rsid w:val="00E839AA"/>
    <w:rsid w:val="00E839D8"/>
    <w:rsid w:val="00E83A0C"/>
    <w:rsid w:val="00E83A16"/>
    <w:rsid w:val="00E83B0C"/>
    <w:rsid w:val="00E83B24"/>
    <w:rsid w:val="00E83C2C"/>
    <w:rsid w:val="00E83D2B"/>
    <w:rsid w:val="00E83D2E"/>
    <w:rsid w:val="00E83D4D"/>
    <w:rsid w:val="00E83D7B"/>
    <w:rsid w:val="00E83DF1"/>
    <w:rsid w:val="00E83E27"/>
    <w:rsid w:val="00E83E63"/>
    <w:rsid w:val="00E83E6D"/>
    <w:rsid w:val="00E83E98"/>
    <w:rsid w:val="00E83F07"/>
    <w:rsid w:val="00E83F53"/>
    <w:rsid w:val="00E83F77"/>
    <w:rsid w:val="00E83FB6"/>
    <w:rsid w:val="00E83FFA"/>
    <w:rsid w:val="00E8403D"/>
    <w:rsid w:val="00E8409E"/>
    <w:rsid w:val="00E840A5"/>
    <w:rsid w:val="00E840BA"/>
    <w:rsid w:val="00E8413B"/>
    <w:rsid w:val="00E8416D"/>
    <w:rsid w:val="00E84171"/>
    <w:rsid w:val="00E841F2"/>
    <w:rsid w:val="00E84235"/>
    <w:rsid w:val="00E842AD"/>
    <w:rsid w:val="00E842CE"/>
    <w:rsid w:val="00E843A9"/>
    <w:rsid w:val="00E843E9"/>
    <w:rsid w:val="00E84487"/>
    <w:rsid w:val="00E84488"/>
    <w:rsid w:val="00E8458E"/>
    <w:rsid w:val="00E84590"/>
    <w:rsid w:val="00E845BE"/>
    <w:rsid w:val="00E845F1"/>
    <w:rsid w:val="00E84602"/>
    <w:rsid w:val="00E84655"/>
    <w:rsid w:val="00E84739"/>
    <w:rsid w:val="00E847A0"/>
    <w:rsid w:val="00E847B2"/>
    <w:rsid w:val="00E8488C"/>
    <w:rsid w:val="00E84892"/>
    <w:rsid w:val="00E848BF"/>
    <w:rsid w:val="00E848EC"/>
    <w:rsid w:val="00E84931"/>
    <w:rsid w:val="00E84933"/>
    <w:rsid w:val="00E8496D"/>
    <w:rsid w:val="00E84A07"/>
    <w:rsid w:val="00E84A0F"/>
    <w:rsid w:val="00E84A64"/>
    <w:rsid w:val="00E84B06"/>
    <w:rsid w:val="00E84B16"/>
    <w:rsid w:val="00E84C73"/>
    <w:rsid w:val="00E84CB2"/>
    <w:rsid w:val="00E84CBE"/>
    <w:rsid w:val="00E84D24"/>
    <w:rsid w:val="00E84DD4"/>
    <w:rsid w:val="00E84E2A"/>
    <w:rsid w:val="00E84ECD"/>
    <w:rsid w:val="00E84EF2"/>
    <w:rsid w:val="00E84F51"/>
    <w:rsid w:val="00E85061"/>
    <w:rsid w:val="00E85090"/>
    <w:rsid w:val="00E850C8"/>
    <w:rsid w:val="00E850E0"/>
    <w:rsid w:val="00E850ED"/>
    <w:rsid w:val="00E8518C"/>
    <w:rsid w:val="00E85214"/>
    <w:rsid w:val="00E852A5"/>
    <w:rsid w:val="00E852EC"/>
    <w:rsid w:val="00E85319"/>
    <w:rsid w:val="00E85341"/>
    <w:rsid w:val="00E8554E"/>
    <w:rsid w:val="00E85651"/>
    <w:rsid w:val="00E85671"/>
    <w:rsid w:val="00E8569D"/>
    <w:rsid w:val="00E85743"/>
    <w:rsid w:val="00E858AF"/>
    <w:rsid w:val="00E858D2"/>
    <w:rsid w:val="00E85908"/>
    <w:rsid w:val="00E85918"/>
    <w:rsid w:val="00E859D2"/>
    <w:rsid w:val="00E85A36"/>
    <w:rsid w:val="00E85A8D"/>
    <w:rsid w:val="00E85AC8"/>
    <w:rsid w:val="00E85B44"/>
    <w:rsid w:val="00E85B49"/>
    <w:rsid w:val="00E85B4D"/>
    <w:rsid w:val="00E85B5D"/>
    <w:rsid w:val="00E85BFC"/>
    <w:rsid w:val="00E85C23"/>
    <w:rsid w:val="00E85DAE"/>
    <w:rsid w:val="00E85E92"/>
    <w:rsid w:val="00E85EFD"/>
    <w:rsid w:val="00E85F10"/>
    <w:rsid w:val="00E85F24"/>
    <w:rsid w:val="00E85F99"/>
    <w:rsid w:val="00E85FEF"/>
    <w:rsid w:val="00E86084"/>
    <w:rsid w:val="00E860CF"/>
    <w:rsid w:val="00E860F2"/>
    <w:rsid w:val="00E860F9"/>
    <w:rsid w:val="00E86129"/>
    <w:rsid w:val="00E86194"/>
    <w:rsid w:val="00E861E8"/>
    <w:rsid w:val="00E86245"/>
    <w:rsid w:val="00E8628C"/>
    <w:rsid w:val="00E864A1"/>
    <w:rsid w:val="00E8650A"/>
    <w:rsid w:val="00E86604"/>
    <w:rsid w:val="00E866E8"/>
    <w:rsid w:val="00E8670A"/>
    <w:rsid w:val="00E8677F"/>
    <w:rsid w:val="00E8679B"/>
    <w:rsid w:val="00E867B7"/>
    <w:rsid w:val="00E867BA"/>
    <w:rsid w:val="00E867CE"/>
    <w:rsid w:val="00E867F5"/>
    <w:rsid w:val="00E86965"/>
    <w:rsid w:val="00E86966"/>
    <w:rsid w:val="00E869B6"/>
    <w:rsid w:val="00E869CE"/>
    <w:rsid w:val="00E86A28"/>
    <w:rsid w:val="00E86A4D"/>
    <w:rsid w:val="00E86A54"/>
    <w:rsid w:val="00E86B8F"/>
    <w:rsid w:val="00E86E9D"/>
    <w:rsid w:val="00E86EED"/>
    <w:rsid w:val="00E86FE7"/>
    <w:rsid w:val="00E870E4"/>
    <w:rsid w:val="00E87151"/>
    <w:rsid w:val="00E871A8"/>
    <w:rsid w:val="00E871CC"/>
    <w:rsid w:val="00E87206"/>
    <w:rsid w:val="00E8722B"/>
    <w:rsid w:val="00E872BB"/>
    <w:rsid w:val="00E8735D"/>
    <w:rsid w:val="00E873A3"/>
    <w:rsid w:val="00E874B5"/>
    <w:rsid w:val="00E874C9"/>
    <w:rsid w:val="00E8753C"/>
    <w:rsid w:val="00E87587"/>
    <w:rsid w:val="00E8759E"/>
    <w:rsid w:val="00E875A3"/>
    <w:rsid w:val="00E875A9"/>
    <w:rsid w:val="00E8760F"/>
    <w:rsid w:val="00E87664"/>
    <w:rsid w:val="00E8767D"/>
    <w:rsid w:val="00E878B3"/>
    <w:rsid w:val="00E87932"/>
    <w:rsid w:val="00E87C26"/>
    <w:rsid w:val="00E87C70"/>
    <w:rsid w:val="00E87CF0"/>
    <w:rsid w:val="00E87DDC"/>
    <w:rsid w:val="00E87DF6"/>
    <w:rsid w:val="00E87E87"/>
    <w:rsid w:val="00E87E8B"/>
    <w:rsid w:val="00E87FEB"/>
    <w:rsid w:val="00E90023"/>
    <w:rsid w:val="00E900A0"/>
    <w:rsid w:val="00E900CA"/>
    <w:rsid w:val="00E90158"/>
    <w:rsid w:val="00E9026E"/>
    <w:rsid w:val="00E902D5"/>
    <w:rsid w:val="00E9037D"/>
    <w:rsid w:val="00E9039F"/>
    <w:rsid w:val="00E9045F"/>
    <w:rsid w:val="00E90464"/>
    <w:rsid w:val="00E904C5"/>
    <w:rsid w:val="00E905E0"/>
    <w:rsid w:val="00E9069A"/>
    <w:rsid w:val="00E907FE"/>
    <w:rsid w:val="00E90815"/>
    <w:rsid w:val="00E908ED"/>
    <w:rsid w:val="00E908F6"/>
    <w:rsid w:val="00E9090D"/>
    <w:rsid w:val="00E90939"/>
    <w:rsid w:val="00E90949"/>
    <w:rsid w:val="00E90A21"/>
    <w:rsid w:val="00E90A9E"/>
    <w:rsid w:val="00E90B43"/>
    <w:rsid w:val="00E90BFE"/>
    <w:rsid w:val="00E90C5C"/>
    <w:rsid w:val="00E90CD1"/>
    <w:rsid w:val="00E90D0D"/>
    <w:rsid w:val="00E90D65"/>
    <w:rsid w:val="00E90DBF"/>
    <w:rsid w:val="00E90EC4"/>
    <w:rsid w:val="00E90EDF"/>
    <w:rsid w:val="00E90F92"/>
    <w:rsid w:val="00E91042"/>
    <w:rsid w:val="00E9106A"/>
    <w:rsid w:val="00E9108D"/>
    <w:rsid w:val="00E910BF"/>
    <w:rsid w:val="00E910F1"/>
    <w:rsid w:val="00E910FC"/>
    <w:rsid w:val="00E91125"/>
    <w:rsid w:val="00E9112C"/>
    <w:rsid w:val="00E9115F"/>
    <w:rsid w:val="00E912BC"/>
    <w:rsid w:val="00E9130F"/>
    <w:rsid w:val="00E9132D"/>
    <w:rsid w:val="00E9136C"/>
    <w:rsid w:val="00E9144D"/>
    <w:rsid w:val="00E914CB"/>
    <w:rsid w:val="00E91573"/>
    <w:rsid w:val="00E915B8"/>
    <w:rsid w:val="00E916D4"/>
    <w:rsid w:val="00E9171A"/>
    <w:rsid w:val="00E91761"/>
    <w:rsid w:val="00E91776"/>
    <w:rsid w:val="00E91786"/>
    <w:rsid w:val="00E917F0"/>
    <w:rsid w:val="00E91810"/>
    <w:rsid w:val="00E91826"/>
    <w:rsid w:val="00E91859"/>
    <w:rsid w:val="00E918B1"/>
    <w:rsid w:val="00E91930"/>
    <w:rsid w:val="00E91971"/>
    <w:rsid w:val="00E9199C"/>
    <w:rsid w:val="00E919A2"/>
    <w:rsid w:val="00E91A55"/>
    <w:rsid w:val="00E91ABC"/>
    <w:rsid w:val="00E91B88"/>
    <w:rsid w:val="00E91BB6"/>
    <w:rsid w:val="00E91D1C"/>
    <w:rsid w:val="00E91DBB"/>
    <w:rsid w:val="00E91DCD"/>
    <w:rsid w:val="00E91DF5"/>
    <w:rsid w:val="00E91E58"/>
    <w:rsid w:val="00E91EA2"/>
    <w:rsid w:val="00E91EC2"/>
    <w:rsid w:val="00E91EED"/>
    <w:rsid w:val="00E91EF3"/>
    <w:rsid w:val="00E91F37"/>
    <w:rsid w:val="00E92023"/>
    <w:rsid w:val="00E920AB"/>
    <w:rsid w:val="00E920CC"/>
    <w:rsid w:val="00E92125"/>
    <w:rsid w:val="00E92133"/>
    <w:rsid w:val="00E921C4"/>
    <w:rsid w:val="00E92202"/>
    <w:rsid w:val="00E92297"/>
    <w:rsid w:val="00E922F8"/>
    <w:rsid w:val="00E92357"/>
    <w:rsid w:val="00E9238F"/>
    <w:rsid w:val="00E923AE"/>
    <w:rsid w:val="00E9242D"/>
    <w:rsid w:val="00E924BC"/>
    <w:rsid w:val="00E92500"/>
    <w:rsid w:val="00E9258D"/>
    <w:rsid w:val="00E925B7"/>
    <w:rsid w:val="00E925D3"/>
    <w:rsid w:val="00E9260F"/>
    <w:rsid w:val="00E9269F"/>
    <w:rsid w:val="00E926B8"/>
    <w:rsid w:val="00E927B9"/>
    <w:rsid w:val="00E927EB"/>
    <w:rsid w:val="00E92998"/>
    <w:rsid w:val="00E929EF"/>
    <w:rsid w:val="00E92A40"/>
    <w:rsid w:val="00E92A79"/>
    <w:rsid w:val="00E92AD6"/>
    <w:rsid w:val="00E92B55"/>
    <w:rsid w:val="00E92C5A"/>
    <w:rsid w:val="00E92CE9"/>
    <w:rsid w:val="00E92CED"/>
    <w:rsid w:val="00E92DFC"/>
    <w:rsid w:val="00E92E0D"/>
    <w:rsid w:val="00E92F84"/>
    <w:rsid w:val="00E93093"/>
    <w:rsid w:val="00E93143"/>
    <w:rsid w:val="00E93179"/>
    <w:rsid w:val="00E931B2"/>
    <w:rsid w:val="00E931B6"/>
    <w:rsid w:val="00E931CC"/>
    <w:rsid w:val="00E931E3"/>
    <w:rsid w:val="00E932C2"/>
    <w:rsid w:val="00E93461"/>
    <w:rsid w:val="00E934E7"/>
    <w:rsid w:val="00E934E9"/>
    <w:rsid w:val="00E9352E"/>
    <w:rsid w:val="00E9355F"/>
    <w:rsid w:val="00E935AD"/>
    <w:rsid w:val="00E935D0"/>
    <w:rsid w:val="00E935F0"/>
    <w:rsid w:val="00E935F9"/>
    <w:rsid w:val="00E93677"/>
    <w:rsid w:val="00E9367E"/>
    <w:rsid w:val="00E9367F"/>
    <w:rsid w:val="00E93689"/>
    <w:rsid w:val="00E936C4"/>
    <w:rsid w:val="00E93728"/>
    <w:rsid w:val="00E93796"/>
    <w:rsid w:val="00E937F7"/>
    <w:rsid w:val="00E9396D"/>
    <w:rsid w:val="00E93983"/>
    <w:rsid w:val="00E93A1D"/>
    <w:rsid w:val="00E93ACB"/>
    <w:rsid w:val="00E93B31"/>
    <w:rsid w:val="00E93B3B"/>
    <w:rsid w:val="00E93C06"/>
    <w:rsid w:val="00E93C11"/>
    <w:rsid w:val="00E93C25"/>
    <w:rsid w:val="00E93CA5"/>
    <w:rsid w:val="00E93D19"/>
    <w:rsid w:val="00E93D8E"/>
    <w:rsid w:val="00E93DB9"/>
    <w:rsid w:val="00E93DC3"/>
    <w:rsid w:val="00E93E2C"/>
    <w:rsid w:val="00E93E8E"/>
    <w:rsid w:val="00E93EAE"/>
    <w:rsid w:val="00E93ECB"/>
    <w:rsid w:val="00E93F0E"/>
    <w:rsid w:val="00E93F39"/>
    <w:rsid w:val="00E93F5E"/>
    <w:rsid w:val="00E93F81"/>
    <w:rsid w:val="00E9402F"/>
    <w:rsid w:val="00E9403A"/>
    <w:rsid w:val="00E94112"/>
    <w:rsid w:val="00E94148"/>
    <w:rsid w:val="00E94185"/>
    <w:rsid w:val="00E9419E"/>
    <w:rsid w:val="00E941A9"/>
    <w:rsid w:val="00E942BC"/>
    <w:rsid w:val="00E94301"/>
    <w:rsid w:val="00E9440A"/>
    <w:rsid w:val="00E944C9"/>
    <w:rsid w:val="00E944EA"/>
    <w:rsid w:val="00E945D4"/>
    <w:rsid w:val="00E945E8"/>
    <w:rsid w:val="00E945F4"/>
    <w:rsid w:val="00E9472A"/>
    <w:rsid w:val="00E9476C"/>
    <w:rsid w:val="00E9476D"/>
    <w:rsid w:val="00E947A9"/>
    <w:rsid w:val="00E9480C"/>
    <w:rsid w:val="00E9487F"/>
    <w:rsid w:val="00E948AB"/>
    <w:rsid w:val="00E94930"/>
    <w:rsid w:val="00E94968"/>
    <w:rsid w:val="00E94977"/>
    <w:rsid w:val="00E949FB"/>
    <w:rsid w:val="00E94A2C"/>
    <w:rsid w:val="00E94A5F"/>
    <w:rsid w:val="00E94AA7"/>
    <w:rsid w:val="00E94AE5"/>
    <w:rsid w:val="00E94B4F"/>
    <w:rsid w:val="00E94B96"/>
    <w:rsid w:val="00E94BB6"/>
    <w:rsid w:val="00E94C4F"/>
    <w:rsid w:val="00E94C6A"/>
    <w:rsid w:val="00E94CBD"/>
    <w:rsid w:val="00E94D04"/>
    <w:rsid w:val="00E94D33"/>
    <w:rsid w:val="00E94DAE"/>
    <w:rsid w:val="00E94E2F"/>
    <w:rsid w:val="00E94F41"/>
    <w:rsid w:val="00E94F4C"/>
    <w:rsid w:val="00E94FA3"/>
    <w:rsid w:val="00E94FA5"/>
    <w:rsid w:val="00E94FAC"/>
    <w:rsid w:val="00E94FF8"/>
    <w:rsid w:val="00E95032"/>
    <w:rsid w:val="00E95034"/>
    <w:rsid w:val="00E9507A"/>
    <w:rsid w:val="00E951DB"/>
    <w:rsid w:val="00E95233"/>
    <w:rsid w:val="00E95289"/>
    <w:rsid w:val="00E952A1"/>
    <w:rsid w:val="00E952DB"/>
    <w:rsid w:val="00E95331"/>
    <w:rsid w:val="00E9539B"/>
    <w:rsid w:val="00E953C7"/>
    <w:rsid w:val="00E9543F"/>
    <w:rsid w:val="00E9546E"/>
    <w:rsid w:val="00E955EF"/>
    <w:rsid w:val="00E9563F"/>
    <w:rsid w:val="00E9572C"/>
    <w:rsid w:val="00E95797"/>
    <w:rsid w:val="00E957E4"/>
    <w:rsid w:val="00E95878"/>
    <w:rsid w:val="00E958B8"/>
    <w:rsid w:val="00E958D6"/>
    <w:rsid w:val="00E9590A"/>
    <w:rsid w:val="00E95928"/>
    <w:rsid w:val="00E9593B"/>
    <w:rsid w:val="00E9593D"/>
    <w:rsid w:val="00E9598D"/>
    <w:rsid w:val="00E95A02"/>
    <w:rsid w:val="00E95AFE"/>
    <w:rsid w:val="00E95B4E"/>
    <w:rsid w:val="00E95BAF"/>
    <w:rsid w:val="00E95BC9"/>
    <w:rsid w:val="00E95BE9"/>
    <w:rsid w:val="00E95CDE"/>
    <w:rsid w:val="00E95D01"/>
    <w:rsid w:val="00E95DCE"/>
    <w:rsid w:val="00E95DF0"/>
    <w:rsid w:val="00E9601E"/>
    <w:rsid w:val="00E960CF"/>
    <w:rsid w:val="00E9616B"/>
    <w:rsid w:val="00E9624E"/>
    <w:rsid w:val="00E9625D"/>
    <w:rsid w:val="00E962F1"/>
    <w:rsid w:val="00E9630B"/>
    <w:rsid w:val="00E9656E"/>
    <w:rsid w:val="00E965D8"/>
    <w:rsid w:val="00E96718"/>
    <w:rsid w:val="00E968B3"/>
    <w:rsid w:val="00E96910"/>
    <w:rsid w:val="00E96973"/>
    <w:rsid w:val="00E96978"/>
    <w:rsid w:val="00E969B7"/>
    <w:rsid w:val="00E969DA"/>
    <w:rsid w:val="00E96BB8"/>
    <w:rsid w:val="00E96C18"/>
    <w:rsid w:val="00E96CB3"/>
    <w:rsid w:val="00E96CEE"/>
    <w:rsid w:val="00E96D38"/>
    <w:rsid w:val="00E96D7A"/>
    <w:rsid w:val="00E96D85"/>
    <w:rsid w:val="00E96DD6"/>
    <w:rsid w:val="00E96DE0"/>
    <w:rsid w:val="00E96E3F"/>
    <w:rsid w:val="00E96EF6"/>
    <w:rsid w:val="00E96F2A"/>
    <w:rsid w:val="00E96F5C"/>
    <w:rsid w:val="00E96FA3"/>
    <w:rsid w:val="00E97057"/>
    <w:rsid w:val="00E9705A"/>
    <w:rsid w:val="00E970C5"/>
    <w:rsid w:val="00E97126"/>
    <w:rsid w:val="00E97246"/>
    <w:rsid w:val="00E972BB"/>
    <w:rsid w:val="00E972F3"/>
    <w:rsid w:val="00E9733E"/>
    <w:rsid w:val="00E97344"/>
    <w:rsid w:val="00E973D9"/>
    <w:rsid w:val="00E9742D"/>
    <w:rsid w:val="00E97474"/>
    <w:rsid w:val="00E974CA"/>
    <w:rsid w:val="00E974F5"/>
    <w:rsid w:val="00E97505"/>
    <w:rsid w:val="00E9754F"/>
    <w:rsid w:val="00E975FB"/>
    <w:rsid w:val="00E97638"/>
    <w:rsid w:val="00E976B1"/>
    <w:rsid w:val="00E97700"/>
    <w:rsid w:val="00E9777B"/>
    <w:rsid w:val="00E97782"/>
    <w:rsid w:val="00E97797"/>
    <w:rsid w:val="00E977F0"/>
    <w:rsid w:val="00E97820"/>
    <w:rsid w:val="00E97838"/>
    <w:rsid w:val="00E979B2"/>
    <w:rsid w:val="00E97A27"/>
    <w:rsid w:val="00E97AA8"/>
    <w:rsid w:val="00E97B90"/>
    <w:rsid w:val="00E97B9C"/>
    <w:rsid w:val="00E97BD2"/>
    <w:rsid w:val="00E97C0E"/>
    <w:rsid w:val="00E97C6D"/>
    <w:rsid w:val="00E97C9D"/>
    <w:rsid w:val="00E97CFE"/>
    <w:rsid w:val="00E97DF4"/>
    <w:rsid w:val="00E97E8A"/>
    <w:rsid w:val="00E97EBB"/>
    <w:rsid w:val="00E97ED5"/>
    <w:rsid w:val="00E97F9D"/>
    <w:rsid w:val="00E97FD6"/>
    <w:rsid w:val="00EA002C"/>
    <w:rsid w:val="00EA0047"/>
    <w:rsid w:val="00EA004F"/>
    <w:rsid w:val="00EA00C3"/>
    <w:rsid w:val="00EA015F"/>
    <w:rsid w:val="00EA01D8"/>
    <w:rsid w:val="00EA02A8"/>
    <w:rsid w:val="00EA02AC"/>
    <w:rsid w:val="00EA0317"/>
    <w:rsid w:val="00EA03CF"/>
    <w:rsid w:val="00EA0483"/>
    <w:rsid w:val="00EA04B6"/>
    <w:rsid w:val="00EA04BC"/>
    <w:rsid w:val="00EA0527"/>
    <w:rsid w:val="00EA05D0"/>
    <w:rsid w:val="00EA05D3"/>
    <w:rsid w:val="00EA05EA"/>
    <w:rsid w:val="00EA05EC"/>
    <w:rsid w:val="00EA0734"/>
    <w:rsid w:val="00EA07EB"/>
    <w:rsid w:val="00EA0834"/>
    <w:rsid w:val="00EA086B"/>
    <w:rsid w:val="00EA08A4"/>
    <w:rsid w:val="00EA08BF"/>
    <w:rsid w:val="00EA09FF"/>
    <w:rsid w:val="00EA0A13"/>
    <w:rsid w:val="00EA0A60"/>
    <w:rsid w:val="00EA0A62"/>
    <w:rsid w:val="00EA0B23"/>
    <w:rsid w:val="00EA0B2F"/>
    <w:rsid w:val="00EA0C21"/>
    <w:rsid w:val="00EA0C39"/>
    <w:rsid w:val="00EA0CD9"/>
    <w:rsid w:val="00EA0CF2"/>
    <w:rsid w:val="00EA0CF4"/>
    <w:rsid w:val="00EA0D21"/>
    <w:rsid w:val="00EA0DA5"/>
    <w:rsid w:val="00EA0E35"/>
    <w:rsid w:val="00EA0E53"/>
    <w:rsid w:val="00EA0ECC"/>
    <w:rsid w:val="00EA0F41"/>
    <w:rsid w:val="00EA0F6B"/>
    <w:rsid w:val="00EA0F86"/>
    <w:rsid w:val="00EA0FA2"/>
    <w:rsid w:val="00EA1063"/>
    <w:rsid w:val="00EA1128"/>
    <w:rsid w:val="00EA1135"/>
    <w:rsid w:val="00EA124A"/>
    <w:rsid w:val="00EA1300"/>
    <w:rsid w:val="00EA15D4"/>
    <w:rsid w:val="00EA15E4"/>
    <w:rsid w:val="00EA166A"/>
    <w:rsid w:val="00EA1696"/>
    <w:rsid w:val="00EA16C0"/>
    <w:rsid w:val="00EA16DC"/>
    <w:rsid w:val="00EA16FF"/>
    <w:rsid w:val="00EA178A"/>
    <w:rsid w:val="00EA179F"/>
    <w:rsid w:val="00EA17FA"/>
    <w:rsid w:val="00EA1812"/>
    <w:rsid w:val="00EA18F9"/>
    <w:rsid w:val="00EA1903"/>
    <w:rsid w:val="00EA1937"/>
    <w:rsid w:val="00EA196E"/>
    <w:rsid w:val="00EA1B31"/>
    <w:rsid w:val="00EA1B8D"/>
    <w:rsid w:val="00EA1BA5"/>
    <w:rsid w:val="00EA1BB2"/>
    <w:rsid w:val="00EA1C75"/>
    <w:rsid w:val="00EA1C93"/>
    <w:rsid w:val="00EA1D74"/>
    <w:rsid w:val="00EA1DA3"/>
    <w:rsid w:val="00EA20C2"/>
    <w:rsid w:val="00EA20F9"/>
    <w:rsid w:val="00EA2102"/>
    <w:rsid w:val="00EA2377"/>
    <w:rsid w:val="00EA23BA"/>
    <w:rsid w:val="00EA24A3"/>
    <w:rsid w:val="00EA24F1"/>
    <w:rsid w:val="00EA2504"/>
    <w:rsid w:val="00EA252F"/>
    <w:rsid w:val="00EA25B1"/>
    <w:rsid w:val="00EA2676"/>
    <w:rsid w:val="00EA26B2"/>
    <w:rsid w:val="00EA26DF"/>
    <w:rsid w:val="00EA27F6"/>
    <w:rsid w:val="00EA27FC"/>
    <w:rsid w:val="00EA2854"/>
    <w:rsid w:val="00EA294F"/>
    <w:rsid w:val="00EA29DD"/>
    <w:rsid w:val="00EA2B8E"/>
    <w:rsid w:val="00EA2BC2"/>
    <w:rsid w:val="00EA2BE9"/>
    <w:rsid w:val="00EA2C0E"/>
    <w:rsid w:val="00EA2D88"/>
    <w:rsid w:val="00EA2D8E"/>
    <w:rsid w:val="00EA2D98"/>
    <w:rsid w:val="00EA2E89"/>
    <w:rsid w:val="00EA2EF4"/>
    <w:rsid w:val="00EA2F74"/>
    <w:rsid w:val="00EA2F80"/>
    <w:rsid w:val="00EA2F90"/>
    <w:rsid w:val="00EA2FFE"/>
    <w:rsid w:val="00EA3012"/>
    <w:rsid w:val="00EA30CF"/>
    <w:rsid w:val="00EA3128"/>
    <w:rsid w:val="00EA3167"/>
    <w:rsid w:val="00EA3180"/>
    <w:rsid w:val="00EA31A7"/>
    <w:rsid w:val="00EA321B"/>
    <w:rsid w:val="00EA33DB"/>
    <w:rsid w:val="00EA33E3"/>
    <w:rsid w:val="00EA33F9"/>
    <w:rsid w:val="00EA342B"/>
    <w:rsid w:val="00EA343E"/>
    <w:rsid w:val="00EA34C0"/>
    <w:rsid w:val="00EA34FA"/>
    <w:rsid w:val="00EA3515"/>
    <w:rsid w:val="00EA3545"/>
    <w:rsid w:val="00EA3559"/>
    <w:rsid w:val="00EA35F9"/>
    <w:rsid w:val="00EA3644"/>
    <w:rsid w:val="00EA36DD"/>
    <w:rsid w:val="00EA36F6"/>
    <w:rsid w:val="00EA37C8"/>
    <w:rsid w:val="00EA38FF"/>
    <w:rsid w:val="00EA3900"/>
    <w:rsid w:val="00EA3960"/>
    <w:rsid w:val="00EA3A03"/>
    <w:rsid w:val="00EA3AA8"/>
    <w:rsid w:val="00EA3B06"/>
    <w:rsid w:val="00EA3B2F"/>
    <w:rsid w:val="00EA3C42"/>
    <w:rsid w:val="00EA3CDF"/>
    <w:rsid w:val="00EA3D9C"/>
    <w:rsid w:val="00EA3E76"/>
    <w:rsid w:val="00EA3EBE"/>
    <w:rsid w:val="00EA3F04"/>
    <w:rsid w:val="00EA3F1D"/>
    <w:rsid w:val="00EA3FBD"/>
    <w:rsid w:val="00EA3FE9"/>
    <w:rsid w:val="00EA409A"/>
    <w:rsid w:val="00EA40DC"/>
    <w:rsid w:val="00EA4122"/>
    <w:rsid w:val="00EA4129"/>
    <w:rsid w:val="00EA418C"/>
    <w:rsid w:val="00EA42D6"/>
    <w:rsid w:val="00EA4300"/>
    <w:rsid w:val="00EA436D"/>
    <w:rsid w:val="00EA4376"/>
    <w:rsid w:val="00EA4387"/>
    <w:rsid w:val="00EA44A2"/>
    <w:rsid w:val="00EA4572"/>
    <w:rsid w:val="00EA478F"/>
    <w:rsid w:val="00EA47BB"/>
    <w:rsid w:val="00EA47C9"/>
    <w:rsid w:val="00EA4814"/>
    <w:rsid w:val="00EA484C"/>
    <w:rsid w:val="00EA4971"/>
    <w:rsid w:val="00EA4A80"/>
    <w:rsid w:val="00EA4A85"/>
    <w:rsid w:val="00EA4AB2"/>
    <w:rsid w:val="00EA4AF9"/>
    <w:rsid w:val="00EA4BC2"/>
    <w:rsid w:val="00EA4C68"/>
    <w:rsid w:val="00EA4CAB"/>
    <w:rsid w:val="00EA4D09"/>
    <w:rsid w:val="00EA4D39"/>
    <w:rsid w:val="00EA4E03"/>
    <w:rsid w:val="00EA4ED8"/>
    <w:rsid w:val="00EA4F0E"/>
    <w:rsid w:val="00EA4F92"/>
    <w:rsid w:val="00EA5090"/>
    <w:rsid w:val="00EA50AC"/>
    <w:rsid w:val="00EA5191"/>
    <w:rsid w:val="00EA51AF"/>
    <w:rsid w:val="00EA51DA"/>
    <w:rsid w:val="00EA53B2"/>
    <w:rsid w:val="00EA53B6"/>
    <w:rsid w:val="00EA54F9"/>
    <w:rsid w:val="00EA54FB"/>
    <w:rsid w:val="00EA5614"/>
    <w:rsid w:val="00EA563F"/>
    <w:rsid w:val="00EA5644"/>
    <w:rsid w:val="00EA5654"/>
    <w:rsid w:val="00EA567A"/>
    <w:rsid w:val="00EA5768"/>
    <w:rsid w:val="00EA5790"/>
    <w:rsid w:val="00EA57C2"/>
    <w:rsid w:val="00EA57CC"/>
    <w:rsid w:val="00EA580C"/>
    <w:rsid w:val="00EA5817"/>
    <w:rsid w:val="00EA58B2"/>
    <w:rsid w:val="00EA58B6"/>
    <w:rsid w:val="00EA58EC"/>
    <w:rsid w:val="00EA58F2"/>
    <w:rsid w:val="00EA5914"/>
    <w:rsid w:val="00EA5965"/>
    <w:rsid w:val="00EA5993"/>
    <w:rsid w:val="00EA59BB"/>
    <w:rsid w:val="00EA59D5"/>
    <w:rsid w:val="00EA5A2F"/>
    <w:rsid w:val="00EA5A4D"/>
    <w:rsid w:val="00EA5AAA"/>
    <w:rsid w:val="00EA5AB1"/>
    <w:rsid w:val="00EA5B00"/>
    <w:rsid w:val="00EA5B40"/>
    <w:rsid w:val="00EA5B42"/>
    <w:rsid w:val="00EA5C3B"/>
    <w:rsid w:val="00EA5C6A"/>
    <w:rsid w:val="00EA5C72"/>
    <w:rsid w:val="00EA5CC0"/>
    <w:rsid w:val="00EA5E31"/>
    <w:rsid w:val="00EA5E82"/>
    <w:rsid w:val="00EA5F1F"/>
    <w:rsid w:val="00EA5F7D"/>
    <w:rsid w:val="00EA60AB"/>
    <w:rsid w:val="00EA60BD"/>
    <w:rsid w:val="00EA6105"/>
    <w:rsid w:val="00EA6143"/>
    <w:rsid w:val="00EA616B"/>
    <w:rsid w:val="00EA616D"/>
    <w:rsid w:val="00EA6188"/>
    <w:rsid w:val="00EA61AD"/>
    <w:rsid w:val="00EA625E"/>
    <w:rsid w:val="00EA634B"/>
    <w:rsid w:val="00EA6427"/>
    <w:rsid w:val="00EA6490"/>
    <w:rsid w:val="00EA659D"/>
    <w:rsid w:val="00EA65AA"/>
    <w:rsid w:val="00EA6608"/>
    <w:rsid w:val="00EA667D"/>
    <w:rsid w:val="00EA6819"/>
    <w:rsid w:val="00EA6821"/>
    <w:rsid w:val="00EA6898"/>
    <w:rsid w:val="00EA68C6"/>
    <w:rsid w:val="00EA6967"/>
    <w:rsid w:val="00EA6A2A"/>
    <w:rsid w:val="00EA6A35"/>
    <w:rsid w:val="00EA6A6F"/>
    <w:rsid w:val="00EA6B93"/>
    <w:rsid w:val="00EA6BAA"/>
    <w:rsid w:val="00EA6BAC"/>
    <w:rsid w:val="00EA6C67"/>
    <w:rsid w:val="00EA6C70"/>
    <w:rsid w:val="00EA6C7C"/>
    <w:rsid w:val="00EA6C8D"/>
    <w:rsid w:val="00EA6CC1"/>
    <w:rsid w:val="00EA6D70"/>
    <w:rsid w:val="00EA6DD8"/>
    <w:rsid w:val="00EA6E32"/>
    <w:rsid w:val="00EA6E51"/>
    <w:rsid w:val="00EA6EA9"/>
    <w:rsid w:val="00EA6F23"/>
    <w:rsid w:val="00EA6F45"/>
    <w:rsid w:val="00EA6FF1"/>
    <w:rsid w:val="00EA705B"/>
    <w:rsid w:val="00EA7081"/>
    <w:rsid w:val="00EA708A"/>
    <w:rsid w:val="00EA70D8"/>
    <w:rsid w:val="00EA7148"/>
    <w:rsid w:val="00EA7177"/>
    <w:rsid w:val="00EA71E8"/>
    <w:rsid w:val="00EA7338"/>
    <w:rsid w:val="00EA7381"/>
    <w:rsid w:val="00EA748E"/>
    <w:rsid w:val="00EA74B4"/>
    <w:rsid w:val="00EA751A"/>
    <w:rsid w:val="00EA7541"/>
    <w:rsid w:val="00EA754E"/>
    <w:rsid w:val="00EA7555"/>
    <w:rsid w:val="00EA759E"/>
    <w:rsid w:val="00EA75AF"/>
    <w:rsid w:val="00EA75D9"/>
    <w:rsid w:val="00EA75FF"/>
    <w:rsid w:val="00EA7649"/>
    <w:rsid w:val="00EA7691"/>
    <w:rsid w:val="00EA76D4"/>
    <w:rsid w:val="00EA76FA"/>
    <w:rsid w:val="00EA7757"/>
    <w:rsid w:val="00EA77AC"/>
    <w:rsid w:val="00EA77CE"/>
    <w:rsid w:val="00EA782C"/>
    <w:rsid w:val="00EA7841"/>
    <w:rsid w:val="00EA7868"/>
    <w:rsid w:val="00EA7920"/>
    <w:rsid w:val="00EA7A50"/>
    <w:rsid w:val="00EA7B24"/>
    <w:rsid w:val="00EA7B72"/>
    <w:rsid w:val="00EA7C36"/>
    <w:rsid w:val="00EA7CF8"/>
    <w:rsid w:val="00EA7DEF"/>
    <w:rsid w:val="00EA7E17"/>
    <w:rsid w:val="00EA7E34"/>
    <w:rsid w:val="00EA7E4D"/>
    <w:rsid w:val="00EA7E6B"/>
    <w:rsid w:val="00EA7F44"/>
    <w:rsid w:val="00EA7F8A"/>
    <w:rsid w:val="00EA7FBB"/>
    <w:rsid w:val="00EB00A1"/>
    <w:rsid w:val="00EB011D"/>
    <w:rsid w:val="00EB0158"/>
    <w:rsid w:val="00EB01AB"/>
    <w:rsid w:val="00EB029B"/>
    <w:rsid w:val="00EB02BC"/>
    <w:rsid w:val="00EB02C8"/>
    <w:rsid w:val="00EB0321"/>
    <w:rsid w:val="00EB03B8"/>
    <w:rsid w:val="00EB03BB"/>
    <w:rsid w:val="00EB03BF"/>
    <w:rsid w:val="00EB03E0"/>
    <w:rsid w:val="00EB0462"/>
    <w:rsid w:val="00EB047C"/>
    <w:rsid w:val="00EB04E7"/>
    <w:rsid w:val="00EB061B"/>
    <w:rsid w:val="00EB0798"/>
    <w:rsid w:val="00EB07C9"/>
    <w:rsid w:val="00EB07D0"/>
    <w:rsid w:val="00EB0826"/>
    <w:rsid w:val="00EB0830"/>
    <w:rsid w:val="00EB0838"/>
    <w:rsid w:val="00EB089E"/>
    <w:rsid w:val="00EB08AD"/>
    <w:rsid w:val="00EB08C4"/>
    <w:rsid w:val="00EB0A1E"/>
    <w:rsid w:val="00EB0A9D"/>
    <w:rsid w:val="00EB0AF3"/>
    <w:rsid w:val="00EB0B3C"/>
    <w:rsid w:val="00EB0C0E"/>
    <w:rsid w:val="00EB0C34"/>
    <w:rsid w:val="00EB0C71"/>
    <w:rsid w:val="00EB0DE2"/>
    <w:rsid w:val="00EB0E49"/>
    <w:rsid w:val="00EB0E55"/>
    <w:rsid w:val="00EB0EB0"/>
    <w:rsid w:val="00EB0FE4"/>
    <w:rsid w:val="00EB10D6"/>
    <w:rsid w:val="00EB115C"/>
    <w:rsid w:val="00EB1188"/>
    <w:rsid w:val="00EB1193"/>
    <w:rsid w:val="00EB11A3"/>
    <w:rsid w:val="00EB129A"/>
    <w:rsid w:val="00EB1392"/>
    <w:rsid w:val="00EB13CD"/>
    <w:rsid w:val="00EB144F"/>
    <w:rsid w:val="00EB1467"/>
    <w:rsid w:val="00EB14B9"/>
    <w:rsid w:val="00EB14CD"/>
    <w:rsid w:val="00EB15A6"/>
    <w:rsid w:val="00EB15BC"/>
    <w:rsid w:val="00EB1631"/>
    <w:rsid w:val="00EB1632"/>
    <w:rsid w:val="00EB167C"/>
    <w:rsid w:val="00EB16CC"/>
    <w:rsid w:val="00EB1784"/>
    <w:rsid w:val="00EB179A"/>
    <w:rsid w:val="00EB17E7"/>
    <w:rsid w:val="00EB1849"/>
    <w:rsid w:val="00EB19DE"/>
    <w:rsid w:val="00EB1A29"/>
    <w:rsid w:val="00EB1AAA"/>
    <w:rsid w:val="00EB1AF7"/>
    <w:rsid w:val="00EB1BBB"/>
    <w:rsid w:val="00EB1BFD"/>
    <w:rsid w:val="00EB1CFD"/>
    <w:rsid w:val="00EB1D9B"/>
    <w:rsid w:val="00EB1DAF"/>
    <w:rsid w:val="00EB1DE8"/>
    <w:rsid w:val="00EB1E4F"/>
    <w:rsid w:val="00EB1ED0"/>
    <w:rsid w:val="00EB1F0C"/>
    <w:rsid w:val="00EB1F8E"/>
    <w:rsid w:val="00EB202A"/>
    <w:rsid w:val="00EB20F6"/>
    <w:rsid w:val="00EB2112"/>
    <w:rsid w:val="00EB2173"/>
    <w:rsid w:val="00EB2177"/>
    <w:rsid w:val="00EB2238"/>
    <w:rsid w:val="00EB2294"/>
    <w:rsid w:val="00EB233A"/>
    <w:rsid w:val="00EB233B"/>
    <w:rsid w:val="00EB23CB"/>
    <w:rsid w:val="00EB23CD"/>
    <w:rsid w:val="00EB247C"/>
    <w:rsid w:val="00EB24B7"/>
    <w:rsid w:val="00EB24D8"/>
    <w:rsid w:val="00EB24F6"/>
    <w:rsid w:val="00EB2530"/>
    <w:rsid w:val="00EB2543"/>
    <w:rsid w:val="00EB2620"/>
    <w:rsid w:val="00EB2658"/>
    <w:rsid w:val="00EB26B3"/>
    <w:rsid w:val="00EB271E"/>
    <w:rsid w:val="00EB277D"/>
    <w:rsid w:val="00EB28A4"/>
    <w:rsid w:val="00EB2902"/>
    <w:rsid w:val="00EB2962"/>
    <w:rsid w:val="00EB29E9"/>
    <w:rsid w:val="00EB2A14"/>
    <w:rsid w:val="00EB2A58"/>
    <w:rsid w:val="00EB2A75"/>
    <w:rsid w:val="00EB2B08"/>
    <w:rsid w:val="00EB2B79"/>
    <w:rsid w:val="00EB2BA2"/>
    <w:rsid w:val="00EB2BF7"/>
    <w:rsid w:val="00EB2CB5"/>
    <w:rsid w:val="00EB2D1A"/>
    <w:rsid w:val="00EB2D30"/>
    <w:rsid w:val="00EB2D53"/>
    <w:rsid w:val="00EB2DCD"/>
    <w:rsid w:val="00EB2E0E"/>
    <w:rsid w:val="00EB2E13"/>
    <w:rsid w:val="00EB2E96"/>
    <w:rsid w:val="00EB2EB3"/>
    <w:rsid w:val="00EB2EEF"/>
    <w:rsid w:val="00EB2F6C"/>
    <w:rsid w:val="00EB309A"/>
    <w:rsid w:val="00EB31B3"/>
    <w:rsid w:val="00EB32AA"/>
    <w:rsid w:val="00EB333A"/>
    <w:rsid w:val="00EB3432"/>
    <w:rsid w:val="00EB3465"/>
    <w:rsid w:val="00EB3475"/>
    <w:rsid w:val="00EB34CB"/>
    <w:rsid w:val="00EB34CD"/>
    <w:rsid w:val="00EB34E2"/>
    <w:rsid w:val="00EB3503"/>
    <w:rsid w:val="00EB353B"/>
    <w:rsid w:val="00EB354F"/>
    <w:rsid w:val="00EB3582"/>
    <w:rsid w:val="00EB35A6"/>
    <w:rsid w:val="00EB35E1"/>
    <w:rsid w:val="00EB362F"/>
    <w:rsid w:val="00EB3637"/>
    <w:rsid w:val="00EB3755"/>
    <w:rsid w:val="00EB3773"/>
    <w:rsid w:val="00EB37AC"/>
    <w:rsid w:val="00EB390B"/>
    <w:rsid w:val="00EB393C"/>
    <w:rsid w:val="00EB3A1A"/>
    <w:rsid w:val="00EB3BB8"/>
    <w:rsid w:val="00EB3C09"/>
    <w:rsid w:val="00EB3C5F"/>
    <w:rsid w:val="00EB3CDB"/>
    <w:rsid w:val="00EB3CE0"/>
    <w:rsid w:val="00EB3D49"/>
    <w:rsid w:val="00EB3D7E"/>
    <w:rsid w:val="00EB3E56"/>
    <w:rsid w:val="00EB3E82"/>
    <w:rsid w:val="00EB3EE9"/>
    <w:rsid w:val="00EB3F19"/>
    <w:rsid w:val="00EB3F3D"/>
    <w:rsid w:val="00EB3F76"/>
    <w:rsid w:val="00EB40BA"/>
    <w:rsid w:val="00EB41C9"/>
    <w:rsid w:val="00EB41ED"/>
    <w:rsid w:val="00EB420D"/>
    <w:rsid w:val="00EB4222"/>
    <w:rsid w:val="00EB422D"/>
    <w:rsid w:val="00EB4365"/>
    <w:rsid w:val="00EB437D"/>
    <w:rsid w:val="00EB43E2"/>
    <w:rsid w:val="00EB4417"/>
    <w:rsid w:val="00EB4487"/>
    <w:rsid w:val="00EB44AC"/>
    <w:rsid w:val="00EB455A"/>
    <w:rsid w:val="00EB465C"/>
    <w:rsid w:val="00EB46BF"/>
    <w:rsid w:val="00EB4766"/>
    <w:rsid w:val="00EB4782"/>
    <w:rsid w:val="00EB47B5"/>
    <w:rsid w:val="00EB47F1"/>
    <w:rsid w:val="00EB48D2"/>
    <w:rsid w:val="00EB48F8"/>
    <w:rsid w:val="00EB4925"/>
    <w:rsid w:val="00EB49F8"/>
    <w:rsid w:val="00EB4A2E"/>
    <w:rsid w:val="00EB4A4A"/>
    <w:rsid w:val="00EB4ABB"/>
    <w:rsid w:val="00EB4BBE"/>
    <w:rsid w:val="00EB4C1A"/>
    <w:rsid w:val="00EB4CCB"/>
    <w:rsid w:val="00EB4D07"/>
    <w:rsid w:val="00EB4D1A"/>
    <w:rsid w:val="00EB4E1F"/>
    <w:rsid w:val="00EB4E7D"/>
    <w:rsid w:val="00EB4EB8"/>
    <w:rsid w:val="00EB4FAC"/>
    <w:rsid w:val="00EB4FFB"/>
    <w:rsid w:val="00EB5008"/>
    <w:rsid w:val="00EB50B1"/>
    <w:rsid w:val="00EB529D"/>
    <w:rsid w:val="00EB52B1"/>
    <w:rsid w:val="00EB52EC"/>
    <w:rsid w:val="00EB548D"/>
    <w:rsid w:val="00EB5496"/>
    <w:rsid w:val="00EB54BA"/>
    <w:rsid w:val="00EB55AF"/>
    <w:rsid w:val="00EB56C1"/>
    <w:rsid w:val="00EB56FB"/>
    <w:rsid w:val="00EB5784"/>
    <w:rsid w:val="00EB57AF"/>
    <w:rsid w:val="00EB57B7"/>
    <w:rsid w:val="00EB5934"/>
    <w:rsid w:val="00EB5A3C"/>
    <w:rsid w:val="00EB5A95"/>
    <w:rsid w:val="00EB5ACE"/>
    <w:rsid w:val="00EB5AE4"/>
    <w:rsid w:val="00EB5AFA"/>
    <w:rsid w:val="00EB5B11"/>
    <w:rsid w:val="00EB5B1C"/>
    <w:rsid w:val="00EB5B23"/>
    <w:rsid w:val="00EB5B45"/>
    <w:rsid w:val="00EB5BA6"/>
    <w:rsid w:val="00EB5C1B"/>
    <w:rsid w:val="00EB5CEE"/>
    <w:rsid w:val="00EB5E60"/>
    <w:rsid w:val="00EB5ED1"/>
    <w:rsid w:val="00EB5F1B"/>
    <w:rsid w:val="00EB5F3B"/>
    <w:rsid w:val="00EB5F56"/>
    <w:rsid w:val="00EB5F5A"/>
    <w:rsid w:val="00EB5FF8"/>
    <w:rsid w:val="00EB6144"/>
    <w:rsid w:val="00EB61A0"/>
    <w:rsid w:val="00EB61B9"/>
    <w:rsid w:val="00EB621E"/>
    <w:rsid w:val="00EB6282"/>
    <w:rsid w:val="00EB6288"/>
    <w:rsid w:val="00EB62E8"/>
    <w:rsid w:val="00EB6346"/>
    <w:rsid w:val="00EB63DC"/>
    <w:rsid w:val="00EB63F6"/>
    <w:rsid w:val="00EB63F8"/>
    <w:rsid w:val="00EB6427"/>
    <w:rsid w:val="00EB64B7"/>
    <w:rsid w:val="00EB64C1"/>
    <w:rsid w:val="00EB64C4"/>
    <w:rsid w:val="00EB6502"/>
    <w:rsid w:val="00EB650D"/>
    <w:rsid w:val="00EB65DE"/>
    <w:rsid w:val="00EB660A"/>
    <w:rsid w:val="00EB6641"/>
    <w:rsid w:val="00EB66C8"/>
    <w:rsid w:val="00EB66CD"/>
    <w:rsid w:val="00EB6740"/>
    <w:rsid w:val="00EB68B8"/>
    <w:rsid w:val="00EB69D5"/>
    <w:rsid w:val="00EB6B43"/>
    <w:rsid w:val="00EB6B53"/>
    <w:rsid w:val="00EB6BC5"/>
    <w:rsid w:val="00EB6C4E"/>
    <w:rsid w:val="00EB6C88"/>
    <w:rsid w:val="00EB6CDB"/>
    <w:rsid w:val="00EB6E9D"/>
    <w:rsid w:val="00EB6F33"/>
    <w:rsid w:val="00EB6FAD"/>
    <w:rsid w:val="00EB703D"/>
    <w:rsid w:val="00EB70E5"/>
    <w:rsid w:val="00EB7119"/>
    <w:rsid w:val="00EB728F"/>
    <w:rsid w:val="00EB72D8"/>
    <w:rsid w:val="00EB7303"/>
    <w:rsid w:val="00EB7317"/>
    <w:rsid w:val="00EB7421"/>
    <w:rsid w:val="00EB750F"/>
    <w:rsid w:val="00EB752A"/>
    <w:rsid w:val="00EB7622"/>
    <w:rsid w:val="00EB7624"/>
    <w:rsid w:val="00EB76F1"/>
    <w:rsid w:val="00EB77B8"/>
    <w:rsid w:val="00EB77D7"/>
    <w:rsid w:val="00EB77DB"/>
    <w:rsid w:val="00EB7814"/>
    <w:rsid w:val="00EB783B"/>
    <w:rsid w:val="00EB785C"/>
    <w:rsid w:val="00EB78A2"/>
    <w:rsid w:val="00EB78E4"/>
    <w:rsid w:val="00EB78F8"/>
    <w:rsid w:val="00EB791C"/>
    <w:rsid w:val="00EB79A6"/>
    <w:rsid w:val="00EB79B8"/>
    <w:rsid w:val="00EB7A50"/>
    <w:rsid w:val="00EB7AE5"/>
    <w:rsid w:val="00EB7C67"/>
    <w:rsid w:val="00EB7C68"/>
    <w:rsid w:val="00EB7CD3"/>
    <w:rsid w:val="00EB7D3C"/>
    <w:rsid w:val="00EB7D3E"/>
    <w:rsid w:val="00EB7E9D"/>
    <w:rsid w:val="00EB7FC3"/>
    <w:rsid w:val="00EC0006"/>
    <w:rsid w:val="00EC005D"/>
    <w:rsid w:val="00EC00A4"/>
    <w:rsid w:val="00EC0100"/>
    <w:rsid w:val="00EC012B"/>
    <w:rsid w:val="00EC01DE"/>
    <w:rsid w:val="00EC023F"/>
    <w:rsid w:val="00EC02AD"/>
    <w:rsid w:val="00EC03DA"/>
    <w:rsid w:val="00EC03F9"/>
    <w:rsid w:val="00EC046B"/>
    <w:rsid w:val="00EC048D"/>
    <w:rsid w:val="00EC049A"/>
    <w:rsid w:val="00EC04DE"/>
    <w:rsid w:val="00EC059E"/>
    <w:rsid w:val="00EC05D4"/>
    <w:rsid w:val="00EC0624"/>
    <w:rsid w:val="00EC062F"/>
    <w:rsid w:val="00EC0732"/>
    <w:rsid w:val="00EC0755"/>
    <w:rsid w:val="00EC079A"/>
    <w:rsid w:val="00EC07B4"/>
    <w:rsid w:val="00EC07DE"/>
    <w:rsid w:val="00EC0851"/>
    <w:rsid w:val="00EC0945"/>
    <w:rsid w:val="00EC0981"/>
    <w:rsid w:val="00EC0A9C"/>
    <w:rsid w:val="00EC0B4D"/>
    <w:rsid w:val="00EC0B59"/>
    <w:rsid w:val="00EC0C0A"/>
    <w:rsid w:val="00EC0C76"/>
    <w:rsid w:val="00EC0CC4"/>
    <w:rsid w:val="00EC0E81"/>
    <w:rsid w:val="00EC0F1F"/>
    <w:rsid w:val="00EC0F98"/>
    <w:rsid w:val="00EC108C"/>
    <w:rsid w:val="00EC10D3"/>
    <w:rsid w:val="00EC123E"/>
    <w:rsid w:val="00EC1253"/>
    <w:rsid w:val="00EC1283"/>
    <w:rsid w:val="00EC12AB"/>
    <w:rsid w:val="00EC12EC"/>
    <w:rsid w:val="00EC139E"/>
    <w:rsid w:val="00EC1697"/>
    <w:rsid w:val="00EC16E8"/>
    <w:rsid w:val="00EC16F8"/>
    <w:rsid w:val="00EC16F9"/>
    <w:rsid w:val="00EC1700"/>
    <w:rsid w:val="00EC17D4"/>
    <w:rsid w:val="00EC1802"/>
    <w:rsid w:val="00EC181F"/>
    <w:rsid w:val="00EC1825"/>
    <w:rsid w:val="00EC1888"/>
    <w:rsid w:val="00EC1940"/>
    <w:rsid w:val="00EC1951"/>
    <w:rsid w:val="00EC1959"/>
    <w:rsid w:val="00EC199A"/>
    <w:rsid w:val="00EC19CD"/>
    <w:rsid w:val="00EC1A82"/>
    <w:rsid w:val="00EC1AA0"/>
    <w:rsid w:val="00EC1ADE"/>
    <w:rsid w:val="00EC1B3C"/>
    <w:rsid w:val="00EC1B90"/>
    <w:rsid w:val="00EC1BDD"/>
    <w:rsid w:val="00EC1C7A"/>
    <w:rsid w:val="00EC1D25"/>
    <w:rsid w:val="00EC1D2D"/>
    <w:rsid w:val="00EC1DD4"/>
    <w:rsid w:val="00EC1DEB"/>
    <w:rsid w:val="00EC1E00"/>
    <w:rsid w:val="00EC1EE2"/>
    <w:rsid w:val="00EC1F0A"/>
    <w:rsid w:val="00EC1F6D"/>
    <w:rsid w:val="00EC1FE7"/>
    <w:rsid w:val="00EC20C8"/>
    <w:rsid w:val="00EC20F8"/>
    <w:rsid w:val="00EC213E"/>
    <w:rsid w:val="00EC2230"/>
    <w:rsid w:val="00EC2256"/>
    <w:rsid w:val="00EC2273"/>
    <w:rsid w:val="00EC234B"/>
    <w:rsid w:val="00EC25CB"/>
    <w:rsid w:val="00EC2696"/>
    <w:rsid w:val="00EC2725"/>
    <w:rsid w:val="00EC2793"/>
    <w:rsid w:val="00EC27EC"/>
    <w:rsid w:val="00EC2806"/>
    <w:rsid w:val="00EC280A"/>
    <w:rsid w:val="00EC283D"/>
    <w:rsid w:val="00EC2886"/>
    <w:rsid w:val="00EC288E"/>
    <w:rsid w:val="00EC2966"/>
    <w:rsid w:val="00EC296A"/>
    <w:rsid w:val="00EC2988"/>
    <w:rsid w:val="00EC2A35"/>
    <w:rsid w:val="00EC2A89"/>
    <w:rsid w:val="00EC2AB6"/>
    <w:rsid w:val="00EC2BC1"/>
    <w:rsid w:val="00EC2C82"/>
    <w:rsid w:val="00EC2CAA"/>
    <w:rsid w:val="00EC2D75"/>
    <w:rsid w:val="00EC2D94"/>
    <w:rsid w:val="00EC2DC0"/>
    <w:rsid w:val="00EC2DC6"/>
    <w:rsid w:val="00EC2E4E"/>
    <w:rsid w:val="00EC2EE2"/>
    <w:rsid w:val="00EC2F61"/>
    <w:rsid w:val="00EC2F67"/>
    <w:rsid w:val="00EC2FA2"/>
    <w:rsid w:val="00EC2FB4"/>
    <w:rsid w:val="00EC30C7"/>
    <w:rsid w:val="00EC3148"/>
    <w:rsid w:val="00EC31B3"/>
    <w:rsid w:val="00EC31D5"/>
    <w:rsid w:val="00EC3247"/>
    <w:rsid w:val="00EC3298"/>
    <w:rsid w:val="00EC331C"/>
    <w:rsid w:val="00EC3339"/>
    <w:rsid w:val="00EC33A5"/>
    <w:rsid w:val="00EC33A8"/>
    <w:rsid w:val="00EC343A"/>
    <w:rsid w:val="00EC34CB"/>
    <w:rsid w:val="00EC34D6"/>
    <w:rsid w:val="00EC34DC"/>
    <w:rsid w:val="00EC3521"/>
    <w:rsid w:val="00EC3560"/>
    <w:rsid w:val="00EC3592"/>
    <w:rsid w:val="00EC3623"/>
    <w:rsid w:val="00EC3666"/>
    <w:rsid w:val="00EC367A"/>
    <w:rsid w:val="00EC3714"/>
    <w:rsid w:val="00EC3741"/>
    <w:rsid w:val="00EC37D5"/>
    <w:rsid w:val="00EC37FF"/>
    <w:rsid w:val="00EC3846"/>
    <w:rsid w:val="00EC38C9"/>
    <w:rsid w:val="00EC394D"/>
    <w:rsid w:val="00EC3A00"/>
    <w:rsid w:val="00EC3A2C"/>
    <w:rsid w:val="00EC3A45"/>
    <w:rsid w:val="00EC3A9A"/>
    <w:rsid w:val="00EC3B2A"/>
    <w:rsid w:val="00EC3BF4"/>
    <w:rsid w:val="00EC3C07"/>
    <w:rsid w:val="00EC3C90"/>
    <w:rsid w:val="00EC3CBC"/>
    <w:rsid w:val="00EC3D00"/>
    <w:rsid w:val="00EC3D29"/>
    <w:rsid w:val="00EC3D59"/>
    <w:rsid w:val="00EC3D99"/>
    <w:rsid w:val="00EC3E3F"/>
    <w:rsid w:val="00EC3F60"/>
    <w:rsid w:val="00EC3F8F"/>
    <w:rsid w:val="00EC403F"/>
    <w:rsid w:val="00EC4044"/>
    <w:rsid w:val="00EC4101"/>
    <w:rsid w:val="00EC4113"/>
    <w:rsid w:val="00EC4190"/>
    <w:rsid w:val="00EC41F9"/>
    <w:rsid w:val="00EC426A"/>
    <w:rsid w:val="00EC4288"/>
    <w:rsid w:val="00EC42CF"/>
    <w:rsid w:val="00EC4300"/>
    <w:rsid w:val="00EC4320"/>
    <w:rsid w:val="00EC4365"/>
    <w:rsid w:val="00EC43E4"/>
    <w:rsid w:val="00EC44D2"/>
    <w:rsid w:val="00EC4607"/>
    <w:rsid w:val="00EC46AA"/>
    <w:rsid w:val="00EC47D2"/>
    <w:rsid w:val="00EC4869"/>
    <w:rsid w:val="00EC489B"/>
    <w:rsid w:val="00EC48A8"/>
    <w:rsid w:val="00EC48BE"/>
    <w:rsid w:val="00EC4970"/>
    <w:rsid w:val="00EC4A39"/>
    <w:rsid w:val="00EC4A6A"/>
    <w:rsid w:val="00EC4AD5"/>
    <w:rsid w:val="00EC4B13"/>
    <w:rsid w:val="00EC4B37"/>
    <w:rsid w:val="00EC4B6A"/>
    <w:rsid w:val="00EC4BB8"/>
    <w:rsid w:val="00EC4BC0"/>
    <w:rsid w:val="00EC4BC9"/>
    <w:rsid w:val="00EC4C53"/>
    <w:rsid w:val="00EC4CE0"/>
    <w:rsid w:val="00EC4CE8"/>
    <w:rsid w:val="00EC4DC7"/>
    <w:rsid w:val="00EC4DF6"/>
    <w:rsid w:val="00EC4E58"/>
    <w:rsid w:val="00EC4EBC"/>
    <w:rsid w:val="00EC4ED7"/>
    <w:rsid w:val="00EC4F32"/>
    <w:rsid w:val="00EC5036"/>
    <w:rsid w:val="00EC50DA"/>
    <w:rsid w:val="00EC5140"/>
    <w:rsid w:val="00EC5145"/>
    <w:rsid w:val="00EC51A7"/>
    <w:rsid w:val="00EC5252"/>
    <w:rsid w:val="00EC5259"/>
    <w:rsid w:val="00EC52FD"/>
    <w:rsid w:val="00EC532F"/>
    <w:rsid w:val="00EC5336"/>
    <w:rsid w:val="00EC541B"/>
    <w:rsid w:val="00EC5490"/>
    <w:rsid w:val="00EC54AF"/>
    <w:rsid w:val="00EC550F"/>
    <w:rsid w:val="00EC55A3"/>
    <w:rsid w:val="00EC55D6"/>
    <w:rsid w:val="00EC55E6"/>
    <w:rsid w:val="00EC562B"/>
    <w:rsid w:val="00EC5647"/>
    <w:rsid w:val="00EC5663"/>
    <w:rsid w:val="00EC5681"/>
    <w:rsid w:val="00EC57B4"/>
    <w:rsid w:val="00EC57BB"/>
    <w:rsid w:val="00EC58AE"/>
    <w:rsid w:val="00EC591F"/>
    <w:rsid w:val="00EC59DE"/>
    <w:rsid w:val="00EC5A83"/>
    <w:rsid w:val="00EC5B59"/>
    <w:rsid w:val="00EC5BDF"/>
    <w:rsid w:val="00EC5CA3"/>
    <w:rsid w:val="00EC5D92"/>
    <w:rsid w:val="00EC5E45"/>
    <w:rsid w:val="00EC5EA8"/>
    <w:rsid w:val="00EC5F26"/>
    <w:rsid w:val="00EC61FB"/>
    <w:rsid w:val="00EC620C"/>
    <w:rsid w:val="00EC629F"/>
    <w:rsid w:val="00EC62A8"/>
    <w:rsid w:val="00EC62BE"/>
    <w:rsid w:val="00EC6312"/>
    <w:rsid w:val="00EC63A5"/>
    <w:rsid w:val="00EC658A"/>
    <w:rsid w:val="00EC65C4"/>
    <w:rsid w:val="00EC6689"/>
    <w:rsid w:val="00EC668E"/>
    <w:rsid w:val="00EC66DA"/>
    <w:rsid w:val="00EC66ED"/>
    <w:rsid w:val="00EC673A"/>
    <w:rsid w:val="00EC67D1"/>
    <w:rsid w:val="00EC67D9"/>
    <w:rsid w:val="00EC6946"/>
    <w:rsid w:val="00EC694E"/>
    <w:rsid w:val="00EC6983"/>
    <w:rsid w:val="00EC6990"/>
    <w:rsid w:val="00EC69D0"/>
    <w:rsid w:val="00EC6A82"/>
    <w:rsid w:val="00EC6B5A"/>
    <w:rsid w:val="00EC6B66"/>
    <w:rsid w:val="00EC6B8F"/>
    <w:rsid w:val="00EC6BDD"/>
    <w:rsid w:val="00EC6BF0"/>
    <w:rsid w:val="00EC6BF1"/>
    <w:rsid w:val="00EC6C91"/>
    <w:rsid w:val="00EC6CA6"/>
    <w:rsid w:val="00EC6CBD"/>
    <w:rsid w:val="00EC6CCF"/>
    <w:rsid w:val="00EC6D81"/>
    <w:rsid w:val="00EC6DDE"/>
    <w:rsid w:val="00EC6DE9"/>
    <w:rsid w:val="00EC6DF5"/>
    <w:rsid w:val="00EC6E3E"/>
    <w:rsid w:val="00EC6E9D"/>
    <w:rsid w:val="00EC6F06"/>
    <w:rsid w:val="00EC7041"/>
    <w:rsid w:val="00EC7048"/>
    <w:rsid w:val="00EC70B9"/>
    <w:rsid w:val="00EC70CC"/>
    <w:rsid w:val="00EC70D4"/>
    <w:rsid w:val="00EC72CC"/>
    <w:rsid w:val="00EC731A"/>
    <w:rsid w:val="00EC756D"/>
    <w:rsid w:val="00EC7629"/>
    <w:rsid w:val="00EC7668"/>
    <w:rsid w:val="00EC766F"/>
    <w:rsid w:val="00EC7670"/>
    <w:rsid w:val="00EC772F"/>
    <w:rsid w:val="00EC781E"/>
    <w:rsid w:val="00EC7833"/>
    <w:rsid w:val="00EC7882"/>
    <w:rsid w:val="00EC79EC"/>
    <w:rsid w:val="00EC7AB2"/>
    <w:rsid w:val="00EC7AB7"/>
    <w:rsid w:val="00EC7ACE"/>
    <w:rsid w:val="00EC7B24"/>
    <w:rsid w:val="00EC7BB2"/>
    <w:rsid w:val="00EC7D9F"/>
    <w:rsid w:val="00EC7DCC"/>
    <w:rsid w:val="00EC7E5C"/>
    <w:rsid w:val="00EC7ED7"/>
    <w:rsid w:val="00EC7F89"/>
    <w:rsid w:val="00ED0009"/>
    <w:rsid w:val="00ED0010"/>
    <w:rsid w:val="00ED0038"/>
    <w:rsid w:val="00ED024C"/>
    <w:rsid w:val="00ED02B6"/>
    <w:rsid w:val="00ED0330"/>
    <w:rsid w:val="00ED0365"/>
    <w:rsid w:val="00ED0486"/>
    <w:rsid w:val="00ED0529"/>
    <w:rsid w:val="00ED0588"/>
    <w:rsid w:val="00ED05DB"/>
    <w:rsid w:val="00ED0705"/>
    <w:rsid w:val="00ED074C"/>
    <w:rsid w:val="00ED078C"/>
    <w:rsid w:val="00ED084B"/>
    <w:rsid w:val="00ED08E7"/>
    <w:rsid w:val="00ED092B"/>
    <w:rsid w:val="00ED0A60"/>
    <w:rsid w:val="00ED0B22"/>
    <w:rsid w:val="00ED0B47"/>
    <w:rsid w:val="00ED0CDB"/>
    <w:rsid w:val="00ED0D47"/>
    <w:rsid w:val="00ED0D7D"/>
    <w:rsid w:val="00ED0D96"/>
    <w:rsid w:val="00ED0DB5"/>
    <w:rsid w:val="00ED0DE6"/>
    <w:rsid w:val="00ED0FC1"/>
    <w:rsid w:val="00ED1026"/>
    <w:rsid w:val="00ED103A"/>
    <w:rsid w:val="00ED1062"/>
    <w:rsid w:val="00ED10C9"/>
    <w:rsid w:val="00ED10E2"/>
    <w:rsid w:val="00ED1215"/>
    <w:rsid w:val="00ED123D"/>
    <w:rsid w:val="00ED12AC"/>
    <w:rsid w:val="00ED12B4"/>
    <w:rsid w:val="00ED139F"/>
    <w:rsid w:val="00ED14D6"/>
    <w:rsid w:val="00ED14F8"/>
    <w:rsid w:val="00ED14F9"/>
    <w:rsid w:val="00ED163D"/>
    <w:rsid w:val="00ED1673"/>
    <w:rsid w:val="00ED1787"/>
    <w:rsid w:val="00ED1819"/>
    <w:rsid w:val="00ED1872"/>
    <w:rsid w:val="00ED195B"/>
    <w:rsid w:val="00ED19DF"/>
    <w:rsid w:val="00ED1A8E"/>
    <w:rsid w:val="00ED1B2B"/>
    <w:rsid w:val="00ED1B7A"/>
    <w:rsid w:val="00ED1C11"/>
    <w:rsid w:val="00ED1C44"/>
    <w:rsid w:val="00ED1C64"/>
    <w:rsid w:val="00ED1D53"/>
    <w:rsid w:val="00ED1D95"/>
    <w:rsid w:val="00ED1EA2"/>
    <w:rsid w:val="00ED1F15"/>
    <w:rsid w:val="00ED1F38"/>
    <w:rsid w:val="00ED1F3E"/>
    <w:rsid w:val="00ED1F4C"/>
    <w:rsid w:val="00ED1FFC"/>
    <w:rsid w:val="00ED208B"/>
    <w:rsid w:val="00ED209A"/>
    <w:rsid w:val="00ED210A"/>
    <w:rsid w:val="00ED211F"/>
    <w:rsid w:val="00ED2141"/>
    <w:rsid w:val="00ED2192"/>
    <w:rsid w:val="00ED220C"/>
    <w:rsid w:val="00ED226D"/>
    <w:rsid w:val="00ED230F"/>
    <w:rsid w:val="00ED234E"/>
    <w:rsid w:val="00ED2427"/>
    <w:rsid w:val="00ED246A"/>
    <w:rsid w:val="00ED2471"/>
    <w:rsid w:val="00ED24AA"/>
    <w:rsid w:val="00ED24C6"/>
    <w:rsid w:val="00ED251A"/>
    <w:rsid w:val="00ED253B"/>
    <w:rsid w:val="00ED25AD"/>
    <w:rsid w:val="00ED25BD"/>
    <w:rsid w:val="00ED25CF"/>
    <w:rsid w:val="00ED26D2"/>
    <w:rsid w:val="00ED26DA"/>
    <w:rsid w:val="00ED2704"/>
    <w:rsid w:val="00ED2714"/>
    <w:rsid w:val="00ED2755"/>
    <w:rsid w:val="00ED2756"/>
    <w:rsid w:val="00ED2777"/>
    <w:rsid w:val="00ED279B"/>
    <w:rsid w:val="00ED2801"/>
    <w:rsid w:val="00ED2898"/>
    <w:rsid w:val="00ED289D"/>
    <w:rsid w:val="00ED289E"/>
    <w:rsid w:val="00ED28B0"/>
    <w:rsid w:val="00ED28B7"/>
    <w:rsid w:val="00ED28DD"/>
    <w:rsid w:val="00ED2911"/>
    <w:rsid w:val="00ED2924"/>
    <w:rsid w:val="00ED2A07"/>
    <w:rsid w:val="00ED2A5D"/>
    <w:rsid w:val="00ED2AA6"/>
    <w:rsid w:val="00ED2AC5"/>
    <w:rsid w:val="00ED2AC7"/>
    <w:rsid w:val="00ED2B57"/>
    <w:rsid w:val="00ED2C00"/>
    <w:rsid w:val="00ED2C41"/>
    <w:rsid w:val="00ED2CA0"/>
    <w:rsid w:val="00ED2D2D"/>
    <w:rsid w:val="00ED2D35"/>
    <w:rsid w:val="00ED2E70"/>
    <w:rsid w:val="00ED3053"/>
    <w:rsid w:val="00ED3069"/>
    <w:rsid w:val="00ED3094"/>
    <w:rsid w:val="00ED3218"/>
    <w:rsid w:val="00ED32A1"/>
    <w:rsid w:val="00ED332D"/>
    <w:rsid w:val="00ED337E"/>
    <w:rsid w:val="00ED33E5"/>
    <w:rsid w:val="00ED347D"/>
    <w:rsid w:val="00ED349E"/>
    <w:rsid w:val="00ED34A5"/>
    <w:rsid w:val="00ED350F"/>
    <w:rsid w:val="00ED354B"/>
    <w:rsid w:val="00ED35A2"/>
    <w:rsid w:val="00ED35AB"/>
    <w:rsid w:val="00ED366E"/>
    <w:rsid w:val="00ED3825"/>
    <w:rsid w:val="00ED3887"/>
    <w:rsid w:val="00ED3952"/>
    <w:rsid w:val="00ED3994"/>
    <w:rsid w:val="00ED39C7"/>
    <w:rsid w:val="00ED39F8"/>
    <w:rsid w:val="00ED39FE"/>
    <w:rsid w:val="00ED3AD8"/>
    <w:rsid w:val="00ED3BBA"/>
    <w:rsid w:val="00ED3C21"/>
    <w:rsid w:val="00ED3CBC"/>
    <w:rsid w:val="00ED3E2E"/>
    <w:rsid w:val="00ED3E76"/>
    <w:rsid w:val="00ED3F33"/>
    <w:rsid w:val="00ED3FCE"/>
    <w:rsid w:val="00ED3FEF"/>
    <w:rsid w:val="00ED4029"/>
    <w:rsid w:val="00ED4064"/>
    <w:rsid w:val="00ED409C"/>
    <w:rsid w:val="00ED40AE"/>
    <w:rsid w:val="00ED40F1"/>
    <w:rsid w:val="00ED4179"/>
    <w:rsid w:val="00ED433F"/>
    <w:rsid w:val="00ED4354"/>
    <w:rsid w:val="00ED4361"/>
    <w:rsid w:val="00ED4386"/>
    <w:rsid w:val="00ED43C5"/>
    <w:rsid w:val="00ED440F"/>
    <w:rsid w:val="00ED4443"/>
    <w:rsid w:val="00ED44B7"/>
    <w:rsid w:val="00ED44DF"/>
    <w:rsid w:val="00ED452F"/>
    <w:rsid w:val="00ED45DD"/>
    <w:rsid w:val="00ED469B"/>
    <w:rsid w:val="00ED4734"/>
    <w:rsid w:val="00ED4779"/>
    <w:rsid w:val="00ED4801"/>
    <w:rsid w:val="00ED48F4"/>
    <w:rsid w:val="00ED4984"/>
    <w:rsid w:val="00ED4A1C"/>
    <w:rsid w:val="00ED4B5F"/>
    <w:rsid w:val="00ED4C09"/>
    <w:rsid w:val="00ED4CC1"/>
    <w:rsid w:val="00ED4CE4"/>
    <w:rsid w:val="00ED4CE7"/>
    <w:rsid w:val="00ED4CEA"/>
    <w:rsid w:val="00ED4E18"/>
    <w:rsid w:val="00ED4E32"/>
    <w:rsid w:val="00ED4E83"/>
    <w:rsid w:val="00ED4EB2"/>
    <w:rsid w:val="00ED4F01"/>
    <w:rsid w:val="00ED4F71"/>
    <w:rsid w:val="00ED4FE4"/>
    <w:rsid w:val="00ED5037"/>
    <w:rsid w:val="00ED5042"/>
    <w:rsid w:val="00ED50E9"/>
    <w:rsid w:val="00ED50F9"/>
    <w:rsid w:val="00ED5160"/>
    <w:rsid w:val="00ED51CC"/>
    <w:rsid w:val="00ED5216"/>
    <w:rsid w:val="00ED524B"/>
    <w:rsid w:val="00ED5252"/>
    <w:rsid w:val="00ED53E6"/>
    <w:rsid w:val="00ED5467"/>
    <w:rsid w:val="00ED5694"/>
    <w:rsid w:val="00ED56F4"/>
    <w:rsid w:val="00ED5762"/>
    <w:rsid w:val="00ED578B"/>
    <w:rsid w:val="00ED582E"/>
    <w:rsid w:val="00ED58DB"/>
    <w:rsid w:val="00ED591F"/>
    <w:rsid w:val="00ED59B1"/>
    <w:rsid w:val="00ED59EA"/>
    <w:rsid w:val="00ED59F5"/>
    <w:rsid w:val="00ED5B2C"/>
    <w:rsid w:val="00ED5B6F"/>
    <w:rsid w:val="00ED5B8E"/>
    <w:rsid w:val="00ED5B91"/>
    <w:rsid w:val="00ED5BBC"/>
    <w:rsid w:val="00ED5BC4"/>
    <w:rsid w:val="00ED5BDF"/>
    <w:rsid w:val="00ED5BE8"/>
    <w:rsid w:val="00ED5C36"/>
    <w:rsid w:val="00ED5CB5"/>
    <w:rsid w:val="00ED5DE9"/>
    <w:rsid w:val="00ED5E24"/>
    <w:rsid w:val="00ED5F3E"/>
    <w:rsid w:val="00ED5FA9"/>
    <w:rsid w:val="00ED61DF"/>
    <w:rsid w:val="00ED6233"/>
    <w:rsid w:val="00ED6281"/>
    <w:rsid w:val="00ED635F"/>
    <w:rsid w:val="00ED6370"/>
    <w:rsid w:val="00ED6374"/>
    <w:rsid w:val="00ED63DD"/>
    <w:rsid w:val="00ED646D"/>
    <w:rsid w:val="00ED64DE"/>
    <w:rsid w:val="00ED64FB"/>
    <w:rsid w:val="00ED6556"/>
    <w:rsid w:val="00ED65C1"/>
    <w:rsid w:val="00ED6620"/>
    <w:rsid w:val="00ED6653"/>
    <w:rsid w:val="00ED66E8"/>
    <w:rsid w:val="00ED67EA"/>
    <w:rsid w:val="00ED6843"/>
    <w:rsid w:val="00ED690C"/>
    <w:rsid w:val="00ED6911"/>
    <w:rsid w:val="00ED69A2"/>
    <w:rsid w:val="00ED6ABC"/>
    <w:rsid w:val="00ED6AF1"/>
    <w:rsid w:val="00ED6B35"/>
    <w:rsid w:val="00ED6BCD"/>
    <w:rsid w:val="00ED6C21"/>
    <w:rsid w:val="00ED6C4C"/>
    <w:rsid w:val="00ED6E0E"/>
    <w:rsid w:val="00ED6E71"/>
    <w:rsid w:val="00ED6E98"/>
    <w:rsid w:val="00ED6EAF"/>
    <w:rsid w:val="00ED6EB0"/>
    <w:rsid w:val="00ED6EB2"/>
    <w:rsid w:val="00ED6F37"/>
    <w:rsid w:val="00ED6F94"/>
    <w:rsid w:val="00ED7035"/>
    <w:rsid w:val="00ED703C"/>
    <w:rsid w:val="00ED7044"/>
    <w:rsid w:val="00ED7076"/>
    <w:rsid w:val="00ED70A7"/>
    <w:rsid w:val="00ED70E7"/>
    <w:rsid w:val="00ED713C"/>
    <w:rsid w:val="00ED7146"/>
    <w:rsid w:val="00ED71AF"/>
    <w:rsid w:val="00ED71B5"/>
    <w:rsid w:val="00ED71C0"/>
    <w:rsid w:val="00ED7244"/>
    <w:rsid w:val="00ED7253"/>
    <w:rsid w:val="00ED7264"/>
    <w:rsid w:val="00ED731A"/>
    <w:rsid w:val="00ED7350"/>
    <w:rsid w:val="00ED73AC"/>
    <w:rsid w:val="00ED73D2"/>
    <w:rsid w:val="00ED73E4"/>
    <w:rsid w:val="00ED7406"/>
    <w:rsid w:val="00ED74A0"/>
    <w:rsid w:val="00ED74A9"/>
    <w:rsid w:val="00ED74DD"/>
    <w:rsid w:val="00ED74F8"/>
    <w:rsid w:val="00ED7509"/>
    <w:rsid w:val="00ED750F"/>
    <w:rsid w:val="00ED752F"/>
    <w:rsid w:val="00ED7651"/>
    <w:rsid w:val="00ED767B"/>
    <w:rsid w:val="00ED77F6"/>
    <w:rsid w:val="00ED780C"/>
    <w:rsid w:val="00ED7871"/>
    <w:rsid w:val="00ED7920"/>
    <w:rsid w:val="00ED792F"/>
    <w:rsid w:val="00ED7991"/>
    <w:rsid w:val="00ED79D8"/>
    <w:rsid w:val="00ED7A21"/>
    <w:rsid w:val="00ED7A51"/>
    <w:rsid w:val="00ED7A7B"/>
    <w:rsid w:val="00ED7B3F"/>
    <w:rsid w:val="00ED7BB9"/>
    <w:rsid w:val="00ED7C45"/>
    <w:rsid w:val="00ED7C77"/>
    <w:rsid w:val="00ED7CCB"/>
    <w:rsid w:val="00ED7D3B"/>
    <w:rsid w:val="00ED7DBD"/>
    <w:rsid w:val="00ED7E33"/>
    <w:rsid w:val="00ED7E62"/>
    <w:rsid w:val="00ED7E98"/>
    <w:rsid w:val="00ED7EC3"/>
    <w:rsid w:val="00ED7EC7"/>
    <w:rsid w:val="00ED7EE2"/>
    <w:rsid w:val="00EE00CD"/>
    <w:rsid w:val="00EE0111"/>
    <w:rsid w:val="00EE0189"/>
    <w:rsid w:val="00EE01A8"/>
    <w:rsid w:val="00EE02B6"/>
    <w:rsid w:val="00EE030F"/>
    <w:rsid w:val="00EE034C"/>
    <w:rsid w:val="00EE03F9"/>
    <w:rsid w:val="00EE041B"/>
    <w:rsid w:val="00EE05CA"/>
    <w:rsid w:val="00EE062B"/>
    <w:rsid w:val="00EE0684"/>
    <w:rsid w:val="00EE06AF"/>
    <w:rsid w:val="00EE0778"/>
    <w:rsid w:val="00EE0779"/>
    <w:rsid w:val="00EE08CF"/>
    <w:rsid w:val="00EE0940"/>
    <w:rsid w:val="00EE0A16"/>
    <w:rsid w:val="00EE0A3B"/>
    <w:rsid w:val="00EE0A3E"/>
    <w:rsid w:val="00EE0A83"/>
    <w:rsid w:val="00EE0AB6"/>
    <w:rsid w:val="00EE0B03"/>
    <w:rsid w:val="00EE0B07"/>
    <w:rsid w:val="00EE0B3C"/>
    <w:rsid w:val="00EE0B93"/>
    <w:rsid w:val="00EE0BDD"/>
    <w:rsid w:val="00EE0BFC"/>
    <w:rsid w:val="00EE0CF8"/>
    <w:rsid w:val="00EE0D9C"/>
    <w:rsid w:val="00EE0DB0"/>
    <w:rsid w:val="00EE0DF2"/>
    <w:rsid w:val="00EE0E54"/>
    <w:rsid w:val="00EE0E9B"/>
    <w:rsid w:val="00EE0EED"/>
    <w:rsid w:val="00EE0EFC"/>
    <w:rsid w:val="00EE0F4E"/>
    <w:rsid w:val="00EE0F8E"/>
    <w:rsid w:val="00EE10F1"/>
    <w:rsid w:val="00EE11E8"/>
    <w:rsid w:val="00EE12E4"/>
    <w:rsid w:val="00EE1300"/>
    <w:rsid w:val="00EE1318"/>
    <w:rsid w:val="00EE1491"/>
    <w:rsid w:val="00EE14F1"/>
    <w:rsid w:val="00EE1701"/>
    <w:rsid w:val="00EE1722"/>
    <w:rsid w:val="00EE1753"/>
    <w:rsid w:val="00EE1760"/>
    <w:rsid w:val="00EE17AD"/>
    <w:rsid w:val="00EE17DA"/>
    <w:rsid w:val="00EE1848"/>
    <w:rsid w:val="00EE18D9"/>
    <w:rsid w:val="00EE1908"/>
    <w:rsid w:val="00EE1919"/>
    <w:rsid w:val="00EE1930"/>
    <w:rsid w:val="00EE1931"/>
    <w:rsid w:val="00EE194E"/>
    <w:rsid w:val="00EE196A"/>
    <w:rsid w:val="00EE19A9"/>
    <w:rsid w:val="00EE1A36"/>
    <w:rsid w:val="00EE1B29"/>
    <w:rsid w:val="00EE1B42"/>
    <w:rsid w:val="00EE1B52"/>
    <w:rsid w:val="00EE1B8C"/>
    <w:rsid w:val="00EE1B91"/>
    <w:rsid w:val="00EE1BBE"/>
    <w:rsid w:val="00EE1C4B"/>
    <w:rsid w:val="00EE1C96"/>
    <w:rsid w:val="00EE1CAD"/>
    <w:rsid w:val="00EE1D04"/>
    <w:rsid w:val="00EE1D89"/>
    <w:rsid w:val="00EE1DBA"/>
    <w:rsid w:val="00EE1E69"/>
    <w:rsid w:val="00EE1E81"/>
    <w:rsid w:val="00EE1ECF"/>
    <w:rsid w:val="00EE1FF4"/>
    <w:rsid w:val="00EE2024"/>
    <w:rsid w:val="00EE20AE"/>
    <w:rsid w:val="00EE20C5"/>
    <w:rsid w:val="00EE20E1"/>
    <w:rsid w:val="00EE20EA"/>
    <w:rsid w:val="00EE226F"/>
    <w:rsid w:val="00EE22A5"/>
    <w:rsid w:val="00EE22D6"/>
    <w:rsid w:val="00EE2394"/>
    <w:rsid w:val="00EE242E"/>
    <w:rsid w:val="00EE2526"/>
    <w:rsid w:val="00EE2529"/>
    <w:rsid w:val="00EE259F"/>
    <w:rsid w:val="00EE25A9"/>
    <w:rsid w:val="00EE260D"/>
    <w:rsid w:val="00EE2743"/>
    <w:rsid w:val="00EE27BC"/>
    <w:rsid w:val="00EE2851"/>
    <w:rsid w:val="00EE2875"/>
    <w:rsid w:val="00EE287D"/>
    <w:rsid w:val="00EE28D0"/>
    <w:rsid w:val="00EE2995"/>
    <w:rsid w:val="00EE2998"/>
    <w:rsid w:val="00EE29DA"/>
    <w:rsid w:val="00EE2A09"/>
    <w:rsid w:val="00EE2AF9"/>
    <w:rsid w:val="00EE2BBE"/>
    <w:rsid w:val="00EE2BE1"/>
    <w:rsid w:val="00EE2C56"/>
    <w:rsid w:val="00EE2C92"/>
    <w:rsid w:val="00EE2CF7"/>
    <w:rsid w:val="00EE2D58"/>
    <w:rsid w:val="00EE2E18"/>
    <w:rsid w:val="00EE2E52"/>
    <w:rsid w:val="00EE3013"/>
    <w:rsid w:val="00EE30E9"/>
    <w:rsid w:val="00EE326D"/>
    <w:rsid w:val="00EE342E"/>
    <w:rsid w:val="00EE344B"/>
    <w:rsid w:val="00EE34A6"/>
    <w:rsid w:val="00EE34B5"/>
    <w:rsid w:val="00EE3524"/>
    <w:rsid w:val="00EE3537"/>
    <w:rsid w:val="00EE3573"/>
    <w:rsid w:val="00EE366E"/>
    <w:rsid w:val="00EE36AA"/>
    <w:rsid w:val="00EE36AF"/>
    <w:rsid w:val="00EE377B"/>
    <w:rsid w:val="00EE37A8"/>
    <w:rsid w:val="00EE37AA"/>
    <w:rsid w:val="00EE37D5"/>
    <w:rsid w:val="00EE38EF"/>
    <w:rsid w:val="00EE3903"/>
    <w:rsid w:val="00EE395A"/>
    <w:rsid w:val="00EE3994"/>
    <w:rsid w:val="00EE3B54"/>
    <w:rsid w:val="00EE3BE2"/>
    <w:rsid w:val="00EE3C00"/>
    <w:rsid w:val="00EE3CBE"/>
    <w:rsid w:val="00EE3E5D"/>
    <w:rsid w:val="00EE3FBD"/>
    <w:rsid w:val="00EE4015"/>
    <w:rsid w:val="00EE40FC"/>
    <w:rsid w:val="00EE4101"/>
    <w:rsid w:val="00EE4261"/>
    <w:rsid w:val="00EE4287"/>
    <w:rsid w:val="00EE4338"/>
    <w:rsid w:val="00EE4351"/>
    <w:rsid w:val="00EE43DD"/>
    <w:rsid w:val="00EE443C"/>
    <w:rsid w:val="00EE4461"/>
    <w:rsid w:val="00EE4545"/>
    <w:rsid w:val="00EE455E"/>
    <w:rsid w:val="00EE45A3"/>
    <w:rsid w:val="00EE45AE"/>
    <w:rsid w:val="00EE4698"/>
    <w:rsid w:val="00EE46E4"/>
    <w:rsid w:val="00EE486A"/>
    <w:rsid w:val="00EE48EB"/>
    <w:rsid w:val="00EE4931"/>
    <w:rsid w:val="00EE4A4D"/>
    <w:rsid w:val="00EE4A90"/>
    <w:rsid w:val="00EE4A98"/>
    <w:rsid w:val="00EE4AB6"/>
    <w:rsid w:val="00EE4AEE"/>
    <w:rsid w:val="00EE4AF4"/>
    <w:rsid w:val="00EE4B8F"/>
    <w:rsid w:val="00EE4BA7"/>
    <w:rsid w:val="00EE4BDB"/>
    <w:rsid w:val="00EE4CA7"/>
    <w:rsid w:val="00EE4D71"/>
    <w:rsid w:val="00EE4DB6"/>
    <w:rsid w:val="00EE4E84"/>
    <w:rsid w:val="00EE4E99"/>
    <w:rsid w:val="00EE4EE9"/>
    <w:rsid w:val="00EE4F09"/>
    <w:rsid w:val="00EE4F56"/>
    <w:rsid w:val="00EE4F70"/>
    <w:rsid w:val="00EE50C4"/>
    <w:rsid w:val="00EE50E2"/>
    <w:rsid w:val="00EE5186"/>
    <w:rsid w:val="00EE51EB"/>
    <w:rsid w:val="00EE5296"/>
    <w:rsid w:val="00EE52AB"/>
    <w:rsid w:val="00EE52C5"/>
    <w:rsid w:val="00EE52CC"/>
    <w:rsid w:val="00EE5473"/>
    <w:rsid w:val="00EE54B7"/>
    <w:rsid w:val="00EE54D5"/>
    <w:rsid w:val="00EE55D6"/>
    <w:rsid w:val="00EE55F4"/>
    <w:rsid w:val="00EE56D1"/>
    <w:rsid w:val="00EE5717"/>
    <w:rsid w:val="00EE5755"/>
    <w:rsid w:val="00EE5843"/>
    <w:rsid w:val="00EE5891"/>
    <w:rsid w:val="00EE5896"/>
    <w:rsid w:val="00EE589C"/>
    <w:rsid w:val="00EE58E4"/>
    <w:rsid w:val="00EE5932"/>
    <w:rsid w:val="00EE5A03"/>
    <w:rsid w:val="00EE5A1D"/>
    <w:rsid w:val="00EE5A57"/>
    <w:rsid w:val="00EE5AA3"/>
    <w:rsid w:val="00EE5B3E"/>
    <w:rsid w:val="00EE5CD4"/>
    <w:rsid w:val="00EE5D85"/>
    <w:rsid w:val="00EE5DA8"/>
    <w:rsid w:val="00EE5EB0"/>
    <w:rsid w:val="00EE5EE6"/>
    <w:rsid w:val="00EE5F78"/>
    <w:rsid w:val="00EE5FDE"/>
    <w:rsid w:val="00EE5FE1"/>
    <w:rsid w:val="00EE5FEF"/>
    <w:rsid w:val="00EE6044"/>
    <w:rsid w:val="00EE60DC"/>
    <w:rsid w:val="00EE6269"/>
    <w:rsid w:val="00EE635F"/>
    <w:rsid w:val="00EE63A6"/>
    <w:rsid w:val="00EE63EE"/>
    <w:rsid w:val="00EE647B"/>
    <w:rsid w:val="00EE648F"/>
    <w:rsid w:val="00EE65EC"/>
    <w:rsid w:val="00EE65F6"/>
    <w:rsid w:val="00EE662C"/>
    <w:rsid w:val="00EE6653"/>
    <w:rsid w:val="00EE665C"/>
    <w:rsid w:val="00EE66BD"/>
    <w:rsid w:val="00EE66E5"/>
    <w:rsid w:val="00EE6731"/>
    <w:rsid w:val="00EE67D4"/>
    <w:rsid w:val="00EE68DE"/>
    <w:rsid w:val="00EE6960"/>
    <w:rsid w:val="00EE6976"/>
    <w:rsid w:val="00EE6988"/>
    <w:rsid w:val="00EE6991"/>
    <w:rsid w:val="00EE69A6"/>
    <w:rsid w:val="00EE69E3"/>
    <w:rsid w:val="00EE6A10"/>
    <w:rsid w:val="00EE6A68"/>
    <w:rsid w:val="00EE6C1E"/>
    <w:rsid w:val="00EE6C4B"/>
    <w:rsid w:val="00EE6CA9"/>
    <w:rsid w:val="00EE6CAF"/>
    <w:rsid w:val="00EE6CF1"/>
    <w:rsid w:val="00EE6D05"/>
    <w:rsid w:val="00EE6D11"/>
    <w:rsid w:val="00EE6DA7"/>
    <w:rsid w:val="00EE6DBA"/>
    <w:rsid w:val="00EE6DF0"/>
    <w:rsid w:val="00EE6E32"/>
    <w:rsid w:val="00EE6E53"/>
    <w:rsid w:val="00EE6E7A"/>
    <w:rsid w:val="00EE6EE2"/>
    <w:rsid w:val="00EE6FCD"/>
    <w:rsid w:val="00EE6FF2"/>
    <w:rsid w:val="00EE7043"/>
    <w:rsid w:val="00EE7072"/>
    <w:rsid w:val="00EE7085"/>
    <w:rsid w:val="00EE710A"/>
    <w:rsid w:val="00EE71AF"/>
    <w:rsid w:val="00EE71E8"/>
    <w:rsid w:val="00EE7373"/>
    <w:rsid w:val="00EE74EB"/>
    <w:rsid w:val="00EE751F"/>
    <w:rsid w:val="00EE7547"/>
    <w:rsid w:val="00EE770E"/>
    <w:rsid w:val="00EE785D"/>
    <w:rsid w:val="00EE7884"/>
    <w:rsid w:val="00EE79C6"/>
    <w:rsid w:val="00EE7B83"/>
    <w:rsid w:val="00EE7C52"/>
    <w:rsid w:val="00EE7C6D"/>
    <w:rsid w:val="00EE7CE6"/>
    <w:rsid w:val="00EE7D1D"/>
    <w:rsid w:val="00EE7E73"/>
    <w:rsid w:val="00EE7EA7"/>
    <w:rsid w:val="00EEB989"/>
    <w:rsid w:val="00EEF599"/>
    <w:rsid w:val="00EF01ED"/>
    <w:rsid w:val="00EF023B"/>
    <w:rsid w:val="00EF028A"/>
    <w:rsid w:val="00EF030B"/>
    <w:rsid w:val="00EF0383"/>
    <w:rsid w:val="00EF0479"/>
    <w:rsid w:val="00EF04C3"/>
    <w:rsid w:val="00EF0554"/>
    <w:rsid w:val="00EF056A"/>
    <w:rsid w:val="00EF0588"/>
    <w:rsid w:val="00EF0590"/>
    <w:rsid w:val="00EF05FF"/>
    <w:rsid w:val="00EF0679"/>
    <w:rsid w:val="00EF06AF"/>
    <w:rsid w:val="00EF06BE"/>
    <w:rsid w:val="00EF06C8"/>
    <w:rsid w:val="00EF06E6"/>
    <w:rsid w:val="00EF073B"/>
    <w:rsid w:val="00EF0836"/>
    <w:rsid w:val="00EF0886"/>
    <w:rsid w:val="00EF08C8"/>
    <w:rsid w:val="00EF094E"/>
    <w:rsid w:val="00EF0963"/>
    <w:rsid w:val="00EF0988"/>
    <w:rsid w:val="00EF0A3C"/>
    <w:rsid w:val="00EF0A5C"/>
    <w:rsid w:val="00EF0A6B"/>
    <w:rsid w:val="00EF0A88"/>
    <w:rsid w:val="00EF0A8A"/>
    <w:rsid w:val="00EF0A9E"/>
    <w:rsid w:val="00EF0B13"/>
    <w:rsid w:val="00EF0CBF"/>
    <w:rsid w:val="00EF0CCD"/>
    <w:rsid w:val="00EF0D0C"/>
    <w:rsid w:val="00EF0E11"/>
    <w:rsid w:val="00EF0E15"/>
    <w:rsid w:val="00EF0FD9"/>
    <w:rsid w:val="00EF1052"/>
    <w:rsid w:val="00EF1064"/>
    <w:rsid w:val="00EF107F"/>
    <w:rsid w:val="00EF1084"/>
    <w:rsid w:val="00EF10BD"/>
    <w:rsid w:val="00EF126A"/>
    <w:rsid w:val="00EF129B"/>
    <w:rsid w:val="00EF12A9"/>
    <w:rsid w:val="00EF12DF"/>
    <w:rsid w:val="00EF13A1"/>
    <w:rsid w:val="00EF1487"/>
    <w:rsid w:val="00EF151B"/>
    <w:rsid w:val="00EF15DE"/>
    <w:rsid w:val="00EF16E7"/>
    <w:rsid w:val="00EF1702"/>
    <w:rsid w:val="00EF1756"/>
    <w:rsid w:val="00EF1762"/>
    <w:rsid w:val="00EF17A8"/>
    <w:rsid w:val="00EF1816"/>
    <w:rsid w:val="00EF1838"/>
    <w:rsid w:val="00EF1853"/>
    <w:rsid w:val="00EF1968"/>
    <w:rsid w:val="00EF196B"/>
    <w:rsid w:val="00EF1984"/>
    <w:rsid w:val="00EF198C"/>
    <w:rsid w:val="00EF19E4"/>
    <w:rsid w:val="00EF1A11"/>
    <w:rsid w:val="00EF1A2D"/>
    <w:rsid w:val="00EF1A97"/>
    <w:rsid w:val="00EF1B3E"/>
    <w:rsid w:val="00EF1BD1"/>
    <w:rsid w:val="00EF1C2B"/>
    <w:rsid w:val="00EF1C90"/>
    <w:rsid w:val="00EF1D3C"/>
    <w:rsid w:val="00EF1F92"/>
    <w:rsid w:val="00EF1FA6"/>
    <w:rsid w:val="00EF1FA9"/>
    <w:rsid w:val="00EF20A3"/>
    <w:rsid w:val="00EF20D0"/>
    <w:rsid w:val="00EF20E6"/>
    <w:rsid w:val="00EF20FF"/>
    <w:rsid w:val="00EF2181"/>
    <w:rsid w:val="00EF2298"/>
    <w:rsid w:val="00EF234E"/>
    <w:rsid w:val="00EF2354"/>
    <w:rsid w:val="00EF2363"/>
    <w:rsid w:val="00EF24A4"/>
    <w:rsid w:val="00EF24D1"/>
    <w:rsid w:val="00EF2516"/>
    <w:rsid w:val="00EF2552"/>
    <w:rsid w:val="00EF2614"/>
    <w:rsid w:val="00EF267C"/>
    <w:rsid w:val="00EF277F"/>
    <w:rsid w:val="00EF2823"/>
    <w:rsid w:val="00EF2858"/>
    <w:rsid w:val="00EF2890"/>
    <w:rsid w:val="00EF29BB"/>
    <w:rsid w:val="00EF2A08"/>
    <w:rsid w:val="00EF2A1F"/>
    <w:rsid w:val="00EF2A4C"/>
    <w:rsid w:val="00EF2B18"/>
    <w:rsid w:val="00EF2C30"/>
    <w:rsid w:val="00EF2C3C"/>
    <w:rsid w:val="00EF2D07"/>
    <w:rsid w:val="00EF2D90"/>
    <w:rsid w:val="00EF2E35"/>
    <w:rsid w:val="00EF2E3A"/>
    <w:rsid w:val="00EF2EDE"/>
    <w:rsid w:val="00EF2F47"/>
    <w:rsid w:val="00EF2F8A"/>
    <w:rsid w:val="00EF2FFA"/>
    <w:rsid w:val="00EF306F"/>
    <w:rsid w:val="00EF316D"/>
    <w:rsid w:val="00EF31C7"/>
    <w:rsid w:val="00EF3212"/>
    <w:rsid w:val="00EF3214"/>
    <w:rsid w:val="00EF327E"/>
    <w:rsid w:val="00EF32CE"/>
    <w:rsid w:val="00EF3373"/>
    <w:rsid w:val="00EF3399"/>
    <w:rsid w:val="00EF33C0"/>
    <w:rsid w:val="00EF33C7"/>
    <w:rsid w:val="00EF33D7"/>
    <w:rsid w:val="00EF34DE"/>
    <w:rsid w:val="00EF355C"/>
    <w:rsid w:val="00EF35E4"/>
    <w:rsid w:val="00EF3689"/>
    <w:rsid w:val="00EF36C3"/>
    <w:rsid w:val="00EF3713"/>
    <w:rsid w:val="00EF3728"/>
    <w:rsid w:val="00EF37A2"/>
    <w:rsid w:val="00EF37CE"/>
    <w:rsid w:val="00EF3823"/>
    <w:rsid w:val="00EF389C"/>
    <w:rsid w:val="00EF38F4"/>
    <w:rsid w:val="00EF393E"/>
    <w:rsid w:val="00EF395F"/>
    <w:rsid w:val="00EF396E"/>
    <w:rsid w:val="00EF3A0F"/>
    <w:rsid w:val="00EF3A40"/>
    <w:rsid w:val="00EF3BCD"/>
    <w:rsid w:val="00EF3BF3"/>
    <w:rsid w:val="00EF3BF7"/>
    <w:rsid w:val="00EF3C90"/>
    <w:rsid w:val="00EF3C9A"/>
    <w:rsid w:val="00EF3D73"/>
    <w:rsid w:val="00EF3D78"/>
    <w:rsid w:val="00EF3DAE"/>
    <w:rsid w:val="00EF3E23"/>
    <w:rsid w:val="00EF3F1A"/>
    <w:rsid w:val="00EF3F67"/>
    <w:rsid w:val="00EF3FC2"/>
    <w:rsid w:val="00EF40CC"/>
    <w:rsid w:val="00EF4219"/>
    <w:rsid w:val="00EF4251"/>
    <w:rsid w:val="00EF4275"/>
    <w:rsid w:val="00EF43E3"/>
    <w:rsid w:val="00EF43EC"/>
    <w:rsid w:val="00EF444B"/>
    <w:rsid w:val="00EF4476"/>
    <w:rsid w:val="00EF44AA"/>
    <w:rsid w:val="00EF44B9"/>
    <w:rsid w:val="00EF44CA"/>
    <w:rsid w:val="00EF44E5"/>
    <w:rsid w:val="00EF44F5"/>
    <w:rsid w:val="00EF4538"/>
    <w:rsid w:val="00EF45A7"/>
    <w:rsid w:val="00EF45DE"/>
    <w:rsid w:val="00EF461E"/>
    <w:rsid w:val="00EF462A"/>
    <w:rsid w:val="00EF46A1"/>
    <w:rsid w:val="00EF46BE"/>
    <w:rsid w:val="00EF474B"/>
    <w:rsid w:val="00EF49EE"/>
    <w:rsid w:val="00EF4A44"/>
    <w:rsid w:val="00EF4A98"/>
    <w:rsid w:val="00EF4B52"/>
    <w:rsid w:val="00EF4B71"/>
    <w:rsid w:val="00EF4BC4"/>
    <w:rsid w:val="00EF4BF8"/>
    <w:rsid w:val="00EF4C4C"/>
    <w:rsid w:val="00EF4C57"/>
    <w:rsid w:val="00EF4C62"/>
    <w:rsid w:val="00EF4D3D"/>
    <w:rsid w:val="00EF4D42"/>
    <w:rsid w:val="00EF4ED7"/>
    <w:rsid w:val="00EF5148"/>
    <w:rsid w:val="00EF5169"/>
    <w:rsid w:val="00EF51AB"/>
    <w:rsid w:val="00EF520E"/>
    <w:rsid w:val="00EF524C"/>
    <w:rsid w:val="00EF5301"/>
    <w:rsid w:val="00EF5302"/>
    <w:rsid w:val="00EF538C"/>
    <w:rsid w:val="00EF539A"/>
    <w:rsid w:val="00EF53DB"/>
    <w:rsid w:val="00EF547D"/>
    <w:rsid w:val="00EF547F"/>
    <w:rsid w:val="00EF54CC"/>
    <w:rsid w:val="00EF55FB"/>
    <w:rsid w:val="00EF5612"/>
    <w:rsid w:val="00EF562B"/>
    <w:rsid w:val="00EF5630"/>
    <w:rsid w:val="00EF5690"/>
    <w:rsid w:val="00EF56A1"/>
    <w:rsid w:val="00EF56BB"/>
    <w:rsid w:val="00EF573B"/>
    <w:rsid w:val="00EF5874"/>
    <w:rsid w:val="00EF587B"/>
    <w:rsid w:val="00EF5A8B"/>
    <w:rsid w:val="00EF5AB7"/>
    <w:rsid w:val="00EF5ACD"/>
    <w:rsid w:val="00EF5B0E"/>
    <w:rsid w:val="00EF5B40"/>
    <w:rsid w:val="00EF5B68"/>
    <w:rsid w:val="00EF5C1C"/>
    <w:rsid w:val="00EF5C33"/>
    <w:rsid w:val="00EF5C68"/>
    <w:rsid w:val="00EF5C69"/>
    <w:rsid w:val="00EF5CA2"/>
    <w:rsid w:val="00EF5D0E"/>
    <w:rsid w:val="00EF5D7B"/>
    <w:rsid w:val="00EF5DA4"/>
    <w:rsid w:val="00EF5E0E"/>
    <w:rsid w:val="00EF5E43"/>
    <w:rsid w:val="00EF60A6"/>
    <w:rsid w:val="00EF610E"/>
    <w:rsid w:val="00EF6122"/>
    <w:rsid w:val="00EF6147"/>
    <w:rsid w:val="00EF61AC"/>
    <w:rsid w:val="00EF62FF"/>
    <w:rsid w:val="00EF6371"/>
    <w:rsid w:val="00EF6404"/>
    <w:rsid w:val="00EF6431"/>
    <w:rsid w:val="00EF646E"/>
    <w:rsid w:val="00EF64BD"/>
    <w:rsid w:val="00EF6508"/>
    <w:rsid w:val="00EF65DA"/>
    <w:rsid w:val="00EF673C"/>
    <w:rsid w:val="00EF679A"/>
    <w:rsid w:val="00EF6881"/>
    <w:rsid w:val="00EF68FE"/>
    <w:rsid w:val="00EF6940"/>
    <w:rsid w:val="00EF6959"/>
    <w:rsid w:val="00EF69ED"/>
    <w:rsid w:val="00EF69EE"/>
    <w:rsid w:val="00EF6A41"/>
    <w:rsid w:val="00EF6A7F"/>
    <w:rsid w:val="00EF6A84"/>
    <w:rsid w:val="00EF6A91"/>
    <w:rsid w:val="00EF6AAF"/>
    <w:rsid w:val="00EF6B23"/>
    <w:rsid w:val="00EF6B74"/>
    <w:rsid w:val="00EF6B77"/>
    <w:rsid w:val="00EF6B86"/>
    <w:rsid w:val="00EF6BE2"/>
    <w:rsid w:val="00EF6C43"/>
    <w:rsid w:val="00EF6D15"/>
    <w:rsid w:val="00EF6D6B"/>
    <w:rsid w:val="00EF6D7F"/>
    <w:rsid w:val="00EF6DAB"/>
    <w:rsid w:val="00EF6E75"/>
    <w:rsid w:val="00EF6F4D"/>
    <w:rsid w:val="00EF6F94"/>
    <w:rsid w:val="00EF7043"/>
    <w:rsid w:val="00EF7089"/>
    <w:rsid w:val="00EF70B3"/>
    <w:rsid w:val="00EF71EA"/>
    <w:rsid w:val="00EF71F7"/>
    <w:rsid w:val="00EF7290"/>
    <w:rsid w:val="00EF72E7"/>
    <w:rsid w:val="00EF7315"/>
    <w:rsid w:val="00EF7378"/>
    <w:rsid w:val="00EF73CF"/>
    <w:rsid w:val="00EF7451"/>
    <w:rsid w:val="00EF7496"/>
    <w:rsid w:val="00EF75C6"/>
    <w:rsid w:val="00EF76AF"/>
    <w:rsid w:val="00EF7742"/>
    <w:rsid w:val="00EF774A"/>
    <w:rsid w:val="00EF7756"/>
    <w:rsid w:val="00EF77CC"/>
    <w:rsid w:val="00EF77E1"/>
    <w:rsid w:val="00EF782E"/>
    <w:rsid w:val="00EF7839"/>
    <w:rsid w:val="00EF78F7"/>
    <w:rsid w:val="00EF793C"/>
    <w:rsid w:val="00EF79B9"/>
    <w:rsid w:val="00EF7A38"/>
    <w:rsid w:val="00EF7A98"/>
    <w:rsid w:val="00EF7B32"/>
    <w:rsid w:val="00EF7B43"/>
    <w:rsid w:val="00EF7B59"/>
    <w:rsid w:val="00EF7C76"/>
    <w:rsid w:val="00EF7C8E"/>
    <w:rsid w:val="00EF7D40"/>
    <w:rsid w:val="00EF7DB6"/>
    <w:rsid w:val="00EF7E32"/>
    <w:rsid w:val="00EF7E85"/>
    <w:rsid w:val="00EF7F29"/>
    <w:rsid w:val="00EF7F73"/>
    <w:rsid w:val="00EF7F9E"/>
    <w:rsid w:val="00F000C2"/>
    <w:rsid w:val="00F00112"/>
    <w:rsid w:val="00F001D9"/>
    <w:rsid w:val="00F001DD"/>
    <w:rsid w:val="00F001F6"/>
    <w:rsid w:val="00F00298"/>
    <w:rsid w:val="00F002C5"/>
    <w:rsid w:val="00F002CB"/>
    <w:rsid w:val="00F002F4"/>
    <w:rsid w:val="00F00310"/>
    <w:rsid w:val="00F00346"/>
    <w:rsid w:val="00F0038D"/>
    <w:rsid w:val="00F003B1"/>
    <w:rsid w:val="00F00406"/>
    <w:rsid w:val="00F0043C"/>
    <w:rsid w:val="00F004BC"/>
    <w:rsid w:val="00F004E9"/>
    <w:rsid w:val="00F0053C"/>
    <w:rsid w:val="00F00584"/>
    <w:rsid w:val="00F0061F"/>
    <w:rsid w:val="00F0077B"/>
    <w:rsid w:val="00F00799"/>
    <w:rsid w:val="00F00846"/>
    <w:rsid w:val="00F008C9"/>
    <w:rsid w:val="00F0091E"/>
    <w:rsid w:val="00F00A22"/>
    <w:rsid w:val="00F00A23"/>
    <w:rsid w:val="00F00A9A"/>
    <w:rsid w:val="00F00AA8"/>
    <w:rsid w:val="00F00AF6"/>
    <w:rsid w:val="00F00B01"/>
    <w:rsid w:val="00F00B14"/>
    <w:rsid w:val="00F00B16"/>
    <w:rsid w:val="00F00B50"/>
    <w:rsid w:val="00F00BB7"/>
    <w:rsid w:val="00F00CF8"/>
    <w:rsid w:val="00F00D39"/>
    <w:rsid w:val="00F00E12"/>
    <w:rsid w:val="00F00E6F"/>
    <w:rsid w:val="00F00F78"/>
    <w:rsid w:val="00F0104F"/>
    <w:rsid w:val="00F010C3"/>
    <w:rsid w:val="00F0118E"/>
    <w:rsid w:val="00F011AF"/>
    <w:rsid w:val="00F012CC"/>
    <w:rsid w:val="00F013C3"/>
    <w:rsid w:val="00F0142A"/>
    <w:rsid w:val="00F01452"/>
    <w:rsid w:val="00F01460"/>
    <w:rsid w:val="00F014AB"/>
    <w:rsid w:val="00F014AC"/>
    <w:rsid w:val="00F014B6"/>
    <w:rsid w:val="00F014E1"/>
    <w:rsid w:val="00F01592"/>
    <w:rsid w:val="00F015F8"/>
    <w:rsid w:val="00F015FC"/>
    <w:rsid w:val="00F01623"/>
    <w:rsid w:val="00F01674"/>
    <w:rsid w:val="00F01690"/>
    <w:rsid w:val="00F016A4"/>
    <w:rsid w:val="00F016A7"/>
    <w:rsid w:val="00F016CF"/>
    <w:rsid w:val="00F0175B"/>
    <w:rsid w:val="00F0175E"/>
    <w:rsid w:val="00F0185D"/>
    <w:rsid w:val="00F01899"/>
    <w:rsid w:val="00F018B2"/>
    <w:rsid w:val="00F018B7"/>
    <w:rsid w:val="00F018D1"/>
    <w:rsid w:val="00F0199E"/>
    <w:rsid w:val="00F019A3"/>
    <w:rsid w:val="00F019BF"/>
    <w:rsid w:val="00F019CE"/>
    <w:rsid w:val="00F019D4"/>
    <w:rsid w:val="00F019F4"/>
    <w:rsid w:val="00F01A4C"/>
    <w:rsid w:val="00F01A6C"/>
    <w:rsid w:val="00F01A75"/>
    <w:rsid w:val="00F01AD0"/>
    <w:rsid w:val="00F01B6E"/>
    <w:rsid w:val="00F01BE9"/>
    <w:rsid w:val="00F01C97"/>
    <w:rsid w:val="00F01D25"/>
    <w:rsid w:val="00F01DF2"/>
    <w:rsid w:val="00F01E03"/>
    <w:rsid w:val="00F01E0C"/>
    <w:rsid w:val="00F01E12"/>
    <w:rsid w:val="00F01E78"/>
    <w:rsid w:val="00F01E8A"/>
    <w:rsid w:val="00F01EF4"/>
    <w:rsid w:val="00F01F34"/>
    <w:rsid w:val="00F01F3A"/>
    <w:rsid w:val="00F01F6A"/>
    <w:rsid w:val="00F01F7A"/>
    <w:rsid w:val="00F0202F"/>
    <w:rsid w:val="00F02044"/>
    <w:rsid w:val="00F020DB"/>
    <w:rsid w:val="00F020ED"/>
    <w:rsid w:val="00F020FC"/>
    <w:rsid w:val="00F02158"/>
    <w:rsid w:val="00F02220"/>
    <w:rsid w:val="00F0231C"/>
    <w:rsid w:val="00F02328"/>
    <w:rsid w:val="00F02334"/>
    <w:rsid w:val="00F02363"/>
    <w:rsid w:val="00F023F1"/>
    <w:rsid w:val="00F0240E"/>
    <w:rsid w:val="00F0241D"/>
    <w:rsid w:val="00F02433"/>
    <w:rsid w:val="00F024D1"/>
    <w:rsid w:val="00F02515"/>
    <w:rsid w:val="00F0256B"/>
    <w:rsid w:val="00F0259C"/>
    <w:rsid w:val="00F02623"/>
    <w:rsid w:val="00F02624"/>
    <w:rsid w:val="00F02698"/>
    <w:rsid w:val="00F0271D"/>
    <w:rsid w:val="00F0272B"/>
    <w:rsid w:val="00F027CD"/>
    <w:rsid w:val="00F028CB"/>
    <w:rsid w:val="00F028DF"/>
    <w:rsid w:val="00F0292B"/>
    <w:rsid w:val="00F02968"/>
    <w:rsid w:val="00F029C1"/>
    <w:rsid w:val="00F029CE"/>
    <w:rsid w:val="00F029E8"/>
    <w:rsid w:val="00F02A42"/>
    <w:rsid w:val="00F02C0D"/>
    <w:rsid w:val="00F02C61"/>
    <w:rsid w:val="00F02C6A"/>
    <w:rsid w:val="00F02D43"/>
    <w:rsid w:val="00F02DDA"/>
    <w:rsid w:val="00F02E33"/>
    <w:rsid w:val="00F02F06"/>
    <w:rsid w:val="00F02F86"/>
    <w:rsid w:val="00F03079"/>
    <w:rsid w:val="00F030C0"/>
    <w:rsid w:val="00F031BB"/>
    <w:rsid w:val="00F031D9"/>
    <w:rsid w:val="00F0336D"/>
    <w:rsid w:val="00F03375"/>
    <w:rsid w:val="00F0340C"/>
    <w:rsid w:val="00F0343D"/>
    <w:rsid w:val="00F0346A"/>
    <w:rsid w:val="00F0347F"/>
    <w:rsid w:val="00F034DF"/>
    <w:rsid w:val="00F03537"/>
    <w:rsid w:val="00F0360B"/>
    <w:rsid w:val="00F03632"/>
    <w:rsid w:val="00F036BA"/>
    <w:rsid w:val="00F036DF"/>
    <w:rsid w:val="00F03725"/>
    <w:rsid w:val="00F0372A"/>
    <w:rsid w:val="00F03869"/>
    <w:rsid w:val="00F03894"/>
    <w:rsid w:val="00F0390B"/>
    <w:rsid w:val="00F03917"/>
    <w:rsid w:val="00F039C4"/>
    <w:rsid w:val="00F039C7"/>
    <w:rsid w:val="00F03BFC"/>
    <w:rsid w:val="00F03C06"/>
    <w:rsid w:val="00F03C70"/>
    <w:rsid w:val="00F03D7C"/>
    <w:rsid w:val="00F03D92"/>
    <w:rsid w:val="00F03DA7"/>
    <w:rsid w:val="00F03DB7"/>
    <w:rsid w:val="00F03DCC"/>
    <w:rsid w:val="00F03E2B"/>
    <w:rsid w:val="00F03E97"/>
    <w:rsid w:val="00F03EE9"/>
    <w:rsid w:val="00F03EEB"/>
    <w:rsid w:val="00F03F03"/>
    <w:rsid w:val="00F03FEC"/>
    <w:rsid w:val="00F0403C"/>
    <w:rsid w:val="00F0404C"/>
    <w:rsid w:val="00F04084"/>
    <w:rsid w:val="00F0409C"/>
    <w:rsid w:val="00F04204"/>
    <w:rsid w:val="00F04215"/>
    <w:rsid w:val="00F04222"/>
    <w:rsid w:val="00F0429B"/>
    <w:rsid w:val="00F0437E"/>
    <w:rsid w:val="00F04487"/>
    <w:rsid w:val="00F044DE"/>
    <w:rsid w:val="00F04501"/>
    <w:rsid w:val="00F04540"/>
    <w:rsid w:val="00F045CB"/>
    <w:rsid w:val="00F04638"/>
    <w:rsid w:val="00F0470A"/>
    <w:rsid w:val="00F0479C"/>
    <w:rsid w:val="00F047B6"/>
    <w:rsid w:val="00F047CE"/>
    <w:rsid w:val="00F0486B"/>
    <w:rsid w:val="00F04893"/>
    <w:rsid w:val="00F048D8"/>
    <w:rsid w:val="00F0494E"/>
    <w:rsid w:val="00F049B7"/>
    <w:rsid w:val="00F049D4"/>
    <w:rsid w:val="00F049E8"/>
    <w:rsid w:val="00F049EE"/>
    <w:rsid w:val="00F04A40"/>
    <w:rsid w:val="00F04A76"/>
    <w:rsid w:val="00F04AF8"/>
    <w:rsid w:val="00F04B36"/>
    <w:rsid w:val="00F04B73"/>
    <w:rsid w:val="00F04C64"/>
    <w:rsid w:val="00F04C78"/>
    <w:rsid w:val="00F04CA8"/>
    <w:rsid w:val="00F04D63"/>
    <w:rsid w:val="00F04DC0"/>
    <w:rsid w:val="00F04E06"/>
    <w:rsid w:val="00F04E22"/>
    <w:rsid w:val="00F04E38"/>
    <w:rsid w:val="00F04E9A"/>
    <w:rsid w:val="00F04F8C"/>
    <w:rsid w:val="00F04F94"/>
    <w:rsid w:val="00F04F9A"/>
    <w:rsid w:val="00F0504A"/>
    <w:rsid w:val="00F050AE"/>
    <w:rsid w:val="00F05241"/>
    <w:rsid w:val="00F05294"/>
    <w:rsid w:val="00F052AC"/>
    <w:rsid w:val="00F052C5"/>
    <w:rsid w:val="00F05377"/>
    <w:rsid w:val="00F053D2"/>
    <w:rsid w:val="00F05424"/>
    <w:rsid w:val="00F0549A"/>
    <w:rsid w:val="00F054CE"/>
    <w:rsid w:val="00F055B7"/>
    <w:rsid w:val="00F055ED"/>
    <w:rsid w:val="00F0560F"/>
    <w:rsid w:val="00F056A7"/>
    <w:rsid w:val="00F057FC"/>
    <w:rsid w:val="00F058DE"/>
    <w:rsid w:val="00F05A4E"/>
    <w:rsid w:val="00F05B21"/>
    <w:rsid w:val="00F05B85"/>
    <w:rsid w:val="00F05BF7"/>
    <w:rsid w:val="00F05D96"/>
    <w:rsid w:val="00F05DED"/>
    <w:rsid w:val="00F05E00"/>
    <w:rsid w:val="00F05E57"/>
    <w:rsid w:val="00F05E86"/>
    <w:rsid w:val="00F05EFD"/>
    <w:rsid w:val="00F05F4F"/>
    <w:rsid w:val="00F05F63"/>
    <w:rsid w:val="00F06002"/>
    <w:rsid w:val="00F06036"/>
    <w:rsid w:val="00F060C0"/>
    <w:rsid w:val="00F061E7"/>
    <w:rsid w:val="00F06301"/>
    <w:rsid w:val="00F0636F"/>
    <w:rsid w:val="00F063AF"/>
    <w:rsid w:val="00F064D5"/>
    <w:rsid w:val="00F064DD"/>
    <w:rsid w:val="00F064EF"/>
    <w:rsid w:val="00F065BE"/>
    <w:rsid w:val="00F06632"/>
    <w:rsid w:val="00F0665B"/>
    <w:rsid w:val="00F0666A"/>
    <w:rsid w:val="00F06692"/>
    <w:rsid w:val="00F0669A"/>
    <w:rsid w:val="00F06712"/>
    <w:rsid w:val="00F067F3"/>
    <w:rsid w:val="00F0683C"/>
    <w:rsid w:val="00F068B1"/>
    <w:rsid w:val="00F06935"/>
    <w:rsid w:val="00F06AAB"/>
    <w:rsid w:val="00F06AC4"/>
    <w:rsid w:val="00F06B95"/>
    <w:rsid w:val="00F06BF7"/>
    <w:rsid w:val="00F06D67"/>
    <w:rsid w:val="00F06D7B"/>
    <w:rsid w:val="00F06DB8"/>
    <w:rsid w:val="00F06DE9"/>
    <w:rsid w:val="00F06E3F"/>
    <w:rsid w:val="00F06F14"/>
    <w:rsid w:val="00F07023"/>
    <w:rsid w:val="00F0710B"/>
    <w:rsid w:val="00F071EB"/>
    <w:rsid w:val="00F071F3"/>
    <w:rsid w:val="00F072AD"/>
    <w:rsid w:val="00F07317"/>
    <w:rsid w:val="00F07375"/>
    <w:rsid w:val="00F07387"/>
    <w:rsid w:val="00F073AD"/>
    <w:rsid w:val="00F073EE"/>
    <w:rsid w:val="00F073FC"/>
    <w:rsid w:val="00F07405"/>
    <w:rsid w:val="00F0740C"/>
    <w:rsid w:val="00F07503"/>
    <w:rsid w:val="00F075B3"/>
    <w:rsid w:val="00F075D7"/>
    <w:rsid w:val="00F07604"/>
    <w:rsid w:val="00F0763E"/>
    <w:rsid w:val="00F076C7"/>
    <w:rsid w:val="00F07702"/>
    <w:rsid w:val="00F0781A"/>
    <w:rsid w:val="00F07861"/>
    <w:rsid w:val="00F0786E"/>
    <w:rsid w:val="00F078CA"/>
    <w:rsid w:val="00F07962"/>
    <w:rsid w:val="00F079B6"/>
    <w:rsid w:val="00F079B8"/>
    <w:rsid w:val="00F07B5E"/>
    <w:rsid w:val="00F07B63"/>
    <w:rsid w:val="00F07B6E"/>
    <w:rsid w:val="00F07B94"/>
    <w:rsid w:val="00F07BDA"/>
    <w:rsid w:val="00F07BDB"/>
    <w:rsid w:val="00F07C58"/>
    <w:rsid w:val="00F07C97"/>
    <w:rsid w:val="00F07CC5"/>
    <w:rsid w:val="00F07DCE"/>
    <w:rsid w:val="00F07F64"/>
    <w:rsid w:val="00F10000"/>
    <w:rsid w:val="00F10023"/>
    <w:rsid w:val="00F1002C"/>
    <w:rsid w:val="00F10050"/>
    <w:rsid w:val="00F101ED"/>
    <w:rsid w:val="00F10225"/>
    <w:rsid w:val="00F102B4"/>
    <w:rsid w:val="00F102C2"/>
    <w:rsid w:val="00F102E9"/>
    <w:rsid w:val="00F10375"/>
    <w:rsid w:val="00F1037A"/>
    <w:rsid w:val="00F10412"/>
    <w:rsid w:val="00F1048B"/>
    <w:rsid w:val="00F104D2"/>
    <w:rsid w:val="00F104F6"/>
    <w:rsid w:val="00F1050B"/>
    <w:rsid w:val="00F1051D"/>
    <w:rsid w:val="00F10566"/>
    <w:rsid w:val="00F1058F"/>
    <w:rsid w:val="00F105E5"/>
    <w:rsid w:val="00F105E9"/>
    <w:rsid w:val="00F10671"/>
    <w:rsid w:val="00F106BF"/>
    <w:rsid w:val="00F10768"/>
    <w:rsid w:val="00F1078D"/>
    <w:rsid w:val="00F107A3"/>
    <w:rsid w:val="00F1082F"/>
    <w:rsid w:val="00F1089D"/>
    <w:rsid w:val="00F10911"/>
    <w:rsid w:val="00F109A0"/>
    <w:rsid w:val="00F109BC"/>
    <w:rsid w:val="00F10A12"/>
    <w:rsid w:val="00F10B01"/>
    <w:rsid w:val="00F10B57"/>
    <w:rsid w:val="00F10B5C"/>
    <w:rsid w:val="00F10BA2"/>
    <w:rsid w:val="00F10C30"/>
    <w:rsid w:val="00F10C7F"/>
    <w:rsid w:val="00F10D24"/>
    <w:rsid w:val="00F10D94"/>
    <w:rsid w:val="00F10E10"/>
    <w:rsid w:val="00F10E27"/>
    <w:rsid w:val="00F10E75"/>
    <w:rsid w:val="00F112C6"/>
    <w:rsid w:val="00F113A1"/>
    <w:rsid w:val="00F113E3"/>
    <w:rsid w:val="00F114BE"/>
    <w:rsid w:val="00F114DB"/>
    <w:rsid w:val="00F11577"/>
    <w:rsid w:val="00F11653"/>
    <w:rsid w:val="00F11718"/>
    <w:rsid w:val="00F1171A"/>
    <w:rsid w:val="00F11728"/>
    <w:rsid w:val="00F1175B"/>
    <w:rsid w:val="00F11784"/>
    <w:rsid w:val="00F117FE"/>
    <w:rsid w:val="00F1182F"/>
    <w:rsid w:val="00F1184B"/>
    <w:rsid w:val="00F118E4"/>
    <w:rsid w:val="00F11A0C"/>
    <w:rsid w:val="00F11AB1"/>
    <w:rsid w:val="00F11AF7"/>
    <w:rsid w:val="00F11B5C"/>
    <w:rsid w:val="00F11E26"/>
    <w:rsid w:val="00F11E79"/>
    <w:rsid w:val="00F11F17"/>
    <w:rsid w:val="00F11F2F"/>
    <w:rsid w:val="00F11F40"/>
    <w:rsid w:val="00F11F52"/>
    <w:rsid w:val="00F11F7B"/>
    <w:rsid w:val="00F11FB4"/>
    <w:rsid w:val="00F11FF2"/>
    <w:rsid w:val="00F1201F"/>
    <w:rsid w:val="00F120CC"/>
    <w:rsid w:val="00F1211D"/>
    <w:rsid w:val="00F121E8"/>
    <w:rsid w:val="00F12269"/>
    <w:rsid w:val="00F122A0"/>
    <w:rsid w:val="00F12344"/>
    <w:rsid w:val="00F12372"/>
    <w:rsid w:val="00F12387"/>
    <w:rsid w:val="00F1251F"/>
    <w:rsid w:val="00F1258B"/>
    <w:rsid w:val="00F125E2"/>
    <w:rsid w:val="00F12670"/>
    <w:rsid w:val="00F12685"/>
    <w:rsid w:val="00F12811"/>
    <w:rsid w:val="00F1284B"/>
    <w:rsid w:val="00F1288D"/>
    <w:rsid w:val="00F12909"/>
    <w:rsid w:val="00F12927"/>
    <w:rsid w:val="00F12944"/>
    <w:rsid w:val="00F12956"/>
    <w:rsid w:val="00F12A27"/>
    <w:rsid w:val="00F12ABC"/>
    <w:rsid w:val="00F12BC3"/>
    <w:rsid w:val="00F12C16"/>
    <w:rsid w:val="00F12C8A"/>
    <w:rsid w:val="00F12CA7"/>
    <w:rsid w:val="00F12CBC"/>
    <w:rsid w:val="00F12CC9"/>
    <w:rsid w:val="00F12CD3"/>
    <w:rsid w:val="00F12D4B"/>
    <w:rsid w:val="00F12D70"/>
    <w:rsid w:val="00F12D99"/>
    <w:rsid w:val="00F12DCE"/>
    <w:rsid w:val="00F12E2A"/>
    <w:rsid w:val="00F12E3C"/>
    <w:rsid w:val="00F12E5F"/>
    <w:rsid w:val="00F12E69"/>
    <w:rsid w:val="00F12ED8"/>
    <w:rsid w:val="00F12EE8"/>
    <w:rsid w:val="00F12F86"/>
    <w:rsid w:val="00F13082"/>
    <w:rsid w:val="00F1308E"/>
    <w:rsid w:val="00F13096"/>
    <w:rsid w:val="00F13103"/>
    <w:rsid w:val="00F13108"/>
    <w:rsid w:val="00F13161"/>
    <w:rsid w:val="00F13198"/>
    <w:rsid w:val="00F13228"/>
    <w:rsid w:val="00F132E8"/>
    <w:rsid w:val="00F1331F"/>
    <w:rsid w:val="00F1335B"/>
    <w:rsid w:val="00F13381"/>
    <w:rsid w:val="00F133C4"/>
    <w:rsid w:val="00F13436"/>
    <w:rsid w:val="00F13473"/>
    <w:rsid w:val="00F13476"/>
    <w:rsid w:val="00F1352E"/>
    <w:rsid w:val="00F13552"/>
    <w:rsid w:val="00F13555"/>
    <w:rsid w:val="00F1363E"/>
    <w:rsid w:val="00F1365A"/>
    <w:rsid w:val="00F136EA"/>
    <w:rsid w:val="00F13711"/>
    <w:rsid w:val="00F137A7"/>
    <w:rsid w:val="00F13828"/>
    <w:rsid w:val="00F1384F"/>
    <w:rsid w:val="00F1391D"/>
    <w:rsid w:val="00F1398A"/>
    <w:rsid w:val="00F13A75"/>
    <w:rsid w:val="00F13A86"/>
    <w:rsid w:val="00F13AB5"/>
    <w:rsid w:val="00F13AD3"/>
    <w:rsid w:val="00F13B6B"/>
    <w:rsid w:val="00F13B7B"/>
    <w:rsid w:val="00F13B9A"/>
    <w:rsid w:val="00F13BE0"/>
    <w:rsid w:val="00F13C21"/>
    <w:rsid w:val="00F13CE8"/>
    <w:rsid w:val="00F13D16"/>
    <w:rsid w:val="00F13DF9"/>
    <w:rsid w:val="00F13E0E"/>
    <w:rsid w:val="00F13EA0"/>
    <w:rsid w:val="00F13EF1"/>
    <w:rsid w:val="00F13F16"/>
    <w:rsid w:val="00F14039"/>
    <w:rsid w:val="00F1403C"/>
    <w:rsid w:val="00F140E2"/>
    <w:rsid w:val="00F1422C"/>
    <w:rsid w:val="00F14342"/>
    <w:rsid w:val="00F14355"/>
    <w:rsid w:val="00F1437D"/>
    <w:rsid w:val="00F143F5"/>
    <w:rsid w:val="00F144CF"/>
    <w:rsid w:val="00F144E4"/>
    <w:rsid w:val="00F144FA"/>
    <w:rsid w:val="00F14512"/>
    <w:rsid w:val="00F14560"/>
    <w:rsid w:val="00F145AB"/>
    <w:rsid w:val="00F145DA"/>
    <w:rsid w:val="00F1460D"/>
    <w:rsid w:val="00F1467D"/>
    <w:rsid w:val="00F146CC"/>
    <w:rsid w:val="00F1479A"/>
    <w:rsid w:val="00F147D9"/>
    <w:rsid w:val="00F147DB"/>
    <w:rsid w:val="00F14807"/>
    <w:rsid w:val="00F14875"/>
    <w:rsid w:val="00F14907"/>
    <w:rsid w:val="00F1493A"/>
    <w:rsid w:val="00F149F9"/>
    <w:rsid w:val="00F14A20"/>
    <w:rsid w:val="00F14A22"/>
    <w:rsid w:val="00F14BCA"/>
    <w:rsid w:val="00F14BDE"/>
    <w:rsid w:val="00F14CA5"/>
    <w:rsid w:val="00F14CD9"/>
    <w:rsid w:val="00F14CE9"/>
    <w:rsid w:val="00F14CEF"/>
    <w:rsid w:val="00F14CF9"/>
    <w:rsid w:val="00F14E39"/>
    <w:rsid w:val="00F14EDD"/>
    <w:rsid w:val="00F14F10"/>
    <w:rsid w:val="00F14F46"/>
    <w:rsid w:val="00F14F64"/>
    <w:rsid w:val="00F150FB"/>
    <w:rsid w:val="00F151BD"/>
    <w:rsid w:val="00F151E3"/>
    <w:rsid w:val="00F15249"/>
    <w:rsid w:val="00F15392"/>
    <w:rsid w:val="00F153A8"/>
    <w:rsid w:val="00F153C1"/>
    <w:rsid w:val="00F153D6"/>
    <w:rsid w:val="00F153EE"/>
    <w:rsid w:val="00F154E6"/>
    <w:rsid w:val="00F15569"/>
    <w:rsid w:val="00F15624"/>
    <w:rsid w:val="00F15695"/>
    <w:rsid w:val="00F1576E"/>
    <w:rsid w:val="00F15793"/>
    <w:rsid w:val="00F157A6"/>
    <w:rsid w:val="00F15825"/>
    <w:rsid w:val="00F1588E"/>
    <w:rsid w:val="00F158DD"/>
    <w:rsid w:val="00F15908"/>
    <w:rsid w:val="00F15966"/>
    <w:rsid w:val="00F15A42"/>
    <w:rsid w:val="00F15B48"/>
    <w:rsid w:val="00F15B7D"/>
    <w:rsid w:val="00F15C52"/>
    <w:rsid w:val="00F15CE5"/>
    <w:rsid w:val="00F15D42"/>
    <w:rsid w:val="00F15D5A"/>
    <w:rsid w:val="00F15D5E"/>
    <w:rsid w:val="00F15D82"/>
    <w:rsid w:val="00F15DDC"/>
    <w:rsid w:val="00F15E7E"/>
    <w:rsid w:val="00F15EAA"/>
    <w:rsid w:val="00F15EED"/>
    <w:rsid w:val="00F15F0D"/>
    <w:rsid w:val="00F15F59"/>
    <w:rsid w:val="00F15F5B"/>
    <w:rsid w:val="00F15F6E"/>
    <w:rsid w:val="00F160AB"/>
    <w:rsid w:val="00F16176"/>
    <w:rsid w:val="00F161A1"/>
    <w:rsid w:val="00F161CE"/>
    <w:rsid w:val="00F1628C"/>
    <w:rsid w:val="00F163CD"/>
    <w:rsid w:val="00F16464"/>
    <w:rsid w:val="00F164F2"/>
    <w:rsid w:val="00F1651A"/>
    <w:rsid w:val="00F165B6"/>
    <w:rsid w:val="00F166AB"/>
    <w:rsid w:val="00F166D6"/>
    <w:rsid w:val="00F16739"/>
    <w:rsid w:val="00F16844"/>
    <w:rsid w:val="00F1694A"/>
    <w:rsid w:val="00F16953"/>
    <w:rsid w:val="00F16976"/>
    <w:rsid w:val="00F16A7A"/>
    <w:rsid w:val="00F16AF8"/>
    <w:rsid w:val="00F16C02"/>
    <w:rsid w:val="00F16C28"/>
    <w:rsid w:val="00F16C33"/>
    <w:rsid w:val="00F16C9D"/>
    <w:rsid w:val="00F16CE9"/>
    <w:rsid w:val="00F16D4C"/>
    <w:rsid w:val="00F16E43"/>
    <w:rsid w:val="00F16E90"/>
    <w:rsid w:val="00F16E9E"/>
    <w:rsid w:val="00F16F43"/>
    <w:rsid w:val="00F16FD6"/>
    <w:rsid w:val="00F1703C"/>
    <w:rsid w:val="00F17047"/>
    <w:rsid w:val="00F1704C"/>
    <w:rsid w:val="00F170DE"/>
    <w:rsid w:val="00F17113"/>
    <w:rsid w:val="00F17162"/>
    <w:rsid w:val="00F1725D"/>
    <w:rsid w:val="00F172DE"/>
    <w:rsid w:val="00F1730E"/>
    <w:rsid w:val="00F173E0"/>
    <w:rsid w:val="00F17476"/>
    <w:rsid w:val="00F17504"/>
    <w:rsid w:val="00F1752D"/>
    <w:rsid w:val="00F175DD"/>
    <w:rsid w:val="00F17655"/>
    <w:rsid w:val="00F17697"/>
    <w:rsid w:val="00F176E7"/>
    <w:rsid w:val="00F17728"/>
    <w:rsid w:val="00F1773B"/>
    <w:rsid w:val="00F177D4"/>
    <w:rsid w:val="00F1783F"/>
    <w:rsid w:val="00F17878"/>
    <w:rsid w:val="00F178AD"/>
    <w:rsid w:val="00F1794C"/>
    <w:rsid w:val="00F17BBC"/>
    <w:rsid w:val="00F17BD2"/>
    <w:rsid w:val="00F17BF3"/>
    <w:rsid w:val="00F17C31"/>
    <w:rsid w:val="00F17CE8"/>
    <w:rsid w:val="00F17D03"/>
    <w:rsid w:val="00F17D52"/>
    <w:rsid w:val="00F17D71"/>
    <w:rsid w:val="00F17DCF"/>
    <w:rsid w:val="00F17E8B"/>
    <w:rsid w:val="00F17F51"/>
    <w:rsid w:val="00F20072"/>
    <w:rsid w:val="00F20098"/>
    <w:rsid w:val="00F200B8"/>
    <w:rsid w:val="00F20139"/>
    <w:rsid w:val="00F20304"/>
    <w:rsid w:val="00F203E3"/>
    <w:rsid w:val="00F204CD"/>
    <w:rsid w:val="00F204EA"/>
    <w:rsid w:val="00F204F2"/>
    <w:rsid w:val="00F20519"/>
    <w:rsid w:val="00F2052C"/>
    <w:rsid w:val="00F2063C"/>
    <w:rsid w:val="00F2067D"/>
    <w:rsid w:val="00F206A9"/>
    <w:rsid w:val="00F206C1"/>
    <w:rsid w:val="00F2072D"/>
    <w:rsid w:val="00F20736"/>
    <w:rsid w:val="00F2075D"/>
    <w:rsid w:val="00F2079A"/>
    <w:rsid w:val="00F207A3"/>
    <w:rsid w:val="00F207B0"/>
    <w:rsid w:val="00F207BF"/>
    <w:rsid w:val="00F20836"/>
    <w:rsid w:val="00F20844"/>
    <w:rsid w:val="00F20881"/>
    <w:rsid w:val="00F208A0"/>
    <w:rsid w:val="00F208B1"/>
    <w:rsid w:val="00F20901"/>
    <w:rsid w:val="00F20925"/>
    <w:rsid w:val="00F20A24"/>
    <w:rsid w:val="00F20A3E"/>
    <w:rsid w:val="00F20A8B"/>
    <w:rsid w:val="00F20B68"/>
    <w:rsid w:val="00F20BC3"/>
    <w:rsid w:val="00F20C24"/>
    <w:rsid w:val="00F20C5D"/>
    <w:rsid w:val="00F20C77"/>
    <w:rsid w:val="00F20D17"/>
    <w:rsid w:val="00F20E1B"/>
    <w:rsid w:val="00F20EE0"/>
    <w:rsid w:val="00F20EF3"/>
    <w:rsid w:val="00F20F53"/>
    <w:rsid w:val="00F20F63"/>
    <w:rsid w:val="00F20F6B"/>
    <w:rsid w:val="00F20F6F"/>
    <w:rsid w:val="00F20FB1"/>
    <w:rsid w:val="00F20FE2"/>
    <w:rsid w:val="00F21034"/>
    <w:rsid w:val="00F2105D"/>
    <w:rsid w:val="00F210F1"/>
    <w:rsid w:val="00F21132"/>
    <w:rsid w:val="00F2113C"/>
    <w:rsid w:val="00F211B7"/>
    <w:rsid w:val="00F211DE"/>
    <w:rsid w:val="00F21247"/>
    <w:rsid w:val="00F21266"/>
    <w:rsid w:val="00F2126F"/>
    <w:rsid w:val="00F21289"/>
    <w:rsid w:val="00F212A0"/>
    <w:rsid w:val="00F212A4"/>
    <w:rsid w:val="00F21367"/>
    <w:rsid w:val="00F2136B"/>
    <w:rsid w:val="00F213A2"/>
    <w:rsid w:val="00F21515"/>
    <w:rsid w:val="00F21521"/>
    <w:rsid w:val="00F215DF"/>
    <w:rsid w:val="00F21646"/>
    <w:rsid w:val="00F21674"/>
    <w:rsid w:val="00F2168B"/>
    <w:rsid w:val="00F21696"/>
    <w:rsid w:val="00F2176E"/>
    <w:rsid w:val="00F21926"/>
    <w:rsid w:val="00F219CA"/>
    <w:rsid w:val="00F21B72"/>
    <w:rsid w:val="00F21B7B"/>
    <w:rsid w:val="00F21BD6"/>
    <w:rsid w:val="00F21C2B"/>
    <w:rsid w:val="00F21C8E"/>
    <w:rsid w:val="00F21C9C"/>
    <w:rsid w:val="00F21CFA"/>
    <w:rsid w:val="00F21DB3"/>
    <w:rsid w:val="00F21DB8"/>
    <w:rsid w:val="00F21DEC"/>
    <w:rsid w:val="00F21EEF"/>
    <w:rsid w:val="00F21F0A"/>
    <w:rsid w:val="00F21F98"/>
    <w:rsid w:val="00F2205C"/>
    <w:rsid w:val="00F22085"/>
    <w:rsid w:val="00F2211E"/>
    <w:rsid w:val="00F22210"/>
    <w:rsid w:val="00F2222E"/>
    <w:rsid w:val="00F222B5"/>
    <w:rsid w:val="00F223AF"/>
    <w:rsid w:val="00F223C3"/>
    <w:rsid w:val="00F224E2"/>
    <w:rsid w:val="00F22581"/>
    <w:rsid w:val="00F22829"/>
    <w:rsid w:val="00F22913"/>
    <w:rsid w:val="00F2292E"/>
    <w:rsid w:val="00F2295E"/>
    <w:rsid w:val="00F229BD"/>
    <w:rsid w:val="00F22A04"/>
    <w:rsid w:val="00F22A50"/>
    <w:rsid w:val="00F22A7E"/>
    <w:rsid w:val="00F22ABE"/>
    <w:rsid w:val="00F22AD5"/>
    <w:rsid w:val="00F22AF4"/>
    <w:rsid w:val="00F22B93"/>
    <w:rsid w:val="00F22BD9"/>
    <w:rsid w:val="00F22BDD"/>
    <w:rsid w:val="00F22CBC"/>
    <w:rsid w:val="00F22CC7"/>
    <w:rsid w:val="00F22CCC"/>
    <w:rsid w:val="00F22D4E"/>
    <w:rsid w:val="00F22DAB"/>
    <w:rsid w:val="00F22EC6"/>
    <w:rsid w:val="00F22F05"/>
    <w:rsid w:val="00F22F22"/>
    <w:rsid w:val="00F23034"/>
    <w:rsid w:val="00F231A2"/>
    <w:rsid w:val="00F23242"/>
    <w:rsid w:val="00F2325B"/>
    <w:rsid w:val="00F23263"/>
    <w:rsid w:val="00F23342"/>
    <w:rsid w:val="00F233C3"/>
    <w:rsid w:val="00F233DB"/>
    <w:rsid w:val="00F2340A"/>
    <w:rsid w:val="00F23416"/>
    <w:rsid w:val="00F23466"/>
    <w:rsid w:val="00F234AC"/>
    <w:rsid w:val="00F234C4"/>
    <w:rsid w:val="00F23512"/>
    <w:rsid w:val="00F23546"/>
    <w:rsid w:val="00F23607"/>
    <w:rsid w:val="00F2362B"/>
    <w:rsid w:val="00F23696"/>
    <w:rsid w:val="00F236AE"/>
    <w:rsid w:val="00F236B1"/>
    <w:rsid w:val="00F236FE"/>
    <w:rsid w:val="00F23763"/>
    <w:rsid w:val="00F2376B"/>
    <w:rsid w:val="00F23796"/>
    <w:rsid w:val="00F237DE"/>
    <w:rsid w:val="00F2389E"/>
    <w:rsid w:val="00F2396A"/>
    <w:rsid w:val="00F239C5"/>
    <w:rsid w:val="00F23AA7"/>
    <w:rsid w:val="00F23C19"/>
    <w:rsid w:val="00F23D48"/>
    <w:rsid w:val="00F23D77"/>
    <w:rsid w:val="00F23D9A"/>
    <w:rsid w:val="00F23E25"/>
    <w:rsid w:val="00F23EC3"/>
    <w:rsid w:val="00F23ED2"/>
    <w:rsid w:val="00F23F3B"/>
    <w:rsid w:val="00F23FB4"/>
    <w:rsid w:val="00F24059"/>
    <w:rsid w:val="00F240A6"/>
    <w:rsid w:val="00F24210"/>
    <w:rsid w:val="00F243B0"/>
    <w:rsid w:val="00F244CA"/>
    <w:rsid w:val="00F24640"/>
    <w:rsid w:val="00F246CC"/>
    <w:rsid w:val="00F246D4"/>
    <w:rsid w:val="00F2479A"/>
    <w:rsid w:val="00F247AC"/>
    <w:rsid w:val="00F247E3"/>
    <w:rsid w:val="00F247FE"/>
    <w:rsid w:val="00F24877"/>
    <w:rsid w:val="00F24899"/>
    <w:rsid w:val="00F248C1"/>
    <w:rsid w:val="00F248DF"/>
    <w:rsid w:val="00F24905"/>
    <w:rsid w:val="00F249CB"/>
    <w:rsid w:val="00F249FE"/>
    <w:rsid w:val="00F24A7B"/>
    <w:rsid w:val="00F24AC5"/>
    <w:rsid w:val="00F24BAA"/>
    <w:rsid w:val="00F24BCF"/>
    <w:rsid w:val="00F24C37"/>
    <w:rsid w:val="00F24CF1"/>
    <w:rsid w:val="00F24D34"/>
    <w:rsid w:val="00F24DD4"/>
    <w:rsid w:val="00F24DFC"/>
    <w:rsid w:val="00F24E3C"/>
    <w:rsid w:val="00F24E5B"/>
    <w:rsid w:val="00F24EB7"/>
    <w:rsid w:val="00F24EFD"/>
    <w:rsid w:val="00F25155"/>
    <w:rsid w:val="00F2519B"/>
    <w:rsid w:val="00F252C9"/>
    <w:rsid w:val="00F252D3"/>
    <w:rsid w:val="00F253C8"/>
    <w:rsid w:val="00F253D3"/>
    <w:rsid w:val="00F25576"/>
    <w:rsid w:val="00F25580"/>
    <w:rsid w:val="00F2558C"/>
    <w:rsid w:val="00F25590"/>
    <w:rsid w:val="00F25636"/>
    <w:rsid w:val="00F25711"/>
    <w:rsid w:val="00F25735"/>
    <w:rsid w:val="00F25743"/>
    <w:rsid w:val="00F2574D"/>
    <w:rsid w:val="00F2578E"/>
    <w:rsid w:val="00F257D7"/>
    <w:rsid w:val="00F258BE"/>
    <w:rsid w:val="00F258D9"/>
    <w:rsid w:val="00F25945"/>
    <w:rsid w:val="00F25ADF"/>
    <w:rsid w:val="00F25BBF"/>
    <w:rsid w:val="00F25BC8"/>
    <w:rsid w:val="00F25C2D"/>
    <w:rsid w:val="00F25C6D"/>
    <w:rsid w:val="00F25CBC"/>
    <w:rsid w:val="00F25CD9"/>
    <w:rsid w:val="00F25D02"/>
    <w:rsid w:val="00F25DB8"/>
    <w:rsid w:val="00F25EB7"/>
    <w:rsid w:val="00F25F43"/>
    <w:rsid w:val="00F25F80"/>
    <w:rsid w:val="00F25FF2"/>
    <w:rsid w:val="00F26025"/>
    <w:rsid w:val="00F2603F"/>
    <w:rsid w:val="00F2604B"/>
    <w:rsid w:val="00F26075"/>
    <w:rsid w:val="00F26082"/>
    <w:rsid w:val="00F26173"/>
    <w:rsid w:val="00F26180"/>
    <w:rsid w:val="00F26191"/>
    <w:rsid w:val="00F26274"/>
    <w:rsid w:val="00F26300"/>
    <w:rsid w:val="00F26397"/>
    <w:rsid w:val="00F264E2"/>
    <w:rsid w:val="00F26524"/>
    <w:rsid w:val="00F26526"/>
    <w:rsid w:val="00F26554"/>
    <w:rsid w:val="00F2655D"/>
    <w:rsid w:val="00F2662B"/>
    <w:rsid w:val="00F2666A"/>
    <w:rsid w:val="00F26673"/>
    <w:rsid w:val="00F2669E"/>
    <w:rsid w:val="00F266D0"/>
    <w:rsid w:val="00F26707"/>
    <w:rsid w:val="00F26815"/>
    <w:rsid w:val="00F26874"/>
    <w:rsid w:val="00F2689F"/>
    <w:rsid w:val="00F2690D"/>
    <w:rsid w:val="00F26980"/>
    <w:rsid w:val="00F269C2"/>
    <w:rsid w:val="00F26A01"/>
    <w:rsid w:val="00F26A1A"/>
    <w:rsid w:val="00F26A53"/>
    <w:rsid w:val="00F26B42"/>
    <w:rsid w:val="00F26B9A"/>
    <w:rsid w:val="00F26C1B"/>
    <w:rsid w:val="00F26D01"/>
    <w:rsid w:val="00F26D3A"/>
    <w:rsid w:val="00F26D82"/>
    <w:rsid w:val="00F26DC6"/>
    <w:rsid w:val="00F26E37"/>
    <w:rsid w:val="00F26E70"/>
    <w:rsid w:val="00F26E78"/>
    <w:rsid w:val="00F26EA7"/>
    <w:rsid w:val="00F26F47"/>
    <w:rsid w:val="00F26F7D"/>
    <w:rsid w:val="00F27004"/>
    <w:rsid w:val="00F27023"/>
    <w:rsid w:val="00F27040"/>
    <w:rsid w:val="00F27047"/>
    <w:rsid w:val="00F270A9"/>
    <w:rsid w:val="00F270DE"/>
    <w:rsid w:val="00F270F2"/>
    <w:rsid w:val="00F2718D"/>
    <w:rsid w:val="00F27273"/>
    <w:rsid w:val="00F272E8"/>
    <w:rsid w:val="00F27335"/>
    <w:rsid w:val="00F2734C"/>
    <w:rsid w:val="00F273A8"/>
    <w:rsid w:val="00F273C6"/>
    <w:rsid w:val="00F273E6"/>
    <w:rsid w:val="00F2742E"/>
    <w:rsid w:val="00F274C0"/>
    <w:rsid w:val="00F27532"/>
    <w:rsid w:val="00F27543"/>
    <w:rsid w:val="00F275EE"/>
    <w:rsid w:val="00F275F1"/>
    <w:rsid w:val="00F2766D"/>
    <w:rsid w:val="00F27690"/>
    <w:rsid w:val="00F2769E"/>
    <w:rsid w:val="00F276B2"/>
    <w:rsid w:val="00F2770F"/>
    <w:rsid w:val="00F2772D"/>
    <w:rsid w:val="00F2775E"/>
    <w:rsid w:val="00F27774"/>
    <w:rsid w:val="00F2777A"/>
    <w:rsid w:val="00F2777E"/>
    <w:rsid w:val="00F27783"/>
    <w:rsid w:val="00F277CB"/>
    <w:rsid w:val="00F277D0"/>
    <w:rsid w:val="00F27848"/>
    <w:rsid w:val="00F278BC"/>
    <w:rsid w:val="00F27963"/>
    <w:rsid w:val="00F27979"/>
    <w:rsid w:val="00F279A8"/>
    <w:rsid w:val="00F27A9B"/>
    <w:rsid w:val="00F27AA0"/>
    <w:rsid w:val="00F27B0E"/>
    <w:rsid w:val="00F27B59"/>
    <w:rsid w:val="00F27BFB"/>
    <w:rsid w:val="00F27CE7"/>
    <w:rsid w:val="00F27DB1"/>
    <w:rsid w:val="00F27EDC"/>
    <w:rsid w:val="00F27FB1"/>
    <w:rsid w:val="00F27FD2"/>
    <w:rsid w:val="00F30051"/>
    <w:rsid w:val="00F30065"/>
    <w:rsid w:val="00F30118"/>
    <w:rsid w:val="00F3011D"/>
    <w:rsid w:val="00F30298"/>
    <w:rsid w:val="00F302B1"/>
    <w:rsid w:val="00F302BB"/>
    <w:rsid w:val="00F30356"/>
    <w:rsid w:val="00F303B9"/>
    <w:rsid w:val="00F303FA"/>
    <w:rsid w:val="00F3046F"/>
    <w:rsid w:val="00F30491"/>
    <w:rsid w:val="00F3053D"/>
    <w:rsid w:val="00F3055E"/>
    <w:rsid w:val="00F30602"/>
    <w:rsid w:val="00F30640"/>
    <w:rsid w:val="00F30671"/>
    <w:rsid w:val="00F306A8"/>
    <w:rsid w:val="00F306B9"/>
    <w:rsid w:val="00F306E1"/>
    <w:rsid w:val="00F30724"/>
    <w:rsid w:val="00F3079A"/>
    <w:rsid w:val="00F30836"/>
    <w:rsid w:val="00F308DF"/>
    <w:rsid w:val="00F30976"/>
    <w:rsid w:val="00F30983"/>
    <w:rsid w:val="00F309DE"/>
    <w:rsid w:val="00F30A4F"/>
    <w:rsid w:val="00F30B06"/>
    <w:rsid w:val="00F30B09"/>
    <w:rsid w:val="00F30C16"/>
    <w:rsid w:val="00F30C1E"/>
    <w:rsid w:val="00F30C64"/>
    <w:rsid w:val="00F30D2A"/>
    <w:rsid w:val="00F30D4E"/>
    <w:rsid w:val="00F30D98"/>
    <w:rsid w:val="00F30DBB"/>
    <w:rsid w:val="00F30E46"/>
    <w:rsid w:val="00F30E4A"/>
    <w:rsid w:val="00F30E4E"/>
    <w:rsid w:val="00F30F6F"/>
    <w:rsid w:val="00F30F8A"/>
    <w:rsid w:val="00F30F9F"/>
    <w:rsid w:val="00F30FBC"/>
    <w:rsid w:val="00F31021"/>
    <w:rsid w:val="00F31064"/>
    <w:rsid w:val="00F3109A"/>
    <w:rsid w:val="00F311D5"/>
    <w:rsid w:val="00F31201"/>
    <w:rsid w:val="00F31248"/>
    <w:rsid w:val="00F31287"/>
    <w:rsid w:val="00F312CD"/>
    <w:rsid w:val="00F3133E"/>
    <w:rsid w:val="00F3135F"/>
    <w:rsid w:val="00F3140E"/>
    <w:rsid w:val="00F3143B"/>
    <w:rsid w:val="00F31452"/>
    <w:rsid w:val="00F3150F"/>
    <w:rsid w:val="00F315D5"/>
    <w:rsid w:val="00F3163B"/>
    <w:rsid w:val="00F316A1"/>
    <w:rsid w:val="00F316B7"/>
    <w:rsid w:val="00F316EF"/>
    <w:rsid w:val="00F316FB"/>
    <w:rsid w:val="00F317B6"/>
    <w:rsid w:val="00F317FF"/>
    <w:rsid w:val="00F31859"/>
    <w:rsid w:val="00F3194A"/>
    <w:rsid w:val="00F31968"/>
    <w:rsid w:val="00F319A0"/>
    <w:rsid w:val="00F319CA"/>
    <w:rsid w:val="00F319E1"/>
    <w:rsid w:val="00F31A43"/>
    <w:rsid w:val="00F31A90"/>
    <w:rsid w:val="00F31AA2"/>
    <w:rsid w:val="00F31B04"/>
    <w:rsid w:val="00F31B6C"/>
    <w:rsid w:val="00F31BED"/>
    <w:rsid w:val="00F31CB9"/>
    <w:rsid w:val="00F31D5F"/>
    <w:rsid w:val="00F31E03"/>
    <w:rsid w:val="00F31F10"/>
    <w:rsid w:val="00F31F19"/>
    <w:rsid w:val="00F31FD1"/>
    <w:rsid w:val="00F32040"/>
    <w:rsid w:val="00F320C6"/>
    <w:rsid w:val="00F320E8"/>
    <w:rsid w:val="00F32168"/>
    <w:rsid w:val="00F32184"/>
    <w:rsid w:val="00F3219E"/>
    <w:rsid w:val="00F321B5"/>
    <w:rsid w:val="00F321C2"/>
    <w:rsid w:val="00F32243"/>
    <w:rsid w:val="00F3226C"/>
    <w:rsid w:val="00F32272"/>
    <w:rsid w:val="00F32385"/>
    <w:rsid w:val="00F32431"/>
    <w:rsid w:val="00F324CB"/>
    <w:rsid w:val="00F325D8"/>
    <w:rsid w:val="00F32793"/>
    <w:rsid w:val="00F327D1"/>
    <w:rsid w:val="00F327E3"/>
    <w:rsid w:val="00F328DD"/>
    <w:rsid w:val="00F3294C"/>
    <w:rsid w:val="00F32981"/>
    <w:rsid w:val="00F329AA"/>
    <w:rsid w:val="00F329CE"/>
    <w:rsid w:val="00F329EF"/>
    <w:rsid w:val="00F32A0A"/>
    <w:rsid w:val="00F32A75"/>
    <w:rsid w:val="00F32A9F"/>
    <w:rsid w:val="00F32AC6"/>
    <w:rsid w:val="00F32B55"/>
    <w:rsid w:val="00F32C0E"/>
    <w:rsid w:val="00F32C28"/>
    <w:rsid w:val="00F32C93"/>
    <w:rsid w:val="00F32CEB"/>
    <w:rsid w:val="00F32D3A"/>
    <w:rsid w:val="00F32D3D"/>
    <w:rsid w:val="00F32E2B"/>
    <w:rsid w:val="00F32E46"/>
    <w:rsid w:val="00F32E84"/>
    <w:rsid w:val="00F32F78"/>
    <w:rsid w:val="00F32FBB"/>
    <w:rsid w:val="00F32FC2"/>
    <w:rsid w:val="00F32FD4"/>
    <w:rsid w:val="00F3303D"/>
    <w:rsid w:val="00F330ED"/>
    <w:rsid w:val="00F33159"/>
    <w:rsid w:val="00F3315A"/>
    <w:rsid w:val="00F331CC"/>
    <w:rsid w:val="00F33245"/>
    <w:rsid w:val="00F332C0"/>
    <w:rsid w:val="00F3337B"/>
    <w:rsid w:val="00F334C3"/>
    <w:rsid w:val="00F334F0"/>
    <w:rsid w:val="00F335D6"/>
    <w:rsid w:val="00F335E8"/>
    <w:rsid w:val="00F337AA"/>
    <w:rsid w:val="00F33859"/>
    <w:rsid w:val="00F3397C"/>
    <w:rsid w:val="00F3397E"/>
    <w:rsid w:val="00F3399B"/>
    <w:rsid w:val="00F339D7"/>
    <w:rsid w:val="00F339DB"/>
    <w:rsid w:val="00F33AA1"/>
    <w:rsid w:val="00F33ACB"/>
    <w:rsid w:val="00F33AE2"/>
    <w:rsid w:val="00F33C6E"/>
    <w:rsid w:val="00F33CB2"/>
    <w:rsid w:val="00F33CE9"/>
    <w:rsid w:val="00F33D2D"/>
    <w:rsid w:val="00F33D32"/>
    <w:rsid w:val="00F33D3C"/>
    <w:rsid w:val="00F33EC9"/>
    <w:rsid w:val="00F33FC4"/>
    <w:rsid w:val="00F340F9"/>
    <w:rsid w:val="00F3412B"/>
    <w:rsid w:val="00F34130"/>
    <w:rsid w:val="00F341CA"/>
    <w:rsid w:val="00F34239"/>
    <w:rsid w:val="00F3423F"/>
    <w:rsid w:val="00F3425F"/>
    <w:rsid w:val="00F34265"/>
    <w:rsid w:val="00F343E8"/>
    <w:rsid w:val="00F34504"/>
    <w:rsid w:val="00F3450A"/>
    <w:rsid w:val="00F3450C"/>
    <w:rsid w:val="00F34527"/>
    <w:rsid w:val="00F34528"/>
    <w:rsid w:val="00F345A4"/>
    <w:rsid w:val="00F34608"/>
    <w:rsid w:val="00F3464C"/>
    <w:rsid w:val="00F3465F"/>
    <w:rsid w:val="00F34773"/>
    <w:rsid w:val="00F347E5"/>
    <w:rsid w:val="00F347ED"/>
    <w:rsid w:val="00F3483D"/>
    <w:rsid w:val="00F34889"/>
    <w:rsid w:val="00F3489A"/>
    <w:rsid w:val="00F348E4"/>
    <w:rsid w:val="00F34916"/>
    <w:rsid w:val="00F34940"/>
    <w:rsid w:val="00F34997"/>
    <w:rsid w:val="00F349B5"/>
    <w:rsid w:val="00F349CC"/>
    <w:rsid w:val="00F34A2B"/>
    <w:rsid w:val="00F34A62"/>
    <w:rsid w:val="00F34B8D"/>
    <w:rsid w:val="00F34BBA"/>
    <w:rsid w:val="00F34BEE"/>
    <w:rsid w:val="00F34C47"/>
    <w:rsid w:val="00F34C9C"/>
    <w:rsid w:val="00F34E29"/>
    <w:rsid w:val="00F34E91"/>
    <w:rsid w:val="00F34EB7"/>
    <w:rsid w:val="00F34EC9"/>
    <w:rsid w:val="00F35075"/>
    <w:rsid w:val="00F3513B"/>
    <w:rsid w:val="00F351CA"/>
    <w:rsid w:val="00F3521D"/>
    <w:rsid w:val="00F352C2"/>
    <w:rsid w:val="00F35355"/>
    <w:rsid w:val="00F35386"/>
    <w:rsid w:val="00F353E3"/>
    <w:rsid w:val="00F3541B"/>
    <w:rsid w:val="00F35451"/>
    <w:rsid w:val="00F354FC"/>
    <w:rsid w:val="00F35556"/>
    <w:rsid w:val="00F3555B"/>
    <w:rsid w:val="00F35561"/>
    <w:rsid w:val="00F35590"/>
    <w:rsid w:val="00F3569F"/>
    <w:rsid w:val="00F3570D"/>
    <w:rsid w:val="00F3586B"/>
    <w:rsid w:val="00F35928"/>
    <w:rsid w:val="00F35956"/>
    <w:rsid w:val="00F35A27"/>
    <w:rsid w:val="00F35A65"/>
    <w:rsid w:val="00F35A7A"/>
    <w:rsid w:val="00F35AF9"/>
    <w:rsid w:val="00F35D70"/>
    <w:rsid w:val="00F35E3B"/>
    <w:rsid w:val="00F35E42"/>
    <w:rsid w:val="00F35EC4"/>
    <w:rsid w:val="00F35F53"/>
    <w:rsid w:val="00F36044"/>
    <w:rsid w:val="00F360DA"/>
    <w:rsid w:val="00F36123"/>
    <w:rsid w:val="00F3613D"/>
    <w:rsid w:val="00F361AD"/>
    <w:rsid w:val="00F3625C"/>
    <w:rsid w:val="00F362CF"/>
    <w:rsid w:val="00F362DD"/>
    <w:rsid w:val="00F3632E"/>
    <w:rsid w:val="00F363AF"/>
    <w:rsid w:val="00F363D6"/>
    <w:rsid w:val="00F3647D"/>
    <w:rsid w:val="00F364C6"/>
    <w:rsid w:val="00F36503"/>
    <w:rsid w:val="00F3652B"/>
    <w:rsid w:val="00F366CF"/>
    <w:rsid w:val="00F36758"/>
    <w:rsid w:val="00F36798"/>
    <w:rsid w:val="00F367A9"/>
    <w:rsid w:val="00F36846"/>
    <w:rsid w:val="00F36873"/>
    <w:rsid w:val="00F368A1"/>
    <w:rsid w:val="00F368FA"/>
    <w:rsid w:val="00F3695F"/>
    <w:rsid w:val="00F369C2"/>
    <w:rsid w:val="00F369C9"/>
    <w:rsid w:val="00F36A15"/>
    <w:rsid w:val="00F36B28"/>
    <w:rsid w:val="00F36BB3"/>
    <w:rsid w:val="00F36CD8"/>
    <w:rsid w:val="00F36D48"/>
    <w:rsid w:val="00F36D55"/>
    <w:rsid w:val="00F36DE9"/>
    <w:rsid w:val="00F36F03"/>
    <w:rsid w:val="00F36F6F"/>
    <w:rsid w:val="00F36FE9"/>
    <w:rsid w:val="00F37091"/>
    <w:rsid w:val="00F371C4"/>
    <w:rsid w:val="00F372D1"/>
    <w:rsid w:val="00F372F1"/>
    <w:rsid w:val="00F3736C"/>
    <w:rsid w:val="00F373AC"/>
    <w:rsid w:val="00F37442"/>
    <w:rsid w:val="00F374B7"/>
    <w:rsid w:val="00F376AC"/>
    <w:rsid w:val="00F37725"/>
    <w:rsid w:val="00F377D0"/>
    <w:rsid w:val="00F37844"/>
    <w:rsid w:val="00F378C0"/>
    <w:rsid w:val="00F378C3"/>
    <w:rsid w:val="00F37BCB"/>
    <w:rsid w:val="00F37CAE"/>
    <w:rsid w:val="00F37DAD"/>
    <w:rsid w:val="00F37DC3"/>
    <w:rsid w:val="00F37DC9"/>
    <w:rsid w:val="00F37E26"/>
    <w:rsid w:val="00F37E3A"/>
    <w:rsid w:val="00F37E3F"/>
    <w:rsid w:val="00F37EDE"/>
    <w:rsid w:val="00F37FA0"/>
    <w:rsid w:val="00F37FE5"/>
    <w:rsid w:val="00F40093"/>
    <w:rsid w:val="00F400F5"/>
    <w:rsid w:val="00F401C6"/>
    <w:rsid w:val="00F401CE"/>
    <w:rsid w:val="00F40312"/>
    <w:rsid w:val="00F403E8"/>
    <w:rsid w:val="00F404BC"/>
    <w:rsid w:val="00F4052D"/>
    <w:rsid w:val="00F4058C"/>
    <w:rsid w:val="00F40592"/>
    <w:rsid w:val="00F4062C"/>
    <w:rsid w:val="00F4077B"/>
    <w:rsid w:val="00F40824"/>
    <w:rsid w:val="00F40838"/>
    <w:rsid w:val="00F408D6"/>
    <w:rsid w:val="00F40925"/>
    <w:rsid w:val="00F40933"/>
    <w:rsid w:val="00F40971"/>
    <w:rsid w:val="00F409BA"/>
    <w:rsid w:val="00F40A59"/>
    <w:rsid w:val="00F40A70"/>
    <w:rsid w:val="00F40AB9"/>
    <w:rsid w:val="00F40AEE"/>
    <w:rsid w:val="00F40B04"/>
    <w:rsid w:val="00F40BF2"/>
    <w:rsid w:val="00F40C06"/>
    <w:rsid w:val="00F40C74"/>
    <w:rsid w:val="00F40C98"/>
    <w:rsid w:val="00F40CC3"/>
    <w:rsid w:val="00F40D0B"/>
    <w:rsid w:val="00F40D97"/>
    <w:rsid w:val="00F40DB8"/>
    <w:rsid w:val="00F40DFC"/>
    <w:rsid w:val="00F40EAD"/>
    <w:rsid w:val="00F40EF1"/>
    <w:rsid w:val="00F4100B"/>
    <w:rsid w:val="00F4106B"/>
    <w:rsid w:val="00F410B5"/>
    <w:rsid w:val="00F4111C"/>
    <w:rsid w:val="00F41173"/>
    <w:rsid w:val="00F4117C"/>
    <w:rsid w:val="00F41304"/>
    <w:rsid w:val="00F41313"/>
    <w:rsid w:val="00F41341"/>
    <w:rsid w:val="00F4135C"/>
    <w:rsid w:val="00F41378"/>
    <w:rsid w:val="00F413D0"/>
    <w:rsid w:val="00F41432"/>
    <w:rsid w:val="00F41455"/>
    <w:rsid w:val="00F41479"/>
    <w:rsid w:val="00F41568"/>
    <w:rsid w:val="00F41610"/>
    <w:rsid w:val="00F41652"/>
    <w:rsid w:val="00F416C2"/>
    <w:rsid w:val="00F416FE"/>
    <w:rsid w:val="00F41760"/>
    <w:rsid w:val="00F417B8"/>
    <w:rsid w:val="00F417D4"/>
    <w:rsid w:val="00F41873"/>
    <w:rsid w:val="00F418BA"/>
    <w:rsid w:val="00F418C0"/>
    <w:rsid w:val="00F418C4"/>
    <w:rsid w:val="00F41918"/>
    <w:rsid w:val="00F41932"/>
    <w:rsid w:val="00F41971"/>
    <w:rsid w:val="00F419DE"/>
    <w:rsid w:val="00F41A13"/>
    <w:rsid w:val="00F41AC5"/>
    <w:rsid w:val="00F41BAE"/>
    <w:rsid w:val="00F41C4D"/>
    <w:rsid w:val="00F41C65"/>
    <w:rsid w:val="00F41CAE"/>
    <w:rsid w:val="00F41D1A"/>
    <w:rsid w:val="00F41DB4"/>
    <w:rsid w:val="00F41DE8"/>
    <w:rsid w:val="00F41E8B"/>
    <w:rsid w:val="00F41EC1"/>
    <w:rsid w:val="00F41F4C"/>
    <w:rsid w:val="00F41F5C"/>
    <w:rsid w:val="00F41FAF"/>
    <w:rsid w:val="00F4208F"/>
    <w:rsid w:val="00F42098"/>
    <w:rsid w:val="00F420A6"/>
    <w:rsid w:val="00F4210F"/>
    <w:rsid w:val="00F42230"/>
    <w:rsid w:val="00F4223E"/>
    <w:rsid w:val="00F4227A"/>
    <w:rsid w:val="00F422AF"/>
    <w:rsid w:val="00F42350"/>
    <w:rsid w:val="00F42376"/>
    <w:rsid w:val="00F42399"/>
    <w:rsid w:val="00F4239B"/>
    <w:rsid w:val="00F4239C"/>
    <w:rsid w:val="00F42591"/>
    <w:rsid w:val="00F4263E"/>
    <w:rsid w:val="00F4264B"/>
    <w:rsid w:val="00F426D9"/>
    <w:rsid w:val="00F426FD"/>
    <w:rsid w:val="00F4271B"/>
    <w:rsid w:val="00F42736"/>
    <w:rsid w:val="00F42784"/>
    <w:rsid w:val="00F427DD"/>
    <w:rsid w:val="00F42812"/>
    <w:rsid w:val="00F42818"/>
    <w:rsid w:val="00F42819"/>
    <w:rsid w:val="00F4283E"/>
    <w:rsid w:val="00F4290A"/>
    <w:rsid w:val="00F42B07"/>
    <w:rsid w:val="00F42B3E"/>
    <w:rsid w:val="00F42B44"/>
    <w:rsid w:val="00F42CB8"/>
    <w:rsid w:val="00F42D9E"/>
    <w:rsid w:val="00F42DCE"/>
    <w:rsid w:val="00F42E81"/>
    <w:rsid w:val="00F42E89"/>
    <w:rsid w:val="00F42EB0"/>
    <w:rsid w:val="00F42F12"/>
    <w:rsid w:val="00F42F62"/>
    <w:rsid w:val="00F42F65"/>
    <w:rsid w:val="00F42F9A"/>
    <w:rsid w:val="00F43169"/>
    <w:rsid w:val="00F4323A"/>
    <w:rsid w:val="00F4326B"/>
    <w:rsid w:val="00F432ED"/>
    <w:rsid w:val="00F43374"/>
    <w:rsid w:val="00F433AA"/>
    <w:rsid w:val="00F433D1"/>
    <w:rsid w:val="00F43449"/>
    <w:rsid w:val="00F43469"/>
    <w:rsid w:val="00F4347D"/>
    <w:rsid w:val="00F4348A"/>
    <w:rsid w:val="00F434A4"/>
    <w:rsid w:val="00F43531"/>
    <w:rsid w:val="00F4353C"/>
    <w:rsid w:val="00F435AC"/>
    <w:rsid w:val="00F43608"/>
    <w:rsid w:val="00F4361F"/>
    <w:rsid w:val="00F43656"/>
    <w:rsid w:val="00F4365A"/>
    <w:rsid w:val="00F43730"/>
    <w:rsid w:val="00F4376F"/>
    <w:rsid w:val="00F43861"/>
    <w:rsid w:val="00F4387F"/>
    <w:rsid w:val="00F438BC"/>
    <w:rsid w:val="00F438D6"/>
    <w:rsid w:val="00F43909"/>
    <w:rsid w:val="00F4390D"/>
    <w:rsid w:val="00F43958"/>
    <w:rsid w:val="00F43AF6"/>
    <w:rsid w:val="00F43B23"/>
    <w:rsid w:val="00F43BA3"/>
    <w:rsid w:val="00F43D2F"/>
    <w:rsid w:val="00F43DAE"/>
    <w:rsid w:val="00F43DEE"/>
    <w:rsid w:val="00F43F22"/>
    <w:rsid w:val="00F43F24"/>
    <w:rsid w:val="00F43F35"/>
    <w:rsid w:val="00F43FBB"/>
    <w:rsid w:val="00F43FD0"/>
    <w:rsid w:val="00F44170"/>
    <w:rsid w:val="00F4421C"/>
    <w:rsid w:val="00F44325"/>
    <w:rsid w:val="00F443B8"/>
    <w:rsid w:val="00F443C4"/>
    <w:rsid w:val="00F44434"/>
    <w:rsid w:val="00F44744"/>
    <w:rsid w:val="00F44799"/>
    <w:rsid w:val="00F447F8"/>
    <w:rsid w:val="00F44810"/>
    <w:rsid w:val="00F44831"/>
    <w:rsid w:val="00F4484B"/>
    <w:rsid w:val="00F448A2"/>
    <w:rsid w:val="00F44906"/>
    <w:rsid w:val="00F4490E"/>
    <w:rsid w:val="00F449BD"/>
    <w:rsid w:val="00F449F9"/>
    <w:rsid w:val="00F44A36"/>
    <w:rsid w:val="00F44AF6"/>
    <w:rsid w:val="00F44B44"/>
    <w:rsid w:val="00F44B78"/>
    <w:rsid w:val="00F44BC2"/>
    <w:rsid w:val="00F44C0D"/>
    <w:rsid w:val="00F44C60"/>
    <w:rsid w:val="00F44CA0"/>
    <w:rsid w:val="00F44D95"/>
    <w:rsid w:val="00F44DDE"/>
    <w:rsid w:val="00F44F0D"/>
    <w:rsid w:val="00F44F20"/>
    <w:rsid w:val="00F45081"/>
    <w:rsid w:val="00F45109"/>
    <w:rsid w:val="00F45137"/>
    <w:rsid w:val="00F4518C"/>
    <w:rsid w:val="00F451E4"/>
    <w:rsid w:val="00F452BE"/>
    <w:rsid w:val="00F452D9"/>
    <w:rsid w:val="00F45308"/>
    <w:rsid w:val="00F4533D"/>
    <w:rsid w:val="00F4536D"/>
    <w:rsid w:val="00F453C2"/>
    <w:rsid w:val="00F453D9"/>
    <w:rsid w:val="00F45403"/>
    <w:rsid w:val="00F4541A"/>
    <w:rsid w:val="00F4543E"/>
    <w:rsid w:val="00F4548A"/>
    <w:rsid w:val="00F4549A"/>
    <w:rsid w:val="00F45514"/>
    <w:rsid w:val="00F4558B"/>
    <w:rsid w:val="00F455F3"/>
    <w:rsid w:val="00F4566D"/>
    <w:rsid w:val="00F456B0"/>
    <w:rsid w:val="00F45705"/>
    <w:rsid w:val="00F457F0"/>
    <w:rsid w:val="00F45878"/>
    <w:rsid w:val="00F458A6"/>
    <w:rsid w:val="00F458B3"/>
    <w:rsid w:val="00F458C8"/>
    <w:rsid w:val="00F45910"/>
    <w:rsid w:val="00F4591F"/>
    <w:rsid w:val="00F45964"/>
    <w:rsid w:val="00F45A6B"/>
    <w:rsid w:val="00F45AAA"/>
    <w:rsid w:val="00F45B7D"/>
    <w:rsid w:val="00F45C0E"/>
    <w:rsid w:val="00F45C30"/>
    <w:rsid w:val="00F45CE4"/>
    <w:rsid w:val="00F45D08"/>
    <w:rsid w:val="00F46085"/>
    <w:rsid w:val="00F460BC"/>
    <w:rsid w:val="00F46142"/>
    <w:rsid w:val="00F461C8"/>
    <w:rsid w:val="00F46309"/>
    <w:rsid w:val="00F46322"/>
    <w:rsid w:val="00F46388"/>
    <w:rsid w:val="00F4659E"/>
    <w:rsid w:val="00F46688"/>
    <w:rsid w:val="00F466A6"/>
    <w:rsid w:val="00F46740"/>
    <w:rsid w:val="00F46793"/>
    <w:rsid w:val="00F467BA"/>
    <w:rsid w:val="00F467CC"/>
    <w:rsid w:val="00F468B8"/>
    <w:rsid w:val="00F46902"/>
    <w:rsid w:val="00F469E7"/>
    <w:rsid w:val="00F469FA"/>
    <w:rsid w:val="00F46A71"/>
    <w:rsid w:val="00F46AE0"/>
    <w:rsid w:val="00F46C19"/>
    <w:rsid w:val="00F46C69"/>
    <w:rsid w:val="00F46CA3"/>
    <w:rsid w:val="00F46CB7"/>
    <w:rsid w:val="00F46CB9"/>
    <w:rsid w:val="00F46CEF"/>
    <w:rsid w:val="00F46CFA"/>
    <w:rsid w:val="00F46D26"/>
    <w:rsid w:val="00F46DDD"/>
    <w:rsid w:val="00F46E4F"/>
    <w:rsid w:val="00F46E72"/>
    <w:rsid w:val="00F46E7B"/>
    <w:rsid w:val="00F46FA1"/>
    <w:rsid w:val="00F47041"/>
    <w:rsid w:val="00F4706B"/>
    <w:rsid w:val="00F47081"/>
    <w:rsid w:val="00F470E5"/>
    <w:rsid w:val="00F47137"/>
    <w:rsid w:val="00F47240"/>
    <w:rsid w:val="00F47359"/>
    <w:rsid w:val="00F4735C"/>
    <w:rsid w:val="00F47382"/>
    <w:rsid w:val="00F47389"/>
    <w:rsid w:val="00F47450"/>
    <w:rsid w:val="00F474B8"/>
    <w:rsid w:val="00F47521"/>
    <w:rsid w:val="00F4752A"/>
    <w:rsid w:val="00F47535"/>
    <w:rsid w:val="00F47542"/>
    <w:rsid w:val="00F476B3"/>
    <w:rsid w:val="00F4774C"/>
    <w:rsid w:val="00F47773"/>
    <w:rsid w:val="00F4787C"/>
    <w:rsid w:val="00F47920"/>
    <w:rsid w:val="00F47959"/>
    <w:rsid w:val="00F479BD"/>
    <w:rsid w:val="00F479EF"/>
    <w:rsid w:val="00F47A96"/>
    <w:rsid w:val="00F47ADA"/>
    <w:rsid w:val="00F47ADD"/>
    <w:rsid w:val="00F47B42"/>
    <w:rsid w:val="00F47BFA"/>
    <w:rsid w:val="00F47C49"/>
    <w:rsid w:val="00F47C99"/>
    <w:rsid w:val="00F47D31"/>
    <w:rsid w:val="00F47D5F"/>
    <w:rsid w:val="00F47DA2"/>
    <w:rsid w:val="00F47DCC"/>
    <w:rsid w:val="00F47DF5"/>
    <w:rsid w:val="00F47E45"/>
    <w:rsid w:val="00F47E4B"/>
    <w:rsid w:val="00F47EBF"/>
    <w:rsid w:val="00F47ED4"/>
    <w:rsid w:val="00F47EDA"/>
    <w:rsid w:val="00F47F83"/>
    <w:rsid w:val="00F47FBF"/>
    <w:rsid w:val="00F5006F"/>
    <w:rsid w:val="00F50192"/>
    <w:rsid w:val="00F5028A"/>
    <w:rsid w:val="00F502DB"/>
    <w:rsid w:val="00F50353"/>
    <w:rsid w:val="00F503CA"/>
    <w:rsid w:val="00F5048D"/>
    <w:rsid w:val="00F504C8"/>
    <w:rsid w:val="00F50528"/>
    <w:rsid w:val="00F5056A"/>
    <w:rsid w:val="00F505F4"/>
    <w:rsid w:val="00F50630"/>
    <w:rsid w:val="00F50693"/>
    <w:rsid w:val="00F506F7"/>
    <w:rsid w:val="00F507D7"/>
    <w:rsid w:val="00F50849"/>
    <w:rsid w:val="00F5085D"/>
    <w:rsid w:val="00F50887"/>
    <w:rsid w:val="00F508E6"/>
    <w:rsid w:val="00F50929"/>
    <w:rsid w:val="00F50A27"/>
    <w:rsid w:val="00F50A5B"/>
    <w:rsid w:val="00F50B84"/>
    <w:rsid w:val="00F50BC0"/>
    <w:rsid w:val="00F50CE9"/>
    <w:rsid w:val="00F50D2C"/>
    <w:rsid w:val="00F50D5D"/>
    <w:rsid w:val="00F50DA7"/>
    <w:rsid w:val="00F50DD6"/>
    <w:rsid w:val="00F50E32"/>
    <w:rsid w:val="00F50F52"/>
    <w:rsid w:val="00F50F67"/>
    <w:rsid w:val="00F50FA5"/>
    <w:rsid w:val="00F50FAF"/>
    <w:rsid w:val="00F50FCD"/>
    <w:rsid w:val="00F51064"/>
    <w:rsid w:val="00F51239"/>
    <w:rsid w:val="00F512F9"/>
    <w:rsid w:val="00F51384"/>
    <w:rsid w:val="00F513E9"/>
    <w:rsid w:val="00F51448"/>
    <w:rsid w:val="00F5144F"/>
    <w:rsid w:val="00F51450"/>
    <w:rsid w:val="00F514C9"/>
    <w:rsid w:val="00F5156D"/>
    <w:rsid w:val="00F51596"/>
    <w:rsid w:val="00F515D8"/>
    <w:rsid w:val="00F5162D"/>
    <w:rsid w:val="00F51631"/>
    <w:rsid w:val="00F5166D"/>
    <w:rsid w:val="00F51712"/>
    <w:rsid w:val="00F51750"/>
    <w:rsid w:val="00F51767"/>
    <w:rsid w:val="00F5179D"/>
    <w:rsid w:val="00F517AC"/>
    <w:rsid w:val="00F51835"/>
    <w:rsid w:val="00F5183D"/>
    <w:rsid w:val="00F5195E"/>
    <w:rsid w:val="00F51A4D"/>
    <w:rsid w:val="00F51A56"/>
    <w:rsid w:val="00F51AE1"/>
    <w:rsid w:val="00F51B1D"/>
    <w:rsid w:val="00F51CD9"/>
    <w:rsid w:val="00F51CF7"/>
    <w:rsid w:val="00F51D6C"/>
    <w:rsid w:val="00F51D73"/>
    <w:rsid w:val="00F51DAD"/>
    <w:rsid w:val="00F51E65"/>
    <w:rsid w:val="00F51EC8"/>
    <w:rsid w:val="00F51F5A"/>
    <w:rsid w:val="00F51FF8"/>
    <w:rsid w:val="00F52062"/>
    <w:rsid w:val="00F5215B"/>
    <w:rsid w:val="00F52182"/>
    <w:rsid w:val="00F521EC"/>
    <w:rsid w:val="00F5220B"/>
    <w:rsid w:val="00F52275"/>
    <w:rsid w:val="00F522DF"/>
    <w:rsid w:val="00F522EC"/>
    <w:rsid w:val="00F523DC"/>
    <w:rsid w:val="00F52541"/>
    <w:rsid w:val="00F525A2"/>
    <w:rsid w:val="00F52608"/>
    <w:rsid w:val="00F52667"/>
    <w:rsid w:val="00F52692"/>
    <w:rsid w:val="00F52714"/>
    <w:rsid w:val="00F52750"/>
    <w:rsid w:val="00F5275A"/>
    <w:rsid w:val="00F52796"/>
    <w:rsid w:val="00F527D9"/>
    <w:rsid w:val="00F52877"/>
    <w:rsid w:val="00F52891"/>
    <w:rsid w:val="00F528C9"/>
    <w:rsid w:val="00F52993"/>
    <w:rsid w:val="00F529A3"/>
    <w:rsid w:val="00F52A68"/>
    <w:rsid w:val="00F52A72"/>
    <w:rsid w:val="00F52ADA"/>
    <w:rsid w:val="00F52B04"/>
    <w:rsid w:val="00F52BEA"/>
    <w:rsid w:val="00F52C90"/>
    <w:rsid w:val="00F52CAF"/>
    <w:rsid w:val="00F52D58"/>
    <w:rsid w:val="00F52DCD"/>
    <w:rsid w:val="00F52E93"/>
    <w:rsid w:val="00F52EED"/>
    <w:rsid w:val="00F52EFA"/>
    <w:rsid w:val="00F52F0D"/>
    <w:rsid w:val="00F52F33"/>
    <w:rsid w:val="00F52FD8"/>
    <w:rsid w:val="00F5300D"/>
    <w:rsid w:val="00F530DD"/>
    <w:rsid w:val="00F531A6"/>
    <w:rsid w:val="00F53216"/>
    <w:rsid w:val="00F53311"/>
    <w:rsid w:val="00F533A1"/>
    <w:rsid w:val="00F534BE"/>
    <w:rsid w:val="00F534ED"/>
    <w:rsid w:val="00F5350B"/>
    <w:rsid w:val="00F535ED"/>
    <w:rsid w:val="00F536AC"/>
    <w:rsid w:val="00F536B2"/>
    <w:rsid w:val="00F53729"/>
    <w:rsid w:val="00F537B7"/>
    <w:rsid w:val="00F53871"/>
    <w:rsid w:val="00F539C8"/>
    <w:rsid w:val="00F539E7"/>
    <w:rsid w:val="00F53A0A"/>
    <w:rsid w:val="00F53A76"/>
    <w:rsid w:val="00F53A84"/>
    <w:rsid w:val="00F53A96"/>
    <w:rsid w:val="00F53AA6"/>
    <w:rsid w:val="00F53BCC"/>
    <w:rsid w:val="00F53BDC"/>
    <w:rsid w:val="00F53BE1"/>
    <w:rsid w:val="00F53C6A"/>
    <w:rsid w:val="00F53D3D"/>
    <w:rsid w:val="00F53D46"/>
    <w:rsid w:val="00F53E1A"/>
    <w:rsid w:val="00F53E1B"/>
    <w:rsid w:val="00F53E56"/>
    <w:rsid w:val="00F53F2B"/>
    <w:rsid w:val="00F5401D"/>
    <w:rsid w:val="00F5404D"/>
    <w:rsid w:val="00F540E3"/>
    <w:rsid w:val="00F540F6"/>
    <w:rsid w:val="00F540F9"/>
    <w:rsid w:val="00F54153"/>
    <w:rsid w:val="00F54196"/>
    <w:rsid w:val="00F541AA"/>
    <w:rsid w:val="00F541B0"/>
    <w:rsid w:val="00F541B4"/>
    <w:rsid w:val="00F541D7"/>
    <w:rsid w:val="00F542A6"/>
    <w:rsid w:val="00F5437D"/>
    <w:rsid w:val="00F54449"/>
    <w:rsid w:val="00F5445E"/>
    <w:rsid w:val="00F54473"/>
    <w:rsid w:val="00F5453E"/>
    <w:rsid w:val="00F54579"/>
    <w:rsid w:val="00F54583"/>
    <w:rsid w:val="00F545C3"/>
    <w:rsid w:val="00F54647"/>
    <w:rsid w:val="00F546E0"/>
    <w:rsid w:val="00F5475B"/>
    <w:rsid w:val="00F5489E"/>
    <w:rsid w:val="00F548D6"/>
    <w:rsid w:val="00F548D8"/>
    <w:rsid w:val="00F54920"/>
    <w:rsid w:val="00F5492D"/>
    <w:rsid w:val="00F54956"/>
    <w:rsid w:val="00F54AD0"/>
    <w:rsid w:val="00F54AD4"/>
    <w:rsid w:val="00F54AFD"/>
    <w:rsid w:val="00F54B31"/>
    <w:rsid w:val="00F54B6A"/>
    <w:rsid w:val="00F54B97"/>
    <w:rsid w:val="00F54CDA"/>
    <w:rsid w:val="00F54CDB"/>
    <w:rsid w:val="00F54D95"/>
    <w:rsid w:val="00F54E04"/>
    <w:rsid w:val="00F54EFC"/>
    <w:rsid w:val="00F54F1A"/>
    <w:rsid w:val="00F54F90"/>
    <w:rsid w:val="00F55011"/>
    <w:rsid w:val="00F5504A"/>
    <w:rsid w:val="00F5509A"/>
    <w:rsid w:val="00F5509F"/>
    <w:rsid w:val="00F550C5"/>
    <w:rsid w:val="00F55223"/>
    <w:rsid w:val="00F55285"/>
    <w:rsid w:val="00F55296"/>
    <w:rsid w:val="00F552FF"/>
    <w:rsid w:val="00F5535B"/>
    <w:rsid w:val="00F553B1"/>
    <w:rsid w:val="00F553C8"/>
    <w:rsid w:val="00F553F3"/>
    <w:rsid w:val="00F55453"/>
    <w:rsid w:val="00F55459"/>
    <w:rsid w:val="00F554C3"/>
    <w:rsid w:val="00F554C7"/>
    <w:rsid w:val="00F55546"/>
    <w:rsid w:val="00F55559"/>
    <w:rsid w:val="00F5556B"/>
    <w:rsid w:val="00F555B3"/>
    <w:rsid w:val="00F5566D"/>
    <w:rsid w:val="00F556A6"/>
    <w:rsid w:val="00F556C0"/>
    <w:rsid w:val="00F5575F"/>
    <w:rsid w:val="00F55769"/>
    <w:rsid w:val="00F5576C"/>
    <w:rsid w:val="00F557EC"/>
    <w:rsid w:val="00F5580F"/>
    <w:rsid w:val="00F55829"/>
    <w:rsid w:val="00F55846"/>
    <w:rsid w:val="00F5589E"/>
    <w:rsid w:val="00F5591A"/>
    <w:rsid w:val="00F55965"/>
    <w:rsid w:val="00F559BA"/>
    <w:rsid w:val="00F55A05"/>
    <w:rsid w:val="00F55A91"/>
    <w:rsid w:val="00F55A93"/>
    <w:rsid w:val="00F55ADB"/>
    <w:rsid w:val="00F55B10"/>
    <w:rsid w:val="00F55B94"/>
    <w:rsid w:val="00F55C85"/>
    <w:rsid w:val="00F55E91"/>
    <w:rsid w:val="00F55EF3"/>
    <w:rsid w:val="00F55F47"/>
    <w:rsid w:val="00F55F6C"/>
    <w:rsid w:val="00F55F98"/>
    <w:rsid w:val="00F55FCC"/>
    <w:rsid w:val="00F55FE2"/>
    <w:rsid w:val="00F5600E"/>
    <w:rsid w:val="00F561BB"/>
    <w:rsid w:val="00F561FF"/>
    <w:rsid w:val="00F56215"/>
    <w:rsid w:val="00F5627B"/>
    <w:rsid w:val="00F5646E"/>
    <w:rsid w:val="00F564E6"/>
    <w:rsid w:val="00F56542"/>
    <w:rsid w:val="00F565AA"/>
    <w:rsid w:val="00F565DA"/>
    <w:rsid w:val="00F5660F"/>
    <w:rsid w:val="00F56643"/>
    <w:rsid w:val="00F56658"/>
    <w:rsid w:val="00F566A5"/>
    <w:rsid w:val="00F5673D"/>
    <w:rsid w:val="00F5676B"/>
    <w:rsid w:val="00F567B7"/>
    <w:rsid w:val="00F56896"/>
    <w:rsid w:val="00F568AE"/>
    <w:rsid w:val="00F56939"/>
    <w:rsid w:val="00F56947"/>
    <w:rsid w:val="00F56971"/>
    <w:rsid w:val="00F56988"/>
    <w:rsid w:val="00F5699A"/>
    <w:rsid w:val="00F569BF"/>
    <w:rsid w:val="00F569C5"/>
    <w:rsid w:val="00F569DB"/>
    <w:rsid w:val="00F56A3D"/>
    <w:rsid w:val="00F56B96"/>
    <w:rsid w:val="00F56CBE"/>
    <w:rsid w:val="00F56D09"/>
    <w:rsid w:val="00F56D54"/>
    <w:rsid w:val="00F56DC4"/>
    <w:rsid w:val="00F56DC7"/>
    <w:rsid w:val="00F56DCE"/>
    <w:rsid w:val="00F56EA2"/>
    <w:rsid w:val="00F56EB8"/>
    <w:rsid w:val="00F56ED7"/>
    <w:rsid w:val="00F56F3D"/>
    <w:rsid w:val="00F56F42"/>
    <w:rsid w:val="00F56F4C"/>
    <w:rsid w:val="00F57024"/>
    <w:rsid w:val="00F57054"/>
    <w:rsid w:val="00F57093"/>
    <w:rsid w:val="00F570A7"/>
    <w:rsid w:val="00F57281"/>
    <w:rsid w:val="00F57292"/>
    <w:rsid w:val="00F57297"/>
    <w:rsid w:val="00F572C3"/>
    <w:rsid w:val="00F572EF"/>
    <w:rsid w:val="00F573B8"/>
    <w:rsid w:val="00F573F9"/>
    <w:rsid w:val="00F57551"/>
    <w:rsid w:val="00F5755D"/>
    <w:rsid w:val="00F575AB"/>
    <w:rsid w:val="00F575FE"/>
    <w:rsid w:val="00F57605"/>
    <w:rsid w:val="00F576C9"/>
    <w:rsid w:val="00F5771D"/>
    <w:rsid w:val="00F577A4"/>
    <w:rsid w:val="00F57A03"/>
    <w:rsid w:val="00F57ADB"/>
    <w:rsid w:val="00F57B2F"/>
    <w:rsid w:val="00F57C9E"/>
    <w:rsid w:val="00F57CC3"/>
    <w:rsid w:val="00F57D03"/>
    <w:rsid w:val="00F57D09"/>
    <w:rsid w:val="00F57DBC"/>
    <w:rsid w:val="00F57EE6"/>
    <w:rsid w:val="00F57F6D"/>
    <w:rsid w:val="00F57FC4"/>
    <w:rsid w:val="00F600B3"/>
    <w:rsid w:val="00F6017B"/>
    <w:rsid w:val="00F60187"/>
    <w:rsid w:val="00F60189"/>
    <w:rsid w:val="00F601B3"/>
    <w:rsid w:val="00F60397"/>
    <w:rsid w:val="00F60455"/>
    <w:rsid w:val="00F60457"/>
    <w:rsid w:val="00F604C1"/>
    <w:rsid w:val="00F604FF"/>
    <w:rsid w:val="00F60568"/>
    <w:rsid w:val="00F605D4"/>
    <w:rsid w:val="00F606AB"/>
    <w:rsid w:val="00F606EA"/>
    <w:rsid w:val="00F606F3"/>
    <w:rsid w:val="00F60769"/>
    <w:rsid w:val="00F60819"/>
    <w:rsid w:val="00F6082D"/>
    <w:rsid w:val="00F6087A"/>
    <w:rsid w:val="00F608EF"/>
    <w:rsid w:val="00F60919"/>
    <w:rsid w:val="00F6095C"/>
    <w:rsid w:val="00F609C4"/>
    <w:rsid w:val="00F60B79"/>
    <w:rsid w:val="00F60B8D"/>
    <w:rsid w:val="00F60BC2"/>
    <w:rsid w:val="00F60C24"/>
    <w:rsid w:val="00F60DAE"/>
    <w:rsid w:val="00F60DB4"/>
    <w:rsid w:val="00F60E1D"/>
    <w:rsid w:val="00F60FA1"/>
    <w:rsid w:val="00F60FFD"/>
    <w:rsid w:val="00F6105B"/>
    <w:rsid w:val="00F61090"/>
    <w:rsid w:val="00F61108"/>
    <w:rsid w:val="00F61112"/>
    <w:rsid w:val="00F61129"/>
    <w:rsid w:val="00F611D2"/>
    <w:rsid w:val="00F611FA"/>
    <w:rsid w:val="00F6127C"/>
    <w:rsid w:val="00F6134C"/>
    <w:rsid w:val="00F613B6"/>
    <w:rsid w:val="00F61404"/>
    <w:rsid w:val="00F61462"/>
    <w:rsid w:val="00F61465"/>
    <w:rsid w:val="00F61493"/>
    <w:rsid w:val="00F614BB"/>
    <w:rsid w:val="00F615DF"/>
    <w:rsid w:val="00F616A6"/>
    <w:rsid w:val="00F61708"/>
    <w:rsid w:val="00F61849"/>
    <w:rsid w:val="00F6187F"/>
    <w:rsid w:val="00F61957"/>
    <w:rsid w:val="00F61988"/>
    <w:rsid w:val="00F619CF"/>
    <w:rsid w:val="00F61A0F"/>
    <w:rsid w:val="00F61A6D"/>
    <w:rsid w:val="00F61A99"/>
    <w:rsid w:val="00F61ACE"/>
    <w:rsid w:val="00F61BAE"/>
    <w:rsid w:val="00F61BB2"/>
    <w:rsid w:val="00F61BBA"/>
    <w:rsid w:val="00F61C33"/>
    <w:rsid w:val="00F61C4D"/>
    <w:rsid w:val="00F61CA7"/>
    <w:rsid w:val="00F61CD3"/>
    <w:rsid w:val="00F61D52"/>
    <w:rsid w:val="00F61D72"/>
    <w:rsid w:val="00F61E0A"/>
    <w:rsid w:val="00F61E1D"/>
    <w:rsid w:val="00F61EBD"/>
    <w:rsid w:val="00F61F1F"/>
    <w:rsid w:val="00F61F2B"/>
    <w:rsid w:val="00F61FC4"/>
    <w:rsid w:val="00F62021"/>
    <w:rsid w:val="00F620B5"/>
    <w:rsid w:val="00F620FC"/>
    <w:rsid w:val="00F62122"/>
    <w:rsid w:val="00F62131"/>
    <w:rsid w:val="00F62133"/>
    <w:rsid w:val="00F621F6"/>
    <w:rsid w:val="00F621FC"/>
    <w:rsid w:val="00F62358"/>
    <w:rsid w:val="00F62361"/>
    <w:rsid w:val="00F6236C"/>
    <w:rsid w:val="00F623B9"/>
    <w:rsid w:val="00F623C5"/>
    <w:rsid w:val="00F6243B"/>
    <w:rsid w:val="00F62462"/>
    <w:rsid w:val="00F625F9"/>
    <w:rsid w:val="00F6261F"/>
    <w:rsid w:val="00F6268B"/>
    <w:rsid w:val="00F6269E"/>
    <w:rsid w:val="00F62734"/>
    <w:rsid w:val="00F627BD"/>
    <w:rsid w:val="00F627EA"/>
    <w:rsid w:val="00F629A6"/>
    <w:rsid w:val="00F629CF"/>
    <w:rsid w:val="00F629D8"/>
    <w:rsid w:val="00F62A20"/>
    <w:rsid w:val="00F62A60"/>
    <w:rsid w:val="00F62BC1"/>
    <w:rsid w:val="00F62BD8"/>
    <w:rsid w:val="00F62CDB"/>
    <w:rsid w:val="00F62D24"/>
    <w:rsid w:val="00F62D2C"/>
    <w:rsid w:val="00F62DE7"/>
    <w:rsid w:val="00F62DFA"/>
    <w:rsid w:val="00F62E36"/>
    <w:rsid w:val="00F62E59"/>
    <w:rsid w:val="00F62FDE"/>
    <w:rsid w:val="00F63034"/>
    <w:rsid w:val="00F6306C"/>
    <w:rsid w:val="00F63070"/>
    <w:rsid w:val="00F6317E"/>
    <w:rsid w:val="00F631C2"/>
    <w:rsid w:val="00F631DD"/>
    <w:rsid w:val="00F63260"/>
    <w:rsid w:val="00F63279"/>
    <w:rsid w:val="00F633DA"/>
    <w:rsid w:val="00F63457"/>
    <w:rsid w:val="00F634C0"/>
    <w:rsid w:val="00F63558"/>
    <w:rsid w:val="00F6364A"/>
    <w:rsid w:val="00F63828"/>
    <w:rsid w:val="00F6383D"/>
    <w:rsid w:val="00F6384C"/>
    <w:rsid w:val="00F6385D"/>
    <w:rsid w:val="00F638EB"/>
    <w:rsid w:val="00F63911"/>
    <w:rsid w:val="00F63A70"/>
    <w:rsid w:val="00F63A78"/>
    <w:rsid w:val="00F63BF4"/>
    <w:rsid w:val="00F63C25"/>
    <w:rsid w:val="00F63C5E"/>
    <w:rsid w:val="00F63D55"/>
    <w:rsid w:val="00F63D5C"/>
    <w:rsid w:val="00F63EF8"/>
    <w:rsid w:val="00F63F32"/>
    <w:rsid w:val="00F63F91"/>
    <w:rsid w:val="00F63FA4"/>
    <w:rsid w:val="00F63FA5"/>
    <w:rsid w:val="00F63FAF"/>
    <w:rsid w:val="00F64001"/>
    <w:rsid w:val="00F6401F"/>
    <w:rsid w:val="00F6407D"/>
    <w:rsid w:val="00F640AE"/>
    <w:rsid w:val="00F640FB"/>
    <w:rsid w:val="00F64103"/>
    <w:rsid w:val="00F64121"/>
    <w:rsid w:val="00F64125"/>
    <w:rsid w:val="00F64179"/>
    <w:rsid w:val="00F6417C"/>
    <w:rsid w:val="00F641D8"/>
    <w:rsid w:val="00F641EC"/>
    <w:rsid w:val="00F6421A"/>
    <w:rsid w:val="00F6433D"/>
    <w:rsid w:val="00F643CC"/>
    <w:rsid w:val="00F643F8"/>
    <w:rsid w:val="00F6448B"/>
    <w:rsid w:val="00F644E2"/>
    <w:rsid w:val="00F64537"/>
    <w:rsid w:val="00F6456D"/>
    <w:rsid w:val="00F647B8"/>
    <w:rsid w:val="00F647BE"/>
    <w:rsid w:val="00F647FC"/>
    <w:rsid w:val="00F64812"/>
    <w:rsid w:val="00F6487D"/>
    <w:rsid w:val="00F6489A"/>
    <w:rsid w:val="00F648A3"/>
    <w:rsid w:val="00F64909"/>
    <w:rsid w:val="00F6494D"/>
    <w:rsid w:val="00F649BA"/>
    <w:rsid w:val="00F64AB9"/>
    <w:rsid w:val="00F64AC8"/>
    <w:rsid w:val="00F64B8E"/>
    <w:rsid w:val="00F64C80"/>
    <w:rsid w:val="00F64CA1"/>
    <w:rsid w:val="00F64D97"/>
    <w:rsid w:val="00F64E1A"/>
    <w:rsid w:val="00F64E47"/>
    <w:rsid w:val="00F64E75"/>
    <w:rsid w:val="00F64F01"/>
    <w:rsid w:val="00F64F5B"/>
    <w:rsid w:val="00F64F78"/>
    <w:rsid w:val="00F64FE4"/>
    <w:rsid w:val="00F6502D"/>
    <w:rsid w:val="00F6505E"/>
    <w:rsid w:val="00F6514B"/>
    <w:rsid w:val="00F651E9"/>
    <w:rsid w:val="00F652C5"/>
    <w:rsid w:val="00F652E2"/>
    <w:rsid w:val="00F653AB"/>
    <w:rsid w:val="00F653EB"/>
    <w:rsid w:val="00F65442"/>
    <w:rsid w:val="00F65523"/>
    <w:rsid w:val="00F65696"/>
    <w:rsid w:val="00F656A0"/>
    <w:rsid w:val="00F656F3"/>
    <w:rsid w:val="00F656F9"/>
    <w:rsid w:val="00F65745"/>
    <w:rsid w:val="00F65757"/>
    <w:rsid w:val="00F657C1"/>
    <w:rsid w:val="00F657D1"/>
    <w:rsid w:val="00F65800"/>
    <w:rsid w:val="00F65811"/>
    <w:rsid w:val="00F6592C"/>
    <w:rsid w:val="00F6593F"/>
    <w:rsid w:val="00F6594D"/>
    <w:rsid w:val="00F659A8"/>
    <w:rsid w:val="00F659DD"/>
    <w:rsid w:val="00F659EC"/>
    <w:rsid w:val="00F65A38"/>
    <w:rsid w:val="00F65AA2"/>
    <w:rsid w:val="00F65AA5"/>
    <w:rsid w:val="00F65B67"/>
    <w:rsid w:val="00F65B6C"/>
    <w:rsid w:val="00F65BDC"/>
    <w:rsid w:val="00F65C07"/>
    <w:rsid w:val="00F65C0F"/>
    <w:rsid w:val="00F65D32"/>
    <w:rsid w:val="00F65DD9"/>
    <w:rsid w:val="00F65DE2"/>
    <w:rsid w:val="00F65E2E"/>
    <w:rsid w:val="00F65F2A"/>
    <w:rsid w:val="00F65F71"/>
    <w:rsid w:val="00F65F84"/>
    <w:rsid w:val="00F66004"/>
    <w:rsid w:val="00F66092"/>
    <w:rsid w:val="00F6610D"/>
    <w:rsid w:val="00F66125"/>
    <w:rsid w:val="00F66145"/>
    <w:rsid w:val="00F66261"/>
    <w:rsid w:val="00F6631C"/>
    <w:rsid w:val="00F663D9"/>
    <w:rsid w:val="00F66408"/>
    <w:rsid w:val="00F66485"/>
    <w:rsid w:val="00F6653A"/>
    <w:rsid w:val="00F6654E"/>
    <w:rsid w:val="00F6655E"/>
    <w:rsid w:val="00F665DC"/>
    <w:rsid w:val="00F66649"/>
    <w:rsid w:val="00F66678"/>
    <w:rsid w:val="00F666C2"/>
    <w:rsid w:val="00F6670F"/>
    <w:rsid w:val="00F66734"/>
    <w:rsid w:val="00F667F6"/>
    <w:rsid w:val="00F6680B"/>
    <w:rsid w:val="00F6682C"/>
    <w:rsid w:val="00F66889"/>
    <w:rsid w:val="00F668B8"/>
    <w:rsid w:val="00F668F0"/>
    <w:rsid w:val="00F668FA"/>
    <w:rsid w:val="00F66929"/>
    <w:rsid w:val="00F66961"/>
    <w:rsid w:val="00F669B8"/>
    <w:rsid w:val="00F669CC"/>
    <w:rsid w:val="00F66ADE"/>
    <w:rsid w:val="00F66B70"/>
    <w:rsid w:val="00F66C2D"/>
    <w:rsid w:val="00F66C72"/>
    <w:rsid w:val="00F66CC0"/>
    <w:rsid w:val="00F66D10"/>
    <w:rsid w:val="00F66D46"/>
    <w:rsid w:val="00F66E28"/>
    <w:rsid w:val="00F66E38"/>
    <w:rsid w:val="00F66EB0"/>
    <w:rsid w:val="00F66F30"/>
    <w:rsid w:val="00F67021"/>
    <w:rsid w:val="00F67096"/>
    <w:rsid w:val="00F670FF"/>
    <w:rsid w:val="00F6717A"/>
    <w:rsid w:val="00F67234"/>
    <w:rsid w:val="00F6726C"/>
    <w:rsid w:val="00F67298"/>
    <w:rsid w:val="00F672ED"/>
    <w:rsid w:val="00F672F7"/>
    <w:rsid w:val="00F6733F"/>
    <w:rsid w:val="00F6735E"/>
    <w:rsid w:val="00F6739C"/>
    <w:rsid w:val="00F673D2"/>
    <w:rsid w:val="00F673D5"/>
    <w:rsid w:val="00F674A6"/>
    <w:rsid w:val="00F67699"/>
    <w:rsid w:val="00F67720"/>
    <w:rsid w:val="00F6783D"/>
    <w:rsid w:val="00F6787E"/>
    <w:rsid w:val="00F678F8"/>
    <w:rsid w:val="00F67A5A"/>
    <w:rsid w:val="00F67A97"/>
    <w:rsid w:val="00F67AA7"/>
    <w:rsid w:val="00F67AE2"/>
    <w:rsid w:val="00F67B4B"/>
    <w:rsid w:val="00F67C6B"/>
    <w:rsid w:val="00F67C8D"/>
    <w:rsid w:val="00F67CD5"/>
    <w:rsid w:val="00F67CF0"/>
    <w:rsid w:val="00F67DDF"/>
    <w:rsid w:val="00F67DEF"/>
    <w:rsid w:val="00F67E04"/>
    <w:rsid w:val="00F67E2D"/>
    <w:rsid w:val="00F67EB7"/>
    <w:rsid w:val="00F67F18"/>
    <w:rsid w:val="00F70031"/>
    <w:rsid w:val="00F70081"/>
    <w:rsid w:val="00F70088"/>
    <w:rsid w:val="00F700D8"/>
    <w:rsid w:val="00F70191"/>
    <w:rsid w:val="00F70218"/>
    <w:rsid w:val="00F7028B"/>
    <w:rsid w:val="00F703FA"/>
    <w:rsid w:val="00F7043A"/>
    <w:rsid w:val="00F70466"/>
    <w:rsid w:val="00F70487"/>
    <w:rsid w:val="00F704C2"/>
    <w:rsid w:val="00F7052C"/>
    <w:rsid w:val="00F70560"/>
    <w:rsid w:val="00F7058E"/>
    <w:rsid w:val="00F7062F"/>
    <w:rsid w:val="00F706E6"/>
    <w:rsid w:val="00F70807"/>
    <w:rsid w:val="00F7090E"/>
    <w:rsid w:val="00F70918"/>
    <w:rsid w:val="00F70934"/>
    <w:rsid w:val="00F709AC"/>
    <w:rsid w:val="00F709AF"/>
    <w:rsid w:val="00F70B06"/>
    <w:rsid w:val="00F70B2E"/>
    <w:rsid w:val="00F70BAB"/>
    <w:rsid w:val="00F70C21"/>
    <w:rsid w:val="00F70C2A"/>
    <w:rsid w:val="00F70C69"/>
    <w:rsid w:val="00F70C92"/>
    <w:rsid w:val="00F70D5D"/>
    <w:rsid w:val="00F70D5E"/>
    <w:rsid w:val="00F70D85"/>
    <w:rsid w:val="00F70E39"/>
    <w:rsid w:val="00F70E5C"/>
    <w:rsid w:val="00F70E93"/>
    <w:rsid w:val="00F70ED3"/>
    <w:rsid w:val="00F70EF8"/>
    <w:rsid w:val="00F70F18"/>
    <w:rsid w:val="00F70F3B"/>
    <w:rsid w:val="00F70F88"/>
    <w:rsid w:val="00F70FA6"/>
    <w:rsid w:val="00F710CB"/>
    <w:rsid w:val="00F71105"/>
    <w:rsid w:val="00F7119C"/>
    <w:rsid w:val="00F711FE"/>
    <w:rsid w:val="00F71245"/>
    <w:rsid w:val="00F71259"/>
    <w:rsid w:val="00F71270"/>
    <w:rsid w:val="00F71273"/>
    <w:rsid w:val="00F712AF"/>
    <w:rsid w:val="00F7138A"/>
    <w:rsid w:val="00F71475"/>
    <w:rsid w:val="00F71530"/>
    <w:rsid w:val="00F71551"/>
    <w:rsid w:val="00F715F3"/>
    <w:rsid w:val="00F716B6"/>
    <w:rsid w:val="00F718C1"/>
    <w:rsid w:val="00F71918"/>
    <w:rsid w:val="00F7193E"/>
    <w:rsid w:val="00F71946"/>
    <w:rsid w:val="00F719AA"/>
    <w:rsid w:val="00F719EA"/>
    <w:rsid w:val="00F71AB1"/>
    <w:rsid w:val="00F71B50"/>
    <w:rsid w:val="00F71BAB"/>
    <w:rsid w:val="00F71BAF"/>
    <w:rsid w:val="00F71BFF"/>
    <w:rsid w:val="00F71C15"/>
    <w:rsid w:val="00F71C24"/>
    <w:rsid w:val="00F71C55"/>
    <w:rsid w:val="00F71C72"/>
    <w:rsid w:val="00F71C7B"/>
    <w:rsid w:val="00F71C97"/>
    <w:rsid w:val="00F71D08"/>
    <w:rsid w:val="00F71D0A"/>
    <w:rsid w:val="00F71D10"/>
    <w:rsid w:val="00F71D1B"/>
    <w:rsid w:val="00F71E1F"/>
    <w:rsid w:val="00F71E2D"/>
    <w:rsid w:val="00F71E6E"/>
    <w:rsid w:val="00F71EF1"/>
    <w:rsid w:val="00F71F10"/>
    <w:rsid w:val="00F71F7C"/>
    <w:rsid w:val="00F72101"/>
    <w:rsid w:val="00F72108"/>
    <w:rsid w:val="00F72115"/>
    <w:rsid w:val="00F7212D"/>
    <w:rsid w:val="00F72145"/>
    <w:rsid w:val="00F72205"/>
    <w:rsid w:val="00F72402"/>
    <w:rsid w:val="00F72480"/>
    <w:rsid w:val="00F7250A"/>
    <w:rsid w:val="00F72510"/>
    <w:rsid w:val="00F72530"/>
    <w:rsid w:val="00F726D1"/>
    <w:rsid w:val="00F72711"/>
    <w:rsid w:val="00F72848"/>
    <w:rsid w:val="00F72905"/>
    <w:rsid w:val="00F72920"/>
    <w:rsid w:val="00F7299A"/>
    <w:rsid w:val="00F729E8"/>
    <w:rsid w:val="00F72A98"/>
    <w:rsid w:val="00F72AC5"/>
    <w:rsid w:val="00F72AE2"/>
    <w:rsid w:val="00F72AE5"/>
    <w:rsid w:val="00F72B72"/>
    <w:rsid w:val="00F72B9F"/>
    <w:rsid w:val="00F72BD2"/>
    <w:rsid w:val="00F72BEC"/>
    <w:rsid w:val="00F72C2F"/>
    <w:rsid w:val="00F72CE1"/>
    <w:rsid w:val="00F72D28"/>
    <w:rsid w:val="00F72F13"/>
    <w:rsid w:val="00F72FDE"/>
    <w:rsid w:val="00F730A1"/>
    <w:rsid w:val="00F73157"/>
    <w:rsid w:val="00F73166"/>
    <w:rsid w:val="00F73181"/>
    <w:rsid w:val="00F73248"/>
    <w:rsid w:val="00F733E0"/>
    <w:rsid w:val="00F734AD"/>
    <w:rsid w:val="00F73521"/>
    <w:rsid w:val="00F7356A"/>
    <w:rsid w:val="00F735B1"/>
    <w:rsid w:val="00F73683"/>
    <w:rsid w:val="00F73754"/>
    <w:rsid w:val="00F73756"/>
    <w:rsid w:val="00F738F5"/>
    <w:rsid w:val="00F739B3"/>
    <w:rsid w:val="00F739BD"/>
    <w:rsid w:val="00F73AF8"/>
    <w:rsid w:val="00F73B5D"/>
    <w:rsid w:val="00F73BEF"/>
    <w:rsid w:val="00F73CF6"/>
    <w:rsid w:val="00F73D0F"/>
    <w:rsid w:val="00F73D84"/>
    <w:rsid w:val="00F73DCB"/>
    <w:rsid w:val="00F73ED5"/>
    <w:rsid w:val="00F73FF7"/>
    <w:rsid w:val="00F7402A"/>
    <w:rsid w:val="00F7410E"/>
    <w:rsid w:val="00F741C3"/>
    <w:rsid w:val="00F741C5"/>
    <w:rsid w:val="00F74209"/>
    <w:rsid w:val="00F74255"/>
    <w:rsid w:val="00F7427C"/>
    <w:rsid w:val="00F74287"/>
    <w:rsid w:val="00F742BF"/>
    <w:rsid w:val="00F742F7"/>
    <w:rsid w:val="00F74347"/>
    <w:rsid w:val="00F74355"/>
    <w:rsid w:val="00F7437B"/>
    <w:rsid w:val="00F7439A"/>
    <w:rsid w:val="00F743A1"/>
    <w:rsid w:val="00F743BA"/>
    <w:rsid w:val="00F7440F"/>
    <w:rsid w:val="00F7452A"/>
    <w:rsid w:val="00F74570"/>
    <w:rsid w:val="00F745B5"/>
    <w:rsid w:val="00F745E4"/>
    <w:rsid w:val="00F7464D"/>
    <w:rsid w:val="00F74655"/>
    <w:rsid w:val="00F746AF"/>
    <w:rsid w:val="00F746B4"/>
    <w:rsid w:val="00F7470B"/>
    <w:rsid w:val="00F74732"/>
    <w:rsid w:val="00F74744"/>
    <w:rsid w:val="00F7474E"/>
    <w:rsid w:val="00F7481C"/>
    <w:rsid w:val="00F74831"/>
    <w:rsid w:val="00F74861"/>
    <w:rsid w:val="00F748B6"/>
    <w:rsid w:val="00F748FE"/>
    <w:rsid w:val="00F7494C"/>
    <w:rsid w:val="00F749AA"/>
    <w:rsid w:val="00F749E5"/>
    <w:rsid w:val="00F74BA9"/>
    <w:rsid w:val="00F74D04"/>
    <w:rsid w:val="00F74D2A"/>
    <w:rsid w:val="00F74D7B"/>
    <w:rsid w:val="00F74D80"/>
    <w:rsid w:val="00F74EB4"/>
    <w:rsid w:val="00F7507C"/>
    <w:rsid w:val="00F750C1"/>
    <w:rsid w:val="00F7518E"/>
    <w:rsid w:val="00F75197"/>
    <w:rsid w:val="00F751CC"/>
    <w:rsid w:val="00F7524F"/>
    <w:rsid w:val="00F752B3"/>
    <w:rsid w:val="00F752F5"/>
    <w:rsid w:val="00F752F8"/>
    <w:rsid w:val="00F752FD"/>
    <w:rsid w:val="00F75301"/>
    <w:rsid w:val="00F7532D"/>
    <w:rsid w:val="00F753EA"/>
    <w:rsid w:val="00F75430"/>
    <w:rsid w:val="00F7544C"/>
    <w:rsid w:val="00F754AB"/>
    <w:rsid w:val="00F75527"/>
    <w:rsid w:val="00F75556"/>
    <w:rsid w:val="00F7557D"/>
    <w:rsid w:val="00F7557F"/>
    <w:rsid w:val="00F75597"/>
    <w:rsid w:val="00F755D5"/>
    <w:rsid w:val="00F75623"/>
    <w:rsid w:val="00F756A0"/>
    <w:rsid w:val="00F756AD"/>
    <w:rsid w:val="00F756CF"/>
    <w:rsid w:val="00F75784"/>
    <w:rsid w:val="00F75796"/>
    <w:rsid w:val="00F757AE"/>
    <w:rsid w:val="00F757DC"/>
    <w:rsid w:val="00F757E8"/>
    <w:rsid w:val="00F75821"/>
    <w:rsid w:val="00F75842"/>
    <w:rsid w:val="00F758A3"/>
    <w:rsid w:val="00F75903"/>
    <w:rsid w:val="00F75987"/>
    <w:rsid w:val="00F75A4B"/>
    <w:rsid w:val="00F75A55"/>
    <w:rsid w:val="00F75AC2"/>
    <w:rsid w:val="00F75AEB"/>
    <w:rsid w:val="00F75BC4"/>
    <w:rsid w:val="00F75BF6"/>
    <w:rsid w:val="00F75D9A"/>
    <w:rsid w:val="00F75E77"/>
    <w:rsid w:val="00F75EB9"/>
    <w:rsid w:val="00F75F07"/>
    <w:rsid w:val="00F75FD8"/>
    <w:rsid w:val="00F75FEC"/>
    <w:rsid w:val="00F7602D"/>
    <w:rsid w:val="00F76086"/>
    <w:rsid w:val="00F760FB"/>
    <w:rsid w:val="00F76102"/>
    <w:rsid w:val="00F761B5"/>
    <w:rsid w:val="00F7625A"/>
    <w:rsid w:val="00F762E4"/>
    <w:rsid w:val="00F76394"/>
    <w:rsid w:val="00F763BA"/>
    <w:rsid w:val="00F76479"/>
    <w:rsid w:val="00F765DC"/>
    <w:rsid w:val="00F765FE"/>
    <w:rsid w:val="00F76612"/>
    <w:rsid w:val="00F766BA"/>
    <w:rsid w:val="00F7670B"/>
    <w:rsid w:val="00F76768"/>
    <w:rsid w:val="00F7679C"/>
    <w:rsid w:val="00F767B6"/>
    <w:rsid w:val="00F769D5"/>
    <w:rsid w:val="00F76A58"/>
    <w:rsid w:val="00F76B66"/>
    <w:rsid w:val="00F76BB3"/>
    <w:rsid w:val="00F76BBD"/>
    <w:rsid w:val="00F76BDA"/>
    <w:rsid w:val="00F76C58"/>
    <w:rsid w:val="00F76CB8"/>
    <w:rsid w:val="00F76D15"/>
    <w:rsid w:val="00F76D53"/>
    <w:rsid w:val="00F76DE9"/>
    <w:rsid w:val="00F76E04"/>
    <w:rsid w:val="00F76E4F"/>
    <w:rsid w:val="00F76EBF"/>
    <w:rsid w:val="00F76F70"/>
    <w:rsid w:val="00F76F94"/>
    <w:rsid w:val="00F7709E"/>
    <w:rsid w:val="00F77296"/>
    <w:rsid w:val="00F772A8"/>
    <w:rsid w:val="00F77300"/>
    <w:rsid w:val="00F77384"/>
    <w:rsid w:val="00F773A0"/>
    <w:rsid w:val="00F773DF"/>
    <w:rsid w:val="00F77400"/>
    <w:rsid w:val="00F77538"/>
    <w:rsid w:val="00F775B0"/>
    <w:rsid w:val="00F77615"/>
    <w:rsid w:val="00F77645"/>
    <w:rsid w:val="00F7764D"/>
    <w:rsid w:val="00F77788"/>
    <w:rsid w:val="00F77807"/>
    <w:rsid w:val="00F77851"/>
    <w:rsid w:val="00F779B8"/>
    <w:rsid w:val="00F77A28"/>
    <w:rsid w:val="00F77AC0"/>
    <w:rsid w:val="00F77ACD"/>
    <w:rsid w:val="00F77B5A"/>
    <w:rsid w:val="00F77BCE"/>
    <w:rsid w:val="00F77BF1"/>
    <w:rsid w:val="00F77CB7"/>
    <w:rsid w:val="00F77CDD"/>
    <w:rsid w:val="00F77CF0"/>
    <w:rsid w:val="00F77D0A"/>
    <w:rsid w:val="00F77D0C"/>
    <w:rsid w:val="00F77D42"/>
    <w:rsid w:val="00F77DAC"/>
    <w:rsid w:val="00F77DB2"/>
    <w:rsid w:val="00F77DF0"/>
    <w:rsid w:val="00F77E0A"/>
    <w:rsid w:val="00F77EC4"/>
    <w:rsid w:val="00F77F7D"/>
    <w:rsid w:val="00F800F8"/>
    <w:rsid w:val="00F800FF"/>
    <w:rsid w:val="00F80114"/>
    <w:rsid w:val="00F80128"/>
    <w:rsid w:val="00F8023A"/>
    <w:rsid w:val="00F802A6"/>
    <w:rsid w:val="00F802C8"/>
    <w:rsid w:val="00F8033F"/>
    <w:rsid w:val="00F80341"/>
    <w:rsid w:val="00F8047B"/>
    <w:rsid w:val="00F80509"/>
    <w:rsid w:val="00F80537"/>
    <w:rsid w:val="00F80580"/>
    <w:rsid w:val="00F80590"/>
    <w:rsid w:val="00F80618"/>
    <w:rsid w:val="00F806E0"/>
    <w:rsid w:val="00F8079D"/>
    <w:rsid w:val="00F80803"/>
    <w:rsid w:val="00F808A1"/>
    <w:rsid w:val="00F80909"/>
    <w:rsid w:val="00F80945"/>
    <w:rsid w:val="00F80A4C"/>
    <w:rsid w:val="00F80AFA"/>
    <w:rsid w:val="00F80C07"/>
    <w:rsid w:val="00F80C31"/>
    <w:rsid w:val="00F80C99"/>
    <w:rsid w:val="00F80CB2"/>
    <w:rsid w:val="00F80CD7"/>
    <w:rsid w:val="00F80CEC"/>
    <w:rsid w:val="00F80CFB"/>
    <w:rsid w:val="00F80D58"/>
    <w:rsid w:val="00F80F68"/>
    <w:rsid w:val="00F80FFB"/>
    <w:rsid w:val="00F81052"/>
    <w:rsid w:val="00F81055"/>
    <w:rsid w:val="00F810F4"/>
    <w:rsid w:val="00F81121"/>
    <w:rsid w:val="00F81141"/>
    <w:rsid w:val="00F81164"/>
    <w:rsid w:val="00F812CD"/>
    <w:rsid w:val="00F8136D"/>
    <w:rsid w:val="00F81374"/>
    <w:rsid w:val="00F81398"/>
    <w:rsid w:val="00F81472"/>
    <w:rsid w:val="00F81495"/>
    <w:rsid w:val="00F814C9"/>
    <w:rsid w:val="00F814E1"/>
    <w:rsid w:val="00F81554"/>
    <w:rsid w:val="00F81589"/>
    <w:rsid w:val="00F815BB"/>
    <w:rsid w:val="00F8187A"/>
    <w:rsid w:val="00F81887"/>
    <w:rsid w:val="00F818C2"/>
    <w:rsid w:val="00F8190D"/>
    <w:rsid w:val="00F819A4"/>
    <w:rsid w:val="00F819EB"/>
    <w:rsid w:val="00F81B61"/>
    <w:rsid w:val="00F81C01"/>
    <w:rsid w:val="00F81CC4"/>
    <w:rsid w:val="00F81CF2"/>
    <w:rsid w:val="00F81D5D"/>
    <w:rsid w:val="00F81E86"/>
    <w:rsid w:val="00F81EBA"/>
    <w:rsid w:val="00F81EE4"/>
    <w:rsid w:val="00F81FF2"/>
    <w:rsid w:val="00F81FFC"/>
    <w:rsid w:val="00F82043"/>
    <w:rsid w:val="00F82055"/>
    <w:rsid w:val="00F82087"/>
    <w:rsid w:val="00F8209C"/>
    <w:rsid w:val="00F820AC"/>
    <w:rsid w:val="00F820E2"/>
    <w:rsid w:val="00F8211D"/>
    <w:rsid w:val="00F8218E"/>
    <w:rsid w:val="00F821BA"/>
    <w:rsid w:val="00F82420"/>
    <w:rsid w:val="00F82423"/>
    <w:rsid w:val="00F824A2"/>
    <w:rsid w:val="00F824C0"/>
    <w:rsid w:val="00F825CF"/>
    <w:rsid w:val="00F8261B"/>
    <w:rsid w:val="00F82673"/>
    <w:rsid w:val="00F826F1"/>
    <w:rsid w:val="00F827FE"/>
    <w:rsid w:val="00F82847"/>
    <w:rsid w:val="00F82853"/>
    <w:rsid w:val="00F828C6"/>
    <w:rsid w:val="00F82A3B"/>
    <w:rsid w:val="00F82A50"/>
    <w:rsid w:val="00F82A6F"/>
    <w:rsid w:val="00F82B08"/>
    <w:rsid w:val="00F82B94"/>
    <w:rsid w:val="00F82BDD"/>
    <w:rsid w:val="00F82BFB"/>
    <w:rsid w:val="00F82C14"/>
    <w:rsid w:val="00F82C81"/>
    <w:rsid w:val="00F82CC7"/>
    <w:rsid w:val="00F82CE8"/>
    <w:rsid w:val="00F82E9A"/>
    <w:rsid w:val="00F82F32"/>
    <w:rsid w:val="00F82F81"/>
    <w:rsid w:val="00F83088"/>
    <w:rsid w:val="00F8309A"/>
    <w:rsid w:val="00F830A7"/>
    <w:rsid w:val="00F83144"/>
    <w:rsid w:val="00F831A3"/>
    <w:rsid w:val="00F831CD"/>
    <w:rsid w:val="00F832E0"/>
    <w:rsid w:val="00F832F4"/>
    <w:rsid w:val="00F83363"/>
    <w:rsid w:val="00F83402"/>
    <w:rsid w:val="00F83415"/>
    <w:rsid w:val="00F835CF"/>
    <w:rsid w:val="00F836CB"/>
    <w:rsid w:val="00F836D6"/>
    <w:rsid w:val="00F837B1"/>
    <w:rsid w:val="00F83822"/>
    <w:rsid w:val="00F8395C"/>
    <w:rsid w:val="00F8398B"/>
    <w:rsid w:val="00F83995"/>
    <w:rsid w:val="00F83AA6"/>
    <w:rsid w:val="00F83AC9"/>
    <w:rsid w:val="00F83AFB"/>
    <w:rsid w:val="00F83B1E"/>
    <w:rsid w:val="00F83C01"/>
    <w:rsid w:val="00F83C0E"/>
    <w:rsid w:val="00F83C84"/>
    <w:rsid w:val="00F83C8F"/>
    <w:rsid w:val="00F83D46"/>
    <w:rsid w:val="00F83E6E"/>
    <w:rsid w:val="00F83E77"/>
    <w:rsid w:val="00F83E84"/>
    <w:rsid w:val="00F83E86"/>
    <w:rsid w:val="00F83F55"/>
    <w:rsid w:val="00F840BE"/>
    <w:rsid w:val="00F840CF"/>
    <w:rsid w:val="00F84174"/>
    <w:rsid w:val="00F841E3"/>
    <w:rsid w:val="00F84261"/>
    <w:rsid w:val="00F8426A"/>
    <w:rsid w:val="00F843C3"/>
    <w:rsid w:val="00F8451D"/>
    <w:rsid w:val="00F84569"/>
    <w:rsid w:val="00F8459C"/>
    <w:rsid w:val="00F845FC"/>
    <w:rsid w:val="00F84613"/>
    <w:rsid w:val="00F84634"/>
    <w:rsid w:val="00F84669"/>
    <w:rsid w:val="00F846E1"/>
    <w:rsid w:val="00F848A4"/>
    <w:rsid w:val="00F84917"/>
    <w:rsid w:val="00F84A29"/>
    <w:rsid w:val="00F84A4E"/>
    <w:rsid w:val="00F84B44"/>
    <w:rsid w:val="00F84B4F"/>
    <w:rsid w:val="00F84B6D"/>
    <w:rsid w:val="00F84BFD"/>
    <w:rsid w:val="00F84D9D"/>
    <w:rsid w:val="00F84DAE"/>
    <w:rsid w:val="00F84DE1"/>
    <w:rsid w:val="00F84DF6"/>
    <w:rsid w:val="00F84DFE"/>
    <w:rsid w:val="00F84E0F"/>
    <w:rsid w:val="00F84EA4"/>
    <w:rsid w:val="00F84ED0"/>
    <w:rsid w:val="00F84F76"/>
    <w:rsid w:val="00F84FF8"/>
    <w:rsid w:val="00F85000"/>
    <w:rsid w:val="00F85166"/>
    <w:rsid w:val="00F8516B"/>
    <w:rsid w:val="00F851A4"/>
    <w:rsid w:val="00F851A9"/>
    <w:rsid w:val="00F851EA"/>
    <w:rsid w:val="00F85216"/>
    <w:rsid w:val="00F852C5"/>
    <w:rsid w:val="00F852D7"/>
    <w:rsid w:val="00F85303"/>
    <w:rsid w:val="00F853F1"/>
    <w:rsid w:val="00F85406"/>
    <w:rsid w:val="00F85728"/>
    <w:rsid w:val="00F85755"/>
    <w:rsid w:val="00F857A8"/>
    <w:rsid w:val="00F857AA"/>
    <w:rsid w:val="00F857C0"/>
    <w:rsid w:val="00F85807"/>
    <w:rsid w:val="00F85843"/>
    <w:rsid w:val="00F8585A"/>
    <w:rsid w:val="00F8586E"/>
    <w:rsid w:val="00F85875"/>
    <w:rsid w:val="00F8588D"/>
    <w:rsid w:val="00F85897"/>
    <w:rsid w:val="00F858FA"/>
    <w:rsid w:val="00F85912"/>
    <w:rsid w:val="00F85944"/>
    <w:rsid w:val="00F859D2"/>
    <w:rsid w:val="00F85DD8"/>
    <w:rsid w:val="00F85F0A"/>
    <w:rsid w:val="00F85F12"/>
    <w:rsid w:val="00F85F40"/>
    <w:rsid w:val="00F85F41"/>
    <w:rsid w:val="00F85F59"/>
    <w:rsid w:val="00F85F9E"/>
    <w:rsid w:val="00F85FBA"/>
    <w:rsid w:val="00F85FD3"/>
    <w:rsid w:val="00F86055"/>
    <w:rsid w:val="00F86071"/>
    <w:rsid w:val="00F861AE"/>
    <w:rsid w:val="00F861C0"/>
    <w:rsid w:val="00F86200"/>
    <w:rsid w:val="00F86295"/>
    <w:rsid w:val="00F8630B"/>
    <w:rsid w:val="00F863D1"/>
    <w:rsid w:val="00F864F1"/>
    <w:rsid w:val="00F8654B"/>
    <w:rsid w:val="00F8657D"/>
    <w:rsid w:val="00F86581"/>
    <w:rsid w:val="00F86596"/>
    <w:rsid w:val="00F86634"/>
    <w:rsid w:val="00F866E8"/>
    <w:rsid w:val="00F866EE"/>
    <w:rsid w:val="00F8670A"/>
    <w:rsid w:val="00F8671C"/>
    <w:rsid w:val="00F8675B"/>
    <w:rsid w:val="00F867BF"/>
    <w:rsid w:val="00F867C8"/>
    <w:rsid w:val="00F86897"/>
    <w:rsid w:val="00F868A7"/>
    <w:rsid w:val="00F868C8"/>
    <w:rsid w:val="00F868CE"/>
    <w:rsid w:val="00F8695C"/>
    <w:rsid w:val="00F8698E"/>
    <w:rsid w:val="00F869A3"/>
    <w:rsid w:val="00F86B41"/>
    <w:rsid w:val="00F86C10"/>
    <w:rsid w:val="00F86C45"/>
    <w:rsid w:val="00F86C60"/>
    <w:rsid w:val="00F86C68"/>
    <w:rsid w:val="00F86C77"/>
    <w:rsid w:val="00F86D78"/>
    <w:rsid w:val="00F86FDB"/>
    <w:rsid w:val="00F87062"/>
    <w:rsid w:val="00F87082"/>
    <w:rsid w:val="00F870A2"/>
    <w:rsid w:val="00F8711F"/>
    <w:rsid w:val="00F8717B"/>
    <w:rsid w:val="00F871E7"/>
    <w:rsid w:val="00F871F1"/>
    <w:rsid w:val="00F87200"/>
    <w:rsid w:val="00F87204"/>
    <w:rsid w:val="00F8727E"/>
    <w:rsid w:val="00F8740C"/>
    <w:rsid w:val="00F87467"/>
    <w:rsid w:val="00F874BD"/>
    <w:rsid w:val="00F874CF"/>
    <w:rsid w:val="00F874F8"/>
    <w:rsid w:val="00F87543"/>
    <w:rsid w:val="00F87570"/>
    <w:rsid w:val="00F875B8"/>
    <w:rsid w:val="00F8765C"/>
    <w:rsid w:val="00F87725"/>
    <w:rsid w:val="00F87753"/>
    <w:rsid w:val="00F8779A"/>
    <w:rsid w:val="00F877C4"/>
    <w:rsid w:val="00F87882"/>
    <w:rsid w:val="00F87911"/>
    <w:rsid w:val="00F879B2"/>
    <w:rsid w:val="00F879EA"/>
    <w:rsid w:val="00F87A33"/>
    <w:rsid w:val="00F87A72"/>
    <w:rsid w:val="00F87BBA"/>
    <w:rsid w:val="00F87BBD"/>
    <w:rsid w:val="00F87BC6"/>
    <w:rsid w:val="00F87C73"/>
    <w:rsid w:val="00F87CA4"/>
    <w:rsid w:val="00F87D3F"/>
    <w:rsid w:val="00F87DCB"/>
    <w:rsid w:val="00F87EA5"/>
    <w:rsid w:val="00F87FE2"/>
    <w:rsid w:val="00F87FE8"/>
    <w:rsid w:val="00F9003A"/>
    <w:rsid w:val="00F9004D"/>
    <w:rsid w:val="00F900C6"/>
    <w:rsid w:val="00F90112"/>
    <w:rsid w:val="00F9019A"/>
    <w:rsid w:val="00F901A0"/>
    <w:rsid w:val="00F901D1"/>
    <w:rsid w:val="00F9038E"/>
    <w:rsid w:val="00F903DF"/>
    <w:rsid w:val="00F904C6"/>
    <w:rsid w:val="00F9061F"/>
    <w:rsid w:val="00F906F7"/>
    <w:rsid w:val="00F90758"/>
    <w:rsid w:val="00F907D9"/>
    <w:rsid w:val="00F9090A"/>
    <w:rsid w:val="00F9091A"/>
    <w:rsid w:val="00F90930"/>
    <w:rsid w:val="00F9098C"/>
    <w:rsid w:val="00F90A07"/>
    <w:rsid w:val="00F90A9A"/>
    <w:rsid w:val="00F90AB8"/>
    <w:rsid w:val="00F90B0E"/>
    <w:rsid w:val="00F90B3D"/>
    <w:rsid w:val="00F90B6D"/>
    <w:rsid w:val="00F90B85"/>
    <w:rsid w:val="00F90C46"/>
    <w:rsid w:val="00F90CB6"/>
    <w:rsid w:val="00F90CEA"/>
    <w:rsid w:val="00F90CEF"/>
    <w:rsid w:val="00F90EA5"/>
    <w:rsid w:val="00F90F4C"/>
    <w:rsid w:val="00F90FC5"/>
    <w:rsid w:val="00F91071"/>
    <w:rsid w:val="00F910BF"/>
    <w:rsid w:val="00F91162"/>
    <w:rsid w:val="00F911A5"/>
    <w:rsid w:val="00F911C3"/>
    <w:rsid w:val="00F911DE"/>
    <w:rsid w:val="00F911E3"/>
    <w:rsid w:val="00F911E6"/>
    <w:rsid w:val="00F91213"/>
    <w:rsid w:val="00F912BB"/>
    <w:rsid w:val="00F91306"/>
    <w:rsid w:val="00F91366"/>
    <w:rsid w:val="00F9137D"/>
    <w:rsid w:val="00F91388"/>
    <w:rsid w:val="00F913A8"/>
    <w:rsid w:val="00F91476"/>
    <w:rsid w:val="00F9148A"/>
    <w:rsid w:val="00F9152C"/>
    <w:rsid w:val="00F91618"/>
    <w:rsid w:val="00F9165D"/>
    <w:rsid w:val="00F91729"/>
    <w:rsid w:val="00F91759"/>
    <w:rsid w:val="00F917CD"/>
    <w:rsid w:val="00F91829"/>
    <w:rsid w:val="00F9182E"/>
    <w:rsid w:val="00F91835"/>
    <w:rsid w:val="00F919AE"/>
    <w:rsid w:val="00F91A44"/>
    <w:rsid w:val="00F91A8C"/>
    <w:rsid w:val="00F91AB6"/>
    <w:rsid w:val="00F91AD4"/>
    <w:rsid w:val="00F91ADA"/>
    <w:rsid w:val="00F91B24"/>
    <w:rsid w:val="00F91B44"/>
    <w:rsid w:val="00F91B48"/>
    <w:rsid w:val="00F91BCC"/>
    <w:rsid w:val="00F91C48"/>
    <w:rsid w:val="00F91C66"/>
    <w:rsid w:val="00F91C8C"/>
    <w:rsid w:val="00F91D9D"/>
    <w:rsid w:val="00F91E64"/>
    <w:rsid w:val="00F91F3D"/>
    <w:rsid w:val="00F91F55"/>
    <w:rsid w:val="00F92032"/>
    <w:rsid w:val="00F92046"/>
    <w:rsid w:val="00F92092"/>
    <w:rsid w:val="00F921D9"/>
    <w:rsid w:val="00F92272"/>
    <w:rsid w:val="00F92284"/>
    <w:rsid w:val="00F92310"/>
    <w:rsid w:val="00F923F4"/>
    <w:rsid w:val="00F9240F"/>
    <w:rsid w:val="00F92417"/>
    <w:rsid w:val="00F9242F"/>
    <w:rsid w:val="00F92458"/>
    <w:rsid w:val="00F9247D"/>
    <w:rsid w:val="00F92508"/>
    <w:rsid w:val="00F9252D"/>
    <w:rsid w:val="00F92586"/>
    <w:rsid w:val="00F925C0"/>
    <w:rsid w:val="00F925C8"/>
    <w:rsid w:val="00F92683"/>
    <w:rsid w:val="00F926A1"/>
    <w:rsid w:val="00F92713"/>
    <w:rsid w:val="00F9276C"/>
    <w:rsid w:val="00F92826"/>
    <w:rsid w:val="00F92841"/>
    <w:rsid w:val="00F9284B"/>
    <w:rsid w:val="00F92866"/>
    <w:rsid w:val="00F928D3"/>
    <w:rsid w:val="00F92913"/>
    <w:rsid w:val="00F9291E"/>
    <w:rsid w:val="00F929C2"/>
    <w:rsid w:val="00F929D3"/>
    <w:rsid w:val="00F92A1B"/>
    <w:rsid w:val="00F92A40"/>
    <w:rsid w:val="00F92A68"/>
    <w:rsid w:val="00F92A80"/>
    <w:rsid w:val="00F92A92"/>
    <w:rsid w:val="00F92A9F"/>
    <w:rsid w:val="00F92ABE"/>
    <w:rsid w:val="00F92B66"/>
    <w:rsid w:val="00F92BD5"/>
    <w:rsid w:val="00F92BE6"/>
    <w:rsid w:val="00F92C48"/>
    <w:rsid w:val="00F92C50"/>
    <w:rsid w:val="00F92C9D"/>
    <w:rsid w:val="00F92D50"/>
    <w:rsid w:val="00F92D87"/>
    <w:rsid w:val="00F92D8D"/>
    <w:rsid w:val="00F92E59"/>
    <w:rsid w:val="00F92E66"/>
    <w:rsid w:val="00F92EDD"/>
    <w:rsid w:val="00F92EFF"/>
    <w:rsid w:val="00F92F0A"/>
    <w:rsid w:val="00F92F60"/>
    <w:rsid w:val="00F9303F"/>
    <w:rsid w:val="00F930F7"/>
    <w:rsid w:val="00F9317D"/>
    <w:rsid w:val="00F9327D"/>
    <w:rsid w:val="00F932B1"/>
    <w:rsid w:val="00F9347B"/>
    <w:rsid w:val="00F934E6"/>
    <w:rsid w:val="00F935EF"/>
    <w:rsid w:val="00F9364F"/>
    <w:rsid w:val="00F9366F"/>
    <w:rsid w:val="00F936AB"/>
    <w:rsid w:val="00F936E1"/>
    <w:rsid w:val="00F93774"/>
    <w:rsid w:val="00F937FD"/>
    <w:rsid w:val="00F93827"/>
    <w:rsid w:val="00F9385B"/>
    <w:rsid w:val="00F9388C"/>
    <w:rsid w:val="00F938C5"/>
    <w:rsid w:val="00F939FA"/>
    <w:rsid w:val="00F93B7D"/>
    <w:rsid w:val="00F93BEE"/>
    <w:rsid w:val="00F93C19"/>
    <w:rsid w:val="00F93C4C"/>
    <w:rsid w:val="00F93D03"/>
    <w:rsid w:val="00F93D31"/>
    <w:rsid w:val="00F93DB8"/>
    <w:rsid w:val="00F93DED"/>
    <w:rsid w:val="00F93E4D"/>
    <w:rsid w:val="00F93ED4"/>
    <w:rsid w:val="00F93EDC"/>
    <w:rsid w:val="00F93F54"/>
    <w:rsid w:val="00F93F87"/>
    <w:rsid w:val="00F93FD3"/>
    <w:rsid w:val="00F93FE1"/>
    <w:rsid w:val="00F94117"/>
    <w:rsid w:val="00F9414E"/>
    <w:rsid w:val="00F9420E"/>
    <w:rsid w:val="00F942EC"/>
    <w:rsid w:val="00F94393"/>
    <w:rsid w:val="00F943BB"/>
    <w:rsid w:val="00F943E9"/>
    <w:rsid w:val="00F9448B"/>
    <w:rsid w:val="00F94526"/>
    <w:rsid w:val="00F945A2"/>
    <w:rsid w:val="00F945DD"/>
    <w:rsid w:val="00F945EE"/>
    <w:rsid w:val="00F9468E"/>
    <w:rsid w:val="00F94713"/>
    <w:rsid w:val="00F94719"/>
    <w:rsid w:val="00F947FE"/>
    <w:rsid w:val="00F9484A"/>
    <w:rsid w:val="00F94937"/>
    <w:rsid w:val="00F949A7"/>
    <w:rsid w:val="00F94A92"/>
    <w:rsid w:val="00F94AB7"/>
    <w:rsid w:val="00F94AD9"/>
    <w:rsid w:val="00F94C1A"/>
    <w:rsid w:val="00F94C6D"/>
    <w:rsid w:val="00F94CD8"/>
    <w:rsid w:val="00F94CED"/>
    <w:rsid w:val="00F94D84"/>
    <w:rsid w:val="00F94DDA"/>
    <w:rsid w:val="00F94E9F"/>
    <w:rsid w:val="00F94F74"/>
    <w:rsid w:val="00F94F77"/>
    <w:rsid w:val="00F94FAE"/>
    <w:rsid w:val="00F94FB3"/>
    <w:rsid w:val="00F94FFD"/>
    <w:rsid w:val="00F95141"/>
    <w:rsid w:val="00F95162"/>
    <w:rsid w:val="00F951BE"/>
    <w:rsid w:val="00F951DC"/>
    <w:rsid w:val="00F9529E"/>
    <w:rsid w:val="00F952D4"/>
    <w:rsid w:val="00F952F3"/>
    <w:rsid w:val="00F95329"/>
    <w:rsid w:val="00F95335"/>
    <w:rsid w:val="00F95425"/>
    <w:rsid w:val="00F954A7"/>
    <w:rsid w:val="00F955C3"/>
    <w:rsid w:val="00F955C7"/>
    <w:rsid w:val="00F9572E"/>
    <w:rsid w:val="00F95765"/>
    <w:rsid w:val="00F957A0"/>
    <w:rsid w:val="00F957F4"/>
    <w:rsid w:val="00F95813"/>
    <w:rsid w:val="00F9581F"/>
    <w:rsid w:val="00F9584E"/>
    <w:rsid w:val="00F95898"/>
    <w:rsid w:val="00F95964"/>
    <w:rsid w:val="00F959B0"/>
    <w:rsid w:val="00F95A65"/>
    <w:rsid w:val="00F95A9F"/>
    <w:rsid w:val="00F95B8E"/>
    <w:rsid w:val="00F95B90"/>
    <w:rsid w:val="00F95BC4"/>
    <w:rsid w:val="00F95C5B"/>
    <w:rsid w:val="00F95D78"/>
    <w:rsid w:val="00F95DBF"/>
    <w:rsid w:val="00F95E07"/>
    <w:rsid w:val="00F95E8B"/>
    <w:rsid w:val="00F95EED"/>
    <w:rsid w:val="00F95FA5"/>
    <w:rsid w:val="00F9605E"/>
    <w:rsid w:val="00F96174"/>
    <w:rsid w:val="00F961DA"/>
    <w:rsid w:val="00F9627C"/>
    <w:rsid w:val="00F9628F"/>
    <w:rsid w:val="00F96330"/>
    <w:rsid w:val="00F963B3"/>
    <w:rsid w:val="00F963D5"/>
    <w:rsid w:val="00F9640D"/>
    <w:rsid w:val="00F964EA"/>
    <w:rsid w:val="00F965A5"/>
    <w:rsid w:val="00F965D1"/>
    <w:rsid w:val="00F965DF"/>
    <w:rsid w:val="00F96636"/>
    <w:rsid w:val="00F96645"/>
    <w:rsid w:val="00F966A6"/>
    <w:rsid w:val="00F966D9"/>
    <w:rsid w:val="00F966EF"/>
    <w:rsid w:val="00F96770"/>
    <w:rsid w:val="00F967EE"/>
    <w:rsid w:val="00F96812"/>
    <w:rsid w:val="00F96827"/>
    <w:rsid w:val="00F96855"/>
    <w:rsid w:val="00F968C5"/>
    <w:rsid w:val="00F968FA"/>
    <w:rsid w:val="00F9692E"/>
    <w:rsid w:val="00F96969"/>
    <w:rsid w:val="00F96A1E"/>
    <w:rsid w:val="00F96A53"/>
    <w:rsid w:val="00F96B30"/>
    <w:rsid w:val="00F96B77"/>
    <w:rsid w:val="00F96C14"/>
    <w:rsid w:val="00F96C2F"/>
    <w:rsid w:val="00F96C6E"/>
    <w:rsid w:val="00F96C88"/>
    <w:rsid w:val="00F96CCA"/>
    <w:rsid w:val="00F96CFA"/>
    <w:rsid w:val="00F96D7D"/>
    <w:rsid w:val="00F96D89"/>
    <w:rsid w:val="00F96DA2"/>
    <w:rsid w:val="00F96E56"/>
    <w:rsid w:val="00F96EB7"/>
    <w:rsid w:val="00F96ED4"/>
    <w:rsid w:val="00F96F30"/>
    <w:rsid w:val="00F96FB6"/>
    <w:rsid w:val="00F97034"/>
    <w:rsid w:val="00F9706F"/>
    <w:rsid w:val="00F97070"/>
    <w:rsid w:val="00F97144"/>
    <w:rsid w:val="00F971A4"/>
    <w:rsid w:val="00F97221"/>
    <w:rsid w:val="00F9733F"/>
    <w:rsid w:val="00F97491"/>
    <w:rsid w:val="00F97538"/>
    <w:rsid w:val="00F9754D"/>
    <w:rsid w:val="00F9755C"/>
    <w:rsid w:val="00F97571"/>
    <w:rsid w:val="00F97593"/>
    <w:rsid w:val="00F975CA"/>
    <w:rsid w:val="00F97613"/>
    <w:rsid w:val="00F9776E"/>
    <w:rsid w:val="00F9779F"/>
    <w:rsid w:val="00F977B8"/>
    <w:rsid w:val="00F97804"/>
    <w:rsid w:val="00F97833"/>
    <w:rsid w:val="00F978A4"/>
    <w:rsid w:val="00F978D0"/>
    <w:rsid w:val="00F978DC"/>
    <w:rsid w:val="00F97911"/>
    <w:rsid w:val="00F97977"/>
    <w:rsid w:val="00F979D8"/>
    <w:rsid w:val="00F97A7A"/>
    <w:rsid w:val="00F97ABC"/>
    <w:rsid w:val="00F97B17"/>
    <w:rsid w:val="00F97B99"/>
    <w:rsid w:val="00F97BD4"/>
    <w:rsid w:val="00F97BE3"/>
    <w:rsid w:val="00F97C09"/>
    <w:rsid w:val="00F97C10"/>
    <w:rsid w:val="00F97CF3"/>
    <w:rsid w:val="00F97CF4"/>
    <w:rsid w:val="00F97DDC"/>
    <w:rsid w:val="00F97DFA"/>
    <w:rsid w:val="00F97E19"/>
    <w:rsid w:val="00F97E5F"/>
    <w:rsid w:val="00F97E78"/>
    <w:rsid w:val="00F97F33"/>
    <w:rsid w:val="00F97F5E"/>
    <w:rsid w:val="00F97FFE"/>
    <w:rsid w:val="00FA00A6"/>
    <w:rsid w:val="00FA00AC"/>
    <w:rsid w:val="00FA00B2"/>
    <w:rsid w:val="00FA00C1"/>
    <w:rsid w:val="00FA00E8"/>
    <w:rsid w:val="00FA015F"/>
    <w:rsid w:val="00FA0188"/>
    <w:rsid w:val="00FA0265"/>
    <w:rsid w:val="00FA02F5"/>
    <w:rsid w:val="00FA0357"/>
    <w:rsid w:val="00FA0396"/>
    <w:rsid w:val="00FA03E3"/>
    <w:rsid w:val="00FA0477"/>
    <w:rsid w:val="00FA0479"/>
    <w:rsid w:val="00FA04A2"/>
    <w:rsid w:val="00FA050C"/>
    <w:rsid w:val="00FA05CC"/>
    <w:rsid w:val="00FA0654"/>
    <w:rsid w:val="00FA077B"/>
    <w:rsid w:val="00FA07FF"/>
    <w:rsid w:val="00FA0885"/>
    <w:rsid w:val="00FA0906"/>
    <w:rsid w:val="00FA0915"/>
    <w:rsid w:val="00FA0953"/>
    <w:rsid w:val="00FA0984"/>
    <w:rsid w:val="00FA0985"/>
    <w:rsid w:val="00FA0A6F"/>
    <w:rsid w:val="00FA0B05"/>
    <w:rsid w:val="00FA0B62"/>
    <w:rsid w:val="00FA0B67"/>
    <w:rsid w:val="00FA0BEB"/>
    <w:rsid w:val="00FA0C40"/>
    <w:rsid w:val="00FA0D4E"/>
    <w:rsid w:val="00FA0DCB"/>
    <w:rsid w:val="00FA0DDD"/>
    <w:rsid w:val="00FA0E24"/>
    <w:rsid w:val="00FA0E5A"/>
    <w:rsid w:val="00FA0EC0"/>
    <w:rsid w:val="00FA0EDD"/>
    <w:rsid w:val="00FA0F2D"/>
    <w:rsid w:val="00FA0F35"/>
    <w:rsid w:val="00FA0F87"/>
    <w:rsid w:val="00FA103F"/>
    <w:rsid w:val="00FA10A7"/>
    <w:rsid w:val="00FA10C6"/>
    <w:rsid w:val="00FA115A"/>
    <w:rsid w:val="00FA1220"/>
    <w:rsid w:val="00FA1276"/>
    <w:rsid w:val="00FA127B"/>
    <w:rsid w:val="00FA1296"/>
    <w:rsid w:val="00FA12DD"/>
    <w:rsid w:val="00FA130B"/>
    <w:rsid w:val="00FA13DA"/>
    <w:rsid w:val="00FA145F"/>
    <w:rsid w:val="00FA1468"/>
    <w:rsid w:val="00FA1589"/>
    <w:rsid w:val="00FA159D"/>
    <w:rsid w:val="00FA167A"/>
    <w:rsid w:val="00FA170D"/>
    <w:rsid w:val="00FA1712"/>
    <w:rsid w:val="00FA171D"/>
    <w:rsid w:val="00FA17C5"/>
    <w:rsid w:val="00FA17EA"/>
    <w:rsid w:val="00FA1834"/>
    <w:rsid w:val="00FA189C"/>
    <w:rsid w:val="00FA18FB"/>
    <w:rsid w:val="00FA191E"/>
    <w:rsid w:val="00FA1949"/>
    <w:rsid w:val="00FA1A00"/>
    <w:rsid w:val="00FA1A6F"/>
    <w:rsid w:val="00FA1AA9"/>
    <w:rsid w:val="00FA1ABC"/>
    <w:rsid w:val="00FA1B9A"/>
    <w:rsid w:val="00FA1BBC"/>
    <w:rsid w:val="00FA1BFF"/>
    <w:rsid w:val="00FA1C48"/>
    <w:rsid w:val="00FA1C9A"/>
    <w:rsid w:val="00FA1D4A"/>
    <w:rsid w:val="00FA1D78"/>
    <w:rsid w:val="00FA1D9B"/>
    <w:rsid w:val="00FA1DDF"/>
    <w:rsid w:val="00FA1E4B"/>
    <w:rsid w:val="00FA1E57"/>
    <w:rsid w:val="00FA1F4C"/>
    <w:rsid w:val="00FA1FA7"/>
    <w:rsid w:val="00FA1FCB"/>
    <w:rsid w:val="00FA209A"/>
    <w:rsid w:val="00FA20BA"/>
    <w:rsid w:val="00FA2118"/>
    <w:rsid w:val="00FA212A"/>
    <w:rsid w:val="00FA21CE"/>
    <w:rsid w:val="00FA22F7"/>
    <w:rsid w:val="00FA2302"/>
    <w:rsid w:val="00FA2354"/>
    <w:rsid w:val="00FA239E"/>
    <w:rsid w:val="00FA23D2"/>
    <w:rsid w:val="00FA23D8"/>
    <w:rsid w:val="00FA2659"/>
    <w:rsid w:val="00FA26BC"/>
    <w:rsid w:val="00FA276B"/>
    <w:rsid w:val="00FA27CE"/>
    <w:rsid w:val="00FA2850"/>
    <w:rsid w:val="00FA29E3"/>
    <w:rsid w:val="00FA2B38"/>
    <w:rsid w:val="00FA2BDA"/>
    <w:rsid w:val="00FA2BFD"/>
    <w:rsid w:val="00FA2C4C"/>
    <w:rsid w:val="00FA2C67"/>
    <w:rsid w:val="00FA2C74"/>
    <w:rsid w:val="00FA2C92"/>
    <w:rsid w:val="00FA2C94"/>
    <w:rsid w:val="00FA2CDD"/>
    <w:rsid w:val="00FA2CE1"/>
    <w:rsid w:val="00FA2CE3"/>
    <w:rsid w:val="00FA2CE7"/>
    <w:rsid w:val="00FA2D61"/>
    <w:rsid w:val="00FA2DA0"/>
    <w:rsid w:val="00FA2DB1"/>
    <w:rsid w:val="00FA2DB9"/>
    <w:rsid w:val="00FA2DD4"/>
    <w:rsid w:val="00FA2E90"/>
    <w:rsid w:val="00FA2E94"/>
    <w:rsid w:val="00FA2EC2"/>
    <w:rsid w:val="00FA2EC6"/>
    <w:rsid w:val="00FA2FD0"/>
    <w:rsid w:val="00FA3029"/>
    <w:rsid w:val="00FA30EE"/>
    <w:rsid w:val="00FA310F"/>
    <w:rsid w:val="00FA3113"/>
    <w:rsid w:val="00FA318D"/>
    <w:rsid w:val="00FA31ED"/>
    <w:rsid w:val="00FA320D"/>
    <w:rsid w:val="00FA325A"/>
    <w:rsid w:val="00FA32A6"/>
    <w:rsid w:val="00FA3386"/>
    <w:rsid w:val="00FA33A9"/>
    <w:rsid w:val="00FA3428"/>
    <w:rsid w:val="00FA351B"/>
    <w:rsid w:val="00FA3711"/>
    <w:rsid w:val="00FA380C"/>
    <w:rsid w:val="00FA3862"/>
    <w:rsid w:val="00FA3894"/>
    <w:rsid w:val="00FA390A"/>
    <w:rsid w:val="00FA3918"/>
    <w:rsid w:val="00FA395E"/>
    <w:rsid w:val="00FA3975"/>
    <w:rsid w:val="00FA3A29"/>
    <w:rsid w:val="00FA3B75"/>
    <w:rsid w:val="00FA3B88"/>
    <w:rsid w:val="00FA3B93"/>
    <w:rsid w:val="00FA3BD6"/>
    <w:rsid w:val="00FA3BD8"/>
    <w:rsid w:val="00FA3C28"/>
    <w:rsid w:val="00FA3CFD"/>
    <w:rsid w:val="00FA3D9B"/>
    <w:rsid w:val="00FA3E51"/>
    <w:rsid w:val="00FA3E58"/>
    <w:rsid w:val="00FA3EEC"/>
    <w:rsid w:val="00FA3F08"/>
    <w:rsid w:val="00FA3F24"/>
    <w:rsid w:val="00FA3FC6"/>
    <w:rsid w:val="00FA4028"/>
    <w:rsid w:val="00FA4045"/>
    <w:rsid w:val="00FA404C"/>
    <w:rsid w:val="00FA408D"/>
    <w:rsid w:val="00FA40C5"/>
    <w:rsid w:val="00FA412F"/>
    <w:rsid w:val="00FA4153"/>
    <w:rsid w:val="00FA417D"/>
    <w:rsid w:val="00FA41EE"/>
    <w:rsid w:val="00FA4264"/>
    <w:rsid w:val="00FA426B"/>
    <w:rsid w:val="00FA4290"/>
    <w:rsid w:val="00FA42A4"/>
    <w:rsid w:val="00FA42F4"/>
    <w:rsid w:val="00FA431D"/>
    <w:rsid w:val="00FA433D"/>
    <w:rsid w:val="00FA43AF"/>
    <w:rsid w:val="00FA448D"/>
    <w:rsid w:val="00FA4508"/>
    <w:rsid w:val="00FA457A"/>
    <w:rsid w:val="00FA469F"/>
    <w:rsid w:val="00FA46B0"/>
    <w:rsid w:val="00FA4751"/>
    <w:rsid w:val="00FA47C2"/>
    <w:rsid w:val="00FA47ED"/>
    <w:rsid w:val="00FA4864"/>
    <w:rsid w:val="00FA48AA"/>
    <w:rsid w:val="00FA49DE"/>
    <w:rsid w:val="00FA4A79"/>
    <w:rsid w:val="00FA4A81"/>
    <w:rsid w:val="00FA4AC8"/>
    <w:rsid w:val="00FA4B95"/>
    <w:rsid w:val="00FA4BD0"/>
    <w:rsid w:val="00FA4BD2"/>
    <w:rsid w:val="00FA4C1E"/>
    <w:rsid w:val="00FA4CA7"/>
    <w:rsid w:val="00FA4CEC"/>
    <w:rsid w:val="00FA4DD4"/>
    <w:rsid w:val="00FA4DD9"/>
    <w:rsid w:val="00FA4DE3"/>
    <w:rsid w:val="00FA4E06"/>
    <w:rsid w:val="00FA4EA4"/>
    <w:rsid w:val="00FA4EBA"/>
    <w:rsid w:val="00FA4EBF"/>
    <w:rsid w:val="00FA4F09"/>
    <w:rsid w:val="00FA4F17"/>
    <w:rsid w:val="00FA4F5B"/>
    <w:rsid w:val="00FA4FC3"/>
    <w:rsid w:val="00FA5013"/>
    <w:rsid w:val="00FA5058"/>
    <w:rsid w:val="00FA5089"/>
    <w:rsid w:val="00FA50B9"/>
    <w:rsid w:val="00FA50C0"/>
    <w:rsid w:val="00FA50F8"/>
    <w:rsid w:val="00FA510A"/>
    <w:rsid w:val="00FA5157"/>
    <w:rsid w:val="00FA515B"/>
    <w:rsid w:val="00FA51B7"/>
    <w:rsid w:val="00FA520F"/>
    <w:rsid w:val="00FA531F"/>
    <w:rsid w:val="00FA5490"/>
    <w:rsid w:val="00FA54F4"/>
    <w:rsid w:val="00FA550C"/>
    <w:rsid w:val="00FA55B0"/>
    <w:rsid w:val="00FA560B"/>
    <w:rsid w:val="00FA565C"/>
    <w:rsid w:val="00FA5826"/>
    <w:rsid w:val="00FA5833"/>
    <w:rsid w:val="00FA5858"/>
    <w:rsid w:val="00FA5866"/>
    <w:rsid w:val="00FA5877"/>
    <w:rsid w:val="00FA58A0"/>
    <w:rsid w:val="00FA58EC"/>
    <w:rsid w:val="00FA5928"/>
    <w:rsid w:val="00FA59D4"/>
    <w:rsid w:val="00FA5A87"/>
    <w:rsid w:val="00FA5C0F"/>
    <w:rsid w:val="00FA5C13"/>
    <w:rsid w:val="00FA5C74"/>
    <w:rsid w:val="00FA5C95"/>
    <w:rsid w:val="00FA5D36"/>
    <w:rsid w:val="00FA5D8B"/>
    <w:rsid w:val="00FA5E22"/>
    <w:rsid w:val="00FA5E41"/>
    <w:rsid w:val="00FA5EB5"/>
    <w:rsid w:val="00FA5EFE"/>
    <w:rsid w:val="00FA5FC9"/>
    <w:rsid w:val="00FA5FF4"/>
    <w:rsid w:val="00FA6006"/>
    <w:rsid w:val="00FA616A"/>
    <w:rsid w:val="00FA61BB"/>
    <w:rsid w:val="00FA61CB"/>
    <w:rsid w:val="00FA629D"/>
    <w:rsid w:val="00FA629E"/>
    <w:rsid w:val="00FA63ED"/>
    <w:rsid w:val="00FA64DE"/>
    <w:rsid w:val="00FA656A"/>
    <w:rsid w:val="00FA6590"/>
    <w:rsid w:val="00FA6596"/>
    <w:rsid w:val="00FA65AE"/>
    <w:rsid w:val="00FA65B7"/>
    <w:rsid w:val="00FA6658"/>
    <w:rsid w:val="00FA66A4"/>
    <w:rsid w:val="00FA66A6"/>
    <w:rsid w:val="00FA66D8"/>
    <w:rsid w:val="00FA66FA"/>
    <w:rsid w:val="00FA6710"/>
    <w:rsid w:val="00FA675F"/>
    <w:rsid w:val="00FA6760"/>
    <w:rsid w:val="00FA67B0"/>
    <w:rsid w:val="00FA6868"/>
    <w:rsid w:val="00FA6872"/>
    <w:rsid w:val="00FA6885"/>
    <w:rsid w:val="00FA6988"/>
    <w:rsid w:val="00FA699E"/>
    <w:rsid w:val="00FA6AFB"/>
    <w:rsid w:val="00FA6C42"/>
    <w:rsid w:val="00FA6C53"/>
    <w:rsid w:val="00FA6C75"/>
    <w:rsid w:val="00FA6C76"/>
    <w:rsid w:val="00FA6CBA"/>
    <w:rsid w:val="00FA6CDB"/>
    <w:rsid w:val="00FA6DBA"/>
    <w:rsid w:val="00FA6DE2"/>
    <w:rsid w:val="00FA6ED2"/>
    <w:rsid w:val="00FA6F7E"/>
    <w:rsid w:val="00FA7019"/>
    <w:rsid w:val="00FA7045"/>
    <w:rsid w:val="00FA719D"/>
    <w:rsid w:val="00FA71DE"/>
    <w:rsid w:val="00FA720B"/>
    <w:rsid w:val="00FA727F"/>
    <w:rsid w:val="00FA731A"/>
    <w:rsid w:val="00FA7349"/>
    <w:rsid w:val="00FA7369"/>
    <w:rsid w:val="00FA73B1"/>
    <w:rsid w:val="00FA73EC"/>
    <w:rsid w:val="00FA746F"/>
    <w:rsid w:val="00FA74D9"/>
    <w:rsid w:val="00FA75B2"/>
    <w:rsid w:val="00FA75C1"/>
    <w:rsid w:val="00FA7613"/>
    <w:rsid w:val="00FA7637"/>
    <w:rsid w:val="00FA767D"/>
    <w:rsid w:val="00FA7795"/>
    <w:rsid w:val="00FA77B7"/>
    <w:rsid w:val="00FA77CF"/>
    <w:rsid w:val="00FA77D5"/>
    <w:rsid w:val="00FA77F1"/>
    <w:rsid w:val="00FA787F"/>
    <w:rsid w:val="00FA78C4"/>
    <w:rsid w:val="00FA79BA"/>
    <w:rsid w:val="00FA79F7"/>
    <w:rsid w:val="00FA7A4F"/>
    <w:rsid w:val="00FA7A8F"/>
    <w:rsid w:val="00FA7A9B"/>
    <w:rsid w:val="00FA7B8F"/>
    <w:rsid w:val="00FA7BF5"/>
    <w:rsid w:val="00FA7CC9"/>
    <w:rsid w:val="00FA7D39"/>
    <w:rsid w:val="00FA7D43"/>
    <w:rsid w:val="00FA7D5D"/>
    <w:rsid w:val="00FA7DBD"/>
    <w:rsid w:val="00FA7DD4"/>
    <w:rsid w:val="00FA7DED"/>
    <w:rsid w:val="00FA7E07"/>
    <w:rsid w:val="00FA7E86"/>
    <w:rsid w:val="00FA7EC5"/>
    <w:rsid w:val="00FA7EF1"/>
    <w:rsid w:val="00FA7EF9"/>
    <w:rsid w:val="00FA7F06"/>
    <w:rsid w:val="00FA7FA7"/>
    <w:rsid w:val="00FB00A8"/>
    <w:rsid w:val="00FB017E"/>
    <w:rsid w:val="00FB027C"/>
    <w:rsid w:val="00FB02D2"/>
    <w:rsid w:val="00FB0455"/>
    <w:rsid w:val="00FB04BF"/>
    <w:rsid w:val="00FB05F0"/>
    <w:rsid w:val="00FB0619"/>
    <w:rsid w:val="00FB0668"/>
    <w:rsid w:val="00FB06A0"/>
    <w:rsid w:val="00FB06AB"/>
    <w:rsid w:val="00FB06B3"/>
    <w:rsid w:val="00FB06EC"/>
    <w:rsid w:val="00FB076D"/>
    <w:rsid w:val="00FB07AC"/>
    <w:rsid w:val="00FB07BF"/>
    <w:rsid w:val="00FB0824"/>
    <w:rsid w:val="00FB0993"/>
    <w:rsid w:val="00FB09A0"/>
    <w:rsid w:val="00FB0A62"/>
    <w:rsid w:val="00FB0B0C"/>
    <w:rsid w:val="00FB0B4B"/>
    <w:rsid w:val="00FB0B66"/>
    <w:rsid w:val="00FB0B70"/>
    <w:rsid w:val="00FB0BB0"/>
    <w:rsid w:val="00FB0BFB"/>
    <w:rsid w:val="00FB0C92"/>
    <w:rsid w:val="00FB0CA0"/>
    <w:rsid w:val="00FB0CF0"/>
    <w:rsid w:val="00FB0D13"/>
    <w:rsid w:val="00FB0D64"/>
    <w:rsid w:val="00FB0DD8"/>
    <w:rsid w:val="00FB0E73"/>
    <w:rsid w:val="00FB0ED7"/>
    <w:rsid w:val="00FB0EF4"/>
    <w:rsid w:val="00FB0F4D"/>
    <w:rsid w:val="00FB0F6C"/>
    <w:rsid w:val="00FB1024"/>
    <w:rsid w:val="00FB1036"/>
    <w:rsid w:val="00FB10B6"/>
    <w:rsid w:val="00FB112C"/>
    <w:rsid w:val="00FB118D"/>
    <w:rsid w:val="00FB118F"/>
    <w:rsid w:val="00FB11A9"/>
    <w:rsid w:val="00FB11F6"/>
    <w:rsid w:val="00FB124F"/>
    <w:rsid w:val="00FB1252"/>
    <w:rsid w:val="00FB1287"/>
    <w:rsid w:val="00FB1318"/>
    <w:rsid w:val="00FB1329"/>
    <w:rsid w:val="00FB133E"/>
    <w:rsid w:val="00FB1361"/>
    <w:rsid w:val="00FB13E3"/>
    <w:rsid w:val="00FB1407"/>
    <w:rsid w:val="00FB1434"/>
    <w:rsid w:val="00FB1435"/>
    <w:rsid w:val="00FB1449"/>
    <w:rsid w:val="00FB14D0"/>
    <w:rsid w:val="00FB161E"/>
    <w:rsid w:val="00FB175B"/>
    <w:rsid w:val="00FB1784"/>
    <w:rsid w:val="00FB179F"/>
    <w:rsid w:val="00FB17B9"/>
    <w:rsid w:val="00FB17BF"/>
    <w:rsid w:val="00FB1846"/>
    <w:rsid w:val="00FB194A"/>
    <w:rsid w:val="00FB19AE"/>
    <w:rsid w:val="00FB1A0B"/>
    <w:rsid w:val="00FB1A12"/>
    <w:rsid w:val="00FB1A2C"/>
    <w:rsid w:val="00FB1AAC"/>
    <w:rsid w:val="00FB1B70"/>
    <w:rsid w:val="00FB1BB2"/>
    <w:rsid w:val="00FB1C4F"/>
    <w:rsid w:val="00FB1CE0"/>
    <w:rsid w:val="00FB1CEF"/>
    <w:rsid w:val="00FB1D0C"/>
    <w:rsid w:val="00FB1D79"/>
    <w:rsid w:val="00FB1DBE"/>
    <w:rsid w:val="00FB1EC8"/>
    <w:rsid w:val="00FB1FC3"/>
    <w:rsid w:val="00FB1FC7"/>
    <w:rsid w:val="00FB1FD6"/>
    <w:rsid w:val="00FB1FF9"/>
    <w:rsid w:val="00FB20F0"/>
    <w:rsid w:val="00FB2115"/>
    <w:rsid w:val="00FB2152"/>
    <w:rsid w:val="00FB2254"/>
    <w:rsid w:val="00FB226F"/>
    <w:rsid w:val="00FB22DE"/>
    <w:rsid w:val="00FB22E4"/>
    <w:rsid w:val="00FB2310"/>
    <w:rsid w:val="00FB23AA"/>
    <w:rsid w:val="00FB23E7"/>
    <w:rsid w:val="00FB2590"/>
    <w:rsid w:val="00FB25C9"/>
    <w:rsid w:val="00FB25F6"/>
    <w:rsid w:val="00FB2600"/>
    <w:rsid w:val="00FB266B"/>
    <w:rsid w:val="00FB2694"/>
    <w:rsid w:val="00FB2733"/>
    <w:rsid w:val="00FB27A3"/>
    <w:rsid w:val="00FB27F1"/>
    <w:rsid w:val="00FB2866"/>
    <w:rsid w:val="00FB2941"/>
    <w:rsid w:val="00FB2999"/>
    <w:rsid w:val="00FB2AEA"/>
    <w:rsid w:val="00FB2C38"/>
    <w:rsid w:val="00FB2C3B"/>
    <w:rsid w:val="00FB2CC9"/>
    <w:rsid w:val="00FB2CEB"/>
    <w:rsid w:val="00FB2CF1"/>
    <w:rsid w:val="00FB2D31"/>
    <w:rsid w:val="00FB2D32"/>
    <w:rsid w:val="00FB2D8B"/>
    <w:rsid w:val="00FB2DAD"/>
    <w:rsid w:val="00FB2DB4"/>
    <w:rsid w:val="00FB2E38"/>
    <w:rsid w:val="00FB2ED0"/>
    <w:rsid w:val="00FB2EE9"/>
    <w:rsid w:val="00FB2F8B"/>
    <w:rsid w:val="00FB2FC1"/>
    <w:rsid w:val="00FB2FD6"/>
    <w:rsid w:val="00FB3074"/>
    <w:rsid w:val="00FB30E7"/>
    <w:rsid w:val="00FB31E4"/>
    <w:rsid w:val="00FB323D"/>
    <w:rsid w:val="00FB3254"/>
    <w:rsid w:val="00FB326E"/>
    <w:rsid w:val="00FB3300"/>
    <w:rsid w:val="00FB332D"/>
    <w:rsid w:val="00FB349C"/>
    <w:rsid w:val="00FB3565"/>
    <w:rsid w:val="00FB35CA"/>
    <w:rsid w:val="00FB362B"/>
    <w:rsid w:val="00FB3653"/>
    <w:rsid w:val="00FB376C"/>
    <w:rsid w:val="00FB37B9"/>
    <w:rsid w:val="00FB37E5"/>
    <w:rsid w:val="00FB3826"/>
    <w:rsid w:val="00FB3989"/>
    <w:rsid w:val="00FB39AB"/>
    <w:rsid w:val="00FB39D2"/>
    <w:rsid w:val="00FB3A05"/>
    <w:rsid w:val="00FB3A56"/>
    <w:rsid w:val="00FB3BA4"/>
    <w:rsid w:val="00FB3C09"/>
    <w:rsid w:val="00FB3D0A"/>
    <w:rsid w:val="00FB3D6C"/>
    <w:rsid w:val="00FB3DA5"/>
    <w:rsid w:val="00FB3DA8"/>
    <w:rsid w:val="00FB3DDA"/>
    <w:rsid w:val="00FB3F36"/>
    <w:rsid w:val="00FB3F3D"/>
    <w:rsid w:val="00FB406C"/>
    <w:rsid w:val="00FB4113"/>
    <w:rsid w:val="00FB4285"/>
    <w:rsid w:val="00FB428C"/>
    <w:rsid w:val="00FB43AE"/>
    <w:rsid w:val="00FB43FF"/>
    <w:rsid w:val="00FB4419"/>
    <w:rsid w:val="00FB44AD"/>
    <w:rsid w:val="00FB45C1"/>
    <w:rsid w:val="00FB4602"/>
    <w:rsid w:val="00FB4661"/>
    <w:rsid w:val="00FB4719"/>
    <w:rsid w:val="00FB477F"/>
    <w:rsid w:val="00FB47F9"/>
    <w:rsid w:val="00FB4844"/>
    <w:rsid w:val="00FB48A8"/>
    <w:rsid w:val="00FB48BE"/>
    <w:rsid w:val="00FB4907"/>
    <w:rsid w:val="00FB4920"/>
    <w:rsid w:val="00FB49A1"/>
    <w:rsid w:val="00FB4B8F"/>
    <w:rsid w:val="00FB4C3C"/>
    <w:rsid w:val="00FB4CA3"/>
    <w:rsid w:val="00FB4CCA"/>
    <w:rsid w:val="00FB4CD6"/>
    <w:rsid w:val="00FB4D78"/>
    <w:rsid w:val="00FB4DD3"/>
    <w:rsid w:val="00FB4EC6"/>
    <w:rsid w:val="00FB4F20"/>
    <w:rsid w:val="00FB4F78"/>
    <w:rsid w:val="00FB4F7A"/>
    <w:rsid w:val="00FB4F8C"/>
    <w:rsid w:val="00FB5000"/>
    <w:rsid w:val="00FB5006"/>
    <w:rsid w:val="00FB5095"/>
    <w:rsid w:val="00FB50DF"/>
    <w:rsid w:val="00FB5136"/>
    <w:rsid w:val="00FB51DF"/>
    <w:rsid w:val="00FB5224"/>
    <w:rsid w:val="00FB523C"/>
    <w:rsid w:val="00FB5242"/>
    <w:rsid w:val="00FB529E"/>
    <w:rsid w:val="00FB52CA"/>
    <w:rsid w:val="00FB52EF"/>
    <w:rsid w:val="00FB5313"/>
    <w:rsid w:val="00FB5352"/>
    <w:rsid w:val="00FB5376"/>
    <w:rsid w:val="00FB5402"/>
    <w:rsid w:val="00FB5505"/>
    <w:rsid w:val="00FB5594"/>
    <w:rsid w:val="00FB55D0"/>
    <w:rsid w:val="00FB5637"/>
    <w:rsid w:val="00FB5640"/>
    <w:rsid w:val="00FB5663"/>
    <w:rsid w:val="00FB56AB"/>
    <w:rsid w:val="00FB56FD"/>
    <w:rsid w:val="00FB5718"/>
    <w:rsid w:val="00FB57B3"/>
    <w:rsid w:val="00FB57C2"/>
    <w:rsid w:val="00FB5835"/>
    <w:rsid w:val="00FB5898"/>
    <w:rsid w:val="00FB58BA"/>
    <w:rsid w:val="00FB58EC"/>
    <w:rsid w:val="00FB594D"/>
    <w:rsid w:val="00FB596E"/>
    <w:rsid w:val="00FB5975"/>
    <w:rsid w:val="00FB599B"/>
    <w:rsid w:val="00FB5AB9"/>
    <w:rsid w:val="00FB5AC0"/>
    <w:rsid w:val="00FB5AC6"/>
    <w:rsid w:val="00FB5AEF"/>
    <w:rsid w:val="00FB5B18"/>
    <w:rsid w:val="00FB5B7A"/>
    <w:rsid w:val="00FB5C6E"/>
    <w:rsid w:val="00FB5C9E"/>
    <w:rsid w:val="00FB5CAE"/>
    <w:rsid w:val="00FB5CDB"/>
    <w:rsid w:val="00FB5CF0"/>
    <w:rsid w:val="00FB5CF7"/>
    <w:rsid w:val="00FB5D11"/>
    <w:rsid w:val="00FB5E56"/>
    <w:rsid w:val="00FB5EB7"/>
    <w:rsid w:val="00FB5F93"/>
    <w:rsid w:val="00FB5FC7"/>
    <w:rsid w:val="00FB6014"/>
    <w:rsid w:val="00FB6019"/>
    <w:rsid w:val="00FB61DE"/>
    <w:rsid w:val="00FB62A7"/>
    <w:rsid w:val="00FB63E3"/>
    <w:rsid w:val="00FB63E8"/>
    <w:rsid w:val="00FB646A"/>
    <w:rsid w:val="00FB6498"/>
    <w:rsid w:val="00FB64F2"/>
    <w:rsid w:val="00FB6566"/>
    <w:rsid w:val="00FB6616"/>
    <w:rsid w:val="00FB6641"/>
    <w:rsid w:val="00FB67BA"/>
    <w:rsid w:val="00FB67D9"/>
    <w:rsid w:val="00FB68BA"/>
    <w:rsid w:val="00FB68C0"/>
    <w:rsid w:val="00FB690C"/>
    <w:rsid w:val="00FB695D"/>
    <w:rsid w:val="00FB69B7"/>
    <w:rsid w:val="00FB6B56"/>
    <w:rsid w:val="00FB6BB8"/>
    <w:rsid w:val="00FB6C16"/>
    <w:rsid w:val="00FB6E43"/>
    <w:rsid w:val="00FB6EE0"/>
    <w:rsid w:val="00FB6EEB"/>
    <w:rsid w:val="00FB7038"/>
    <w:rsid w:val="00FB70C2"/>
    <w:rsid w:val="00FB7124"/>
    <w:rsid w:val="00FB71E0"/>
    <w:rsid w:val="00FB721F"/>
    <w:rsid w:val="00FB7269"/>
    <w:rsid w:val="00FB7322"/>
    <w:rsid w:val="00FB736D"/>
    <w:rsid w:val="00FB7387"/>
    <w:rsid w:val="00FB7393"/>
    <w:rsid w:val="00FB73F2"/>
    <w:rsid w:val="00FB740C"/>
    <w:rsid w:val="00FB7499"/>
    <w:rsid w:val="00FB74D9"/>
    <w:rsid w:val="00FB74E3"/>
    <w:rsid w:val="00FB751B"/>
    <w:rsid w:val="00FB753E"/>
    <w:rsid w:val="00FB75D3"/>
    <w:rsid w:val="00FB7608"/>
    <w:rsid w:val="00FB761D"/>
    <w:rsid w:val="00FB76E9"/>
    <w:rsid w:val="00FB7784"/>
    <w:rsid w:val="00FB77AD"/>
    <w:rsid w:val="00FB77FE"/>
    <w:rsid w:val="00FB784B"/>
    <w:rsid w:val="00FB78D7"/>
    <w:rsid w:val="00FB7933"/>
    <w:rsid w:val="00FB7977"/>
    <w:rsid w:val="00FB7A93"/>
    <w:rsid w:val="00FB7AD1"/>
    <w:rsid w:val="00FB7B4A"/>
    <w:rsid w:val="00FB7B91"/>
    <w:rsid w:val="00FB7BC0"/>
    <w:rsid w:val="00FB7C51"/>
    <w:rsid w:val="00FB7DC6"/>
    <w:rsid w:val="00FB7DC8"/>
    <w:rsid w:val="00FB7DDD"/>
    <w:rsid w:val="00FB7E16"/>
    <w:rsid w:val="00FB7EF2"/>
    <w:rsid w:val="00FB7F22"/>
    <w:rsid w:val="00FB7F9E"/>
    <w:rsid w:val="00FB7FD5"/>
    <w:rsid w:val="00FC006A"/>
    <w:rsid w:val="00FC0192"/>
    <w:rsid w:val="00FC027B"/>
    <w:rsid w:val="00FC0280"/>
    <w:rsid w:val="00FC02DF"/>
    <w:rsid w:val="00FC0454"/>
    <w:rsid w:val="00FC04A5"/>
    <w:rsid w:val="00FC04B5"/>
    <w:rsid w:val="00FC04E6"/>
    <w:rsid w:val="00FC062D"/>
    <w:rsid w:val="00FC066C"/>
    <w:rsid w:val="00FC07E0"/>
    <w:rsid w:val="00FC0869"/>
    <w:rsid w:val="00FC0941"/>
    <w:rsid w:val="00FC095A"/>
    <w:rsid w:val="00FC099A"/>
    <w:rsid w:val="00FC0A71"/>
    <w:rsid w:val="00FC0A73"/>
    <w:rsid w:val="00FC0B94"/>
    <w:rsid w:val="00FC0C70"/>
    <w:rsid w:val="00FC0C86"/>
    <w:rsid w:val="00FC0CFB"/>
    <w:rsid w:val="00FC0D03"/>
    <w:rsid w:val="00FC0DE5"/>
    <w:rsid w:val="00FC0E38"/>
    <w:rsid w:val="00FC0EAE"/>
    <w:rsid w:val="00FC0F98"/>
    <w:rsid w:val="00FC0FCD"/>
    <w:rsid w:val="00FC0FD3"/>
    <w:rsid w:val="00FC114F"/>
    <w:rsid w:val="00FC122B"/>
    <w:rsid w:val="00FC1354"/>
    <w:rsid w:val="00FC13C6"/>
    <w:rsid w:val="00FC141D"/>
    <w:rsid w:val="00FC15E7"/>
    <w:rsid w:val="00FC164A"/>
    <w:rsid w:val="00FC1698"/>
    <w:rsid w:val="00FC16CD"/>
    <w:rsid w:val="00FC17B9"/>
    <w:rsid w:val="00FC1867"/>
    <w:rsid w:val="00FC1977"/>
    <w:rsid w:val="00FC197E"/>
    <w:rsid w:val="00FC19B3"/>
    <w:rsid w:val="00FC1AC8"/>
    <w:rsid w:val="00FC1ADE"/>
    <w:rsid w:val="00FC1AFC"/>
    <w:rsid w:val="00FC1BB3"/>
    <w:rsid w:val="00FC1CCB"/>
    <w:rsid w:val="00FC1DA9"/>
    <w:rsid w:val="00FC1E0F"/>
    <w:rsid w:val="00FC1E5F"/>
    <w:rsid w:val="00FC1E71"/>
    <w:rsid w:val="00FC1EC7"/>
    <w:rsid w:val="00FC1F5E"/>
    <w:rsid w:val="00FC1F71"/>
    <w:rsid w:val="00FC2077"/>
    <w:rsid w:val="00FC216D"/>
    <w:rsid w:val="00FC2182"/>
    <w:rsid w:val="00FC2198"/>
    <w:rsid w:val="00FC21E2"/>
    <w:rsid w:val="00FC2279"/>
    <w:rsid w:val="00FC2396"/>
    <w:rsid w:val="00FC24A1"/>
    <w:rsid w:val="00FC24DF"/>
    <w:rsid w:val="00FC24F4"/>
    <w:rsid w:val="00FC250D"/>
    <w:rsid w:val="00FC254E"/>
    <w:rsid w:val="00FC256E"/>
    <w:rsid w:val="00FC2657"/>
    <w:rsid w:val="00FC274B"/>
    <w:rsid w:val="00FC27ED"/>
    <w:rsid w:val="00FC2825"/>
    <w:rsid w:val="00FC283C"/>
    <w:rsid w:val="00FC285C"/>
    <w:rsid w:val="00FC28A5"/>
    <w:rsid w:val="00FC28F0"/>
    <w:rsid w:val="00FC292A"/>
    <w:rsid w:val="00FC295F"/>
    <w:rsid w:val="00FC2993"/>
    <w:rsid w:val="00FC2A12"/>
    <w:rsid w:val="00FC2A24"/>
    <w:rsid w:val="00FC2A90"/>
    <w:rsid w:val="00FC2B37"/>
    <w:rsid w:val="00FC2B41"/>
    <w:rsid w:val="00FC2C35"/>
    <w:rsid w:val="00FC2C95"/>
    <w:rsid w:val="00FC2CA3"/>
    <w:rsid w:val="00FC2D68"/>
    <w:rsid w:val="00FC2D77"/>
    <w:rsid w:val="00FC2DB2"/>
    <w:rsid w:val="00FC2DFD"/>
    <w:rsid w:val="00FC2E50"/>
    <w:rsid w:val="00FC2EA1"/>
    <w:rsid w:val="00FC2F0B"/>
    <w:rsid w:val="00FC2F19"/>
    <w:rsid w:val="00FC2F1E"/>
    <w:rsid w:val="00FC2F2C"/>
    <w:rsid w:val="00FC2F6F"/>
    <w:rsid w:val="00FC2FBB"/>
    <w:rsid w:val="00FC303F"/>
    <w:rsid w:val="00FC30B3"/>
    <w:rsid w:val="00FC30D5"/>
    <w:rsid w:val="00FC310C"/>
    <w:rsid w:val="00FC31A1"/>
    <w:rsid w:val="00FC31C9"/>
    <w:rsid w:val="00FC31E5"/>
    <w:rsid w:val="00FC3211"/>
    <w:rsid w:val="00FC3227"/>
    <w:rsid w:val="00FC324D"/>
    <w:rsid w:val="00FC3294"/>
    <w:rsid w:val="00FC3306"/>
    <w:rsid w:val="00FC3315"/>
    <w:rsid w:val="00FC337F"/>
    <w:rsid w:val="00FC33C3"/>
    <w:rsid w:val="00FC33E2"/>
    <w:rsid w:val="00FC33E8"/>
    <w:rsid w:val="00FC345A"/>
    <w:rsid w:val="00FC34B6"/>
    <w:rsid w:val="00FC34C2"/>
    <w:rsid w:val="00FC34DE"/>
    <w:rsid w:val="00FC351D"/>
    <w:rsid w:val="00FC3556"/>
    <w:rsid w:val="00FC35BA"/>
    <w:rsid w:val="00FC35CC"/>
    <w:rsid w:val="00FC361F"/>
    <w:rsid w:val="00FC3634"/>
    <w:rsid w:val="00FC3676"/>
    <w:rsid w:val="00FC3698"/>
    <w:rsid w:val="00FC36A0"/>
    <w:rsid w:val="00FC36A9"/>
    <w:rsid w:val="00FC370E"/>
    <w:rsid w:val="00FC3717"/>
    <w:rsid w:val="00FC379B"/>
    <w:rsid w:val="00FC3857"/>
    <w:rsid w:val="00FC3861"/>
    <w:rsid w:val="00FC38B0"/>
    <w:rsid w:val="00FC38C2"/>
    <w:rsid w:val="00FC3903"/>
    <w:rsid w:val="00FC3904"/>
    <w:rsid w:val="00FC3943"/>
    <w:rsid w:val="00FC3971"/>
    <w:rsid w:val="00FC39A9"/>
    <w:rsid w:val="00FC3A69"/>
    <w:rsid w:val="00FC3AA2"/>
    <w:rsid w:val="00FC3B28"/>
    <w:rsid w:val="00FC3B2D"/>
    <w:rsid w:val="00FC3BFC"/>
    <w:rsid w:val="00FC3CA8"/>
    <w:rsid w:val="00FC3CD8"/>
    <w:rsid w:val="00FC3D2E"/>
    <w:rsid w:val="00FC3D6D"/>
    <w:rsid w:val="00FC3D75"/>
    <w:rsid w:val="00FC3D90"/>
    <w:rsid w:val="00FC3DC3"/>
    <w:rsid w:val="00FC3DFC"/>
    <w:rsid w:val="00FC3E7D"/>
    <w:rsid w:val="00FC3EB2"/>
    <w:rsid w:val="00FC400F"/>
    <w:rsid w:val="00FC4029"/>
    <w:rsid w:val="00FC41A3"/>
    <w:rsid w:val="00FC41FD"/>
    <w:rsid w:val="00FC4211"/>
    <w:rsid w:val="00FC4284"/>
    <w:rsid w:val="00FC42B8"/>
    <w:rsid w:val="00FC431B"/>
    <w:rsid w:val="00FC43B7"/>
    <w:rsid w:val="00FC44ED"/>
    <w:rsid w:val="00FC4568"/>
    <w:rsid w:val="00FC470D"/>
    <w:rsid w:val="00FC4744"/>
    <w:rsid w:val="00FC4896"/>
    <w:rsid w:val="00FC48DE"/>
    <w:rsid w:val="00FC4936"/>
    <w:rsid w:val="00FC495E"/>
    <w:rsid w:val="00FC4974"/>
    <w:rsid w:val="00FC497D"/>
    <w:rsid w:val="00FC4998"/>
    <w:rsid w:val="00FC49AC"/>
    <w:rsid w:val="00FC4A72"/>
    <w:rsid w:val="00FC4B51"/>
    <w:rsid w:val="00FC4B72"/>
    <w:rsid w:val="00FC4BE2"/>
    <w:rsid w:val="00FC4D4E"/>
    <w:rsid w:val="00FC4D74"/>
    <w:rsid w:val="00FC4DCB"/>
    <w:rsid w:val="00FC4DFA"/>
    <w:rsid w:val="00FC4E16"/>
    <w:rsid w:val="00FC4F6A"/>
    <w:rsid w:val="00FC5023"/>
    <w:rsid w:val="00FC505E"/>
    <w:rsid w:val="00FC50A9"/>
    <w:rsid w:val="00FC50F1"/>
    <w:rsid w:val="00FC52E6"/>
    <w:rsid w:val="00FC53B9"/>
    <w:rsid w:val="00FC53DE"/>
    <w:rsid w:val="00FC53EE"/>
    <w:rsid w:val="00FC542C"/>
    <w:rsid w:val="00FC54B3"/>
    <w:rsid w:val="00FC54F1"/>
    <w:rsid w:val="00FC5517"/>
    <w:rsid w:val="00FC5522"/>
    <w:rsid w:val="00FC5610"/>
    <w:rsid w:val="00FC564E"/>
    <w:rsid w:val="00FC56C8"/>
    <w:rsid w:val="00FC5721"/>
    <w:rsid w:val="00FC5742"/>
    <w:rsid w:val="00FC584A"/>
    <w:rsid w:val="00FC59C2"/>
    <w:rsid w:val="00FC59DF"/>
    <w:rsid w:val="00FC5A6D"/>
    <w:rsid w:val="00FC5AFA"/>
    <w:rsid w:val="00FC5B0B"/>
    <w:rsid w:val="00FC5B68"/>
    <w:rsid w:val="00FC5BD6"/>
    <w:rsid w:val="00FC5C31"/>
    <w:rsid w:val="00FC5C38"/>
    <w:rsid w:val="00FC5C46"/>
    <w:rsid w:val="00FC5C5A"/>
    <w:rsid w:val="00FC5CC2"/>
    <w:rsid w:val="00FC5CFF"/>
    <w:rsid w:val="00FC5D8E"/>
    <w:rsid w:val="00FC5DA7"/>
    <w:rsid w:val="00FC5E60"/>
    <w:rsid w:val="00FC5E67"/>
    <w:rsid w:val="00FC60A2"/>
    <w:rsid w:val="00FC60B9"/>
    <w:rsid w:val="00FC60BC"/>
    <w:rsid w:val="00FC6155"/>
    <w:rsid w:val="00FC61F2"/>
    <w:rsid w:val="00FC62CA"/>
    <w:rsid w:val="00FC633B"/>
    <w:rsid w:val="00FC63A7"/>
    <w:rsid w:val="00FC63AC"/>
    <w:rsid w:val="00FC63C5"/>
    <w:rsid w:val="00FC63D5"/>
    <w:rsid w:val="00FC643D"/>
    <w:rsid w:val="00FC644C"/>
    <w:rsid w:val="00FC6473"/>
    <w:rsid w:val="00FC65DD"/>
    <w:rsid w:val="00FC65FF"/>
    <w:rsid w:val="00FC663D"/>
    <w:rsid w:val="00FC6682"/>
    <w:rsid w:val="00FC66BE"/>
    <w:rsid w:val="00FC6761"/>
    <w:rsid w:val="00FC67A5"/>
    <w:rsid w:val="00FC67C5"/>
    <w:rsid w:val="00FC6863"/>
    <w:rsid w:val="00FC6874"/>
    <w:rsid w:val="00FC68E8"/>
    <w:rsid w:val="00FC6BDE"/>
    <w:rsid w:val="00FC6BFF"/>
    <w:rsid w:val="00FC6C1B"/>
    <w:rsid w:val="00FC6C3A"/>
    <w:rsid w:val="00FC6CAD"/>
    <w:rsid w:val="00FC6CE0"/>
    <w:rsid w:val="00FC6CF9"/>
    <w:rsid w:val="00FC6D33"/>
    <w:rsid w:val="00FC6D4C"/>
    <w:rsid w:val="00FC6DBA"/>
    <w:rsid w:val="00FC6E08"/>
    <w:rsid w:val="00FC6E33"/>
    <w:rsid w:val="00FC6E41"/>
    <w:rsid w:val="00FC6F03"/>
    <w:rsid w:val="00FC700A"/>
    <w:rsid w:val="00FC7043"/>
    <w:rsid w:val="00FC7294"/>
    <w:rsid w:val="00FC7305"/>
    <w:rsid w:val="00FC739C"/>
    <w:rsid w:val="00FC73A1"/>
    <w:rsid w:val="00FC7432"/>
    <w:rsid w:val="00FC743D"/>
    <w:rsid w:val="00FC7474"/>
    <w:rsid w:val="00FC74D2"/>
    <w:rsid w:val="00FC74D8"/>
    <w:rsid w:val="00FC74FB"/>
    <w:rsid w:val="00FC75F3"/>
    <w:rsid w:val="00FC7606"/>
    <w:rsid w:val="00FC76CE"/>
    <w:rsid w:val="00FC76EA"/>
    <w:rsid w:val="00FC76F4"/>
    <w:rsid w:val="00FC7870"/>
    <w:rsid w:val="00FC7942"/>
    <w:rsid w:val="00FC7958"/>
    <w:rsid w:val="00FC79B2"/>
    <w:rsid w:val="00FC79CF"/>
    <w:rsid w:val="00FC7A46"/>
    <w:rsid w:val="00FC7A6B"/>
    <w:rsid w:val="00FC7CA7"/>
    <w:rsid w:val="00FC7CCE"/>
    <w:rsid w:val="00FC7D37"/>
    <w:rsid w:val="00FC7D68"/>
    <w:rsid w:val="00FC7D74"/>
    <w:rsid w:val="00FC7DCB"/>
    <w:rsid w:val="00FC7E39"/>
    <w:rsid w:val="00FC7E7D"/>
    <w:rsid w:val="00FC7E7F"/>
    <w:rsid w:val="00FC7EDC"/>
    <w:rsid w:val="00FC7F4E"/>
    <w:rsid w:val="00FC7FDE"/>
    <w:rsid w:val="00FD0059"/>
    <w:rsid w:val="00FD018F"/>
    <w:rsid w:val="00FD01E9"/>
    <w:rsid w:val="00FD0311"/>
    <w:rsid w:val="00FD0362"/>
    <w:rsid w:val="00FD03BF"/>
    <w:rsid w:val="00FD03D7"/>
    <w:rsid w:val="00FD0433"/>
    <w:rsid w:val="00FD046D"/>
    <w:rsid w:val="00FD04DB"/>
    <w:rsid w:val="00FD05C7"/>
    <w:rsid w:val="00FD05E2"/>
    <w:rsid w:val="00FD05E7"/>
    <w:rsid w:val="00FD0651"/>
    <w:rsid w:val="00FD0711"/>
    <w:rsid w:val="00FD0729"/>
    <w:rsid w:val="00FD0770"/>
    <w:rsid w:val="00FD078F"/>
    <w:rsid w:val="00FD0837"/>
    <w:rsid w:val="00FD08E0"/>
    <w:rsid w:val="00FD095E"/>
    <w:rsid w:val="00FD09BE"/>
    <w:rsid w:val="00FD0A1D"/>
    <w:rsid w:val="00FD0AAB"/>
    <w:rsid w:val="00FD0B2E"/>
    <w:rsid w:val="00FD0B40"/>
    <w:rsid w:val="00FD0B6B"/>
    <w:rsid w:val="00FD0BEC"/>
    <w:rsid w:val="00FD0C38"/>
    <w:rsid w:val="00FD0C4E"/>
    <w:rsid w:val="00FD0D1F"/>
    <w:rsid w:val="00FD0D42"/>
    <w:rsid w:val="00FD0D90"/>
    <w:rsid w:val="00FD0E7E"/>
    <w:rsid w:val="00FD10F5"/>
    <w:rsid w:val="00FD11A1"/>
    <w:rsid w:val="00FD12E8"/>
    <w:rsid w:val="00FD1317"/>
    <w:rsid w:val="00FD1401"/>
    <w:rsid w:val="00FD144B"/>
    <w:rsid w:val="00FD14A9"/>
    <w:rsid w:val="00FD1504"/>
    <w:rsid w:val="00FD1533"/>
    <w:rsid w:val="00FD1541"/>
    <w:rsid w:val="00FD1583"/>
    <w:rsid w:val="00FD15A8"/>
    <w:rsid w:val="00FD167E"/>
    <w:rsid w:val="00FD1685"/>
    <w:rsid w:val="00FD16A0"/>
    <w:rsid w:val="00FD16B6"/>
    <w:rsid w:val="00FD16BA"/>
    <w:rsid w:val="00FD1756"/>
    <w:rsid w:val="00FD184B"/>
    <w:rsid w:val="00FD1913"/>
    <w:rsid w:val="00FD195A"/>
    <w:rsid w:val="00FD19F5"/>
    <w:rsid w:val="00FD1A34"/>
    <w:rsid w:val="00FD1A59"/>
    <w:rsid w:val="00FD1A62"/>
    <w:rsid w:val="00FD1A8A"/>
    <w:rsid w:val="00FD1AC6"/>
    <w:rsid w:val="00FD1B15"/>
    <w:rsid w:val="00FD1BB5"/>
    <w:rsid w:val="00FD1C33"/>
    <w:rsid w:val="00FD1D09"/>
    <w:rsid w:val="00FD1E26"/>
    <w:rsid w:val="00FD1E6A"/>
    <w:rsid w:val="00FD1F3D"/>
    <w:rsid w:val="00FD1F52"/>
    <w:rsid w:val="00FD1FA6"/>
    <w:rsid w:val="00FD1FC5"/>
    <w:rsid w:val="00FD1FCE"/>
    <w:rsid w:val="00FD1FFA"/>
    <w:rsid w:val="00FD2076"/>
    <w:rsid w:val="00FD20BF"/>
    <w:rsid w:val="00FD20C1"/>
    <w:rsid w:val="00FD2167"/>
    <w:rsid w:val="00FD219F"/>
    <w:rsid w:val="00FD221D"/>
    <w:rsid w:val="00FD2240"/>
    <w:rsid w:val="00FD2263"/>
    <w:rsid w:val="00FD2273"/>
    <w:rsid w:val="00FD22BA"/>
    <w:rsid w:val="00FD2371"/>
    <w:rsid w:val="00FD237B"/>
    <w:rsid w:val="00FD2412"/>
    <w:rsid w:val="00FD2425"/>
    <w:rsid w:val="00FD24B5"/>
    <w:rsid w:val="00FD256F"/>
    <w:rsid w:val="00FD25A9"/>
    <w:rsid w:val="00FD25D9"/>
    <w:rsid w:val="00FD25F1"/>
    <w:rsid w:val="00FD262A"/>
    <w:rsid w:val="00FD2674"/>
    <w:rsid w:val="00FD2728"/>
    <w:rsid w:val="00FD274B"/>
    <w:rsid w:val="00FD2768"/>
    <w:rsid w:val="00FD2873"/>
    <w:rsid w:val="00FD2918"/>
    <w:rsid w:val="00FD29B6"/>
    <w:rsid w:val="00FD2A0A"/>
    <w:rsid w:val="00FD2A63"/>
    <w:rsid w:val="00FD2AF4"/>
    <w:rsid w:val="00FD2B21"/>
    <w:rsid w:val="00FD2BC6"/>
    <w:rsid w:val="00FD2C95"/>
    <w:rsid w:val="00FD2D8A"/>
    <w:rsid w:val="00FD2DB2"/>
    <w:rsid w:val="00FD2E4A"/>
    <w:rsid w:val="00FD2F70"/>
    <w:rsid w:val="00FD2FCB"/>
    <w:rsid w:val="00FD2FE6"/>
    <w:rsid w:val="00FD2FE7"/>
    <w:rsid w:val="00FD30A8"/>
    <w:rsid w:val="00FD3250"/>
    <w:rsid w:val="00FD32B1"/>
    <w:rsid w:val="00FD3321"/>
    <w:rsid w:val="00FD3338"/>
    <w:rsid w:val="00FD33F5"/>
    <w:rsid w:val="00FD3463"/>
    <w:rsid w:val="00FD34CE"/>
    <w:rsid w:val="00FD3551"/>
    <w:rsid w:val="00FD3562"/>
    <w:rsid w:val="00FD3569"/>
    <w:rsid w:val="00FD35C7"/>
    <w:rsid w:val="00FD360A"/>
    <w:rsid w:val="00FD36EB"/>
    <w:rsid w:val="00FD393C"/>
    <w:rsid w:val="00FD3B29"/>
    <w:rsid w:val="00FD3BD2"/>
    <w:rsid w:val="00FD3BD5"/>
    <w:rsid w:val="00FD3BEA"/>
    <w:rsid w:val="00FD3C7A"/>
    <w:rsid w:val="00FD3CCA"/>
    <w:rsid w:val="00FD3CE9"/>
    <w:rsid w:val="00FD3DB9"/>
    <w:rsid w:val="00FD3DDB"/>
    <w:rsid w:val="00FD3E14"/>
    <w:rsid w:val="00FD3E78"/>
    <w:rsid w:val="00FD3E84"/>
    <w:rsid w:val="00FD3EEC"/>
    <w:rsid w:val="00FD3EFD"/>
    <w:rsid w:val="00FD404B"/>
    <w:rsid w:val="00FD4126"/>
    <w:rsid w:val="00FD41AE"/>
    <w:rsid w:val="00FD42DE"/>
    <w:rsid w:val="00FD4334"/>
    <w:rsid w:val="00FD433E"/>
    <w:rsid w:val="00FD44C4"/>
    <w:rsid w:val="00FD450B"/>
    <w:rsid w:val="00FD4536"/>
    <w:rsid w:val="00FD4598"/>
    <w:rsid w:val="00FD45D3"/>
    <w:rsid w:val="00FD461A"/>
    <w:rsid w:val="00FD4633"/>
    <w:rsid w:val="00FD4641"/>
    <w:rsid w:val="00FD4644"/>
    <w:rsid w:val="00FD4724"/>
    <w:rsid w:val="00FD4743"/>
    <w:rsid w:val="00FD47C4"/>
    <w:rsid w:val="00FD4835"/>
    <w:rsid w:val="00FD4908"/>
    <w:rsid w:val="00FD4916"/>
    <w:rsid w:val="00FD4994"/>
    <w:rsid w:val="00FD4AEB"/>
    <w:rsid w:val="00FD4C40"/>
    <w:rsid w:val="00FD4C44"/>
    <w:rsid w:val="00FD4F55"/>
    <w:rsid w:val="00FD4FDF"/>
    <w:rsid w:val="00FD5090"/>
    <w:rsid w:val="00FD50E9"/>
    <w:rsid w:val="00FD5118"/>
    <w:rsid w:val="00FD512E"/>
    <w:rsid w:val="00FD51A0"/>
    <w:rsid w:val="00FD51E6"/>
    <w:rsid w:val="00FD5220"/>
    <w:rsid w:val="00FD5251"/>
    <w:rsid w:val="00FD527D"/>
    <w:rsid w:val="00FD52E8"/>
    <w:rsid w:val="00FD536E"/>
    <w:rsid w:val="00FD537C"/>
    <w:rsid w:val="00FD53C6"/>
    <w:rsid w:val="00FD53E5"/>
    <w:rsid w:val="00FD540D"/>
    <w:rsid w:val="00FD5416"/>
    <w:rsid w:val="00FD5424"/>
    <w:rsid w:val="00FD543B"/>
    <w:rsid w:val="00FD544A"/>
    <w:rsid w:val="00FD5497"/>
    <w:rsid w:val="00FD54C0"/>
    <w:rsid w:val="00FD54E7"/>
    <w:rsid w:val="00FD5625"/>
    <w:rsid w:val="00FD57F2"/>
    <w:rsid w:val="00FD5801"/>
    <w:rsid w:val="00FD5804"/>
    <w:rsid w:val="00FD5822"/>
    <w:rsid w:val="00FD583D"/>
    <w:rsid w:val="00FD586B"/>
    <w:rsid w:val="00FD587A"/>
    <w:rsid w:val="00FD59D4"/>
    <w:rsid w:val="00FD5A3A"/>
    <w:rsid w:val="00FD5AE9"/>
    <w:rsid w:val="00FD5B4E"/>
    <w:rsid w:val="00FD5B8C"/>
    <w:rsid w:val="00FD5B90"/>
    <w:rsid w:val="00FD5BCE"/>
    <w:rsid w:val="00FD5BDA"/>
    <w:rsid w:val="00FD5C05"/>
    <w:rsid w:val="00FD5C8F"/>
    <w:rsid w:val="00FD5C9F"/>
    <w:rsid w:val="00FD5CD3"/>
    <w:rsid w:val="00FD6035"/>
    <w:rsid w:val="00FD6064"/>
    <w:rsid w:val="00FD6088"/>
    <w:rsid w:val="00FD60AE"/>
    <w:rsid w:val="00FD60ED"/>
    <w:rsid w:val="00FD615E"/>
    <w:rsid w:val="00FD61D1"/>
    <w:rsid w:val="00FD6258"/>
    <w:rsid w:val="00FD625D"/>
    <w:rsid w:val="00FD6294"/>
    <w:rsid w:val="00FD629C"/>
    <w:rsid w:val="00FD6409"/>
    <w:rsid w:val="00FD641A"/>
    <w:rsid w:val="00FD64A2"/>
    <w:rsid w:val="00FD64A3"/>
    <w:rsid w:val="00FD6556"/>
    <w:rsid w:val="00FD6676"/>
    <w:rsid w:val="00FD6693"/>
    <w:rsid w:val="00FD66B5"/>
    <w:rsid w:val="00FD66E8"/>
    <w:rsid w:val="00FD6721"/>
    <w:rsid w:val="00FD67B4"/>
    <w:rsid w:val="00FD67CB"/>
    <w:rsid w:val="00FD683E"/>
    <w:rsid w:val="00FD685A"/>
    <w:rsid w:val="00FD68D1"/>
    <w:rsid w:val="00FD6A02"/>
    <w:rsid w:val="00FD6A41"/>
    <w:rsid w:val="00FD6A88"/>
    <w:rsid w:val="00FD6AB0"/>
    <w:rsid w:val="00FD6BFB"/>
    <w:rsid w:val="00FD6C0C"/>
    <w:rsid w:val="00FD6C7F"/>
    <w:rsid w:val="00FD6CC9"/>
    <w:rsid w:val="00FD6CCC"/>
    <w:rsid w:val="00FD6CE4"/>
    <w:rsid w:val="00FD6D5C"/>
    <w:rsid w:val="00FD6EB3"/>
    <w:rsid w:val="00FD6F4A"/>
    <w:rsid w:val="00FD6FDD"/>
    <w:rsid w:val="00FD6FE4"/>
    <w:rsid w:val="00FD70CD"/>
    <w:rsid w:val="00FD70FB"/>
    <w:rsid w:val="00FD7140"/>
    <w:rsid w:val="00FD7147"/>
    <w:rsid w:val="00FD7259"/>
    <w:rsid w:val="00FD7274"/>
    <w:rsid w:val="00FD728A"/>
    <w:rsid w:val="00FD72AD"/>
    <w:rsid w:val="00FD7336"/>
    <w:rsid w:val="00FD7366"/>
    <w:rsid w:val="00FD73B2"/>
    <w:rsid w:val="00FD73C1"/>
    <w:rsid w:val="00FD73DC"/>
    <w:rsid w:val="00FD744F"/>
    <w:rsid w:val="00FD752B"/>
    <w:rsid w:val="00FD7696"/>
    <w:rsid w:val="00FD778F"/>
    <w:rsid w:val="00FD77B2"/>
    <w:rsid w:val="00FD77FA"/>
    <w:rsid w:val="00FD782D"/>
    <w:rsid w:val="00FD78BD"/>
    <w:rsid w:val="00FD78C4"/>
    <w:rsid w:val="00FD7940"/>
    <w:rsid w:val="00FD794A"/>
    <w:rsid w:val="00FD7966"/>
    <w:rsid w:val="00FD79FF"/>
    <w:rsid w:val="00FD7A29"/>
    <w:rsid w:val="00FD7AB3"/>
    <w:rsid w:val="00FD7AE9"/>
    <w:rsid w:val="00FD7AF1"/>
    <w:rsid w:val="00FD7AF6"/>
    <w:rsid w:val="00FD7B0E"/>
    <w:rsid w:val="00FD7B57"/>
    <w:rsid w:val="00FD7BC8"/>
    <w:rsid w:val="00FD7C2D"/>
    <w:rsid w:val="00FD7C43"/>
    <w:rsid w:val="00FD7C9A"/>
    <w:rsid w:val="00FD7CDA"/>
    <w:rsid w:val="00FD7CE2"/>
    <w:rsid w:val="00FD7CF4"/>
    <w:rsid w:val="00FD7D4B"/>
    <w:rsid w:val="00FD7D50"/>
    <w:rsid w:val="00FD7D81"/>
    <w:rsid w:val="00FD7DA0"/>
    <w:rsid w:val="00FD7DCB"/>
    <w:rsid w:val="00FD7DD3"/>
    <w:rsid w:val="00FD7E6F"/>
    <w:rsid w:val="00FD7EC1"/>
    <w:rsid w:val="00FD7EEC"/>
    <w:rsid w:val="00FD7EF9"/>
    <w:rsid w:val="00FD7F3A"/>
    <w:rsid w:val="00FD7F6B"/>
    <w:rsid w:val="00FD7F6E"/>
    <w:rsid w:val="00FD7F7F"/>
    <w:rsid w:val="00FE0026"/>
    <w:rsid w:val="00FE002C"/>
    <w:rsid w:val="00FE003E"/>
    <w:rsid w:val="00FE0057"/>
    <w:rsid w:val="00FE00E1"/>
    <w:rsid w:val="00FE011C"/>
    <w:rsid w:val="00FE015D"/>
    <w:rsid w:val="00FE0267"/>
    <w:rsid w:val="00FE0324"/>
    <w:rsid w:val="00FE038B"/>
    <w:rsid w:val="00FE03B6"/>
    <w:rsid w:val="00FE0447"/>
    <w:rsid w:val="00FE04E8"/>
    <w:rsid w:val="00FE0582"/>
    <w:rsid w:val="00FE063B"/>
    <w:rsid w:val="00FE0660"/>
    <w:rsid w:val="00FE06B7"/>
    <w:rsid w:val="00FE074E"/>
    <w:rsid w:val="00FE0785"/>
    <w:rsid w:val="00FE0842"/>
    <w:rsid w:val="00FE0926"/>
    <w:rsid w:val="00FE094F"/>
    <w:rsid w:val="00FE0A8D"/>
    <w:rsid w:val="00FE0A9A"/>
    <w:rsid w:val="00FE0B47"/>
    <w:rsid w:val="00FE0BBE"/>
    <w:rsid w:val="00FE0C76"/>
    <w:rsid w:val="00FE0CF5"/>
    <w:rsid w:val="00FE0DAF"/>
    <w:rsid w:val="00FE0F05"/>
    <w:rsid w:val="00FE0F16"/>
    <w:rsid w:val="00FE0F20"/>
    <w:rsid w:val="00FE0FD6"/>
    <w:rsid w:val="00FE102D"/>
    <w:rsid w:val="00FE105C"/>
    <w:rsid w:val="00FE1062"/>
    <w:rsid w:val="00FE10C3"/>
    <w:rsid w:val="00FE112D"/>
    <w:rsid w:val="00FE114B"/>
    <w:rsid w:val="00FE11AC"/>
    <w:rsid w:val="00FE11E7"/>
    <w:rsid w:val="00FE126E"/>
    <w:rsid w:val="00FE1313"/>
    <w:rsid w:val="00FE136E"/>
    <w:rsid w:val="00FE13C6"/>
    <w:rsid w:val="00FE1400"/>
    <w:rsid w:val="00FE14A4"/>
    <w:rsid w:val="00FE14DD"/>
    <w:rsid w:val="00FE1539"/>
    <w:rsid w:val="00FE1575"/>
    <w:rsid w:val="00FE1581"/>
    <w:rsid w:val="00FE158F"/>
    <w:rsid w:val="00FE15C8"/>
    <w:rsid w:val="00FE15F7"/>
    <w:rsid w:val="00FE16A0"/>
    <w:rsid w:val="00FE16F6"/>
    <w:rsid w:val="00FE17C0"/>
    <w:rsid w:val="00FE1916"/>
    <w:rsid w:val="00FE1924"/>
    <w:rsid w:val="00FE194B"/>
    <w:rsid w:val="00FE1A86"/>
    <w:rsid w:val="00FE1B60"/>
    <w:rsid w:val="00FE1CE2"/>
    <w:rsid w:val="00FE1D29"/>
    <w:rsid w:val="00FE1D63"/>
    <w:rsid w:val="00FE1E54"/>
    <w:rsid w:val="00FE1E5E"/>
    <w:rsid w:val="00FE1E72"/>
    <w:rsid w:val="00FE1F48"/>
    <w:rsid w:val="00FE1F7D"/>
    <w:rsid w:val="00FE1FA3"/>
    <w:rsid w:val="00FE2080"/>
    <w:rsid w:val="00FE213D"/>
    <w:rsid w:val="00FE2142"/>
    <w:rsid w:val="00FE21BB"/>
    <w:rsid w:val="00FE21CC"/>
    <w:rsid w:val="00FE21F4"/>
    <w:rsid w:val="00FE2207"/>
    <w:rsid w:val="00FE223B"/>
    <w:rsid w:val="00FE22B8"/>
    <w:rsid w:val="00FE22F8"/>
    <w:rsid w:val="00FE2324"/>
    <w:rsid w:val="00FE23BA"/>
    <w:rsid w:val="00FE2647"/>
    <w:rsid w:val="00FE26E1"/>
    <w:rsid w:val="00FE2703"/>
    <w:rsid w:val="00FE2795"/>
    <w:rsid w:val="00FE27C8"/>
    <w:rsid w:val="00FE27FC"/>
    <w:rsid w:val="00FE2823"/>
    <w:rsid w:val="00FE2917"/>
    <w:rsid w:val="00FE2A8B"/>
    <w:rsid w:val="00FE2B4B"/>
    <w:rsid w:val="00FE2BB1"/>
    <w:rsid w:val="00FE2BB6"/>
    <w:rsid w:val="00FE2CCE"/>
    <w:rsid w:val="00FE2CDC"/>
    <w:rsid w:val="00FE2D2A"/>
    <w:rsid w:val="00FE2D70"/>
    <w:rsid w:val="00FE2E01"/>
    <w:rsid w:val="00FE2E53"/>
    <w:rsid w:val="00FE2F27"/>
    <w:rsid w:val="00FE2F7F"/>
    <w:rsid w:val="00FE2FBC"/>
    <w:rsid w:val="00FE3052"/>
    <w:rsid w:val="00FE30D6"/>
    <w:rsid w:val="00FE3182"/>
    <w:rsid w:val="00FE3188"/>
    <w:rsid w:val="00FE31CB"/>
    <w:rsid w:val="00FE3276"/>
    <w:rsid w:val="00FE32B8"/>
    <w:rsid w:val="00FE32C8"/>
    <w:rsid w:val="00FE336E"/>
    <w:rsid w:val="00FE339F"/>
    <w:rsid w:val="00FE353D"/>
    <w:rsid w:val="00FE3553"/>
    <w:rsid w:val="00FE3562"/>
    <w:rsid w:val="00FE35C2"/>
    <w:rsid w:val="00FE36CC"/>
    <w:rsid w:val="00FE375C"/>
    <w:rsid w:val="00FE3861"/>
    <w:rsid w:val="00FE38D4"/>
    <w:rsid w:val="00FE3A84"/>
    <w:rsid w:val="00FE3AA3"/>
    <w:rsid w:val="00FE3AD7"/>
    <w:rsid w:val="00FE3B9C"/>
    <w:rsid w:val="00FE3BE1"/>
    <w:rsid w:val="00FE3C16"/>
    <w:rsid w:val="00FE3C29"/>
    <w:rsid w:val="00FE3C33"/>
    <w:rsid w:val="00FE3C45"/>
    <w:rsid w:val="00FE3C9B"/>
    <w:rsid w:val="00FE3CF0"/>
    <w:rsid w:val="00FE3D59"/>
    <w:rsid w:val="00FE3DBE"/>
    <w:rsid w:val="00FE3DE8"/>
    <w:rsid w:val="00FE3DE9"/>
    <w:rsid w:val="00FE3E51"/>
    <w:rsid w:val="00FE3E5B"/>
    <w:rsid w:val="00FE3EEE"/>
    <w:rsid w:val="00FE3F0F"/>
    <w:rsid w:val="00FE3F99"/>
    <w:rsid w:val="00FE40CB"/>
    <w:rsid w:val="00FE4114"/>
    <w:rsid w:val="00FE4149"/>
    <w:rsid w:val="00FE415E"/>
    <w:rsid w:val="00FE4184"/>
    <w:rsid w:val="00FE4188"/>
    <w:rsid w:val="00FE4193"/>
    <w:rsid w:val="00FE41A6"/>
    <w:rsid w:val="00FE4268"/>
    <w:rsid w:val="00FE43A5"/>
    <w:rsid w:val="00FE43F6"/>
    <w:rsid w:val="00FE4446"/>
    <w:rsid w:val="00FE4455"/>
    <w:rsid w:val="00FE44D6"/>
    <w:rsid w:val="00FE44F4"/>
    <w:rsid w:val="00FE4500"/>
    <w:rsid w:val="00FE4518"/>
    <w:rsid w:val="00FE4536"/>
    <w:rsid w:val="00FE457A"/>
    <w:rsid w:val="00FE45C6"/>
    <w:rsid w:val="00FE46E6"/>
    <w:rsid w:val="00FE46F4"/>
    <w:rsid w:val="00FE4702"/>
    <w:rsid w:val="00FE47A0"/>
    <w:rsid w:val="00FE4834"/>
    <w:rsid w:val="00FE4840"/>
    <w:rsid w:val="00FE48FF"/>
    <w:rsid w:val="00FE493F"/>
    <w:rsid w:val="00FE4958"/>
    <w:rsid w:val="00FE4B9C"/>
    <w:rsid w:val="00FE4C02"/>
    <w:rsid w:val="00FE4C17"/>
    <w:rsid w:val="00FE4C6A"/>
    <w:rsid w:val="00FE4DBD"/>
    <w:rsid w:val="00FE4EB1"/>
    <w:rsid w:val="00FE4F09"/>
    <w:rsid w:val="00FE4FC9"/>
    <w:rsid w:val="00FE5096"/>
    <w:rsid w:val="00FE509F"/>
    <w:rsid w:val="00FE50B8"/>
    <w:rsid w:val="00FE5133"/>
    <w:rsid w:val="00FE5207"/>
    <w:rsid w:val="00FE52A9"/>
    <w:rsid w:val="00FE52C8"/>
    <w:rsid w:val="00FE530F"/>
    <w:rsid w:val="00FE5357"/>
    <w:rsid w:val="00FE5426"/>
    <w:rsid w:val="00FE5519"/>
    <w:rsid w:val="00FE55DA"/>
    <w:rsid w:val="00FE5637"/>
    <w:rsid w:val="00FE568B"/>
    <w:rsid w:val="00FE56DA"/>
    <w:rsid w:val="00FE56F2"/>
    <w:rsid w:val="00FE56F6"/>
    <w:rsid w:val="00FE5757"/>
    <w:rsid w:val="00FE5800"/>
    <w:rsid w:val="00FE58B5"/>
    <w:rsid w:val="00FE593C"/>
    <w:rsid w:val="00FE5995"/>
    <w:rsid w:val="00FE599C"/>
    <w:rsid w:val="00FE59A7"/>
    <w:rsid w:val="00FE5A1E"/>
    <w:rsid w:val="00FE5A32"/>
    <w:rsid w:val="00FE5A72"/>
    <w:rsid w:val="00FE5A76"/>
    <w:rsid w:val="00FE5A92"/>
    <w:rsid w:val="00FE5A94"/>
    <w:rsid w:val="00FE5AC0"/>
    <w:rsid w:val="00FE5AE0"/>
    <w:rsid w:val="00FE5B1D"/>
    <w:rsid w:val="00FE5B32"/>
    <w:rsid w:val="00FE5B46"/>
    <w:rsid w:val="00FE5BD5"/>
    <w:rsid w:val="00FE5CD8"/>
    <w:rsid w:val="00FE5E5E"/>
    <w:rsid w:val="00FE5E8A"/>
    <w:rsid w:val="00FE5EE8"/>
    <w:rsid w:val="00FE5EFB"/>
    <w:rsid w:val="00FE5F95"/>
    <w:rsid w:val="00FE6002"/>
    <w:rsid w:val="00FE602A"/>
    <w:rsid w:val="00FE6095"/>
    <w:rsid w:val="00FE60FB"/>
    <w:rsid w:val="00FE616E"/>
    <w:rsid w:val="00FE61E7"/>
    <w:rsid w:val="00FE620B"/>
    <w:rsid w:val="00FE623F"/>
    <w:rsid w:val="00FE624D"/>
    <w:rsid w:val="00FE6252"/>
    <w:rsid w:val="00FE6259"/>
    <w:rsid w:val="00FE6314"/>
    <w:rsid w:val="00FE6327"/>
    <w:rsid w:val="00FE6333"/>
    <w:rsid w:val="00FE6371"/>
    <w:rsid w:val="00FE63E6"/>
    <w:rsid w:val="00FE63F6"/>
    <w:rsid w:val="00FE6477"/>
    <w:rsid w:val="00FE655B"/>
    <w:rsid w:val="00FE667F"/>
    <w:rsid w:val="00FE6702"/>
    <w:rsid w:val="00FE675A"/>
    <w:rsid w:val="00FE6765"/>
    <w:rsid w:val="00FE67C8"/>
    <w:rsid w:val="00FE682D"/>
    <w:rsid w:val="00FE69E9"/>
    <w:rsid w:val="00FE69EF"/>
    <w:rsid w:val="00FE6A4C"/>
    <w:rsid w:val="00FE6A63"/>
    <w:rsid w:val="00FE6A6B"/>
    <w:rsid w:val="00FE6AD4"/>
    <w:rsid w:val="00FE6B1A"/>
    <w:rsid w:val="00FE6C92"/>
    <w:rsid w:val="00FE6CA3"/>
    <w:rsid w:val="00FE6E18"/>
    <w:rsid w:val="00FE6E20"/>
    <w:rsid w:val="00FE6E4F"/>
    <w:rsid w:val="00FE6E8D"/>
    <w:rsid w:val="00FE6E8F"/>
    <w:rsid w:val="00FE6F61"/>
    <w:rsid w:val="00FE6F9A"/>
    <w:rsid w:val="00FE6FB6"/>
    <w:rsid w:val="00FE6FD3"/>
    <w:rsid w:val="00FE6FF8"/>
    <w:rsid w:val="00FE700D"/>
    <w:rsid w:val="00FE705E"/>
    <w:rsid w:val="00FE70FD"/>
    <w:rsid w:val="00FE71CE"/>
    <w:rsid w:val="00FE720D"/>
    <w:rsid w:val="00FE7249"/>
    <w:rsid w:val="00FE7292"/>
    <w:rsid w:val="00FE72AE"/>
    <w:rsid w:val="00FE7392"/>
    <w:rsid w:val="00FE7396"/>
    <w:rsid w:val="00FE73A8"/>
    <w:rsid w:val="00FE73C1"/>
    <w:rsid w:val="00FE73E3"/>
    <w:rsid w:val="00FE7409"/>
    <w:rsid w:val="00FE7455"/>
    <w:rsid w:val="00FE748F"/>
    <w:rsid w:val="00FE76DE"/>
    <w:rsid w:val="00FE76EC"/>
    <w:rsid w:val="00FE774C"/>
    <w:rsid w:val="00FE7792"/>
    <w:rsid w:val="00FE77FF"/>
    <w:rsid w:val="00FE78F4"/>
    <w:rsid w:val="00FE7A6B"/>
    <w:rsid w:val="00FE7AE2"/>
    <w:rsid w:val="00FE7B13"/>
    <w:rsid w:val="00FE7B92"/>
    <w:rsid w:val="00FE7BE7"/>
    <w:rsid w:val="00FE7C78"/>
    <w:rsid w:val="00FE7D43"/>
    <w:rsid w:val="00FE7D46"/>
    <w:rsid w:val="00FE7D80"/>
    <w:rsid w:val="00FE7E00"/>
    <w:rsid w:val="00FE7E03"/>
    <w:rsid w:val="00FE7EA1"/>
    <w:rsid w:val="00FE7EA3"/>
    <w:rsid w:val="00FE7F99"/>
    <w:rsid w:val="00FE7FBB"/>
    <w:rsid w:val="00FF00AB"/>
    <w:rsid w:val="00FF00C6"/>
    <w:rsid w:val="00FF0187"/>
    <w:rsid w:val="00FF02D5"/>
    <w:rsid w:val="00FF02F7"/>
    <w:rsid w:val="00FF0305"/>
    <w:rsid w:val="00FF031E"/>
    <w:rsid w:val="00FF037D"/>
    <w:rsid w:val="00FF03BF"/>
    <w:rsid w:val="00FF03E2"/>
    <w:rsid w:val="00FF040F"/>
    <w:rsid w:val="00FF0487"/>
    <w:rsid w:val="00FF04B7"/>
    <w:rsid w:val="00FF055C"/>
    <w:rsid w:val="00FF062B"/>
    <w:rsid w:val="00FF0744"/>
    <w:rsid w:val="00FF07AC"/>
    <w:rsid w:val="00FF0821"/>
    <w:rsid w:val="00FF085F"/>
    <w:rsid w:val="00FF0981"/>
    <w:rsid w:val="00FF09AF"/>
    <w:rsid w:val="00FF09E4"/>
    <w:rsid w:val="00FF09EC"/>
    <w:rsid w:val="00FF0AB3"/>
    <w:rsid w:val="00FF0B28"/>
    <w:rsid w:val="00FF0BC0"/>
    <w:rsid w:val="00FF0BF6"/>
    <w:rsid w:val="00FF0C76"/>
    <w:rsid w:val="00FF0CE1"/>
    <w:rsid w:val="00FF0D59"/>
    <w:rsid w:val="00FF0DE9"/>
    <w:rsid w:val="00FF0F8C"/>
    <w:rsid w:val="00FF0FA0"/>
    <w:rsid w:val="00FF1064"/>
    <w:rsid w:val="00FF10D3"/>
    <w:rsid w:val="00FF1114"/>
    <w:rsid w:val="00FF118A"/>
    <w:rsid w:val="00FF11D3"/>
    <w:rsid w:val="00FF120B"/>
    <w:rsid w:val="00FF1213"/>
    <w:rsid w:val="00FF1290"/>
    <w:rsid w:val="00FF12E3"/>
    <w:rsid w:val="00FF1310"/>
    <w:rsid w:val="00FF1394"/>
    <w:rsid w:val="00FF13C2"/>
    <w:rsid w:val="00FF1488"/>
    <w:rsid w:val="00FF148C"/>
    <w:rsid w:val="00FF14A3"/>
    <w:rsid w:val="00FF15E8"/>
    <w:rsid w:val="00FF16C2"/>
    <w:rsid w:val="00FF16D3"/>
    <w:rsid w:val="00FF16E0"/>
    <w:rsid w:val="00FF1705"/>
    <w:rsid w:val="00FF1728"/>
    <w:rsid w:val="00FF175A"/>
    <w:rsid w:val="00FF17F7"/>
    <w:rsid w:val="00FF1874"/>
    <w:rsid w:val="00FF1888"/>
    <w:rsid w:val="00FF18C2"/>
    <w:rsid w:val="00FF18E0"/>
    <w:rsid w:val="00FF19B5"/>
    <w:rsid w:val="00FF1AFA"/>
    <w:rsid w:val="00FF1B1D"/>
    <w:rsid w:val="00FF1B85"/>
    <w:rsid w:val="00FF1C3D"/>
    <w:rsid w:val="00FF1C83"/>
    <w:rsid w:val="00FF1D10"/>
    <w:rsid w:val="00FF1E31"/>
    <w:rsid w:val="00FF1E6D"/>
    <w:rsid w:val="00FF1EBD"/>
    <w:rsid w:val="00FF1F2D"/>
    <w:rsid w:val="00FF1F37"/>
    <w:rsid w:val="00FF1FBA"/>
    <w:rsid w:val="00FF1FFE"/>
    <w:rsid w:val="00FF2028"/>
    <w:rsid w:val="00FF20A9"/>
    <w:rsid w:val="00FF210F"/>
    <w:rsid w:val="00FF2179"/>
    <w:rsid w:val="00FF223D"/>
    <w:rsid w:val="00FF22A6"/>
    <w:rsid w:val="00FF232E"/>
    <w:rsid w:val="00FF2359"/>
    <w:rsid w:val="00FF236A"/>
    <w:rsid w:val="00FF2415"/>
    <w:rsid w:val="00FF246D"/>
    <w:rsid w:val="00FF2470"/>
    <w:rsid w:val="00FF24CB"/>
    <w:rsid w:val="00FF2629"/>
    <w:rsid w:val="00FF2647"/>
    <w:rsid w:val="00FF265A"/>
    <w:rsid w:val="00FF2687"/>
    <w:rsid w:val="00FF26D4"/>
    <w:rsid w:val="00FF273A"/>
    <w:rsid w:val="00FF2811"/>
    <w:rsid w:val="00FF281C"/>
    <w:rsid w:val="00FF2820"/>
    <w:rsid w:val="00FF2876"/>
    <w:rsid w:val="00FF293B"/>
    <w:rsid w:val="00FF2947"/>
    <w:rsid w:val="00FF294E"/>
    <w:rsid w:val="00FF2988"/>
    <w:rsid w:val="00FF2A02"/>
    <w:rsid w:val="00FF2A54"/>
    <w:rsid w:val="00FF2A84"/>
    <w:rsid w:val="00FF2AA5"/>
    <w:rsid w:val="00FF2B27"/>
    <w:rsid w:val="00FF2B94"/>
    <w:rsid w:val="00FF2CBD"/>
    <w:rsid w:val="00FF2CD3"/>
    <w:rsid w:val="00FF2CE0"/>
    <w:rsid w:val="00FF2D15"/>
    <w:rsid w:val="00FF2E33"/>
    <w:rsid w:val="00FF2EE5"/>
    <w:rsid w:val="00FF2F81"/>
    <w:rsid w:val="00FF3035"/>
    <w:rsid w:val="00FF3122"/>
    <w:rsid w:val="00FF3250"/>
    <w:rsid w:val="00FF3253"/>
    <w:rsid w:val="00FF32E7"/>
    <w:rsid w:val="00FF32F8"/>
    <w:rsid w:val="00FF336C"/>
    <w:rsid w:val="00FF339E"/>
    <w:rsid w:val="00FF33ED"/>
    <w:rsid w:val="00FF34DF"/>
    <w:rsid w:val="00FF34F2"/>
    <w:rsid w:val="00FF3511"/>
    <w:rsid w:val="00FF3541"/>
    <w:rsid w:val="00FF35D0"/>
    <w:rsid w:val="00FF364A"/>
    <w:rsid w:val="00FF370B"/>
    <w:rsid w:val="00FF3787"/>
    <w:rsid w:val="00FF37D3"/>
    <w:rsid w:val="00FF37E4"/>
    <w:rsid w:val="00FF386F"/>
    <w:rsid w:val="00FF38ED"/>
    <w:rsid w:val="00FF3A80"/>
    <w:rsid w:val="00FF3AE1"/>
    <w:rsid w:val="00FF3AF4"/>
    <w:rsid w:val="00FF3B56"/>
    <w:rsid w:val="00FF3C1E"/>
    <w:rsid w:val="00FF3C25"/>
    <w:rsid w:val="00FF3C3B"/>
    <w:rsid w:val="00FF3CA4"/>
    <w:rsid w:val="00FF3D16"/>
    <w:rsid w:val="00FF3D53"/>
    <w:rsid w:val="00FF3D55"/>
    <w:rsid w:val="00FF3E39"/>
    <w:rsid w:val="00FF3E4E"/>
    <w:rsid w:val="00FF3EF7"/>
    <w:rsid w:val="00FF3F65"/>
    <w:rsid w:val="00FF41B3"/>
    <w:rsid w:val="00FF41E8"/>
    <w:rsid w:val="00FF41F2"/>
    <w:rsid w:val="00FF423D"/>
    <w:rsid w:val="00FF4244"/>
    <w:rsid w:val="00FF4261"/>
    <w:rsid w:val="00FF4273"/>
    <w:rsid w:val="00FF4317"/>
    <w:rsid w:val="00FF439D"/>
    <w:rsid w:val="00FF43A8"/>
    <w:rsid w:val="00FF450B"/>
    <w:rsid w:val="00FF4658"/>
    <w:rsid w:val="00FF4779"/>
    <w:rsid w:val="00FF479C"/>
    <w:rsid w:val="00FF47CF"/>
    <w:rsid w:val="00FF47DE"/>
    <w:rsid w:val="00FF4845"/>
    <w:rsid w:val="00FF489C"/>
    <w:rsid w:val="00FF48C4"/>
    <w:rsid w:val="00FF498D"/>
    <w:rsid w:val="00FF4993"/>
    <w:rsid w:val="00FF499D"/>
    <w:rsid w:val="00FF49D4"/>
    <w:rsid w:val="00FF49DC"/>
    <w:rsid w:val="00FF4A5A"/>
    <w:rsid w:val="00FF4B21"/>
    <w:rsid w:val="00FF4BCE"/>
    <w:rsid w:val="00FF4BD0"/>
    <w:rsid w:val="00FF4C2F"/>
    <w:rsid w:val="00FF4C36"/>
    <w:rsid w:val="00FF4CBD"/>
    <w:rsid w:val="00FF4D1A"/>
    <w:rsid w:val="00FF4E05"/>
    <w:rsid w:val="00FF4E62"/>
    <w:rsid w:val="00FF4E92"/>
    <w:rsid w:val="00FF4EE0"/>
    <w:rsid w:val="00FF4EEA"/>
    <w:rsid w:val="00FF4F20"/>
    <w:rsid w:val="00FF4F32"/>
    <w:rsid w:val="00FF4F51"/>
    <w:rsid w:val="00FF4F72"/>
    <w:rsid w:val="00FF4FDB"/>
    <w:rsid w:val="00FF502B"/>
    <w:rsid w:val="00FF5030"/>
    <w:rsid w:val="00FF5047"/>
    <w:rsid w:val="00FF5068"/>
    <w:rsid w:val="00FF50ED"/>
    <w:rsid w:val="00FF52AF"/>
    <w:rsid w:val="00FF52BE"/>
    <w:rsid w:val="00FF52E2"/>
    <w:rsid w:val="00FF5342"/>
    <w:rsid w:val="00FF537F"/>
    <w:rsid w:val="00FF541E"/>
    <w:rsid w:val="00FF5484"/>
    <w:rsid w:val="00FF553B"/>
    <w:rsid w:val="00FF55A3"/>
    <w:rsid w:val="00FF55C7"/>
    <w:rsid w:val="00FF5624"/>
    <w:rsid w:val="00FF5733"/>
    <w:rsid w:val="00FF57BA"/>
    <w:rsid w:val="00FF57C4"/>
    <w:rsid w:val="00FF5868"/>
    <w:rsid w:val="00FF58B7"/>
    <w:rsid w:val="00FF58FC"/>
    <w:rsid w:val="00FF593A"/>
    <w:rsid w:val="00FF5986"/>
    <w:rsid w:val="00FF5992"/>
    <w:rsid w:val="00FF5AF8"/>
    <w:rsid w:val="00FF5B07"/>
    <w:rsid w:val="00FF5B95"/>
    <w:rsid w:val="00FF5C49"/>
    <w:rsid w:val="00FF5C53"/>
    <w:rsid w:val="00FF5CC6"/>
    <w:rsid w:val="00FF5CE0"/>
    <w:rsid w:val="00FF5D52"/>
    <w:rsid w:val="00FF5D75"/>
    <w:rsid w:val="00FF5E12"/>
    <w:rsid w:val="00FF5E14"/>
    <w:rsid w:val="00FF5E25"/>
    <w:rsid w:val="00FF5E2E"/>
    <w:rsid w:val="00FF5E5C"/>
    <w:rsid w:val="00FF5EA5"/>
    <w:rsid w:val="00FF5EA8"/>
    <w:rsid w:val="00FF5EB2"/>
    <w:rsid w:val="00FF5F07"/>
    <w:rsid w:val="00FF5F18"/>
    <w:rsid w:val="00FF5FB2"/>
    <w:rsid w:val="00FF5FD7"/>
    <w:rsid w:val="00FF6019"/>
    <w:rsid w:val="00FF607E"/>
    <w:rsid w:val="00FF609D"/>
    <w:rsid w:val="00FF60A2"/>
    <w:rsid w:val="00FF61E9"/>
    <w:rsid w:val="00FF6267"/>
    <w:rsid w:val="00FF632D"/>
    <w:rsid w:val="00FF6371"/>
    <w:rsid w:val="00FF63E6"/>
    <w:rsid w:val="00FF6412"/>
    <w:rsid w:val="00FF6472"/>
    <w:rsid w:val="00FF6496"/>
    <w:rsid w:val="00FF657F"/>
    <w:rsid w:val="00FF65E5"/>
    <w:rsid w:val="00FF65F4"/>
    <w:rsid w:val="00FF665C"/>
    <w:rsid w:val="00FF6682"/>
    <w:rsid w:val="00FF66EB"/>
    <w:rsid w:val="00FF66F1"/>
    <w:rsid w:val="00FF672F"/>
    <w:rsid w:val="00FF6823"/>
    <w:rsid w:val="00FF6878"/>
    <w:rsid w:val="00FF68AD"/>
    <w:rsid w:val="00FF68DD"/>
    <w:rsid w:val="00FF68EB"/>
    <w:rsid w:val="00FF68F4"/>
    <w:rsid w:val="00FF69EE"/>
    <w:rsid w:val="00FF6A14"/>
    <w:rsid w:val="00FF6B38"/>
    <w:rsid w:val="00FF6BF1"/>
    <w:rsid w:val="00FF6D10"/>
    <w:rsid w:val="00FF6D92"/>
    <w:rsid w:val="00FF6DA3"/>
    <w:rsid w:val="00FF6DDF"/>
    <w:rsid w:val="00FF6DF7"/>
    <w:rsid w:val="00FF6E25"/>
    <w:rsid w:val="00FF6E47"/>
    <w:rsid w:val="00FF6E5B"/>
    <w:rsid w:val="00FF6FAF"/>
    <w:rsid w:val="00FF6FD1"/>
    <w:rsid w:val="00FF6FE3"/>
    <w:rsid w:val="00FF711E"/>
    <w:rsid w:val="00FF7143"/>
    <w:rsid w:val="00FF718A"/>
    <w:rsid w:val="00FF71D7"/>
    <w:rsid w:val="00FF71E1"/>
    <w:rsid w:val="00FF732B"/>
    <w:rsid w:val="00FF742C"/>
    <w:rsid w:val="00FF7441"/>
    <w:rsid w:val="00FF7454"/>
    <w:rsid w:val="00FF755A"/>
    <w:rsid w:val="00FF75BB"/>
    <w:rsid w:val="00FF75E3"/>
    <w:rsid w:val="00FF7642"/>
    <w:rsid w:val="00FF76D7"/>
    <w:rsid w:val="00FF7766"/>
    <w:rsid w:val="00FF77AD"/>
    <w:rsid w:val="00FF7882"/>
    <w:rsid w:val="00FF78D0"/>
    <w:rsid w:val="00FF7929"/>
    <w:rsid w:val="00FF7958"/>
    <w:rsid w:val="00FF7A51"/>
    <w:rsid w:val="00FF7A8D"/>
    <w:rsid w:val="00FF7AC4"/>
    <w:rsid w:val="00FF7B03"/>
    <w:rsid w:val="00FF7B29"/>
    <w:rsid w:val="00FF7B8A"/>
    <w:rsid w:val="00FF7BA9"/>
    <w:rsid w:val="00FF7CE0"/>
    <w:rsid w:val="00FF7D0E"/>
    <w:rsid w:val="00FF7D3D"/>
    <w:rsid w:val="00FF7D83"/>
    <w:rsid w:val="00FF7DB0"/>
    <w:rsid w:val="00FF7DBA"/>
    <w:rsid w:val="00FF7F6B"/>
    <w:rsid w:val="0107A706"/>
    <w:rsid w:val="010E29D3"/>
    <w:rsid w:val="01274579"/>
    <w:rsid w:val="012A157D"/>
    <w:rsid w:val="0131E16A"/>
    <w:rsid w:val="013CD19E"/>
    <w:rsid w:val="014355FE"/>
    <w:rsid w:val="014B7EA5"/>
    <w:rsid w:val="014F8BF0"/>
    <w:rsid w:val="0154E69E"/>
    <w:rsid w:val="015C8423"/>
    <w:rsid w:val="015DDCB1"/>
    <w:rsid w:val="015EC25F"/>
    <w:rsid w:val="016534F4"/>
    <w:rsid w:val="0171050F"/>
    <w:rsid w:val="0172728E"/>
    <w:rsid w:val="01845583"/>
    <w:rsid w:val="018639F2"/>
    <w:rsid w:val="018B13A8"/>
    <w:rsid w:val="018DCC20"/>
    <w:rsid w:val="01943DCB"/>
    <w:rsid w:val="0197261D"/>
    <w:rsid w:val="019DF6F7"/>
    <w:rsid w:val="01A9E912"/>
    <w:rsid w:val="01B0AB0A"/>
    <w:rsid w:val="01B7A941"/>
    <w:rsid w:val="01C0EDE5"/>
    <w:rsid w:val="01C78305"/>
    <w:rsid w:val="01D129E0"/>
    <w:rsid w:val="01D92B02"/>
    <w:rsid w:val="01DAB051"/>
    <w:rsid w:val="01E4967B"/>
    <w:rsid w:val="01E7CF8A"/>
    <w:rsid w:val="01EA4ACB"/>
    <w:rsid w:val="01ECE2B2"/>
    <w:rsid w:val="01EDAE38"/>
    <w:rsid w:val="01F85E27"/>
    <w:rsid w:val="01FC815E"/>
    <w:rsid w:val="01FD9393"/>
    <w:rsid w:val="01FF26DD"/>
    <w:rsid w:val="0200DD16"/>
    <w:rsid w:val="0203514B"/>
    <w:rsid w:val="020541AC"/>
    <w:rsid w:val="020789E5"/>
    <w:rsid w:val="0208318C"/>
    <w:rsid w:val="020C0DC4"/>
    <w:rsid w:val="020EE69C"/>
    <w:rsid w:val="0214F1C4"/>
    <w:rsid w:val="0218DDED"/>
    <w:rsid w:val="02210E61"/>
    <w:rsid w:val="022184DE"/>
    <w:rsid w:val="0223AF51"/>
    <w:rsid w:val="0225DD03"/>
    <w:rsid w:val="0227DC09"/>
    <w:rsid w:val="02286EEE"/>
    <w:rsid w:val="022EC8E0"/>
    <w:rsid w:val="0231004B"/>
    <w:rsid w:val="0233EB36"/>
    <w:rsid w:val="0234C71E"/>
    <w:rsid w:val="023757F0"/>
    <w:rsid w:val="023CAB83"/>
    <w:rsid w:val="024F0B1F"/>
    <w:rsid w:val="0253FF9C"/>
    <w:rsid w:val="025735F3"/>
    <w:rsid w:val="02581E35"/>
    <w:rsid w:val="0260D413"/>
    <w:rsid w:val="026191AC"/>
    <w:rsid w:val="0261C2D0"/>
    <w:rsid w:val="0266335F"/>
    <w:rsid w:val="0268AF22"/>
    <w:rsid w:val="026C6F93"/>
    <w:rsid w:val="027447BE"/>
    <w:rsid w:val="02769D3D"/>
    <w:rsid w:val="027A47F6"/>
    <w:rsid w:val="027F8E4B"/>
    <w:rsid w:val="02810B1A"/>
    <w:rsid w:val="0281C971"/>
    <w:rsid w:val="0287CA95"/>
    <w:rsid w:val="028DFC4B"/>
    <w:rsid w:val="0292AF7C"/>
    <w:rsid w:val="029430BE"/>
    <w:rsid w:val="0296A4B6"/>
    <w:rsid w:val="0299CDAE"/>
    <w:rsid w:val="029D97F8"/>
    <w:rsid w:val="02A1E477"/>
    <w:rsid w:val="02AA3CF4"/>
    <w:rsid w:val="02AA987F"/>
    <w:rsid w:val="02AD544D"/>
    <w:rsid w:val="02B05F2E"/>
    <w:rsid w:val="02B6DC57"/>
    <w:rsid w:val="02C869E9"/>
    <w:rsid w:val="02D0EA01"/>
    <w:rsid w:val="02D3E1C1"/>
    <w:rsid w:val="02DC2A80"/>
    <w:rsid w:val="02DC9449"/>
    <w:rsid w:val="02E0AB0E"/>
    <w:rsid w:val="02E245FC"/>
    <w:rsid w:val="02ED34AE"/>
    <w:rsid w:val="02EF4802"/>
    <w:rsid w:val="02F0176D"/>
    <w:rsid w:val="02F4150D"/>
    <w:rsid w:val="02F7E3EC"/>
    <w:rsid w:val="03017F50"/>
    <w:rsid w:val="0302E5C2"/>
    <w:rsid w:val="0307BFA3"/>
    <w:rsid w:val="030B3E7F"/>
    <w:rsid w:val="03137A9C"/>
    <w:rsid w:val="03141FFA"/>
    <w:rsid w:val="0318DF71"/>
    <w:rsid w:val="0324FA5E"/>
    <w:rsid w:val="03266035"/>
    <w:rsid w:val="0326C892"/>
    <w:rsid w:val="0331FE91"/>
    <w:rsid w:val="033289F2"/>
    <w:rsid w:val="03332056"/>
    <w:rsid w:val="0337B287"/>
    <w:rsid w:val="0339F718"/>
    <w:rsid w:val="033D8B7C"/>
    <w:rsid w:val="034155E3"/>
    <w:rsid w:val="034C4679"/>
    <w:rsid w:val="0352EF86"/>
    <w:rsid w:val="035475A8"/>
    <w:rsid w:val="0354B4FF"/>
    <w:rsid w:val="035C984B"/>
    <w:rsid w:val="035F64A7"/>
    <w:rsid w:val="03655B7C"/>
    <w:rsid w:val="0365EFF7"/>
    <w:rsid w:val="0372104A"/>
    <w:rsid w:val="0372DDAA"/>
    <w:rsid w:val="03733786"/>
    <w:rsid w:val="0376E218"/>
    <w:rsid w:val="037FF8AB"/>
    <w:rsid w:val="0384E7F1"/>
    <w:rsid w:val="038652CA"/>
    <w:rsid w:val="0386CEA4"/>
    <w:rsid w:val="038CDB67"/>
    <w:rsid w:val="038F51EB"/>
    <w:rsid w:val="03A34344"/>
    <w:rsid w:val="03A94A47"/>
    <w:rsid w:val="03AB9A6A"/>
    <w:rsid w:val="03ABF606"/>
    <w:rsid w:val="03B5B9BD"/>
    <w:rsid w:val="03BA37C4"/>
    <w:rsid w:val="03BA6F07"/>
    <w:rsid w:val="03D430DD"/>
    <w:rsid w:val="03DA4E45"/>
    <w:rsid w:val="03DD6FEC"/>
    <w:rsid w:val="03E156F8"/>
    <w:rsid w:val="03EBCDEE"/>
    <w:rsid w:val="03EC9795"/>
    <w:rsid w:val="03EF4F2D"/>
    <w:rsid w:val="03F5BA3C"/>
    <w:rsid w:val="03FAAA5F"/>
    <w:rsid w:val="03FD5BA2"/>
    <w:rsid w:val="03FE0D4E"/>
    <w:rsid w:val="040DF21B"/>
    <w:rsid w:val="040F46DA"/>
    <w:rsid w:val="04127178"/>
    <w:rsid w:val="0412BFC7"/>
    <w:rsid w:val="041997AD"/>
    <w:rsid w:val="0421E1A0"/>
    <w:rsid w:val="0423D860"/>
    <w:rsid w:val="042509E6"/>
    <w:rsid w:val="043179BA"/>
    <w:rsid w:val="043E19CE"/>
    <w:rsid w:val="044817DC"/>
    <w:rsid w:val="0451393C"/>
    <w:rsid w:val="0451A474"/>
    <w:rsid w:val="045AFE20"/>
    <w:rsid w:val="0467AED6"/>
    <w:rsid w:val="0468FF46"/>
    <w:rsid w:val="0471DED4"/>
    <w:rsid w:val="048F5385"/>
    <w:rsid w:val="04A1E320"/>
    <w:rsid w:val="04A45C0B"/>
    <w:rsid w:val="04ABCD46"/>
    <w:rsid w:val="04B25C51"/>
    <w:rsid w:val="04C4D8A0"/>
    <w:rsid w:val="04C87AFA"/>
    <w:rsid w:val="04C8E8D0"/>
    <w:rsid w:val="04CC4EBE"/>
    <w:rsid w:val="04D160CE"/>
    <w:rsid w:val="04DDA56C"/>
    <w:rsid w:val="04E71537"/>
    <w:rsid w:val="04E8118B"/>
    <w:rsid w:val="04E875B0"/>
    <w:rsid w:val="0500536E"/>
    <w:rsid w:val="0503F4D7"/>
    <w:rsid w:val="05078452"/>
    <w:rsid w:val="050937D7"/>
    <w:rsid w:val="050A1C32"/>
    <w:rsid w:val="050F1FE0"/>
    <w:rsid w:val="05171486"/>
    <w:rsid w:val="05179072"/>
    <w:rsid w:val="0519D20D"/>
    <w:rsid w:val="051C3186"/>
    <w:rsid w:val="051EA1CB"/>
    <w:rsid w:val="051EF02E"/>
    <w:rsid w:val="05202ABC"/>
    <w:rsid w:val="0520B5D2"/>
    <w:rsid w:val="05251AB9"/>
    <w:rsid w:val="05278B54"/>
    <w:rsid w:val="05321C49"/>
    <w:rsid w:val="053A1623"/>
    <w:rsid w:val="053AEC03"/>
    <w:rsid w:val="053AFF4B"/>
    <w:rsid w:val="053B3A46"/>
    <w:rsid w:val="054A64C9"/>
    <w:rsid w:val="054B396E"/>
    <w:rsid w:val="054BE0BD"/>
    <w:rsid w:val="054D3C5A"/>
    <w:rsid w:val="0555E82B"/>
    <w:rsid w:val="05570A1D"/>
    <w:rsid w:val="056487FA"/>
    <w:rsid w:val="056BF9AC"/>
    <w:rsid w:val="056E97C3"/>
    <w:rsid w:val="057BBBA1"/>
    <w:rsid w:val="057C0396"/>
    <w:rsid w:val="05866910"/>
    <w:rsid w:val="058898E7"/>
    <w:rsid w:val="0588B30E"/>
    <w:rsid w:val="05983D9F"/>
    <w:rsid w:val="059ACFC3"/>
    <w:rsid w:val="059FBCD9"/>
    <w:rsid w:val="05A62F5B"/>
    <w:rsid w:val="05B3F98D"/>
    <w:rsid w:val="05DFFBAF"/>
    <w:rsid w:val="05E14054"/>
    <w:rsid w:val="05E30D43"/>
    <w:rsid w:val="05E42732"/>
    <w:rsid w:val="05F0DB68"/>
    <w:rsid w:val="05F1CEF8"/>
    <w:rsid w:val="05F3C97F"/>
    <w:rsid w:val="060018CF"/>
    <w:rsid w:val="0601E6B7"/>
    <w:rsid w:val="0602D1C4"/>
    <w:rsid w:val="060A6B99"/>
    <w:rsid w:val="061079B8"/>
    <w:rsid w:val="061870E2"/>
    <w:rsid w:val="061E5BC1"/>
    <w:rsid w:val="0623E24C"/>
    <w:rsid w:val="0629AF17"/>
    <w:rsid w:val="062A83FA"/>
    <w:rsid w:val="0635BB83"/>
    <w:rsid w:val="063E66B5"/>
    <w:rsid w:val="063E7030"/>
    <w:rsid w:val="06413799"/>
    <w:rsid w:val="0645637F"/>
    <w:rsid w:val="0647B04A"/>
    <w:rsid w:val="064A3299"/>
    <w:rsid w:val="064B3D22"/>
    <w:rsid w:val="064E02AF"/>
    <w:rsid w:val="064F2016"/>
    <w:rsid w:val="06502B82"/>
    <w:rsid w:val="0651B4EC"/>
    <w:rsid w:val="0654B769"/>
    <w:rsid w:val="0657762F"/>
    <w:rsid w:val="0662F1E6"/>
    <w:rsid w:val="0666B08D"/>
    <w:rsid w:val="0666B093"/>
    <w:rsid w:val="06670254"/>
    <w:rsid w:val="06724400"/>
    <w:rsid w:val="06829900"/>
    <w:rsid w:val="06852923"/>
    <w:rsid w:val="069123A3"/>
    <w:rsid w:val="0694064E"/>
    <w:rsid w:val="0694CEE9"/>
    <w:rsid w:val="0694FDDE"/>
    <w:rsid w:val="069799B0"/>
    <w:rsid w:val="0698A867"/>
    <w:rsid w:val="06A45B71"/>
    <w:rsid w:val="06A8C7FB"/>
    <w:rsid w:val="06B15113"/>
    <w:rsid w:val="06C2FCA4"/>
    <w:rsid w:val="06D13FB3"/>
    <w:rsid w:val="06DB784E"/>
    <w:rsid w:val="06DC42B3"/>
    <w:rsid w:val="06E6FD04"/>
    <w:rsid w:val="06ED7FE8"/>
    <w:rsid w:val="06F48821"/>
    <w:rsid w:val="06F6D958"/>
    <w:rsid w:val="06F791BC"/>
    <w:rsid w:val="06FCA675"/>
    <w:rsid w:val="06FF6120"/>
    <w:rsid w:val="0701F593"/>
    <w:rsid w:val="0703EE19"/>
    <w:rsid w:val="0706D1E5"/>
    <w:rsid w:val="070D9042"/>
    <w:rsid w:val="0717B8BD"/>
    <w:rsid w:val="071CCF82"/>
    <w:rsid w:val="071DC986"/>
    <w:rsid w:val="071E0B4C"/>
    <w:rsid w:val="071EEC23"/>
    <w:rsid w:val="072DF24E"/>
    <w:rsid w:val="0732C2CE"/>
    <w:rsid w:val="073443CD"/>
    <w:rsid w:val="0734F0ED"/>
    <w:rsid w:val="073BA92B"/>
    <w:rsid w:val="073FEB70"/>
    <w:rsid w:val="073FFD2B"/>
    <w:rsid w:val="0740C1D1"/>
    <w:rsid w:val="074212AA"/>
    <w:rsid w:val="07463F41"/>
    <w:rsid w:val="074B9636"/>
    <w:rsid w:val="074C6838"/>
    <w:rsid w:val="074E431C"/>
    <w:rsid w:val="07663B38"/>
    <w:rsid w:val="076815CE"/>
    <w:rsid w:val="07732E29"/>
    <w:rsid w:val="0788A8E2"/>
    <w:rsid w:val="078C372B"/>
    <w:rsid w:val="078DE759"/>
    <w:rsid w:val="078FF542"/>
    <w:rsid w:val="07943644"/>
    <w:rsid w:val="0794B7F0"/>
    <w:rsid w:val="07952494"/>
    <w:rsid w:val="079701F1"/>
    <w:rsid w:val="079F8D13"/>
    <w:rsid w:val="07A47EBD"/>
    <w:rsid w:val="07A5F045"/>
    <w:rsid w:val="07ADB64A"/>
    <w:rsid w:val="07BCC182"/>
    <w:rsid w:val="07BD6847"/>
    <w:rsid w:val="07C30A05"/>
    <w:rsid w:val="07C4F6A0"/>
    <w:rsid w:val="07CA8CA7"/>
    <w:rsid w:val="07CCB0EC"/>
    <w:rsid w:val="07D23645"/>
    <w:rsid w:val="07EFE602"/>
    <w:rsid w:val="07F51181"/>
    <w:rsid w:val="07FC5D04"/>
    <w:rsid w:val="08052040"/>
    <w:rsid w:val="0809A418"/>
    <w:rsid w:val="080A9523"/>
    <w:rsid w:val="080D0DFF"/>
    <w:rsid w:val="08146299"/>
    <w:rsid w:val="0829ECD4"/>
    <w:rsid w:val="082CD447"/>
    <w:rsid w:val="082E6AF5"/>
    <w:rsid w:val="0833DF48"/>
    <w:rsid w:val="08393C1E"/>
    <w:rsid w:val="083A11CD"/>
    <w:rsid w:val="083B370E"/>
    <w:rsid w:val="083CA06D"/>
    <w:rsid w:val="084003FF"/>
    <w:rsid w:val="0844E881"/>
    <w:rsid w:val="084D2E78"/>
    <w:rsid w:val="084DFAF3"/>
    <w:rsid w:val="0851675A"/>
    <w:rsid w:val="085208FA"/>
    <w:rsid w:val="0854DD02"/>
    <w:rsid w:val="0855A15B"/>
    <w:rsid w:val="08642AD0"/>
    <w:rsid w:val="0864831A"/>
    <w:rsid w:val="0865FAFE"/>
    <w:rsid w:val="0866BAC6"/>
    <w:rsid w:val="086A9FAB"/>
    <w:rsid w:val="0871E43C"/>
    <w:rsid w:val="0872DF7F"/>
    <w:rsid w:val="0875C362"/>
    <w:rsid w:val="087B9A70"/>
    <w:rsid w:val="0896BFE7"/>
    <w:rsid w:val="089A2C2B"/>
    <w:rsid w:val="089CAA04"/>
    <w:rsid w:val="089D2EAA"/>
    <w:rsid w:val="08A0E0D3"/>
    <w:rsid w:val="08A17C64"/>
    <w:rsid w:val="08A7C9FF"/>
    <w:rsid w:val="08A99BBF"/>
    <w:rsid w:val="08B074E0"/>
    <w:rsid w:val="08B4C126"/>
    <w:rsid w:val="08B871F4"/>
    <w:rsid w:val="08B9E5FC"/>
    <w:rsid w:val="08BD9F17"/>
    <w:rsid w:val="08C1691A"/>
    <w:rsid w:val="08C9433C"/>
    <w:rsid w:val="08CDAE0E"/>
    <w:rsid w:val="08D3A699"/>
    <w:rsid w:val="08DB4AAC"/>
    <w:rsid w:val="08E0B716"/>
    <w:rsid w:val="08E56D2D"/>
    <w:rsid w:val="08ED291D"/>
    <w:rsid w:val="08EF781B"/>
    <w:rsid w:val="08FBB1EC"/>
    <w:rsid w:val="090090A9"/>
    <w:rsid w:val="09028509"/>
    <w:rsid w:val="09041B93"/>
    <w:rsid w:val="090BE720"/>
    <w:rsid w:val="091571E8"/>
    <w:rsid w:val="091CFC1F"/>
    <w:rsid w:val="09244182"/>
    <w:rsid w:val="092E1EC9"/>
    <w:rsid w:val="093225F5"/>
    <w:rsid w:val="09333E5F"/>
    <w:rsid w:val="0933CDE0"/>
    <w:rsid w:val="09383CA7"/>
    <w:rsid w:val="0938DC74"/>
    <w:rsid w:val="0939C58B"/>
    <w:rsid w:val="093CA8EB"/>
    <w:rsid w:val="09494CB0"/>
    <w:rsid w:val="0953F8DA"/>
    <w:rsid w:val="09550B0C"/>
    <w:rsid w:val="09564795"/>
    <w:rsid w:val="095A8048"/>
    <w:rsid w:val="095CE4C2"/>
    <w:rsid w:val="09656637"/>
    <w:rsid w:val="09786B98"/>
    <w:rsid w:val="098B5373"/>
    <w:rsid w:val="0996BD4D"/>
    <w:rsid w:val="099A4928"/>
    <w:rsid w:val="099B8C66"/>
    <w:rsid w:val="099E75EC"/>
    <w:rsid w:val="09A28C91"/>
    <w:rsid w:val="09A2A3AF"/>
    <w:rsid w:val="09A2F9F6"/>
    <w:rsid w:val="09A401DC"/>
    <w:rsid w:val="09AD34B3"/>
    <w:rsid w:val="09B29B97"/>
    <w:rsid w:val="09B6E39B"/>
    <w:rsid w:val="09C3A3A7"/>
    <w:rsid w:val="09C95C09"/>
    <w:rsid w:val="09D6EC9A"/>
    <w:rsid w:val="09DBA60F"/>
    <w:rsid w:val="09E219D8"/>
    <w:rsid w:val="09E3A18A"/>
    <w:rsid w:val="09E5D52D"/>
    <w:rsid w:val="09E81D20"/>
    <w:rsid w:val="09E8AEC9"/>
    <w:rsid w:val="09E8E5F7"/>
    <w:rsid w:val="09F18792"/>
    <w:rsid w:val="09F2CAF9"/>
    <w:rsid w:val="09F89830"/>
    <w:rsid w:val="09FFF250"/>
    <w:rsid w:val="0A01CB5F"/>
    <w:rsid w:val="0A0322BD"/>
    <w:rsid w:val="0A036403"/>
    <w:rsid w:val="0A0865D9"/>
    <w:rsid w:val="0A173145"/>
    <w:rsid w:val="0A1DA704"/>
    <w:rsid w:val="0A20328B"/>
    <w:rsid w:val="0A2044EB"/>
    <w:rsid w:val="0A424643"/>
    <w:rsid w:val="0A426B24"/>
    <w:rsid w:val="0A45E297"/>
    <w:rsid w:val="0A4AB98D"/>
    <w:rsid w:val="0A4EFFA3"/>
    <w:rsid w:val="0A583F9D"/>
    <w:rsid w:val="0A5A6B7C"/>
    <w:rsid w:val="0A69A883"/>
    <w:rsid w:val="0A6BE542"/>
    <w:rsid w:val="0A6DA0AB"/>
    <w:rsid w:val="0A788C09"/>
    <w:rsid w:val="0A7CFB5E"/>
    <w:rsid w:val="0A8886B3"/>
    <w:rsid w:val="0A8970E4"/>
    <w:rsid w:val="0A89B989"/>
    <w:rsid w:val="0A8C40FD"/>
    <w:rsid w:val="0A8E96C9"/>
    <w:rsid w:val="0A9140EB"/>
    <w:rsid w:val="0A96E029"/>
    <w:rsid w:val="0A9EE792"/>
    <w:rsid w:val="0AA28E52"/>
    <w:rsid w:val="0AA5632E"/>
    <w:rsid w:val="0AAA9CF5"/>
    <w:rsid w:val="0AACF921"/>
    <w:rsid w:val="0AAD99FD"/>
    <w:rsid w:val="0AB51F44"/>
    <w:rsid w:val="0AB6304E"/>
    <w:rsid w:val="0AB74B83"/>
    <w:rsid w:val="0AB8F6E9"/>
    <w:rsid w:val="0AC510F2"/>
    <w:rsid w:val="0ACA1F92"/>
    <w:rsid w:val="0ACA2AAF"/>
    <w:rsid w:val="0AD160C9"/>
    <w:rsid w:val="0AD9F60F"/>
    <w:rsid w:val="0ADAEAA6"/>
    <w:rsid w:val="0ADCD900"/>
    <w:rsid w:val="0AE7D493"/>
    <w:rsid w:val="0AEB7851"/>
    <w:rsid w:val="0AEF3A4E"/>
    <w:rsid w:val="0AF21826"/>
    <w:rsid w:val="0AFB4B6F"/>
    <w:rsid w:val="0B0792F8"/>
    <w:rsid w:val="0B118BB6"/>
    <w:rsid w:val="0B1209C4"/>
    <w:rsid w:val="0B1291FE"/>
    <w:rsid w:val="0B255022"/>
    <w:rsid w:val="0B2B20A1"/>
    <w:rsid w:val="0B36A2A1"/>
    <w:rsid w:val="0B385680"/>
    <w:rsid w:val="0B3D583A"/>
    <w:rsid w:val="0B3EE53A"/>
    <w:rsid w:val="0B4713BE"/>
    <w:rsid w:val="0B4BECE2"/>
    <w:rsid w:val="0B547765"/>
    <w:rsid w:val="0B57E8EA"/>
    <w:rsid w:val="0B5B0D5F"/>
    <w:rsid w:val="0B5F358C"/>
    <w:rsid w:val="0B5FA61F"/>
    <w:rsid w:val="0B6301C7"/>
    <w:rsid w:val="0B6B590C"/>
    <w:rsid w:val="0B718E97"/>
    <w:rsid w:val="0B727116"/>
    <w:rsid w:val="0B738CD3"/>
    <w:rsid w:val="0B767AE9"/>
    <w:rsid w:val="0B7B9FF5"/>
    <w:rsid w:val="0B86013D"/>
    <w:rsid w:val="0B909DB1"/>
    <w:rsid w:val="0B959642"/>
    <w:rsid w:val="0BA15DEE"/>
    <w:rsid w:val="0BA328FF"/>
    <w:rsid w:val="0BA47056"/>
    <w:rsid w:val="0BA8E618"/>
    <w:rsid w:val="0BA90858"/>
    <w:rsid w:val="0BADB6D9"/>
    <w:rsid w:val="0BBA6CD8"/>
    <w:rsid w:val="0BC2A6AF"/>
    <w:rsid w:val="0BC812DC"/>
    <w:rsid w:val="0BCE1323"/>
    <w:rsid w:val="0BCFA65B"/>
    <w:rsid w:val="0BD208C9"/>
    <w:rsid w:val="0BDAD291"/>
    <w:rsid w:val="0BE6AB5C"/>
    <w:rsid w:val="0BE749B9"/>
    <w:rsid w:val="0BF1FE0E"/>
    <w:rsid w:val="0C09F5E1"/>
    <w:rsid w:val="0C0EFDC0"/>
    <w:rsid w:val="0C106ED6"/>
    <w:rsid w:val="0C191855"/>
    <w:rsid w:val="0C1AE156"/>
    <w:rsid w:val="0C1DE797"/>
    <w:rsid w:val="0C203390"/>
    <w:rsid w:val="0C24B848"/>
    <w:rsid w:val="0C29FFCD"/>
    <w:rsid w:val="0C2D9031"/>
    <w:rsid w:val="0C2FB078"/>
    <w:rsid w:val="0C335B2D"/>
    <w:rsid w:val="0C3666E3"/>
    <w:rsid w:val="0C3E49A7"/>
    <w:rsid w:val="0C415D7F"/>
    <w:rsid w:val="0C496CB8"/>
    <w:rsid w:val="0C4B6D2B"/>
    <w:rsid w:val="0C4CA50D"/>
    <w:rsid w:val="0C4CE615"/>
    <w:rsid w:val="0C543AE1"/>
    <w:rsid w:val="0C54F7E8"/>
    <w:rsid w:val="0C590737"/>
    <w:rsid w:val="0C5A23C3"/>
    <w:rsid w:val="0C5AAA2C"/>
    <w:rsid w:val="0C5D5D43"/>
    <w:rsid w:val="0C5DE908"/>
    <w:rsid w:val="0C68EB8E"/>
    <w:rsid w:val="0C6F30C9"/>
    <w:rsid w:val="0C7A2EF0"/>
    <w:rsid w:val="0C7A5D52"/>
    <w:rsid w:val="0C7B15AA"/>
    <w:rsid w:val="0C7E06B9"/>
    <w:rsid w:val="0C860034"/>
    <w:rsid w:val="0C86A024"/>
    <w:rsid w:val="0C968FB3"/>
    <w:rsid w:val="0C983480"/>
    <w:rsid w:val="0C983B11"/>
    <w:rsid w:val="0C9A65EB"/>
    <w:rsid w:val="0C9AC7F2"/>
    <w:rsid w:val="0CA83521"/>
    <w:rsid w:val="0CB88E0A"/>
    <w:rsid w:val="0CBB168C"/>
    <w:rsid w:val="0CBE6F49"/>
    <w:rsid w:val="0CBECCBA"/>
    <w:rsid w:val="0CC2FDAF"/>
    <w:rsid w:val="0CC7D3A1"/>
    <w:rsid w:val="0CCE3131"/>
    <w:rsid w:val="0CD34DB5"/>
    <w:rsid w:val="0CD6EE90"/>
    <w:rsid w:val="0CD78E9F"/>
    <w:rsid w:val="0CD8996C"/>
    <w:rsid w:val="0CDA1ED2"/>
    <w:rsid w:val="0CDD0242"/>
    <w:rsid w:val="0CE414F1"/>
    <w:rsid w:val="0CE4AA73"/>
    <w:rsid w:val="0CE583D2"/>
    <w:rsid w:val="0CEB1B8F"/>
    <w:rsid w:val="0CF1D5C6"/>
    <w:rsid w:val="0CF996BB"/>
    <w:rsid w:val="0D0823AA"/>
    <w:rsid w:val="0D120503"/>
    <w:rsid w:val="0D1349E3"/>
    <w:rsid w:val="0D153CD6"/>
    <w:rsid w:val="0D171951"/>
    <w:rsid w:val="0D1889D6"/>
    <w:rsid w:val="0D1EB831"/>
    <w:rsid w:val="0D2F992E"/>
    <w:rsid w:val="0D307E9E"/>
    <w:rsid w:val="0D32EBEC"/>
    <w:rsid w:val="0D39E526"/>
    <w:rsid w:val="0D3A475F"/>
    <w:rsid w:val="0D3C1F62"/>
    <w:rsid w:val="0D3DEF31"/>
    <w:rsid w:val="0D43C812"/>
    <w:rsid w:val="0D46741F"/>
    <w:rsid w:val="0D494E44"/>
    <w:rsid w:val="0D4E6155"/>
    <w:rsid w:val="0D594F00"/>
    <w:rsid w:val="0D5D87B7"/>
    <w:rsid w:val="0D5DBE02"/>
    <w:rsid w:val="0D6F2164"/>
    <w:rsid w:val="0D737770"/>
    <w:rsid w:val="0D773DFA"/>
    <w:rsid w:val="0D865B2E"/>
    <w:rsid w:val="0D8C0C98"/>
    <w:rsid w:val="0D8F9901"/>
    <w:rsid w:val="0D954ABA"/>
    <w:rsid w:val="0D97BA48"/>
    <w:rsid w:val="0D99289F"/>
    <w:rsid w:val="0D99EA00"/>
    <w:rsid w:val="0D9A2290"/>
    <w:rsid w:val="0D9F52E9"/>
    <w:rsid w:val="0DA25F2B"/>
    <w:rsid w:val="0DA5BC00"/>
    <w:rsid w:val="0DA9E80A"/>
    <w:rsid w:val="0DAC6E7E"/>
    <w:rsid w:val="0DB24236"/>
    <w:rsid w:val="0DB2788C"/>
    <w:rsid w:val="0DC32220"/>
    <w:rsid w:val="0DC5C288"/>
    <w:rsid w:val="0DC8626A"/>
    <w:rsid w:val="0DCA093C"/>
    <w:rsid w:val="0DCD2222"/>
    <w:rsid w:val="0DDF9B26"/>
    <w:rsid w:val="0DEB8B20"/>
    <w:rsid w:val="0DEED83A"/>
    <w:rsid w:val="0E02866B"/>
    <w:rsid w:val="0E05EE75"/>
    <w:rsid w:val="0E066FE9"/>
    <w:rsid w:val="0E0D1C68"/>
    <w:rsid w:val="0E111577"/>
    <w:rsid w:val="0E11F463"/>
    <w:rsid w:val="0E15F73F"/>
    <w:rsid w:val="0E28EE6D"/>
    <w:rsid w:val="0E3545C9"/>
    <w:rsid w:val="0E361CB7"/>
    <w:rsid w:val="0E461238"/>
    <w:rsid w:val="0E57E1C7"/>
    <w:rsid w:val="0E60359B"/>
    <w:rsid w:val="0E627255"/>
    <w:rsid w:val="0E6841A4"/>
    <w:rsid w:val="0E711CD6"/>
    <w:rsid w:val="0E7D85F1"/>
    <w:rsid w:val="0E809479"/>
    <w:rsid w:val="0E83D920"/>
    <w:rsid w:val="0E85ADAF"/>
    <w:rsid w:val="0E8C98CB"/>
    <w:rsid w:val="0E8DB15E"/>
    <w:rsid w:val="0E9DBDC0"/>
    <w:rsid w:val="0EA22728"/>
    <w:rsid w:val="0EAB143D"/>
    <w:rsid w:val="0EB4CE6C"/>
    <w:rsid w:val="0EB6A93F"/>
    <w:rsid w:val="0EB7763B"/>
    <w:rsid w:val="0EBECFFD"/>
    <w:rsid w:val="0EC60481"/>
    <w:rsid w:val="0ECED987"/>
    <w:rsid w:val="0ED18BC5"/>
    <w:rsid w:val="0ED4B962"/>
    <w:rsid w:val="0ED51641"/>
    <w:rsid w:val="0EDAA26E"/>
    <w:rsid w:val="0EE86B64"/>
    <w:rsid w:val="0EEAD7C4"/>
    <w:rsid w:val="0EEE419E"/>
    <w:rsid w:val="0EEFA63E"/>
    <w:rsid w:val="0EF8316F"/>
    <w:rsid w:val="0EFE1BCD"/>
    <w:rsid w:val="0F0A09BC"/>
    <w:rsid w:val="0F0D5B36"/>
    <w:rsid w:val="0F0D96B9"/>
    <w:rsid w:val="0F10EC3B"/>
    <w:rsid w:val="0F12CFEA"/>
    <w:rsid w:val="0F180A6D"/>
    <w:rsid w:val="0F247245"/>
    <w:rsid w:val="0F289095"/>
    <w:rsid w:val="0F3127A5"/>
    <w:rsid w:val="0F35BD1F"/>
    <w:rsid w:val="0F370839"/>
    <w:rsid w:val="0F3D03AF"/>
    <w:rsid w:val="0F3D07C7"/>
    <w:rsid w:val="0F49360F"/>
    <w:rsid w:val="0F4D3DDA"/>
    <w:rsid w:val="0F58C5F1"/>
    <w:rsid w:val="0F7BDB70"/>
    <w:rsid w:val="0F8163DE"/>
    <w:rsid w:val="0F853A09"/>
    <w:rsid w:val="0F8C82C4"/>
    <w:rsid w:val="0F8CA2EC"/>
    <w:rsid w:val="0F8FE946"/>
    <w:rsid w:val="0F9013B0"/>
    <w:rsid w:val="0F923529"/>
    <w:rsid w:val="0F9344C2"/>
    <w:rsid w:val="0F93B592"/>
    <w:rsid w:val="0F94365C"/>
    <w:rsid w:val="0F970F8B"/>
    <w:rsid w:val="0F9FC0C1"/>
    <w:rsid w:val="0FA2519B"/>
    <w:rsid w:val="0FA5BE75"/>
    <w:rsid w:val="0FA5C0F6"/>
    <w:rsid w:val="0FAAAB24"/>
    <w:rsid w:val="0FB21081"/>
    <w:rsid w:val="0FB58659"/>
    <w:rsid w:val="0FB6D317"/>
    <w:rsid w:val="0FBEDBC7"/>
    <w:rsid w:val="0FC4691E"/>
    <w:rsid w:val="0FC66D24"/>
    <w:rsid w:val="0FC7720F"/>
    <w:rsid w:val="0FC9D6F3"/>
    <w:rsid w:val="0FCE1ADD"/>
    <w:rsid w:val="0FDE5D31"/>
    <w:rsid w:val="0FE10BAD"/>
    <w:rsid w:val="0FF06D14"/>
    <w:rsid w:val="0FF41E63"/>
    <w:rsid w:val="10080E00"/>
    <w:rsid w:val="100B50CF"/>
    <w:rsid w:val="100DA77C"/>
    <w:rsid w:val="100E89C5"/>
    <w:rsid w:val="1020E2A8"/>
    <w:rsid w:val="10244085"/>
    <w:rsid w:val="1026D51E"/>
    <w:rsid w:val="1028F3DD"/>
    <w:rsid w:val="103E8E7C"/>
    <w:rsid w:val="1047B50D"/>
    <w:rsid w:val="10518D0A"/>
    <w:rsid w:val="105DC682"/>
    <w:rsid w:val="106AAB6A"/>
    <w:rsid w:val="106BAC7A"/>
    <w:rsid w:val="10770077"/>
    <w:rsid w:val="1077A651"/>
    <w:rsid w:val="10781BD0"/>
    <w:rsid w:val="107D65B7"/>
    <w:rsid w:val="108C43AD"/>
    <w:rsid w:val="1094312B"/>
    <w:rsid w:val="1099AA04"/>
    <w:rsid w:val="10A7FB00"/>
    <w:rsid w:val="10AAF585"/>
    <w:rsid w:val="10AC73D9"/>
    <w:rsid w:val="10AD6889"/>
    <w:rsid w:val="10AE7F61"/>
    <w:rsid w:val="10BDB7B5"/>
    <w:rsid w:val="10C16276"/>
    <w:rsid w:val="10C6A584"/>
    <w:rsid w:val="10C7F223"/>
    <w:rsid w:val="10C90CDF"/>
    <w:rsid w:val="10C9A190"/>
    <w:rsid w:val="10D37872"/>
    <w:rsid w:val="10D55254"/>
    <w:rsid w:val="10D78181"/>
    <w:rsid w:val="10D8803E"/>
    <w:rsid w:val="10EBD613"/>
    <w:rsid w:val="10ECE147"/>
    <w:rsid w:val="10F4BD5B"/>
    <w:rsid w:val="10F8D47A"/>
    <w:rsid w:val="10F94FC2"/>
    <w:rsid w:val="1102F67A"/>
    <w:rsid w:val="1108EC35"/>
    <w:rsid w:val="111205AB"/>
    <w:rsid w:val="1113CE88"/>
    <w:rsid w:val="11149FAB"/>
    <w:rsid w:val="111DB2FB"/>
    <w:rsid w:val="1123F81E"/>
    <w:rsid w:val="1124F0BB"/>
    <w:rsid w:val="112D2D36"/>
    <w:rsid w:val="112ED55F"/>
    <w:rsid w:val="113DB990"/>
    <w:rsid w:val="1140BA6B"/>
    <w:rsid w:val="114AC869"/>
    <w:rsid w:val="114BAF65"/>
    <w:rsid w:val="114DBCB7"/>
    <w:rsid w:val="114E9CD9"/>
    <w:rsid w:val="1154650B"/>
    <w:rsid w:val="1155365D"/>
    <w:rsid w:val="115AF374"/>
    <w:rsid w:val="116259DE"/>
    <w:rsid w:val="11650673"/>
    <w:rsid w:val="117081EC"/>
    <w:rsid w:val="117DE665"/>
    <w:rsid w:val="1185228F"/>
    <w:rsid w:val="1188E022"/>
    <w:rsid w:val="11890598"/>
    <w:rsid w:val="118F30D4"/>
    <w:rsid w:val="119210CD"/>
    <w:rsid w:val="11923410"/>
    <w:rsid w:val="1197DA2D"/>
    <w:rsid w:val="11988156"/>
    <w:rsid w:val="119CD60F"/>
    <w:rsid w:val="11A2EB06"/>
    <w:rsid w:val="11AA35FF"/>
    <w:rsid w:val="11AC9DA1"/>
    <w:rsid w:val="11B80093"/>
    <w:rsid w:val="11C61CF2"/>
    <w:rsid w:val="11D26C23"/>
    <w:rsid w:val="11D7EC74"/>
    <w:rsid w:val="11D81EC5"/>
    <w:rsid w:val="11DB8A83"/>
    <w:rsid w:val="11DE52EC"/>
    <w:rsid w:val="11E5FF6A"/>
    <w:rsid w:val="11E60AC7"/>
    <w:rsid w:val="11EA9D7C"/>
    <w:rsid w:val="11EDED09"/>
    <w:rsid w:val="11EE17F5"/>
    <w:rsid w:val="11F146BE"/>
    <w:rsid w:val="11F91068"/>
    <w:rsid w:val="12050F8E"/>
    <w:rsid w:val="12169AFD"/>
    <w:rsid w:val="1219C485"/>
    <w:rsid w:val="121B6D8B"/>
    <w:rsid w:val="1221E396"/>
    <w:rsid w:val="122A1C5B"/>
    <w:rsid w:val="122EF93F"/>
    <w:rsid w:val="12382A6F"/>
    <w:rsid w:val="1240D6C5"/>
    <w:rsid w:val="1247545B"/>
    <w:rsid w:val="124C7CD4"/>
    <w:rsid w:val="1258576F"/>
    <w:rsid w:val="1259F6F1"/>
    <w:rsid w:val="125B3B4E"/>
    <w:rsid w:val="12603559"/>
    <w:rsid w:val="1260E387"/>
    <w:rsid w:val="12652306"/>
    <w:rsid w:val="12655166"/>
    <w:rsid w:val="126B7CAA"/>
    <w:rsid w:val="127347F1"/>
    <w:rsid w:val="127560F6"/>
    <w:rsid w:val="1282ECBF"/>
    <w:rsid w:val="1283D47D"/>
    <w:rsid w:val="12843F92"/>
    <w:rsid w:val="1286DC04"/>
    <w:rsid w:val="1289BA11"/>
    <w:rsid w:val="129155CD"/>
    <w:rsid w:val="129A2C87"/>
    <w:rsid w:val="12AD00B6"/>
    <w:rsid w:val="12B454B1"/>
    <w:rsid w:val="12B6B1B1"/>
    <w:rsid w:val="12BACC32"/>
    <w:rsid w:val="12BB06DC"/>
    <w:rsid w:val="12BEFF8E"/>
    <w:rsid w:val="12C454CB"/>
    <w:rsid w:val="12C68E4C"/>
    <w:rsid w:val="12D0CD92"/>
    <w:rsid w:val="12D189B2"/>
    <w:rsid w:val="12DA519A"/>
    <w:rsid w:val="12DE2821"/>
    <w:rsid w:val="12DE7316"/>
    <w:rsid w:val="12E7EA5F"/>
    <w:rsid w:val="12E8FE8C"/>
    <w:rsid w:val="12ED54C4"/>
    <w:rsid w:val="12F0744F"/>
    <w:rsid w:val="12F0E9D7"/>
    <w:rsid w:val="12F2E40D"/>
    <w:rsid w:val="12FC45BF"/>
    <w:rsid w:val="12FCB116"/>
    <w:rsid w:val="12FD9AAA"/>
    <w:rsid w:val="13064A61"/>
    <w:rsid w:val="130B266E"/>
    <w:rsid w:val="130D013A"/>
    <w:rsid w:val="1312D297"/>
    <w:rsid w:val="1313233A"/>
    <w:rsid w:val="1315C188"/>
    <w:rsid w:val="131A075F"/>
    <w:rsid w:val="1325FB98"/>
    <w:rsid w:val="132F67DB"/>
    <w:rsid w:val="133AAFF8"/>
    <w:rsid w:val="133B69A9"/>
    <w:rsid w:val="1343418D"/>
    <w:rsid w:val="13449CA6"/>
    <w:rsid w:val="1355E851"/>
    <w:rsid w:val="1356E947"/>
    <w:rsid w:val="1356EFB9"/>
    <w:rsid w:val="13641B68"/>
    <w:rsid w:val="136A0902"/>
    <w:rsid w:val="136FA131"/>
    <w:rsid w:val="1371149A"/>
    <w:rsid w:val="1372A766"/>
    <w:rsid w:val="137394E9"/>
    <w:rsid w:val="1374A641"/>
    <w:rsid w:val="137C95BF"/>
    <w:rsid w:val="137FB8C7"/>
    <w:rsid w:val="1381F2D7"/>
    <w:rsid w:val="13823838"/>
    <w:rsid w:val="1382AF4A"/>
    <w:rsid w:val="1382F933"/>
    <w:rsid w:val="13838B9B"/>
    <w:rsid w:val="1383EE6D"/>
    <w:rsid w:val="13892E05"/>
    <w:rsid w:val="138C850E"/>
    <w:rsid w:val="1393A177"/>
    <w:rsid w:val="13971BEC"/>
    <w:rsid w:val="139AF6B6"/>
    <w:rsid w:val="13ADBEBF"/>
    <w:rsid w:val="13B8838F"/>
    <w:rsid w:val="13BA1835"/>
    <w:rsid w:val="13BD0784"/>
    <w:rsid w:val="13C0F9E7"/>
    <w:rsid w:val="13C235B0"/>
    <w:rsid w:val="13CBC59B"/>
    <w:rsid w:val="13CE29FA"/>
    <w:rsid w:val="13D3FF43"/>
    <w:rsid w:val="13D4B81F"/>
    <w:rsid w:val="13DE355D"/>
    <w:rsid w:val="13E05EBC"/>
    <w:rsid w:val="13EAA61D"/>
    <w:rsid w:val="13EBDAB8"/>
    <w:rsid w:val="13F00047"/>
    <w:rsid w:val="13F11126"/>
    <w:rsid w:val="13F194BC"/>
    <w:rsid w:val="13F83AEE"/>
    <w:rsid w:val="13F9C1AE"/>
    <w:rsid w:val="13FA29E8"/>
    <w:rsid w:val="1403AE7D"/>
    <w:rsid w:val="140E6FE9"/>
    <w:rsid w:val="1410ABD8"/>
    <w:rsid w:val="14120D32"/>
    <w:rsid w:val="1419D40D"/>
    <w:rsid w:val="1428670C"/>
    <w:rsid w:val="142A5235"/>
    <w:rsid w:val="142F1A46"/>
    <w:rsid w:val="14353154"/>
    <w:rsid w:val="1437380D"/>
    <w:rsid w:val="143A36D2"/>
    <w:rsid w:val="143A8ECC"/>
    <w:rsid w:val="143B4A10"/>
    <w:rsid w:val="143CB589"/>
    <w:rsid w:val="143E2C24"/>
    <w:rsid w:val="14415EC6"/>
    <w:rsid w:val="14453704"/>
    <w:rsid w:val="1448C01C"/>
    <w:rsid w:val="144AF2FE"/>
    <w:rsid w:val="144D0800"/>
    <w:rsid w:val="14510A8D"/>
    <w:rsid w:val="1464C336"/>
    <w:rsid w:val="146BE21F"/>
    <w:rsid w:val="147227D6"/>
    <w:rsid w:val="147266D4"/>
    <w:rsid w:val="14789123"/>
    <w:rsid w:val="1486A219"/>
    <w:rsid w:val="1491D65D"/>
    <w:rsid w:val="1497808F"/>
    <w:rsid w:val="149D07F9"/>
    <w:rsid w:val="149D356C"/>
    <w:rsid w:val="149EEF52"/>
    <w:rsid w:val="14A14CB2"/>
    <w:rsid w:val="14A22E15"/>
    <w:rsid w:val="14A6C2A1"/>
    <w:rsid w:val="14AAF29C"/>
    <w:rsid w:val="14B36637"/>
    <w:rsid w:val="14B4137C"/>
    <w:rsid w:val="14B47B19"/>
    <w:rsid w:val="14BABAC7"/>
    <w:rsid w:val="14BC719A"/>
    <w:rsid w:val="14C70562"/>
    <w:rsid w:val="14CEC1E9"/>
    <w:rsid w:val="14D24485"/>
    <w:rsid w:val="14D46E09"/>
    <w:rsid w:val="14D9E3D6"/>
    <w:rsid w:val="14E29101"/>
    <w:rsid w:val="14E37674"/>
    <w:rsid w:val="14EA5FD3"/>
    <w:rsid w:val="14ED0243"/>
    <w:rsid w:val="14F415EF"/>
    <w:rsid w:val="14FADFFA"/>
    <w:rsid w:val="15016A23"/>
    <w:rsid w:val="1501DAB3"/>
    <w:rsid w:val="1502A507"/>
    <w:rsid w:val="150CA435"/>
    <w:rsid w:val="15195124"/>
    <w:rsid w:val="151BB3A4"/>
    <w:rsid w:val="151CE9A6"/>
    <w:rsid w:val="1529F51C"/>
    <w:rsid w:val="1532104D"/>
    <w:rsid w:val="1532A1C6"/>
    <w:rsid w:val="15344D1A"/>
    <w:rsid w:val="153789BB"/>
    <w:rsid w:val="15393187"/>
    <w:rsid w:val="153F4E43"/>
    <w:rsid w:val="155CBCEA"/>
    <w:rsid w:val="1568297E"/>
    <w:rsid w:val="1568DF13"/>
    <w:rsid w:val="15698955"/>
    <w:rsid w:val="1575426C"/>
    <w:rsid w:val="1575904A"/>
    <w:rsid w:val="15775613"/>
    <w:rsid w:val="157967AE"/>
    <w:rsid w:val="1581E040"/>
    <w:rsid w:val="158D7B52"/>
    <w:rsid w:val="1595DD7D"/>
    <w:rsid w:val="15A3C081"/>
    <w:rsid w:val="15A8209E"/>
    <w:rsid w:val="15A92634"/>
    <w:rsid w:val="15AE652D"/>
    <w:rsid w:val="15AEB46F"/>
    <w:rsid w:val="15B142FE"/>
    <w:rsid w:val="15B4284E"/>
    <w:rsid w:val="15B9A12F"/>
    <w:rsid w:val="15C34ECC"/>
    <w:rsid w:val="15C682FD"/>
    <w:rsid w:val="15C8E30E"/>
    <w:rsid w:val="15CC2965"/>
    <w:rsid w:val="15D72D65"/>
    <w:rsid w:val="15D824BA"/>
    <w:rsid w:val="15DC22D4"/>
    <w:rsid w:val="15E2390B"/>
    <w:rsid w:val="15E292DA"/>
    <w:rsid w:val="15E50D55"/>
    <w:rsid w:val="15E55AC8"/>
    <w:rsid w:val="15ED4AEB"/>
    <w:rsid w:val="15F64E3D"/>
    <w:rsid w:val="15F771DE"/>
    <w:rsid w:val="15FDC25A"/>
    <w:rsid w:val="1607E0F2"/>
    <w:rsid w:val="16105376"/>
    <w:rsid w:val="1610AC27"/>
    <w:rsid w:val="1614B881"/>
    <w:rsid w:val="1617CC91"/>
    <w:rsid w:val="161F6AC3"/>
    <w:rsid w:val="1623BF20"/>
    <w:rsid w:val="16276D5A"/>
    <w:rsid w:val="162CA3A7"/>
    <w:rsid w:val="1632CC71"/>
    <w:rsid w:val="16333A1F"/>
    <w:rsid w:val="1634900A"/>
    <w:rsid w:val="1637C472"/>
    <w:rsid w:val="1638AB5C"/>
    <w:rsid w:val="16397FB2"/>
    <w:rsid w:val="163BADEC"/>
    <w:rsid w:val="163CBF50"/>
    <w:rsid w:val="163E16EF"/>
    <w:rsid w:val="16400854"/>
    <w:rsid w:val="1656FBB4"/>
    <w:rsid w:val="165B0ED6"/>
    <w:rsid w:val="165F00C9"/>
    <w:rsid w:val="16710A17"/>
    <w:rsid w:val="1671508C"/>
    <w:rsid w:val="167588B1"/>
    <w:rsid w:val="1679128E"/>
    <w:rsid w:val="167D78D2"/>
    <w:rsid w:val="167DEA40"/>
    <w:rsid w:val="16808541"/>
    <w:rsid w:val="169517D8"/>
    <w:rsid w:val="169C6E85"/>
    <w:rsid w:val="169DF9E1"/>
    <w:rsid w:val="169E7859"/>
    <w:rsid w:val="16A10724"/>
    <w:rsid w:val="16A3F6BF"/>
    <w:rsid w:val="16A4D5DD"/>
    <w:rsid w:val="16AD4FF9"/>
    <w:rsid w:val="16B5A52A"/>
    <w:rsid w:val="16B62420"/>
    <w:rsid w:val="16C14B40"/>
    <w:rsid w:val="16C91B77"/>
    <w:rsid w:val="16D1001F"/>
    <w:rsid w:val="16D29452"/>
    <w:rsid w:val="16D9D842"/>
    <w:rsid w:val="16DB0917"/>
    <w:rsid w:val="16E20E52"/>
    <w:rsid w:val="16E8529D"/>
    <w:rsid w:val="16F41FB8"/>
    <w:rsid w:val="16F6BA0F"/>
    <w:rsid w:val="16F814D1"/>
    <w:rsid w:val="1706883A"/>
    <w:rsid w:val="171B81ED"/>
    <w:rsid w:val="1720CDE5"/>
    <w:rsid w:val="172160E9"/>
    <w:rsid w:val="1722513D"/>
    <w:rsid w:val="1723D689"/>
    <w:rsid w:val="1725A2C2"/>
    <w:rsid w:val="17265813"/>
    <w:rsid w:val="1726FA23"/>
    <w:rsid w:val="172B51EA"/>
    <w:rsid w:val="1746C70E"/>
    <w:rsid w:val="1754CAE0"/>
    <w:rsid w:val="17559389"/>
    <w:rsid w:val="175751D9"/>
    <w:rsid w:val="175847CE"/>
    <w:rsid w:val="17717BE3"/>
    <w:rsid w:val="1779C1E9"/>
    <w:rsid w:val="177B9DC2"/>
    <w:rsid w:val="177D60EE"/>
    <w:rsid w:val="1782A237"/>
    <w:rsid w:val="1783A797"/>
    <w:rsid w:val="1784B53D"/>
    <w:rsid w:val="178902DB"/>
    <w:rsid w:val="17976A91"/>
    <w:rsid w:val="17983367"/>
    <w:rsid w:val="179A95AC"/>
    <w:rsid w:val="17A0B60F"/>
    <w:rsid w:val="17A26770"/>
    <w:rsid w:val="17B5AD65"/>
    <w:rsid w:val="17C1C927"/>
    <w:rsid w:val="17C37922"/>
    <w:rsid w:val="17C5A706"/>
    <w:rsid w:val="17E4D74A"/>
    <w:rsid w:val="17E534BE"/>
    <w:rsid w:val="17E7ED2A"/>
    <w:rsid w:val="17E90C44"/>
    <w:rsid w:val="17F24DBC"/>
    <w:rsid w:val="17F26F91"/>
    <w:rsid w:val="17F5D310"/>
    <w:rsid w:val="17FD5ACE"/>
    <w:rsid w:val="18025D2B"/>
    <w:rsid w:val="180FE2D2"/>
    <w:rsid w:val="181738B1"/>
    <w:rsid w:val="181B00B9"/>
    <w:rsid w:val="181C0229"/>
    <w:rsid w:val="181C384B"/>
    <w:rsid w:val="181D40FF"/>
    <w:rsid w:val="181F1A15"/>
    <w:rsid w:val="181FC410"/>
    <w:rsid w:val="181FEF40"/>
    <w:rsid w:val="1827E2A7"/>
    <w:rsid w:val="182A596C"/>
    <w:rsid w:val="182F6DA7"/>
    <w:rsid w:val="1830FD21"/>
    <w:rsid w:val="1835DCCE"/>
    <w:rsid w:val="18412393"/>
    <w:rsid w:val="184730AF"/>
    <w:rsid w:val="184E3F06"/>
    <w:rsid w:val="1850475C"/>
    <w:rsid w:val="1856DEE4"/>
    <w:rsid w:val="185A0370"/>
    <w:rsid w:val="185A71B4"/>
    <w:rsid w:val="186147C1"/>
    <w:rsid w:val="18614EC7"/>
    <w:rsid w:val="1863B90A"/>
    <w:rsid w:val="1865FD06"/>
    <w:rsid w:val="18671709"/>
    <w:rsid w:val="1875D43F"/>
    <w:rsid w:val="187E08D1"/>
    <w:rsid w:val="187E21E3"/>
    <w:rsid w:val="187E9309"/>
    <w:rsid w:val="1881B17A"/>
    <w:rsid w:val="188220B4"/>
    <w:rsid w:val="1885E3AC"/>
    <w:rsid w:val="1885EB86"/>
    <w:rsid w:val="189BDB0D"/>
    <w:rsid w:val="18A4C80A"/>
    <w:rsid w:val="18A605B3"/>
    <w:rsid w:val="18AE2AF0"/>
    <w:rsid w:val="18AE80A0"/>
    <w:rsid w:val="18AFBD8F"/>
    <w:rsid w:val="18B7BF7E"/>
    <w:rsid w:val="18BAEB6E"/>
    <w:rsid w:val="18BB716F"/>
    <w:rsid w:val="18BC78BF"/>
    <w:rsid w:val="18C180E0"/>
    <w:rsid w:val="18C9955F"/>
    <w:rsid w:val="18D1A8D4"/>
    <w:rsid w:val="18D50323"/>
    <w:rsid w:val="18DA7146"/>
    <w:rsid w:val="18DB642C"/>
    <w:rsid w:val="18DBC02A"/>
    <w:rsid w:val="18E17015"/>
    <w:rsid w:val="18E29C67"/>
    <w:rsid w:val="18E5C4A3"/>
    <w:rsid w:val="18E78AF0"/>
    <w:rsid w:val="18E9F692"/>
    <w:rsid w:val="18EC9F74"/>
    <w:rsid w:val="18ED6D93"/>
    <w:rsid w:val="18F1155D"/>
    <w:rsid w:val="190217E1"/>
    <w:rsid w:val="190727D4"/>
    <w:rsid w:val="190A2A78"/>
    <w:rsid w:val="190BAB81"/>
    <w:rsid w:val="190D6DBE"/>
    <w:rsid w:val="1912352E"/>
    <w:rsid w:val="191BCE12"/>
    <w:rsid w:val="19249657"/>
    <w:rsid w:val="192EE80B"/>
    <w:rsid w:val="192FC59E"/>
    <w:rsid w:val="193351CD"/>
    <w:rsid w:val="19394BF8"/>
    <w:rsid w:val="19409561"/>
    <w:rsid w:val="1940C4D0"/>
    <w:rsid w:val="19414D5C"/>
    <w:rsid w:val="1941ABAE"/>
    <w:rsid w:val="1948D5EA"/>
    <w:rsid w:val="1951936A"/>
    <w:rsid w:val="1956E742"/>
    <w:rsid w:val="195B3BD8"/>
    <w:rsid w:val="195C6B5A"/>
    <w:rsid w:val="19633E88"/>
    <w:rsid w:val="19660886"/>
    <w:rsid w:val="196776D2"/>
    <w:rsid w:val="196A6165"/>
    <w:rsid w:val="196E974B"/>
    <w:rsid w:val="1977C5BC"/>
    <w:rsid w:val="19794E91"/>
    <w:rsid w:val="197BEE99"/>
    <w:rsid w:val="197EC2BC"/>
    <w:rsid w:val="19914A87"/>
    <w:rsid w:val="1998A225"/>
    <w:rsid w:val="1999A64C"/>
    <w:rsid w:val="199D80AF"/>
    <w:rsid w:val="19A45D27"/>
    <w:rsid w:val="19A5ED60"/>
    <w:rsid w:val="19AC001D"/>
    <w:rsid w:val="19BA5E14"/>
    <w:rsid w:val="19BBBC5A"/>
    <w:rsid w:val="19BC415B"/>
    <w:rsid w:val="19BCF3B9"/>
    <w:rsid w:val="19C73D9B"/>
    <w:rsid w:val="19CDF895"/>
    <w:rsid w:val="19D14314"/>
    <w:rsid w:val="19D63487"/>
    <w:rsid w:val="19D6475C"/>
    <w:rsid w:val="19D8D7F5"/>
    <w:rsid w:val="19D8DE96"/>
    <w:rsid w:val="19DC60FB"/>
    <w:rsid w:val="19DCD331"/>
    <w:rsid w:val="19DCE93B"/>
    <w:rsid w:val="19E2D44E"/>
    <w:rsid w:val="19E56DD2"/>
    <w:rsid w:val="19E601EE"/>
    <w:rsid w:val="19E7B8DA"/>
    <w:rsid w:val="19F110AE"/>
    <w:rsid w:val="19F92A74"/>
    <w:rsid w:val="19FDF8D6"/>
    <w:rsid w:val="1A07F743"/>
    <w:rsid w:val="1A10A7C5"/>
    <w:rsid w:val="1A164B39"/>
    <w:rsid w:val="1A17BCD6"/>
    <w:rsid w:val="1A1FE7B2"/>
    <w:rsid w:val="1A21A904"/>
    <w:rsid w:val="1A226B60"/>
    <w:rsid w:val="1A2B34D4"/>
    <w:rsid w:val="1A2D47B0"/>
    <w:rsid w:val="1A35BE77"/>
    <w:rsid w:val="1A35DF55"/>
    <w:rsid w:val="1A37BE6B"/>
    <w:rsid w:val="1A39F78C"/>
    <w:rsid w:val="1A46F91C"/>
    <w:rsid w:val="1A4E3970"/>
    <w:rsid w:val="1A520B82"/>
    <w:rsid w:val="1A5582DB"/>
    <w:rsid w:val="1A56953D"/>
    <w:rsid w:val="1A58CAA3"/>
    <w:rsid w:val="1A5D20EE"/>
    <w:rsid w:val="1A5D69E8"/>
    <w:rsid w:val="1A5F1D0B"/>
    <w:rsid w:val="1A5FF932"/>
    <w:rsid w:val="1A63D38B"/>
    <w:rsid w:val="1A65246F"/>
    <w:rsid w:val="1A6D3F0D"/>
    <w:rsid w:val="1A737994"/>
    <w:rsid w:val="1A7504B9"/>
    <w:rsid w:val="1A765526"/>
    <w:rsid w:val="1A77392F"/>
    <w:rsid w:val="1A7A9D37"/>
    <w:rsid w:val="1A7E990F"/>
    <w:rsid w:val="1A7F8936"/>
    <w:rsid w:val="1A7FA4C5"/>
    <w:rsid w:val="1A8096E6"/>
    <w:rsid w:val="1A84F9DC"/>
    <w:rsid w:val="1A86631F"/>
    <w:rsid w:val="1A943BBD"/>
    <w:rsid w:val="1A943E93"/>
    <w:rsid w:val="1A947AD4"/>
    <w:rsid w:val="1A94A1DA"/>
    <w:rsid w:val="1A9CABF6"/>
    <w:rsid w:val="1AA7290C"/>
    <w:rsid w:val="1AA794C3"/>
    <w:rsid w:val="1AB34BF0"/>
    <w:rsid w:val="1ABB2DF9"/>
    <w:rsid w:val="1ABCAE2B"/>
    <w:rsid w:val="1AC0D5A5"/>
    <w:rsid w:val="1ACF70F3"/>
    <w:rsid w:val="1ACFE074"/>
    <w:rsid w:val="1ADE8100"/>
    <w:rsid w:val="1AE4F906"/>
    <w:rsid w:val="1AE7FF1D"/>
    <w:rsid w:val="1AEA4F74"/>
    <w:rsid w:val="1AEC6B08"/>
    <w:rsid w:val="1AF06652"/>
    <w:rsid w:val="1AF078DD"/>
    <w:rsid w:val="1AFB976F"/>
    <w:rsid w:val="1AFF32BF"/>
    <w:rsid w:val="1B05B617"/>
    <w:rsid w:val="1B0691E9"/>
    <w:rsid w:val="1B06B17B"/>
    <w:rsid w:val="1B0A41F1"/>
    <w:rsid w:val="1B0AEC90"/>
    <w:rsid w:val="1B0BA9BE"/>
    <w:rsid w:val="1B0FC0D4"/>
    <w:rsid w:val="1B13E7C9"/>
    <w:rsid w:val="1B16A346"/>
    <w:rsid w:val="1B1BBB71"/>
    <w:rsid w:val="1B1CD88F"/>
    <w:rsid w:val="1B21A142"/>
    <w:rsid w:val="1B2CBEC7"/>
    <w:rsid w:val="1B301D6D"/>
    <w:rsid w:val="1B3137FA"/>
    <w:rsid w:val="1B457C86"/>
    <w:rsid w:val="1B4CEA65"/>
    <w:rsid w:val="1B63BC7B"/>
    <w:rsid w:val="1B6557B9"/>
    <w:rsid w:val="1B685945"/>
    <w:rsid w:val="1B6AA07B"/>
    <w:rsid w:val="1B6E0F64"/>
    <w:rsid w:val="1B76C92A"/>
    <w:rsid w:val="1B7C69EB"/>
    <w:rsid w:val="1B7F5342"/>
    <w:rsid w:val="1B82B732"/>
    <w:rsid w:val="1B8649AE"/>
    <w:rsid w:val="1B871359"/>
    <w:rsid w:val="1B8917FD"/>
    <w:rsid w:val="1B8ACD29"/>
    <w:rsid w:val="1B9402D9"/>
    <w:rsid w:val="1B95DBBF"/>
    <w:rsid w:val="1B973E4A"/>
    <w:rsid w:val="1B98D1A2"/>
    <w:rsid w:val="1B9FCBD2"/>
    <w:rsid w:val="1BA5B902"/>
    <w:rsid w:val="1BA68E9C"/>
    <w:rsid w:val="1BAA1385"/>
    <w:rsid w:val="1BB053E1"/>
    <w:rsid w:val="1BBA1865"/>
    <w:rsid w:val="1BBC1C99"/>
    <w:rsid w:val="1BC08211"/>
    <w:rsid w:val="1BC0D682"/>
    <w:rsid w:val="1BC77383"/>
    <w:rsid w:val="1BCA2842"/>
    <w:rsid w:val="1BCB8D22"/>
    <w:rsid w:val="1BD559E4"/>
    <w:rsid w:val="1BD96EB7"/>
    <w:rsid w:val="1BE4EC5A"/>
    <w:rsid w:val="1BE7E484"/>
    <w:rsid w:val="1BE92147"/>
    <w:rsid w:val="1BF49870"/>
    <w:rsid w:val="1BF4BB2A"/>
    <w:rsid w:val="1BF53C0A"/>
    <w:rsid w:val="1BFB9D84"/>
    <w:rsid w:val="1C00149A"/>
    <w:rsid w:val="1C096BB5"/>
    <w:rsid w:val="1C18E17B"/>
    <w:rsid w:val="1C1A46E0"/>
    <w:rsid w:val="1C233222"/>
    <w:rsid w:val="1C23CEDB"/>
    <w:rsid w:val="1C2F3CBE"/>
    <w:rsid w:val="1C2F5A3E"/>
    <w:rsid w:val="1C2FBA99"/>
    <w:rsid w:val="1C302F30"/>
    <w:rsid w:val="1C32BE46"/>
    <w:rsid w:val="1C3BC07E"/>
    <w:rsid w:val="1C3EBC34"/>
    <w:rsid w:val="1C454FF5"/>
    <w:rsid w:val="1C46B8B4"/>
    <w:rsid w:val="1C4BD3AB"/>
    <w:rsid w:val="1C4E621D"/>
    <w:rsid w:val="1C5262C3"/>
    <w:rsid w:val="1C530513"/>
    <w:rsid w:val="1C5CC202"/>
    <w:rsid w:val="1C5CC8A8"/>
    <w:rsid w:val="1C5E0CD4"/>
    <w:rsid w:val="1C63E30B"/>
    <w:rsid w:val="1C73844E"/>
    <w:rsid w:val="1C747BA5"/>
    <w:rsid w:val="1C7BCF28"/>
    <w:rsid w:val="1C7D713E"/>
    <w:rsid w:val="1C7DB3FC"/>
    <w:rsid w:val="1C7E3810"/>
    <w:rsid w:val="1C83038E"/>
    <w:rsid w:val="1C87A508"/>
    <w:rsid w:val="1C87B722"/>
    <w:rsid w:val="1C912338"/>
    <w:rsid w:val="1C92D008"/>
    <w:rsid w:val="1C9973A9"/>
    <w:rsid w:val="1C99F7D8"/>
    <w:rsid w:val="1CA3B017"/>
    <w:rsid w:val="1CA9F2DD"/>
    <w:rsid w:val="1CB1BAC0"/>
    <w:rsid w:val="1CB23AAE"/>
    <w:rsid w:val="1CB33481"/>
    <w:rsid w:val="1CB532B6"/>
    <w:rsid w:val="1CC0E69C"/>
    <w:rsid w:val="1CCBFB0D"/>
    <w:rsid w:val="1CD3D4A4"/>
    <w:rsid w:val="1CD74C4C"/>
    <w:rsid w:val="1CD82E17"/>
    <w:rsid w:val="1CD85936"/>
    <w:rsid w:val="1CDBB4FF"/>
    <w:rsid w:val="1CDD9480"/>
    <w:rsid w:val="1CDDC65B"/>
    <w:rsid w:val="1CDEDAB7"/>
    <w:rsid w:val="1CEA65B7"/>
    <w:rsid w:val="1CF40DB3"/>
    <w:rsid w:val="1CF64A2E"/>
    <w:rsid w:val="1CF82F35"/>
    <w:rsid w:val="1CF8FE2D"/>
    <w:rsid w:val="1D02A52C"/>
    <w:rsid w:val="1D086C26"/>
    <w:rsid w:val="1D0BDA90"/>
    <w:rsid w:val="1D0E68FE"/>
    <w:rsid w:val="1D0EE4F2"/>
    <w:rsid w:val="1D107545"/>
    <w:rsid w:val="1D175DB5"/>
    <w:rsid w:val="1D17F260"/>
    <w:rsid w:val="1D2D89E5"/>
    <w:rsid w:val="1D2EA5A7"/>
    <w:rsid w:val="1D370936"/>
    <w:rsid w:val="1D397D99"/>
    <w:rsid w:val="1D3ACEF7"/>
    <w:rsid w:val="1D40901C"/>
    <w:rsid w:val="1D4D5312"/>
    <w:rsid w:val="1D4EA655"/>
    <w:rsid w:val="1D57EFFC"/>
    <w:rsid w:val="1D627C37"/>
    <w:rsid w:val="1D689EBE"/>
    <w:rsid w:val="1D7F4FF6"/>
    <w:rsid w:val="1D849C9F"/>
    <w:rsid w:val="1D8A5163"/>
    <w:rsid w:val="1D8A7EFF"/>
    <w:rsid w:val="1D8BF939"/>
    <w:rsid w:val="1D94D2AA"/>
    <w:rsid w:val="1D9A4593"/>
    <w:rsid w:val="1D9C1DC3"/>
    <w:rsid w:val="1DA6E945"/>
    <w:rsid w:val="1DA94900"/>
    <w:rsid w:val="1DAA4614"/>
    <w:rsid w:val="1DAD1275"/>
    <w:rsid w:val="1DAD4843"/>
    <w:rsid w:val="1DB2378B"/>
    <w:rsid w:val="1DBB654A"/>
    <w:rsid w:val="1DBCFD05"/>
    <w:rsid w:val="1DBE963B"/>
    <w:rsid w:val="1DC64E3F"/>
    <w:rsid w:val="1DC7A005"/>
    <w:rsid w:val="1DC93CE3"/>
    <w:rsid w:val="1DCAB0D6"/>
    <w:rsid w:val="1DCD416D"/>
    <w:rsid w:val="1DD218CD"/>
    <w:rsid w:val="1DD7D503"/>
    <w:rsid w:val="1DDBEFD0"/>
    <w:rsid w:val="1DDC8765"/>
    <w:rsid w:val="1DDF4833"/>
    <w:rsid w:val="1DE24605"/>
    <w:rsid w:val="1DEE2699"/>
    <w:rsid w:val="1DEF3D1F"/>
    <w:rsid w:val="1DEFEFB7"/>
    <w:rsid w:val="1DF50CFC"/>
    <w:rsid w:val="1DF674E5"/>
    <w:rsid w:val="1DFA2478"/>
    <w:rsid w:val="1DFC037A"/>
    <w:rsid w:val="1DFDDA8B"/>
    <w:rsid w:val="1DFFE7C6"/>
    <w:rsid w:val="1E01FF34"/>
    <w:rsid w:val="1E03D365"/>
    <w:rsid w:val="1E076ECB"/>
    <w:rsid w:val="1E0ABE9E"/>
    <w:rsid w:val="1E0B8BCD"/>
    <w:rsid w:val="1E0DC837"/>
    <w:rsid w:val="1E14F74D"/>
    <w:rsid w:val="1E160D7D"/>
    <w:rsid w:val="1E16CC95"/>
    <w:rsid w:val="1E18CFB3"/>
    <w:rsid w:val="1E1A3F73"/>
    <w:rsid w:val="1E2DCC7E"/>
    <w:rsid w:val="1E3E3422"/>
    <w:rsid w:val="1E3F1E06"/>
    <w:rsid w:val="1E4115B8"/>
    <w:rsid w:val="1E449AE3"/>
    <w:rsid w:val="1E4E06F0"/>
    <w:rsid w:val="1E599288"/>
    <w:rsid w:val="1E5BAD74"/>
    <w:rsid w:val="1E5BDE42"/>
    <w:rsid w:val="1E6AE28C"/>
    <w:rsid w:val="1E6BDC55"/>
    <w:rsid w:val="1E720598"/>
    <w:rsid w:val="1E759555"/>
    <w:rsid w:val="1E7BD267"/>
    <w:rsid w:val="1E85EE2B"/>
    <w:rsid w:val="1E912BB6"/>
    <w:rsid w:val="1E916348"/>
    <w:rsid w:val="1EAD18B5"/>
    <w:rsid w:val="1EB3578F"/>
    <w:rsid w:val="1EB744A0"/>
    <w:rsid w:val="1EBBBF43"/>
    <w:rsid w:val="1EBEF249"/>
    <w:rsid w:val="1EC35AEB"/>
    <w:rsid w:val="1EC61FB8"/>
    <w:rsid w:val="1EC81BE5"/>
    <w:rsid w:val="1ECBAFB3"/>
    <w:rsid w:val="1ECBF1F8"/>
    <w:rsid w:val="1ECEAC9B"/>
    <w:rsid w:val="1EDA3913"/>
    <w:rsid w:val="1EE247F2"/>
    <w:rsid w:val="1EE3F493"/>
    <w:rsid w:val="1EED6458"/>
    <w:rsid w:val="1EF30692"/>
    <w:rsid w:val="1EFF5A82"/>
    <w:rsid w:val="1F02FBD0"/>
    <w:rsid w:val="1F08B3E4"/>
    <w:rsid w:val="1F0A11A6"/>
    <w:rsid w:val="1F0B1E99"/>
    <w:rsid w:val="1F0D40F0"/>
    <w:rsid w:val="1F127EA9"/>
    <w:rsid w:val="1F14B57D"/>
    <w:rsid w:val="1F15CF90"/>
    <w:rsid w:val="1F1A0D1A"/>
    <w:rsid w:val="1F259B31"/>
    <w:rsid w:val="1F25C6DD"/>
    <w:rsid w:val="1F3EBE7C"/>
    <w:rsid w:val="1F44C9A4"/>
    <w:rsid w:val="1F45840F"/>
    <w:rsid w:val="1F45C462"/>
    <w:rsid w:val="1F475B47"/>
    <w:rsid w:val="1F570C59"/>
    <w:rsid w:val="1F59DAFA"/>
    <w:rsid w:val="1F6067AB"/>
    <w:rsid w:val="1F61BB73"/>
    <w:rsid w:val="1F63592A"/>
    <w:rsid w:val="1F747171"/>
    <w:rsid w:val="1F76F22E"/>
    <w:rsid w:val="1F786484"/>
    <w:rsid w:val="1F7C8233"/>
    <w:rsid w:val="1F7E21A0"/>
    <w:rsid w:val="1F81DE0F"/>
    <w:rsid w:val="1F8770FB"/>
    <w:rsid w:val="1F87D4FD"/>
    <w:rsid w:val="1F88A8CF"/>
    <w:rsid w:val="1F89B33D"/>
    <w:rsid w:val="1F90E653"/>
    <w:rsid w:val="1F92AFBD"/>
    <w:rsid w:val="1F9A6B9A"/>
    <w:rsid w:val="1F9B54B8"/>
    <w:rsid w:val="1F9BCEB8"/>
    <w:rsid w:val="1FA28125"/>
    <w:rsid w:val="1FABB2CB"/>
    <w:rsid w:val="1FB68FB4"/>
    <w:rsid w:val="1FB972A5"/>
    <w:rsid w:val="1FBA1416"/>
    <w:rsid w:val="1FBEA084"/>
    <w:rsid w:val="1FC0C9C7"/>
    <w:rsid w:val="1FC7146E"/>
    <w:rsid w:val="1FC90AB5"/>
    <w:rsid w:val="1FCC7F4C"/>
    <w:rsid w:val="1FD28614"/>
    <w:rsid w:val="1FD5798C"/>
    <w:rsid w:val="1FDA6821"/>
    <w:rsid w:val="1FDFA3B9"/>
    <w:rsid w:val="1FE1F574"/>
    <w:rsid w:val="1FE7BA36"/>
    <w:rsid w:val="1FECE8A6"/>
    <w:rsid w:val="1FED6A68"/>
    <w:rsid w:val="1FEFAC4A"/>
    <w:rsid w:val="1FFDA9D4"/>
    <w:rsid w:val="1FFE8D4D"/>
    <w:rsid w:val="200D01E5"/>
    <w:rsid w:val="200EE3BD"/>
    <w:rsid w:val="2019B7AA"/>
    <w:rsid w:val="201D47EF"/>
    <w:rsid w:val="201E4E72"/>
    <w:rsid w:val="202742D7"/>
    <w:rsid w:val="20316208"/>
    <w:rsid w:val="2035F2C8"/>
    <w:rsid w:val="2045EE47"/>
    <w:rsid w:val="204D3958"/>
    <w:rsid w:val="205238D9"/>
    <w:rsid w:val="2052A7EB"/>
    <w:rsid w:val="2053B0AA"/>
    <w:rsid w:val="205F4A6B"/>
    <w:rsid w:val="206047A2"/>
    <w:rsid w:val="206223D6"/>
    <w:rsid w:val="20681654"/>
    <w:rsid w:val="207018EF"/>
    <w:rsid w:val="2076F3E1"/>
    <w:rsid w:val="207BED7E"/>
    <w:rsid w:val="20878876"/>
    <w:rsid w:val="2092721D"/>
    <w:rsid w:val="20939E9D"/>
    <w:rsid w:val="20998124"/>
    <w:rsid w:val="20AEFB18"/>
    <w:rsid w:val="20BC336E"/>
    <w:rsid w:val="20BDAE7E"/>
    <w:rsid w:val="20C402C5"/>
    <w:rsid w:val="20C6E67F"/>
    <w:rsid w:val="20C7E2C8"/>
    <w:rsid w:val="20CAA5DF"/>
    <w:rsid w:val="20D095B8"/>
    <w:rsid w:val="20D199D2"/>
    <w:rsid w:val="20E1C429"/>
    <w:rsid w:val="20E791F4"/>
    <w:rsid w:val="20E965BC"/>
    <w:rsid w:val="20EA0F16"/>
    <w:rsid w:val="20F3AE3F"/>
    <w:rsid w:val="20F47AE3"/>
    <w:rsid w:val="20FB483F"/>
    <w:rsid w:val="20FEC6D0"/>
    <w:rsid w:val="2113F506"/>
    <w:rsid w:val="2117B38F"/>
    <w:rsid w:val="21217A76"/>
    <w:rsid w:val="212968B2"/>
    <w:rsid w:val="212FCBA0"/>
    <w:rsid w:val="21328EF9"/>
    <w:rsid w:val="213E9E22"/>
    <w:rsid w:val="214EEFE1"/>
    <w:rsid w:val="21590B35"/>
    <w:rsid w:val="2169C013"/>
    <w:rsid w:val="216B2AB4"/>
    <w:rsid w:val="216E12B7"/>
    <w:rsid w:val="217743AC"/>
    <w:rsid w:val="217AC093"/>
    <w:rsid w:val="2181D699"/>
    <w:rsid w:val="2182B2D6"/>
    <w:rsid w:val="2187B30A"/>
    <w:rsid w:val="218EC7B2"/>
    <w:rsid w:val="2190E232"/>
    <w:rsid w:val="219198E1"/>
    <w:rsid w:val="2193AD6E"/>
    <w:rsid w:val="2198CF3F"/>
    <w:rsid w:val="219BC8FD"/>
    <w:rsid w:val="219C32D5"/>
    <w:rsid w:val="21A04B1B"/>
    <w:rsid w:val="21AAAAE0"/>
    <w:rsid w:val="21AF49B6"/>
    <w:rsid w:val="21B0F447"/>
    <w:rsid w:val="21B3B70F"/>
    <w:rsid w:val="21B685CA"/>
    <w:rsid w:val="21B6AC8B"/>
    <w:rsid w:val="21B8D489"/>
    <w:rsid w:val="21BC3417"/>
    <w:rsid w:val="21BD1BF3"/>
    <w:rsid w:val="21BF7D8D"/>
    <w:rsid w:val="21C46895"/>
    <w:rsid w:val="21C869E9"/>
    <w:rsid w:val="21E11868"/>
    <w:rsid w:val="21E18042"/>
    <w:rsid w:val="21E2BDD5"/>
    <w:rsid w:val="21E4DE64"/>
    <w:rsid w:val="21E66B6F"/>
    <w:rsid w:val="21E9DBDC"/>
    <w:rsid w:val="21F0739B"/>
    <w:rsid w:val="21F142A6"/>
    <w:rsid w:val="21F41A81"/>
    <w:rsid w:val="21FC5B74"/>
    <w:rsid w:val="21FD6AB0"/>
    <w:rsid w:val="21FD8A0A"/>
    <w:rsid w:val="21FD9710"/>
    <w:rsid w:val="21FEE912"/>
    <w:rsid w:val="2201E95A"/>
    <w:rsid w:val="2213EEE3"/>
    <w:rsid w:val="2214BE9B"/>
    <w:rsid w:val="22157135"/>
    <w:rsid w:val="2217A6DF"/>
    <w:rsid w:val="2219BDA7"/>
    <w:rsid w:val="221BB973"/>
    <w:rsid w:val="2223B157"/>
    <w:rsid w:val="2223FABC"/>
    <w:rsid w:val="2224D215"/>
    <w:rsid w:val="22279ABC"/>
    <w:rsid w:val="22282B38"/>
    <w:rsid w:val="22292210"/>
    <w:rsid w:val="222CEBFE"/>
    <w:rsid w:val="222F5232"/>
    <w:rsid w:val="223093C2"/>
    <w:rsid w:val="224A8594"/>
    <w:rsid w:val="224FA1BC"/>
    <w:rsid w:val="225FC32E"/>
    <w:rsid w:val="2260045B"/>
    <w:rsid w:val="2265593F"/>
    <w:rsid w:val="22697218"/>
    <w:rsid w:val="226AC75A"/>
    <w:rsid w:val="227BB6AE"/>
    <w:rsid w:val="2285CDD8"/>
    <w:rsid w:val="228DC084"/>
    <w:rsid w:val="2292EFED"/>
    <w:rsid w:val="22949B59"/>
    <w:rsid w:val="2299E947"/>
    <w:rsid w:val="229F349D"/>
    <w:rsid w:val="229F6685"/>
    <w:rsid w:val="22B250D6"/>
    <w:rsid w:val="22B6C98B"/>
    <w:rsid w:val="22BC9908"/>
    <w:rsid w:val="22C04BA0"/>
    <w:rsid w:val="22C76873"/>
    <w:rsid w:val="22CED2F0"/>
    <w:rsid w:val="22CEEBDD"/>
    <w:rsid w:val="22D266BD"/>
    <w:rsid w:val="22D55090"/>
    <w:rsid w:val="22DFA781"/>
    <w:rsid w:val="22E112DF"/>
    <w:rsid w:val="22EC7698"/>
    <w:rsid w:val="22EFF088"/>
    <w:rsid w:val="22F31613"/>
    <w:rsid w:val="22F5BAA2"/>
    <w:rsid w:val="22F6CD35"/>
    <w:rsid w:val="22F84FC9"/>
    <w:rsid w:val="22F86703"/>
    <w:rsid w:val="22FAF9D9"/>
    <w:rsid w:val="22FEB74E"/>
    <w:rsid w:val="230766F3"/>
    <w:rsid w:val="2309D471"/>
    <w:rsid w:val="231F6FBD"/>
    <w:rsid w:val="2324ED73"/>
    <w:rsid w:val="2327926B"/>
    <w:rsid w:val="2329736D"/>
    <w:rsid w:val="23297FBF"/>
    <w:rsid w:val="232C79F1"/>
    <w:rsid w:val="2348A934"/>
    <w:rsid w:val="234AA8E2"/>
    <w:rsid w:val="23525FA2"/>
    <w:rsid w:val="235315FB"/>
    <w:rsid w:val="2357FB69"/>
    <w:rsid w:val="235F1B1E"/>
    <w:rsid w:val="235F518E"/>
    <w:rsid w:val="23610134"/>
    <w:rsid w:val="2362C660"/>
    <w:rsid w:val="2362E624"/>
    <w:rsid w:val="23644A1A"/>
    <w:rsid w:val="23667D36"/>
    <w:rsid w:val="237575C5"/>
    <w:rsid w:val="237CA287"/>
    <w:rsid w:val="238A6E38"/>
    <w:rsid w:val="238E3E96"/>
    <w:rsid w:val="238F93B9"/>
    <w:rsid w:val="238FCBA5"/>
    <w:rsid w:val="2392E084"/>
    <w:rsid w:val="23937A02"/>
    <w:rsid w:val="239458B9"/>
    <w:rsid w:val="239AF687"/>
    <w:rsid w:val="23A0138B"/>
    <w:rsid w:val="23AF4E45"/>
    <w:rsid w:val="23B485A2"/>
    <w:rsid w:val="23B4DFE3"/>
    <w:rsid w:val="23B5E96D"/>
    <w:rsid w:val="23B71D69"/>
    <w:rsid w:val="23BC832A"/>
    <w:rsid w:val="23BC9DC4"/>
    <w:rsid w:val="23C1A2AE"/>
    <w:rsid w:val="23C60EC6"/>
    <w:rsid w:val="23C9FA35"/>
    <w:rsid w:val="23D0E520"/>
    <w:rsid w:val="23DCEB91"/>
    <w:rsid w:val="23E67A83"/>
    <w:rsid w:val="23E789E6"/>
    <w:rsid w:val="23E7C83E"/>
    <w:rsid w:val="23E9B700"/>
    <w:rsid w:val="23F1EDEF"/>
    <w:rsid w:val="23F5A609"/>
    <w:rsid w:val="24009064"/>
    <w:rsid w:val="24101493"/>
    <w:rsid w:val="24126B2F"/>
    <w:rsid w:val="24196070"/>
    <w:rsid w:val="241ABFA7"/>
    <w:rsid w:val="242022AF"/>
    <w:rsid w:val="24265239"/>
    <w:rsid w:val="24272A81"/>
    <w:rsid w:val="2427ED08"/>
    <w:rsid w:val="242D52BE"/>
    <w:rsid w:val="242D621A"/>
    <w:rsid w:val="2436C3B9"/>
    <w:rsid w:val="2438DFD1"/>
    <w:rsid w:val="243955F6"/>
    <w:rsid w:val="243C5934"/>
    <w:rsid w:val="24460CE7"/>
    <w:rsid w:val="244F11B4"/>
    <w:rsid w:val="245DDE4A"/>
    <w:rsid w:val="245EE771"/>
    <w:rsid w:val="24612936"/>
    <w:rsid w:val="246D4354"/>
    <w:rsid w:val="246FBCE6"/>
    <w:rsid w:val="24796915"/>
    <w:rsid w:val="247E7C97"/>
    <w:rsid w:val="24816F57"/>
    <w:rsid w:val="2485F592"/>
    <w:rsid w:val="24866296"/>
    <w:rsid w:val="2486D5BE"/>
    <w:rsid w:val="24878EDD"/>
    <w:rsid w:val="2487BCD7"/>
    <w:rsid w:val="2487F6E1"/>
    <w:rsid w:val="248AC5A0"/>
    <w:rsid w:val="248BF2B8"/>
    <w:rsid w:val="248FCDDE"/>
    <w:rsid w:val="2492F15A"/>
    <w:rsid w:val="24951C3A"/>
    <w:rsid w:val="24998E40"/>
    <w:rsid w:val="249A3440"/>
    <w:rsid w:val="249EC01A"/>
    <w:rsid w:val="249EFDFE"/>
    <w:rsid w:val="24A02A9B"/>
    <w:rsid w:val="24A6B960"/>
    <w:rsid w:val="24AFA2F9"/>
    <w:rsid w:val="24B553F1"/>
    <w:rsid w:val="24B66381"/>
    <w:rsid w:val="24B8AC99"/>
    <w:rsid w:val="24B8C1CD"/>
    <w:rsid w:val="24B92DB6"/>
    <w:rsid w:val="24C59305"/>
    <w:rsid w:val="24CFDF21"/>
    <w:rsid w:val="24D005F2"/>
    <w:rsid w:val="24D244F4"/>
    <w:rsid w:val="24D28E8D"/>
    <w:rsid w:val="24DF5795"/>
    <w:rsid w:val="24E22C32"/>
    <w:rsid w:val="24E320F8"/>
    <w:rsid w:val="24E6B9F6"/>
    <w:rsid w:val="24E8ABC1"/>
    <w:rsid w:val="24E97010"/>
    <w:rsid w:val="25049457"/>
    <w:rsid w:val="25055F7B"/>
    <w:rsid w:val="250785D3"/>
    <w:rsid w:val="2515A277"/>
    <w:rsid w:val="2517185C"/>
    <w:rsid w:val="251D08FC"/>
    <w:rsid w:val="2521EF99"/>
    <w:rsid w:val="2527D1AF"/>
    <w:rsid w:val="252A2241"/>
    <w:rsid w:val="2537E8B6"/>
    <w:rsid w:val="25380431"/>
    <w:rsid w:val="2538083F"/>
    <w:rsid w:val="253B1C9A"/>
    <w:rsid w:val="2546BD1D"/>
    <w:rsid w:val="254CB03C"/>
    <w:rsid w:val="2556475F"/>
    <w:rsid w:val="2556BC41"/>
    <w:rsid w:val="255BFD4D"/>
    <w:rsid w:val="255F750D"/>
    <w:rsid w:val="25605675"/>
    <w:rsid w:val="2563696B"/>
    <w:rsid w:val="256E3D8F"/>
    <w:rsid w:val="256F2935"/>
    <w:rsid w:val="2571EB80"/>
    <w:rsid w:val="257DF9A0"/>
    <w:rsid w:val="257FF705"/>
    <w:rsid w:val="258CA972"/>
    <w:rsid w:val="2590A00B"/>
    <w:rsid w:val="259DD595"/>
    <w:rsid w:val="25A4A511"/>
    <w:rsid w:val="25A8A6E3"/>
    <w:rsid w:val="25A9D4CF"/>
    <w:rsid w:val="25B9C42E"/>
    <w:rsid w:val="25C798B6"/>
    <w:rsid w:val="25CB9CBC"/>
    <w:rsid w:val="25CE0806"/>
    <w:rsid w:val="25D86400"/>
    <w:rsid w:val="25D9ED3A"/>
    <w:rsid w:val="25DDC576"/>
    <w:rsid w:val="25ECAC04"/>
    <w:rsid w:val="25FB3C26"/>
    <w:rsid w:val="260489B6"/>
    <w:rsid w:val="2604AEAE"/>
    <w:rsid w:val="26074BBE"/>
    <w:rsid w:val="26084E42"/>
    <w:rsid w:val="2608B0AF"/>
    <w:rsid w:val="2609906A"/>
    <w:rsid w:val="26108214"/>
    <w:rsid w:val="26131D30"/>
    <w:rsid w:val="2614B352"/>
    <w:rsid w:val="261788C7"/>
    <w:rsid w:val="261E91DA"/>
    <w:rsid w:val="261FCD3B"/>
    <w:rsid w:val="262105AA"/>
    <w:rsid w:val="262D6405"/>
    <w:rsid w:val="262E25EC"/>
    <w:rsid w:val="26306A2B"/>
    <w:rsid w:val="263DCF1E"/>
    <w:rsid w:val="26476B25"/>
    <w:rsid w:val="265999E3"/>
    <w:rsid w:val="2666766E"/>
    <w:rsid w:val="2666B56A"/>
    <w:rsid w:val="266943E4"/>
    <w:rsid w:val="266A3EFE"/>
    <w:rsid w:val="266B8728"/>
    <w:rsid w:val="267EEB2D"/>
    <w:rsid w:val="26838F83"/>
    <w:rsid w:val="2684200A"/>
    <w:rsid w:val="26861B48"/>
    <w:rsid w:val="26863747"/>
    <w:rsid w:val="2686BA98"/>
    <w:rsid w:val="26892461"/>
    <w:rsid w:val="268ED984"/>
    <w:rsid w:val="26973C75"/>
    <w:rsid w:val="26977283"/>
    <w:rsid w:val="269C2D59"/>
    <w:rsid w:val="26A24312"/>
    <w:rsid w:val="26A48084"/>
    <w:rsid w:val="26B5903A"/>
    <w:rsid w:val="26B631B6"/>
    <w:rsid w:val="26C0CB79"/>
    <w:rsid w:val="26C1B80C"/>
    <w:rsid w:val="26C23655"/>
    <w:rsid w:val="26C89E5B"/>
    <w:rsid w:val="26C973C5"/>
    <w:rsid w:val="26CB036A"/>
    <w:rsid w:val="26CC18BC"/>
    <w:rsid w:val="26CDB7F3"/>
    <w:rsid w:val="26D44BDC"/>
    <w:rsid w:val="26D690E0"/>
    <w:rsid w:val="26D8E125"/>
    <w:rsid w:val="26D96870"/>
    <w:rsid w:val="26EABE9D"/>
    <w:rsid w:val="26EF8CFF"/>
    <w:rsid w:val="26F1FA50"/>
    <w:rsid w:val="26F792F7"/>
    <w:rsid w:val="26F910F6"/>
    <w:rsid w:val="26FBA540"/>
    <w:rsid w:val="26FD7201"/>
    <w:rsid w:val="2702C373"/>
    <w:rsid w:val="27084472"/>
    <w:rsid w:val="270D9777"/>
    <w:rsid w:val="2712A8B6"/>
    <w:rsid w:val="2716D893"/>
    <w:rsid w:val="272351D2"/>
    <w:rsid w:val="27290617"/>
    <w:rsid w:val="273832F8"/>
    <w:rsid w:val="273B8CE4"/>
    <w:rsid w:val="27436663"/>
    <w:rsid w:val="2749D992"/>
    <w:rsid w:val="274B63B5"/>
    <w:rsid w:val="274D08DE"/>
    <w:rsid w:val="275C5D89"/>
    <w:rsid w:val="27634EB9"/>
    <w:rsid w:val="2763F1CE"/>
    <w:rsid w:val="2767E057"/>
    <w:rsid w:val="2776E092"/>
    <w:rsid w:val="277BF9E6"/>
    <w:rsid w:val="277D79BB"/>
    <w:rsid w:val="27801044"/>
    <w:rsid w:val="27803E9E"/>
    <w:rsid w:val="2783027F"/>
    <w:rsid w:val="27868484"/>
    <w:rsid w:val="2786B7F7"/>
    <w:rsid w:val="27880506"/>
    <w:rsid w:val="27887CC6"/>
    <w:rsid w:val="27986414"/>
    <w:rsid w:val="279BB5F7"/>
    <w:rsid w:val="279BCB5F"/>
    <w:rsid w:val="27AF330C"/>
    <w:rsid w:val="27B9A90A"/>
    <w:rsid w:val="27C0A5BF"/>
    <w:rsid w:val="27C0DD86"/>
    <w:rsid w:val="27CEFB31"/>
    <w:rsid w:val="27D55EF9"/>
    <w:rsid w:val="27D93D2A"/>
    <w:rsid w:val="27DC66D5"/>
    <w:rsid w:val="27E0A42D"/>
    <w:rsid w:val="27E12717"/>
    <w:rsid w:val="27E266CF"/>
    <w:rsid w:val="27E7DE71"/>
    <w:rsid w:val="27F146B1"/>
    <w:rsid w:val="27FA93C2"/>
    <w:rsid w:val="27FEE001"/>
    <w:rsid w:val="2803A6D0"/>
    <w:rsid w:val="280968A4"/>
    <w:rsid w:val="280AD6CD"/>
    <w:rsid w:val="280BB7F4"/>
    <w:rsid w:val="2810042C"/>
    <w:rsid w:val="28185EDC"/>
    <w:rsid w:val="281B66BD"/>
    <w:rsid w:val="28270BF5"/>
    <w:rsid w:val="2829F7AE"/>
    <w:rsid w:val="282D8E1B"/>
    <w:rsid w:val="283752FE"/>
    <w:rsid w:val="283C7569"/>
    <w:rsid w:val="284553B8"/>
    <w:rsid w:val="28470A6C"/>
    <w:rsid w:val="284A693D"/>
    <w:rsid w:val="284D227F"/>
    <w:rsid w:val="285220DA"/>
    <w:rsid w:val="28542EA8"/>
    <w:rsid w:val="2857BE02"/>
    <w:rsid w:val="28584598"/>
    <w:rsid w:val="28595128"/>
    <w:rsid w:val="286B21C3"/>
    <w:rsid w:val="286E00A2"/>
    <w:rsid w:val="28705D77"/>
    <w:rsid w:val="28721A8C"/>
    <w:rsid w:val="2872B014"/>
    <w:rsid w:val="2874370F"/>
    <w:rsid w:val="28746423"/>
    <w:rsid w:val="2883121E"/>
    <w:rsid w:val="28851DB6"/>
    <w:rsid w:val="288FEEFE"/>
    <w:rsid w:val="28953E4B"/>
    <w:rsid w:val="2898854A"/>
    <w:rsid w:val="289B7E58"/>
    <w:rsid w:val="289F45D9"/>
    <w:rsid w:val="28A4A434"/>
    <w:rsid w:val="28A73226"/>
    <w:rsid w:val="28AB822A"/>
    <w:rsid w:val="28B6DA8B"/>
    <w:rsid w:val="28BE3623"/>
    <w:rsid w:val="28C71A05"/>
    <w:rsid w:val="28CD0800"/>
    <w:rsid w:val="28D2E5C2"/>
    <w:rsid w:val="28D472BC"/>
    <w:rsid w:val="28D49214"/>
    <w:rsid w:val="28D4FEA8"/>
    <w:rsid w:val="28E14D66"/>
    <w:rsid w:val="28E632CA"/>
    <w:rsid w:val="28E67AF9"/>
    <w:rsid w:val="28F2B002"/>
    <w:rsid w:val="2909E979"/>
    <w:rsid w:val="29102E98"/>
    <w:rsid w:val="291C7A7A"/>
    <w:rsid w:val="291E1E9D"/>
    <w:rsid w:val="292A684E"/>
    <w:rsid w:val="292B1C98"/>
    <w:rsid w:val="29300E19"/>
    <w:rsid w:val="29309197"/>
    <w:rsid w:val="29333ABB"/>
    <w:rsid w:val="2935F8DE"/>
    <w:rsid w:val="2939152B"/>
    <w:rsid w:val="29446E73"/>
    <w:rsid w:val="2944E26C"/>
    <w:rsid w:val="294FD08F"/>
    <w:rsid w:val="29538BFC"/>
    <w:rsid w:val="2954AEAC"/>
    <w:rsid w:val="2961D9AF"/>
    <w:rsid w:val="296CF4D1"/>
    <w:rsid w:val="2976BDAB"/>
    <w:rsid w:val="297B18F7"/>
    <w:rsid w:val="2980081D"/>
    <w:rsid w:val="298B68A1"/>
    <w:rsid w:val="2991903A"/>
    <w:rsid w:val="299986A7"/>
    <w:rsid w:val="299C099E"/>
    <w:rsid w:val="29A86D9C"/>
    <w:rsid w:val="29AF8074"/>
    <w:rsid w:val="29AF828B"/>
    <w:rsid w:val="29B21A4C"/>
    <w:rsid w:val="29B29B60"/>
    <w:rsid w:val="29B385CE"/>
    <w:rsid w:val="29B39973"/>
    <w:rsid w:val="29C0AB62"/>
    <w:rsid w:val="29C348AD"/>
    <w:rsid w:val="29C46C7D"/>
    <w:rsid w:val="29CD0E5F"/>
    <w:rsid w:val="29CD2484"/>
    <w:rsid w:val="29D6B63F"/>
    <w:rsid w:val="29DB5B6A"/>
    <w:rsid w:val="29DBC7BC"/>
    <w:rsid w:val="29DC1CEF"/>
    <w:rsid w:val="29E1DEB0"/>
    <w:rsid w:val="29E6BE02"/>
    <w:rsid w:val="29E95EA6"/>
    <w:rsid w:val="29F5D2ED"/>
    <w:rsid w:val="29FB1A98"/>
    <w:rsid w:val="29FEF97B"/>
    <w:rsid w:val="2A002C7B"/>
    <w:rsid w:val="2A021D76"/>
    <w:rsid w:val="2A0456FD"/>
    <w:rsid w:val="2A079ABD"/>
    <w:rsid w:val="2A08F0D8"/>
    <w:rsid w:val="2A0FC942"/>
    <w:rsid w:val="2A1068C8"/>
    <w:rsid w:val="2A17130D"/>
    <w:rsid w:val="2A24D7E9"/>
    <w:rsid w:val="2A2A8034"/>
    <w:rsid w:val="2A334918"/>
    <w:rsid w:val="2A35DC19"/>
    <w:rsid w:val="2A3F791F"/>
    <w:rsid w:val="2A4120D1"/>
    <w:rsid w:val="2A4B19D5"/>
    <w:rsid w:val="2A4CA639"/>
    <w:rsid w:val="2A4E7D65"/>
    <w:rsid w:val="2A531E53"/>
    <w:rsid w:val="2A5324D6"/>
    <w:rsid w:val="2A574E28"/>
    <w:rsid w:val="2A5AC891"/>
    <w:rsid w:val="2A660883"/>
    <w:rsid w:val="2A6BFDE1"/>
    <w:rsid w:val="2A7C572E"/>
    <w:rsid w:val="2A7D6246"/>
    <w:rsid w:val="2A7E0F2B"/>
    <w:rsid w:val="2A7FE5CA"/>
    <w:rsid w:val="2A810F48"/>
    <w:rsid w:val="2A82ACDF"/>
    <w:rsid w:val="2A8423AD"/>
    <w:rsid w:val="2A8991CE"/>
    <w:rsid w:val="2A9B6594"/>
    <w:rsid w:val="2AA49D47"/>
    <w:rsid w:val="2AA6C49D"/>
    <w:rsid w:val="2AA8501D"/>
    <w:rsid w:val="2AB141D8"/>
    <w:rsid w:val="2AB30E0A"/>
    <w:rsid w:val="2AB63156"/>
    <w:rsid w:val="2AB86A73"/>
    <w:rsid w:val="2ABB9775"/>
    <w:rsid w:val="2ABDB3E6"/>
    <w:rsid w:val="2AC654CB"/>
    <w:rsid w:val="2AC716EF"/>
    <w:rsid w:val="2AD5EC5D"/>
    <w:rsid w:val="2AD9FC15"/>
    <w:rsid w:val="2ADEF523"/>
    <w:rsid w:val="2AE75DC5"/>
    <w:rsid w:val="2AE9DCB6"/>
    <w:rsid w:val="2AEE5A0C"/>
    <w:rsid w:val="2AF1F555"/>
    <w:rsid w:val="2AF3AB70"/>
    <w:rsid w:val="2B013F92"/>
    <w:rsid w:val="2B0C5AE5"/>
    <w:rsid w:val="2B12BB28"/>
    <w:rsid w:val="2B1E0517"/>
    <w:rsid w:val="2B1E3378"/>
    <w:rsid w:val="2B32F5DD"/>
    <w:rsid w:val="2B340B6C"/>
    <w:rsid w:val="2B3CA12B"/>
    <w:rsid w:val="2B4D690A"/>
    <w:rsid w:val="2B50E739"/>
    <w:rsid w:val="2B58B61F"/>
    <w:rsid w:val="2B5B8F94"/>
    <w:rsid w:val="2B5C76F6"/>
    <w:rsid w:val="2B60547E"/>
    <w:rsid w:val="2B60CCB1"/>
    <w:rsid w:val="2B60D681"/>
    <w:rsid w:val="2B63D975"/>
    <w:rsid w:val="2B64AF7E"/>
    <w:rsid w:val="2B659F13"/>
    <w:rsid w:val="2B65E8B4"/>
    <w:rsid w:val="2B69E6B1"/>
    <w:rsid w:val="2B6F67F2"/>
    <w:rsid w:val="2B6FBDC0"/>
    <w:rsid w:val="2B74984B"/>
    <w:rsid w:val="2B76B001"/>
    <w:rsid w:val="2B7D7AAA"/>
    <w:rsid w:val="2B7D97F4"/>
    <w:rsid w:val="2B848002"/>
    <w:rsid w:val="2B84EAEA"/>
    <w:rsid w:val="2B934CDB"/>
    <w:rsid w:val="2B942FF4"/>
    <w:rsid w:val="2B9CFC14"/>
    <w:rsid w:val="2B9EC0C7"/>
    <w:rsid w:val="2BA1B6C2"/>
    <w:rsid w:val="2BA9BE26"/>
    <w:rsid w:val="2BACE9E6"/>
    <w:rsid w:val="2BB1B8E8"/>
    <w:rsid w:val="2BB2A54F"/>
    <w:rsid w:val="2BB65D4F"/>
    <w:rsid w:val="2BBFE998"/>
    <w:rsid w:val="2BC589A1"/>
    <w:rsid w:val="2BD2310D"/>
    <w:rsid w:val="2BE89FE0"/>
    <w:rsid w:val="2BEB07E6"/>
    <w:rsid w:val="2BF48E83"/>
    <w:rsid w:val="2BF678CB"/>
    <w:rsid w:val="2BF831CD"/>
    <w:rsid w:val="2BFC89DE"/>
    <w:rsid w:val="2C04682A"/>
    <w:rsid w:val="2C0A5D4C"/>
    <w:rsid w:val="2C0F13FD"/>
    <w:rsid w:val="2C11BEA8"/>
    <w:rsid w:val="2C174114"/>
    <w:rsid w:val="2C1FEF4D"/>
    <w:rsid w:val="2C254AB1"/>
    <w:rsid w:val="2C31AA45"/>
    <w:rsid w:val="2C36BB13"/>
    <w:rsid w:val="2C381191"/>
    <w:rsid w:val="2C3D6927"/>
    <w:rsid w:val="2C3E6AA8"/>
    <w:rsid w:val="2C45EE53"/>
    <w:rsid w:val="2C493A2A"/>
    <w:rsid w:val="2C4C6524"/>
    <w:rsid w:val="2C4EB1CD"/>
    <w:rsid w:val="2C586E20"/>
    <w:rsid w:val="2C588803"/>
    <w:rsid w:val="2C5EF8A9"/>
    <w:rsid w:val="2C65F450"/>
    <w:rsid w:val="2C6BBD60"/>
    <w:rsid w:val="2C6DF32F"/>
    <w:rsid w:val="2C70D6F1"/>
    <w:rsid w:val="2C7D11B2"/>
    <w:rsid w:val="2C84777F"/>
    <w:rsid w:val="2C8BB281"/>
    <w:rsid w:val="2C8FDDC2"/>
    <w:rsid w:val="2C8FEE2F"/>
    <w:rsid w:val="2C9A21C7"/>
    <w:rsid w:val="2C9BBEF4"/>
    <w:rsid w:val="2C9CAB2C"/>
    <w:rsid w:val="2C9D789F"/>
    <w:rsid w:val="2CA15650"/>
    <w:rsid w:val="2CAA9F25"/>
    <w:rsid w:val="2CB535EA"/>
    <w:rsid w:val="2CC7A13B"/>
    <w:rsid w:val="2CCF73E7"/>
    <w:rsid w:val="2CD2127A"/>
    <w:rsid w:val="2CD5FAB7"/>
    <w:rsid w:val="2CDA5E1D"/>
    <w:rsid w:val="2CDB6FF1"/>
    <w:rsid w:val="2CDE1324"/>
    <w:rsid w:val="2CDEE35D"/>
    <w:rsid w:val="2CE7363E"/>
    <w:rsid w:val="2CED8F9C"/>
    <w:rsid w:val="2CEE24B4"/>
    <w:rsid w:val="2CF073D3"/>
    <w:rsid w:val="2CF8A73B"/>
    <w:rsid w:val="2CFA69A8"/>
    <w:rsid w:val="2CFF7AC5"/>
    <w:rsid w:val="2D0664D5"/>
    <w:rsid w:val="2D0A301F"/>
    <w:rsid w:val="2D0DF376"/>
    <w:rsid w:val="2D0EE748"/>
    <w:rsid w:val="2D103DD0"/>
    <w:rsid w:val="2D1E7FE7"/>
    <w:rsid w:val="2D20E225"/>
    <w:rsid w:val="2D223E53"/>
    <w:rsid w:val="2D228DC6"/>
    <w:rsid w:val="2D2F6CFC"/>
    <w:rsid w:val="2D32237E"/>
    <w:rsid w:val="2D398179"/>
    <w:rsid w:val="2D3D38B4"/>
    <w:rsid w:val="2D3D72A4"/>
    <w:rsid w:val="2D457975"/>
    <w:rsid w:val="2D46F6AE"/>
    <w:rsid w:val="2D481374"/>
    <w:rsid w:val="2D500545"/>
    <w:rsid w:val="2D507363"/>
    <w:rsid w:val="2D5417CE"/>
    <w:rsid w:val="2D5EA212"/>
    <w:rsid w:val="2D5F67B4"/>
    <w:rsid w:val="2D623DC2"/>
    <w:rsid w:val="2D660C7C"/>
    <w:rsid w:val="2D678478"/>
    <w:rsid w:val="2D6A4B44"/>
    <w:rsid w:val="2D732610"/>
    <w:rsid w:val="2D7331FA"/>
    <w:rsid w:val="2D7978FF"/>
    <w:rsid w:val="2D91D065"/>
    <w:rsid w:val="2D935915"/>
    <w:rsid w:val="2D956795"/>
    <w:rsid w:val="2D991F66"/>
    <w:rsid w:val="2D99F7D8"/>
    <w:rsid w:val="2D9D3A8C"/>
    <w:rsid w:val="2DA67833"/>
    <w:rsid w:val="2DB21D40"/>
    <w:rsid w:val="2DB38326"/>
    <w:rsid w:val="2DB67FC0"/>
    <w:rsid w:val="2DC47EE3"/>
    <w:rsid w:val="2DC72DF1"/>
    <w:rsid w:val="2DD34E05"/>
    <w:rsid w:val="2DE39152"/>
    <w:rsid w:val="2DE63D2E"/>
    <w:rsid w:val="2DE76186"/>
    <w:rsid w:val="2DF4EF83"/>
    <w:rsid w:val="2DF5114E"/>
    <w:rsid w:val="2DF54593"/>
    <w:rsid w:val="2DFA4AB7"/>
    <w:rsid w:val="2E033A49"/>
    <w:rsid w:val="2E033B4C"/>
    <w:rsid w:val="2E040DE4"/>
    <w:rsid w:val="2E053BD0"/>
    <w:rsid w:val="2E0899B9"/>
    <w:rsid w:val="2E0A498B"/>
    <w:rsid w:val="2E0D4E07"/>
    <w:rsid w:val="2E119D4B"/>
    <w:rsid w:val="2E167D14"/>
    <w:rsid w:val="2E169E0F"/>
    <w:rsid w:val="2E207340"/>
    <w:rsid w:val="2E3097D8"/>
    <w:rsid w:val="2E3D6486"/>
    <w:rsid w:val="2E4807F4"/>
    <w:rsid w:val="2E488623"/>
    <w:rsid w:val="2E51223E"/>
    <w:rsid w:val="2E5166D7"/>
    <w:rsid w:val="2E58545F"/>
    <w:rsid w:val="2E5A9846"/>
    <w:rsid w:val="2E5BB10E"/>
    <w:rsid w:val="2E5EA568"/>
    <w:rsid w:val="2E6EE8FE"/>
    <w:rsid w:val="2E789012"/>
    <w:rsid w:val="2E7B0808"/>
    <w:rsid w:val="2E7C85BB"/>
    <w:rsid w:val="2E8405F4"/>
    <w:rsid w:val="2E8B7D38"/>
    <w:rsid w:val="2E908C7C"/>
    <w:rsid w:val="2E9113BC"/>
    <w:rsid w:val="2E987405"/>
    <w:rsid w:val="2E9A3B26"/>
    <w:rsid w:val="2E9A9ABB"/>
    <w:rsid w:val="2E9DDF8B"/>
    <w:rsid w:val="2E9F02DD"/>
    <w:rsid w:val="2EA02F8A"/>
    <w:rsid w:val="2EA1A863"/>
    <w:rsid w:val="2EACD8FD"/>
    <w:rsid w:val="2EAFD4A8"/>
    <w:rsid w:val="2EB3F2E6"/>
    <w:rsid w:val="2EB7FA84"/>
    <w:rsid w:val="2EB8EBCE"/>
    <w:rsid w:val="2EBDB073"/>
    <w:rsid w:val="2ED1D67D"/>
    <w:rsid w:val="2ED76FFE"/>
    <w:rsid w:val="2EE09E03"/>
    <w:rsid w:val="2EE1ECAE"/>
    <w:rsid w:val="2EE3830C"/>
    <w:rsid w:val="2EE38A47"/>
    <w:rsid w:val="2EE8DA02"/>
    <w:rsid w:val="2EEF29F4"/>
    <w:rsid w:val="2EF5D896"/>
    <w:rsid w:val="2EF8D518"/>
    <w:rsid w:val="2EF9DD16"/>
    <w:rsid w:val="2EFE894C"/>
    <w:rsid w:val="2F061570"/>
    <w:rsid w:val="2F0625A6"/>
    <w:rsid w:val="2F138735"/>
    <w:rsid w:val="2F2256BA"/>
    <w:rsid w:val="2F23A198"/>
    <w:rsid w:val="2F25340E"/>
    <w:rsid w:val="2F2953BF"/>
    <w:rsid w:val="2F33226D"/>
    <w:rsid w:val="2F3AA5D4"/>
    <w:rsid w:val="2F3C5FFB"/>
    <w:rsid w:val="2F3F0F7A"/>
    <w:rsid w:val="2F41BB15"/>
    <w:rsid w:val="2F42EEAF"/>
    <w:rsid w:val="2F48257D"/>
    <w:rsid w:val="2F485D31"/>
    <w:rsid w:val="2F4E9315"/>
    <w:rsid w:val="2F4F12F5"/>
    <w:rsid w:val="2F5002CD"/>
    <w:rsid w:val="2F53A93E"/>
    <w:rsid w:val="2F612FCD"/>
    <w:rsid w:val="2F76E61F"/>
    <w:rsid w:val="2F87174C"/>
    <w:rsid w:val="2F875D35"/>
    <w:rsid w:val="2F94522D"/>
    <w:rsid w:val="2F9E0FB8"/>
    <w:rsid w:val="2FA82C64"/>
    <w:rsid w:val="2FAFE6B2"/>
    <w:rsid w:val="2FB76220"/>
    <w:rsid w:val="2FBA265C"/>
    <w:rsid w:val="2FBA6EFB"/>
    <w:rsid w:val="2FBEC7DA"/>
    <w:rsid w:val="2FC0B928"/>
    <w:rsid w:val="2FC51779"/>
    <w:rsid w:val="2FE3B75A"/>
    <w:rsid w:val="2FE57684"/>
    <w:rsid w:val="2FE5A2F8"/>
    <w:rsid w:val="2FF3D9F1"/>
    <w:rsid w:val="2FF3F92B"/>
    <w:rsid w:val="2FF72A5C"/>
    <w:rsid w:val="2FFAD910"/>
    <w:rsid w:val="2FFCECB7"/>
    <w:rsid w:val="2FFD6090"/>
    <w:rsid w:val="3002676F"/>
    <w:rsid w:val="3004086D"/>
    <w:rsid w:val="30041665"/>
    <w:rsid w:val="3005FE1E"/>
    <w:rsid w:val="300D1D35"/>
    <w:rsid w:val="300D7632"/>
    <w:rsid w:val="3016553F"/>
    <w:rsid w:val="30173813"/>
    <w:rsid w:val="30190EF0"/>
    <w:rsid w:val="30208002"/>
    <w:rsid w:val="3029BE67"/>
    <w:rsid w:val="3042FC88"/>
    <w:rsid w:val="30435976"/>
    <w:rsid w:val="304470B8"/>
    <w:rsid w:val="304AE155"/>
    <w:rsid w:val="30526A09"/>
    <w:rsid w:val="3055B588"/>
    <w:rsid w:val="3059E614"/>
    <w:rsid w:val="306154D2"/>
    <w:rsid w:val="306DF784"/>
    <w:rsid w:val="3072E6A4"/>
    <w:rsid w:val="307390CC"/>
    <w:rsid w:val="307C9BE6"/>
    <w:rsid w:val="307CD1FA"/>
    <w:rsid w:val="307E7D14"/>
    <w:rsid w:val="307F4F89"/>
    <w:rsid w:val="30823DA3"/>
    <w:rsid w:val="3085833B"/>
    <w:rsid w:val="308ABF5D"/>
    <w:rsid w:val="308E4E10"/>
    <w:rsid w:val="30921FB8"/>
    <w:rsid w:val="30947156"/>
    <w:rsid w:val="3098A719"/>
    <w:rsid w:val="30996256"/>
    <w:rsid w:val="309BECFD"/>
    <w:rsid w:val="309ED8C0"/>
    <w:rsid w:val="30A59DA3"/>
    <w:rsid w:val="30AFFD7F"/>
    <w:rsid w:val="30B1EF86"/>
    <w:rsid w:val="30B57925"/>
    <w:rsid w:val="30BB32A8"/>
    <w:rsid w:val="30C023BC"/>
    <w:rsid w:val="30C73A3B"/>
    <w:rsid w:val="30C98E70"/>
    <w:rsid w:val="30CE9376"/>
    <w:rsid w:val="30D5E919"/>
    <w:rsid w:val="30D7317B"/>
    <w:rsid w:val="30DA1FF1"/>
    <w:rsid w:val="30DAA751"/>
    <w:rsid w:val="30E9B662"/>
    <w:rsid w:val="30EC21EC"/>
    <w:rsid w:val="30F2A1A2"/>
    <w:rsid w:val="30F72588"/>
    <w:rsid w:val="30FAEDA7"/>
    <w:rsid w:val="30FD1B4F"/>
    <w:rsid w:val="30FD7521"/>
    <w:rsid w:val="3100AD01"/>
    <w:rsid w:val="31037AD2"/>
    <w:rsid w:val="31037D90"/>
    <w:rsid w:val="310C0C57"/>
    <w:rsid w:val="310D4DA8"/>
    <w:rsid w:val="3115C68C"/>
    <w:rsid w:val="31194F5D"/>
    <w:rsid w:val="311EEC36"/>
    <w:rsid w:val="312344BB"/>
    <w:rsid w:val="312504F1"/>
    <w:rsid w:val="312554C6"/>
    <w:rsid w:val="3129D41C"/>
    <w:rsid w:val="312A4894"/>
    <w:rsid w:val="312A8857"/>
    <w:rsid w:val="312AB1C0"/>
    <w:rsid w:val="3135BE96"/>
    <w:rsid w:val="3139F530"/>
    <w:rsid w:val="313EEC5C"/>
    <w:rsid w:val="3142AA80"/>
    <w:rsid w:val="3144CBFB"/>
    <w:rsid w:val="3144F804"/>
    <w:rsid w:val="314E47DF"/>
    <w:rsid w:val="3151FAD9"/>
    <w:rsid w:val="3152CA0C"/>
    <w:rsid w:val="31553E15"/>
    <w:rsid w:val="31571AF2"/>
    <w:rsid w:val="3159DC0C"/>
    <w:rsid w:val="3160756B"/>
    <w:rsid w:val="3165ED05"/>
    <w:rsid w:val="316656DD"/>
    <w:rsid w:val="316D1CD6"/>
    <w:rsid w:val="316E511E"/>
    <w:rsid w:val="3174125A"/>
    <w:rsid w:val="317AD65A"/>
    <w:rsid w:val="31880B5A"/>
    <w:rsid w:val="31884C5B"/>
    <w:rsid w:val="3194367C"/>
    <w:rsid w:val="31955DCF"/>
    <w:rsid w:val="31970278"/>
    <w:rsid w:val="319E470E"/>
    <w:rsid w:val="319EC897"/>
    <w:rsid w:val="31A071A7"/>
    <w:rsid w:val="31A57F2D"/>
    <w:rsid w:val="31A65EC7"/>
    <w:rsid w:val="31A8F27A"/>
    <w:rsid w:val="31ADB1C7"/>
    <w:rsid w:val="31B88226"/>
    <w:rsid w:val="31B91C22"/>
    <w:rsid w:val="31BD5FF3"/>
    <w:rsid w:val="31C006D1"/>
    <w:rsid w:val="31CD5859"/>
    <w:rsid w:val="31CE3712"/>
    <w:rsid w:val="31CEFD7F"/>
    <w:rsid w:val="31D15BDA"/>
    <w:rsid w:val="31D282A4"/>
    <w:rsid w:val="31D4D4C0"/>
    <w:rsid w:val="31DEA377"/>
    <w:rsid w:val="31E1A7D8"/>
    <w:rsid w:val="31E4A4DD"/>
    <w:rsid w:val="31E7BB57"/>
    <w:rsid w:val="31E867BB"/>
    <w:rsid w:val="31EFB685"/>
    <w:rsid w:val="31F489A7"/>
    <w:rsid w:val="31F541A6"/>
    <w:rsid w:val="31FC14BF"/>
    <w:rsid w:val="31FE1C15"/>
    <w:rsid w:val="31FE3FE0"/>
    <w:rsid w:val="3208B423"/>
    <w:rsid w:val="32117C7D"/>
    <w:rsid w:val="3212509C"/>
    <w:rsid w:val="321649A5"/>
    <w:rsid w:val="321CD35F"/>
    <w:rsid w:val="321E3D90"/>
    <w:rsid w:val="3222C33E"/>
    <w:rsid w:val="322DEBBC"/>
    <w:rsid w:val="3234E2DC"/>
    <w:rsid w:val="323E1ACA"/>
    <w:rsid w:val="3240B3F0"/>
    <w:rsid w:val="3243523C"/>
    <w:rsid w:val="3248DE45"/>
    <w:rsid w:val="3249B54F"/>
    <w:rsid w:val="324E9C17"/>
    <w:rsid w:val="3252414F"/>
    <w:rsid w:val="32543EB4"/>
    <w:rsid w:val="326422FF"/>
    <w:rsid w:val="3266AC0B"/>
    <w:rsid w:val="326A75D8"/>
    <w:rsid w:val="326E58B0"/>
    <w:rsid w:val="326FF839"/>
    <w:rsid w:val="327168C9"/>
    <w:rsid w:val="32780B91"/>
    <w:rsid w:val="327B139D"/>
    <w:rsid w:val="327E1BBD"/>
    <w:rsid w:val="327ECC37"/>
    <w:rsid w:val="32802C39"/>
    <w:rsid w:val="328C75F6"/>
    <w:rsid w:val="328D5187"/>
    <w:rsid w:val="328DBAD0"/>
    <w:rsid w:val="328E07AA"/>
    <w:rsid w:val="3290BD58"/>
    <w:rsid w:val="329451B3"/>
    <w:rsid w:val="329B7128"/>
    <w:rsid w:val="329BDF29"/>
    <w:rsid w:val="329F2783"/>
    <w:rsid w:val="32A06F91"/>
    <w:rsid w:val="32A52CAD"/>
    <w:rsid w:val="32A711C7"/>
    <w:rsid w:val="32A7BDC1"/>
    <w:rsid w:val="32AF6A32"/>
    <w:rsid w:val="32BA7497"/>
    <w:rsid w:val="32BC8415"/>
    <w:rsid w:val="32BC94C7"/>
    <w:rsid w:val="32BF2D08"/>
    <w:rsid w:val="32C48D79"/>
    <w:rsid w:val="32C5DE02"/>
    <w:rsid w:val="32D17CCA"/>
    <w:rsid w:val="32D7B5E5"/>
    <w:rsid w:val="32D84E3A"/>
    <w:rsid w:val="32D9141A"/>
    <w:rsid w:val="32EA9378"/>
    <w:rsid w:val="32EC05AC"/>
    <w:rsid w:val="32F392C1"/>
    <w:rsid w:val="32F66448"/>
    <w:rsid w:val="32F80F9D"/>
    <w:rsid w:val="32FD483B"/>
    <w:rsid w:val="3307E17D"/>
    <w:rsid w:val="330C2846"/>
    <w:rsid w:val="330FD7E9"/>
    <w:rsid w:val="33123207"/>
    <w:rsid w:val="3312689B"/>
    <w:rsid w:val="331B4A0B"/>
    <w:rsid w:val="331CBA1E"/>
    <w:rsid w:val="3327989E"/>
    <w:rsid w:val="33295E28"/>
    <w:rsid w:val="332BFEC3"/>
    <w:rsid w:val="33314A67"/>
    <w:rsid w:val="333B2D01"/>
    <w:rsid w:val="334158A1"/>
    <w:rsid w:val="33459CC7"/>
    <w:rsid w:val="3348B344"/>
    <w:rsid w:val="3358912D"/>
    <w:rsid w:val="335A3024"/>
    <w:rsid w:val="335AF659"/>
    <w:rsid w:val="335CFB3B"/>
    <w:rsid w:val="335EB831"/>
    <w:rsid w:val="3363813D"/>
    <w:rsid w:val="3363A9E2"/>
    <w:rsid w:val="336CF6EF"/>
    <w:rsid w:val="3374C2ED"/>
    <w:rsid w:val="3376A2E9"/>
    <w:rsid w:val="33793B78"/>
    <w:rsid w:val="33852E92"/>
    <w:rsid w:val="338748E8"/>
    <w:rsid w:val="33935EC2"/>
    <w:rsid w:val="339418AF"/>
    <w:rsid w:val="33962688"/>
    <w:rsid w:val="33A02CFE"/>
    <w:rsid w:val="33A8654A"/>
    <w:rsid w:val="33A8CF94"/>
    <w:rsid w:val="33ABA129"/>
    <w:rsid w:val="33B0B82C"/>
    <w:rsid w:val="33B1DEF5"/>
    <w:rsid w:val="33B51CAE"/>
    <w:rsid w:val="33B6E392"/>
    <w:rsid w:val="33BA3493"/>
    <w:rsid w:val="33BAC1F0"/>
    <w:rsid w:val="33BBA68C"/>
    <w:rsid w:val="33BD6C63"/>
    <w:rsid w:val="33BEA958"/>
    <w:rsid w:val="33C15E82"/>
    <w:rsid w:val="33C4D0E7"/>
    <w:rsid w:val="33C64D3F"/>
    <w:rsid w:val="33C81090"/>
    <w:rsid w:val="33D25A72"/>
    <w:rsid w:val="33D62320"/>
    <w:rsid w:val="33D940F1"/>
    <w:rsid w:val="33DBFEF2"/>
    <w:rsid w:val="33DEA442"/>
    <w:rsid w:val="33DFA1E9"/>
    <w:rsid w:val="33F256FF"/>
    <w:rsid w:val="33FAA9AE"/>
    <w:rsid w:val="33FE4F25"/>
    <w:rsid w:val="3408C022"/>
    <w:rsid w:val="34092DF5"/>
    <w:rsid w:val="340A4E2D"/>
    <w:rsid w:val="3413A8A0"/>
    <w:rsid w:val="3414C55B"/>
    <w:rsid w:val="341A98A8"/>
    <w:rsid w:val="341D8397"/>
    <w:rsid w:val="341D92E9"/>
    <w:rsid w:val="34238A84"/>
    <w:rsid w:val="3423E931"/>
    <w:rsid w:val="342B01E7"/>
    <w:rsid w:val="3434DDE3"/>
    <w:rsid w:val="343A7C16"/>
    <w:rsid w:val="343BDB19"/>
    <w:rsid w:val="3458DF4F"/>
    <w:rsid w:val="345DF7D2"/>
    <w:rsid w:val="345F7C4D"/>
    <w:rsid w:val="34668A53"/>
    <w:rsid w:val="34703B66"/>
    <w:rsid w:val="3473633E"/>
    <w:rsid w:val="347C91C3"/>
    <w:rsid w:val="347D00F4"/>
    <w:rsid w:val="347FCFEA"/>
    <w:rsid w:val="349E418C"/>
    <w:rsid w:val="34A8B3B7"/>
    <w:rsid w:val="34AE2BBF"/>
    <w:rsid w:val="34B3D8FE"/>
    <w:rsid w:val="34B9913C"/>
    <w:rsid w:val="34C255CA"/>
    <w:rsid w:val="34D9F7E1"/>
    <w:rsid w:val="34DFE80C"/>
    <w:rsid w:val="34E35FEB"/>
    <w:rsid w:val="34E6C060"/>
    <w:rsid w:val="34E6F557"/>
    <w:rsid w:val="34EE51C0"/>
    <w:rsid w:val="34EF70C4"/>
    <w:rsid w:val="34F9DCDF"/>
    <w:rsid w:val="34FB34F5"/>
    <w:rsid w:val="34FF6576"/>
    <w:rsid w:val="3501A422"/>
    <w:rsid w:val="3503B2C3"/>
    <w:rsid w:val="350CE3DC"/>
    <w:rsid w:val="35119128"/>
    <w:rsid w:val="3513D9C3"/>
    <w:rsid w:val="35179138"/>
    <w:rsid w:val="3518465D"/>
    <w:rsid w:val="3520BE7F"/>
    <w:rsid w:val="3521EA69"/>
    <w:rsid w:val="35221A13"/>
    <w:rsid w:val="3525A40D"/>
    <w:rsid w:val="35271BDF"/>
    <w:rsid w:val="352A29A6"/>
    <w:rsid w:val="352E6A50"/>
    <w:rsid w:val="352E91A0"/>
    <w:rsid w:val="353AD05B"/>
    <w:rsid w:val="353BABC8"/>
    <w:rsid w:val="353CDDF6"/>
    <w:rsid w:val="3544D393"/>
    <w:rsid w:val="3545F3D7"/>
    <w:rsid w:val="35549B5D"/>
    <w:rsid w:val="3557FFDE"/>
    <w:rsid w:val="355CF1EB"/>
    <w:rsid w:val="355F1528"/>
    <w:rsid w:val="3562028B"/>
    <w:rsid w:val="35627146"/>
    <w:rsid w:val="35634470"/>
    <w:rsid w:val="35669348"/>
    <w:rsid w:val="356DE7A8"/>
    <w:rsid w:val="356EEDE3"/>
    <w:rsid w:val="3573DC10"/>
    <w:rsid w:val="3573F088"/>
    <w:rsid w:val="35740D2E"/>
    <w:rsid w:val="35795782"/>
    <w:rsid w:val="357A81F9"/>
    <w:rsid w:val="3583670E"/>
    <w:rsid w:val="3585055B"/>
    <w:rsid w:val="3586ED67"/>
    <w:rsid w:val="358B3315"/>
    <w:rsid w:val="358FCAAE"/>
    <w:rsid w:val="3593046F"/>
    <w:rsid w:val="35955BE4"/>
    <w:rsid w:val="3599A55B"/>
    <w:rsid w:val="359AE6D3"/>
    <w:rsid w:val="35A10337"/>
    <w:rsid w:val="35A27DFC"/>
    <w:rsid w:val="35A460AF"/>
    <w:rsid w:val="35AEC9B7"/>
    <w:rsid w:val="35AEDE0F"/>
    <w:rsid w:val="35BCF986"/>
    <w:rsid w:val="35C0291B"/>
    <w:rsid w:val="35C15EAF"/>
    <w:rsid w:val="35C4BD69"/>
    <w:rsid w:val="35C89992"/>
    <w:rsid w:val="35D74C61"/>
    <w:rsid w:val="35DA1A55"/>
    <w:rsid w:val="35E1CFAA"/>
    <w:rsid w:val="35E37DF0"/>
    <w:rsid w:val="35E42664"/>
    <w:rsid w:val="35E434E3"/>
    <w:rsid w:val="35E5E460"/>
    <w:rsid w:val="35E601EA"/>
    <w:rsid w:val="35E79FE3"/>
    <w:rsid w:val="35ED2DFC"/>
    <w:rsid w:val="35F1248F"/>
    <w:rsid w:val="35F3A629"/>
    <w:rsid w:val="35FA86C4"/>
    <w:rsid w:val="35FAEA93"/>
    <w:rsid w:val="35FB60F8"/>
    <w:rsid w:val="35FB95D0"/>
    <w:rsid w:val="35FFE839"/>
    <w:rsid w:val="36044B97"/>
    <w:rsid w:val="36145D96"/>
    <w:rsid w:val="3615D6FE"/>
    <w:rsid w:val="361CFB02"/>
    <w:rsid w:val="36205E3C"/>
    <w:rsid w:val="3627EDA6"/>
    <w:rsid w:val="362B7F20"/>
    <w:rsid w:val="36392421"/>
    <w:rsid w:val="3640BDCF"/>
    <w:rsid w:val="36509D6B"/>
    <w:rsid w:val="36533EE9"/>
    <w:rsid w:val="36541D56"/>
    <w:rsid w:val="3658C94B"/>
    <w:rsid w:val="365F0649"/>
    <w:rsid w:val="3669FE45"/>
    <w:rsid w:val="369079C1"/>
    <w:rsid w:val="36940429"/>
    <w:rsid w:val="3696AEBE"/>
    <w:rsid w:val="369D3107"/>
    <w:rsid w:val="36A15470"/>
    <w:rsid w:val="36A3BB1E"/>
    <w:rsid w:val="36A4751A"/>
    <w:rsid w:val="36AF7352"/>
    <w:rsid w:val="36B14E93"/>
    <w:rsid w:val="36B4E0A2"/>
    <w:rsid w:val="36B5F530"/>
    <w:rsid w:val="36C97484"/>
    <w:rsid w:val="36CB7E1C"/>
    <w:rsid w:val="36CBC38A"/>
    <w:rsid w:val="36CF86D8"/>
    <w:rsid w:val="36D6200F"/>
    <w:rsid w:val="36DD98F1"/>
    <w:rsid w:val="36E15D1C"/>
    <w:rsid w:val="36E84DAE"/>
    <w:rsid w:val="36F3A9CF"/>
    <w:rsid w:val="370187FB"/>
    <w:rsid w:val="370C7649"/>
    <w:rsid w:val="37146C32"/>
    <w:rsid w:val="3714FEF0"/>
    <w:rsid w:val="37165C19"/>
    <w:rsid w:val="37176D3A"/>
    <w:rsid w:val="37192727"/>
    <w:rsid w:val="371F1BEB"/>
    <w:rsid w:val="3722BE83"/>
    <w:rsid w:val="37341F2F"/>
    <w:rsid w:val="3738092B"/>
    <w:rsid w:val="3739EFA1"/>
    <w:rsid w:val="373C7821"/>
    <w:rsid w:val="374514EA"/>
    <w:rsid w:val="3752C672"/>
    <w:rsid w:val="37561384"/>
    <w:rsid w:val="375DEA7D"/>
    <w:rsid w:val="3769737B"/>
    <w:rsid w:val="376B7D89"/>
    <w:rsid w:val="376CFF49"/>
    <w:rsid w:val="37729BCB"/>
    <w:rsid w:val="377C4684"/>
    <w:rsid w:val="3782E531"/>
    <w:rsid w:val="3782F3D8"/>
    <w:rsid w:val="37853DCE"/>
    <w:rsid w:val="378C79AB"/>
    <w:rsid w:val="379CE513"/>
    <w:rsid w:val="37A27181"/>
    <w:rsid w:val="37A884AD"/>
    <w:rsid w:val="37AAA301"/>
    <w:rsid w:val="37B46FE1"/>
    <w:rsid w:val="37C017E9"/>
    <w:rsid w:val="37C255A5"/>
    <w:rsid w:val="37CA4A53"/>
    <w:rsid w:val="37CC8EED"/>
    <w:rsid w:val="37CDD91A"/>
    <w:rsid w:val="37CE027E"/>
    <w:rsid w:val="37CFBE08"/>
    <w:rsid w:val="37D85BEB"/>
    <w:rsid w:val="37D8A3C7"/>
    <w:rsid w:val="37DAE64B"/>
    <w:rsid w:val="37DC8064"/>
    <w:rsid w:val="37E1C4F0"/>
    <w:rsid w:val="37F29C9A"/>
    <w:rsid w:val="37FD0353"/>
    <w:rsid w:val="37FDED86"/>
    <w:rsid w:val="3804B46B"/>
    <w:rsid w:val="38140F89"/>
    <w:rsid w:val="381567C8"/>
    <w:rsid w:val="3821CB09"/>
    <w:rsid w:val="3829CF4A"/>
    <w:rsid w:val="38375BD9"/>
    <w:rsid w:val="3845277F"/>
    <w:rsid w:val="384E58A4"/>
    <w:rsid w:val="3867452C"/>
    <w:rsid w:val="386C9D24"/>
    <w:rsid w:val="3878F94A"/>
    <w:rsid w:val="387C83D5"/>
    <w:rsid w:val="387C9326"/>
    <w:rsid w:val="388979A4"/>
    <w:rsid w:val="389147F8"/>
    <w:rsid w:val="38A58DFF"/>
    <w:rsid w:val="38B38A05"/>
    <w:rsid w:val="38B7DA14"/>
    <w:rsid w:val="38BAA16F"/>
    <w:rsid w:val="38BCF809"/>
    <w:rsid w:val="38BE23D8"/>
    <w:rsid w:val="38CC11D8"/>
    <w:rsid w:val="38CED4EE"/>
    <w:rsid w:val="38CFA8FA"/>
    <w:rsid w:val="38D2B9F3"/>
    <w:rsid w:val="38D547D2"/>
    <w:rsid w:val="38D5F467"/>
    <w:rsid w:val="38D6E994"/>
    <w:rsid w:val="38DE0635"/>
    <w:rsid w:val="38ED5AFB"/>
    <w:rsid w:val="38EDF3B7"/>
    <w:rsid w:val="38F6FDAD"/>
    <w:rsid w:val="39021C27"/>
    <w:rsid w:val="390D034F"/>
    <w:rsid w:val="390F169D"/>
    <w:rsid w:val="3917DA2A"/>
    <w:rsid w:val="39197B39"/>
    <w:rsid w:val="391B9CF7"/>
    <w:rsid w:val="391BDC4F"/>
    <w:rsid w:val="391FD9D5"/>
    <w:rsid w:val="39249E6A"/>
    <w:rsid w:val="392686E2"/>
    <w:rsid w:val="39278548"/>
    <w:rsid w:val="392C0EAB"/>
    <w:rsid w:val="392C831B"/>
    <w:rsid w:val="393411DB"/>
    <w:rsid w:val="393976E6"/>
    <w:rsid w:val="393AAFE8"/>
    <w:rsid w:val="393CC268"/>
    <w:rsid w:val="393F8C03"/>
    <w:rsid w:val="393FE846"/>
    <w:rsid w:val="39422D76"/>
    <w:rsid w:val="39443181"/>
    <w:rsid w:val="39477BB9"/>
    <w:rsid w:val="3949A4E2"/>
    <w:rsid w:val="3949E855"/>
    <w:rsid w:val="394A7280"/>
    <w:rsid w:val="3951E562"/>
    <w:rsid w:val="3959C5F3"/>
    <w:rsid w:val="395DECF7"/>
    <w:rsid w:val="39630513"/>
    <w:rsid w:val="397109F7"/>
    <w:rsid w:val="3972C958"/>
    <w:rsid w:val="39757470"/>
    <w:rsid w:val="3977688D"/>
    <w:rsid w:val="397B1ED9"/>
    <w:rsid w:val="397C2616"/>
    <w:rsid w:val="397CE578"/>
    <w:rsid w:val="397D0CA5"/>
    <w:rsid w:val="397F9E53"/>
    <w:rsid w:val="398248F6"/>
    <w:rsid w:val="398796B0"/>
    <w:rsid w:val="39911A67"/>
    <w:rsid w:val="399370E5"/>
    <w:rsid w:val="399E3AF1"/>
    <w:rsid w:val="399EB6F9"/>
    <w:rsid w:val="39A34C3C"/>
    <w:rsid w:val="39AA7266"/>
    <w:rsid w:val="39AEABF5"/>
    <w:rsid w:val="39AEBDD4"/>
    <w:rsid w:val="39BDC1A2"/>
    <w:rsid w:val="39C41296"/>
    <w:rsid w:val="39C49C5C"/>
    <w:rsid w:val="39C4E88A"/>
    <w:rsid w:val="39C829A6"/>
    <w:rsid w:val="39C8FAB2"/>
    <w:rsid w:val="39D062E7"/>
    <w:rsid w:val="39D63B40"/>
    <w:rsid w:val="39D6F7A8"/>
    <w:rsid w:val="39D9D82E"/>
    <w:rsid w:val="39DC92B5"/>
    <w:rsid w:val="39DDD6E5"/>
    <w:rsid w:val="39E71B6F"/>
    <w:rsid w:val="39F3A4C9"/>
    <w:rsid w:val="39F4D8E7"/>
    <w:rsid w:val="39FDFA09"/>
    <w:rsid w:val="3A0562D0"/>
    <w:rsid w:val="3A079923"/>
    <w:rsid w:val="3A07C06C"/>
    <w:rsid w:val="3A0A2B76"/>
    <w:rsid w:val="3A0AD26F"/>
    <w:rsid w:val="3A116622"/>
    <w:rsid w:val="3A1216C2"/>
    <w:rsid w:val="3A146873"/>
    <w:rsid w:val="3A1F1C16"/>
    <w:rsid w:val="3A23B62C"/>
    <w:rsid w:val="3A28EEE4"/>
    <w:rsid w:val="3A2B4A60"/>
    <w:rsid w:val="3A32C8A1"/>
    <w:rsid w:val="3A36A312"/>
    <w:rsid w:val="3A3BA18C"/>
    <w:rsid w:val="3A3C6F4D"/>
    <w:rsid w:val="3A3DB14B"/>
    <w:rsid w:val="3A3F16D7"/>
    <w:rsid w:val="3A421FF8"/>
    <w:rsid w:val="3A42EC1D"/>
    <w:rsid w:val="3A462939"/>
    <w:rsid w:val="3A4C15D9"/>
    <w:rsid w:val="3A523FA2"/>
    <w:rsid w:val="3A584AF2"/>
    <w:rsid w:val="3A5E4E9A"/>
    <w:rsid w:val="3A672ED3"/>
    <w:rsid w:val="3A675A10"/>
    <w:rsid w:val="3A678586"/>
    <w:rsid w:val="3A73D507"/>
    <w:rsid w:val="3A804564"/>
    <w:rsid w:val="3A846995"/>
    <w:rsid w:val="3A88C21B"/>
    <w:rsid w:val="3A88FF40"/>
    <w:rsid w:val="3A8E388C"/>
    <w:rsid w:val="3A94D110"/>
    <w:rsid w:val="3A9EBEAE"/>
    <w:rsid w:val="3AA02465"/>
    <w:rsid w:val="3AA569FE"/>
    <w:rsid w:val="3AB0DA1C"/>
    <w:rsid w:val="3AB92295"/>
    <w:rsid w:val="3ABB19A2"/>
    <w:rsid w:val="3ABCC18B"/>
    <w:rsid w:val="3AC33714"/>
    <w:rsid w:val="3AD3343D"/>
    <w:rsid w:val="3ADA7D69"/>
    <w:rsid w:val="3ADD954C"/>
    <w:rsid w:val="3AE182FC"/>
    <w:rsid w:val="3AE3C2E3"/>
    <w:rsid w:val="3AE63237"/>
    <w:rsid w:val="3AEAF383"/>
    <w:rsid w:val="3AEDF31C"/>
    <w:rsid w:val="3AEFADE1"/>
    <w:rsid w:val="3B02DC33"/>
    <w:rsid w:val="3B096480"/>
    <w:rsid w:val="3B0A8E6C"/>
    <w:rsid w:val="3B0B018B"/>
    <w:rsid w:val="3B0B1E71"/>
    <w:rsid w:val="3B0D80AE"/>
    <w:rsid w:val="3B13B961"/>
    <w:rsid w:val="3B145BBF"/>
    <w:rsid w:val="3B1FA552"/>
    <w:rsid w:val="3B228280"/>
    <w:rsid w:val="3B25A6AC"/>
    <w:rsid w:val="3B3E9C99"/>
    <w:rsid w:val="3B42E955"/>
    <w:rsid w:val="3B4FC348"/>
    <w:rsid w:val="3B77FC0B"/>
    <w:rsid w:val="3B79674A"/>
    <w:rsid w:val="3B84C66E"/>
    <w:rsid w:val="3B89207F"/>
    <w:rsid w:val="3B8A2BC9"/>
    <w:rsid w:val="3B8EADFA"/>
    <w:rsid w:val="3B96920E"/>
    <w:rsid w:val="3B97845A"/>
    <w:rsid w:val="3BA05A64"/>
    <w:rsid w:val="3BA0B2AA"/>
    <w:rsid w:val="3BA12D73"/>
    <w:rsid w:val="3BA36D6F"/>
    <w:rsid w:val="3BA5B3F4"/>
    <w:rsid w:val="3BA9B161"/>
    <w:rsid w:val="3BB4E2F9"/>
    <w:rsid w:val="3BB75FDA"/>
    <w:rsid w:val="3BBC50CA"/>
    <w:rsid w:val="3BC15FA9"/>
    <w:rsid w:val="3BD77AE8"/>
    <w:rsid w:val="3BD8527A"/>
    <w:rsid w:val="3BEBAD5B"/>
    <w:rsid w:val="3BEDABB4"/>
    <w:rsid w:val="3BF1AF0A"/>
    <w:rsid w:val="3BF3199B"/>
    <w:rsid w:val="3BF3659A"/>
    <w:rsid w:val="3BF8D91D"/>
    <w:rsid w:val="3C08E60B"/>
    <w:rsid w:val="3C0B7E0A"/>
    <w:rsid w:val="3C0D13BE"/>
    <w:rsid w:val="3C169634"/>
    <w:rsid w:val="3C1962F6"/>
    <w:rsid w:val="3C21576C"/>
    <w:rsid w:val="3C25EA6F"/>
    <w:rsid w:val="3C311C4A"/>
    <w:rsid w:val="3C3682FE"/>
    <w:rsid w:val="3C3874F3"/>
    <w:rsid w:val="3C3A22A6"/>
    <w:rsid w:val="3C41AF71"/>
    <w:rsid w:val="3C44C653"/>
    <w:rsid w:val="3C44E91D"/>
    <w:rsid w:val="3C4A47E0"/>
    <w:rsid w:val="3C51E79E"/>
    <w:rsid w:val="3C55654B"/>
    <w:rsid w:val="3C5CC53A"/>
    <w:rsid w:val="3C6B23C2"/>
    <w:rsid w:val="3C6CCE2B"/>
    <w:rsid w:val="3C7C29EF"/>
    <w:rsid w:val="3C7E0360"/>
    <w:rsid w:val="3C7E45D2"/>
    <w:rsid w:val="3C823B93"/>
    <w:rsid w:val="3C83A708"/>
    <w:rsid w:val="3C8909A5"/>
    <w:rsid w:val="3C9E7956"/>
    <w:rsid w:val="3CA9ED43"/>
    <w:rsid w:val="3CB0039E"/>
    <w:rsid w:val="3CBC13B6"/>
    <w:rsid w:val="3CC0A2E6"/>
    <w:rsid w:val="3CC1BCA1"/>
    <w:rsid w:val="3CC20536"/>
    <w:rsid w:val="3CC315A4"/>
    <w:rsid w:val="3CCDC230"/>
    <w:rsid w:val="3CCFD3D8"/>
    <w:rsid w:val="3CD7614D"/>
    <w:rsid w:val="3CDA7B23"/>
    <w:rsid w:val="3CDCA235"/>
    <w:rsid w:val="3CE1CD7C"/>
    <w:rsid w:val="3CE207A9"/>
    <w:rsid w:val="3CE74A96"/>
    <w:rsid w:val="3CEBC1BB"/>
    <w:rsid w:val="3CF9119E"/>
    <w:rsid w:val="3CFF0839"/>
    <w:rsid w:val="3D021DE2"/>
    <w:rsid w:val="3D0687D9"/>
    <w:rsid w:val="3D1029CA"/>
    <w:rsid w:val="3D111C76"/>
    <w:rsid w:val="3D125849"/>
    <w:rsid w:val="3D212A15"/>
    <w:rsid w:val="3D25FB64"/>
    <w:rsid w:val="3D2667A0"/>
    <w:rsid w:val="3D29D1E8"/>
    <w:rsid w:val="3D2D4659"/>
    <w:rsid w:val="3D355547"/>
    <w:rsid w:val="3D357EB4"/>
    <w:rsid w:val="3D388651"/>
    <w:rsid w:val="3D39C137"/>
    <w:rsid w:val="3D3D595A"/>
    <w:rsid w:val="3D3EA5B2"/>
    <w:rsid w:val="3D41A629"/>
    <w:rsid w:val="3D439A22"/>
    <w:rsid w:val="3D44B408"/>
    <w:rsid w:val="3D4FE442"/>
    <w:rsid w:val="3D552A94"/>
    <w:rsid w:val="3D571911"/>
    <w:rsid w:val="3D58CF8F"/>
    <w:rsid w:val="3D5BA4AE"/>
    <w:rsid w:val="3D6AA116"/>
    <w:rsid w:val="3D717DEB"/>
    <w:rsid w:val="3D72586C"/>
    <w:rsid w:val="3D80CBBA"/>
    <w:rsid w:val="3D8B5C84"/>
    <w:rsid w:val="3D937FBA"/>
    <w:rsid w:val="3D9429F3"/>
    <w:rsid w:val="3D9486D6"/>
    <w:rsid w:val="3D966271"/>
    <w:rsid w:val="3D9DB6B8"/>
    <w:rsid w:val="3DA1A185"/>
    <w:rsid w:val="3DA29A21"/>
    <w:rsid w:val="3DA2C5FA"/>
    <w:rsid w:val="3DA30499"/>
    <w:rsid w:val="3DA83075"/>
    <w:rsid w:val="3DAC8F51"/>
    <w:rsid w:val="3DACF92B"/>
    <w:rsid w:val="3DAE1530"/>
    <w:rsid w:val="3DB23D24"/>
    <w:rsid w:val="3DB24287"/>
    <w:rsid w:val="3DB6CD9D"/>
    <w:rsid w:val="3DB99412"/>
    <w:rsid w:val="3DBC4B5C"/>
    <w:rsid w:val="3DC0B2AC"/>
    <w:rsid w:val="3DC2D8FD"/>
    <w:rsid w:val="3DCC6546"/>
    <w:rsid w:val="3DCC8AF3"/>
    <w:rsid w:val="3DCD4014"/>
    <w:rsid w:val="3DCE596B"/>
    <w:rsid w:val="3DCFDB53"/>
    <w:rsid w:val="3DD3F047"/>
    <w:rsid w:val="3DD598D1"/>
    <w:rsid w:val="3DD8DFBF"/>
    <w:rsid w:val="3DDAA5F6"/>
    <w:rsid w:val="3DE189FD"/>
    <w:rsid w:val="3DE76C7A"/>
    <w:rsid w:val="3DE7B04E"/>
    <w:rsid w:val="3DF8EE3F"/>
    <w:rsid w:val="3DFC0286"/>
    <w:rsid w:val="3E00EDE1"/>
    <w:rsid w:val="3E26023B"/>
    <w:rsid w:val="3E2612BC"/>
    <w:rsid w:val="3E27A1C4"/>
    <w:rsid w:val="3E304BEC"/>
    <w:rsid w:val="3E32969C"/>
    <w:rsid w:val="3E36EAC3"/>
    <w:rsid w:val="3E387A6C"/>
    <w:rsid w:val="3E3DCC76"/>
    <w:rsid w:val="3E3F9D98"/>
    <w:rsid w:val="3E40164B"/>
    <w:rsid w:val="3E48ADBE"/>
    <w:rsid w:val="3E48B094"/>
    <w:rsid w:val="3E4ACB15"/>
    <w:rsid w:val="3E4B437D"/>
    <w:rsid w:val="3E4FD848"/>
    <w:rsid w:val="3E5A89B0"/>
    <w:rsid w:val="3E5D1989"/>
    <w:rsid w:val="3E5E5941"/>
    <w:rsid w:val="3E60E6B9"/>
    <w:rsid w:val="3E74A072"/>
    <w:rsid w:val="3E75BB6F"/>
    <w:rsid w:val="3E7C8D8C"/>
    <w:rsid w:val="3E7EBDC4"/>
    <w:rsid w:val="3E813330"/>
    <w:rsid w:val="3E862661"/>
    <w:rsid w:val="3E94F360"/>
    <w:rsid w:val="3E9B2592"/>
    <w:rsid w:val="3E9ED4F6"/>
    <w:rsid w:val="3EAD613A"/>
    <w:rsid w:val="3EAE8DC8"/>
    <w:rsid w:val="3EB20AF7"/>
    <w:rsid w:val="3EC35BFF"/>
    <w:rsid w:val="3EC38305"/>
    <w:rsid w:val="3EC60E6F"/>
    <w:rsid w:val="3ED65C9D"/>
    <w:rsid w:val="3EE608C6"/>
    <w:rsid w:val="3EE8515D"/>
    <w:rsid w:val="3EF0D891"/>
    <w:rsid w:val="3EF71C72"/>
    <w:rsid w:val="3EF882C3"/>
    <w:rsid w:val="3EF9408A"/>
    <w:rsid w:val="3EFE2654"/>
    <w:rsid w:val="3F018969"/>
    <w:rsid w:val="3F061FE1"/>
    <w:rsid w:val="3F1009D1"/>
    <w:rsid w:val="3F10E093"/>
    <w:rsid w:val="3F132D6D"/>
    <w:rsid w:val="3F135B60"/>
    <w:rsid w:val="3F138374"/>
    <w:rsid w:val="3F163604"/>
    <w:rsid w:val="3F1FBD21"/>
    <w:rsid w:val="3F2075BE"/>
    <w:rsid w:val="3F2119C7"/>
    <w:rsid w:val="3F218525"/>
    <w:rsid w:val="3F2A4CA3"/>
    <w:rsid w:val="3F2AE620"/>
    <w:rsid w:val="3F2B7955"/>
    <w:rsid w:val="3F3A7CE2"/>
    <w:rsid w:val="3F3B3434"/>
    <w:rsid w:val="3F3D6ADD"/>
    <w:rsid w:val="3F3F42A5"/>
    <w:rsid w:val="3F4494AA"/>
    <w:rsid w:val="3F4A7946"/>
    <w:rsid w:val="3F4B0469"/>
    <w:rsid w:val="3F589FA2"/>
    <w:rsid w:val="3F5ACD35"/>
    <w:rsid w:val="3F5CB4E8"/>
    <w:rsid w:val="3F61F900"/>
    <w:rsid w:val="3F62CBD7"/>
    <w:rsid w:val="3F6425A7"/>
    <w:rsid w:val="3F68AAB3"/>
    <w:rsid w:val="3F6B63D3"/>
    <w:rsid w:val="3F76679B"/>
    <w:rsid w:val="3F7996D2"/>
    <w:rsid w:val="3F82E97E"/>
    <w:rsid w:val="3F86FC7F"/>
    <w:rsid w:val="3F8AFA92"/>
    <w:rsid w:val="3F8BD66E"/>
    <w:rsid w:val="3F998D42"/>
    <w:rsid w:val="3FA1BEB5"/>
    <w:rsid w:val="3FAB2295"/>
    <w:rsid w:val="3FB2A6A8"/>
    <w:rsid w:val="3FB5E96B"/>
    <w:rsid w:val="3FB7662F"/>
    <w:rsid w:val="3FBB8791"/>
    <w:rsid w:val="3FBBE702"/>
    <w:rsid w:val="3FC17DD0"/>
    <w:rsid w:val="3FC336D6"/>
    <w:rsid w:val="3FC6437A"/>
    <w:rsid w:val="3FCA3CF3"/>
    <w:rsid w:val="3FCC3013"/>
    <w:rsid w:val="3FCC521A"/>
    <w:rsid w:val="3FD2D993"/>
    <w:rsid w:val="3FDA50E7"/>
    <w:rsid w:val="3FDD9A36"/>
    <w:rsid w:val="3FDF4250"/>
    <w:rsid w:val="3FEC65F9"/>
    <w:rsid w:val="3FEE0BEF"/>
    <w:rsid w:val="3FF67046"/>
    <w:rsid w:val="3FF8A015"/>
    <w:rsid w:val="3FFA9481"/>
    <w:rsid w:val="4000C9B8"/>
    <w:rsid w:val="40016E7B"/>
    <w:rsid w:val="4001A395"/>
    <w:rsid w:val="4005A1BE"/>
    <w:rsid w:val="4008DC49"/>
    <w:rsid w:val="40098A31"/>
    <w:rsid w:val="4011E106"/>
    <w:rsid w:val="4013F899"/>
    <w:rsid w:val="4014EE61"/>
    <w:rsid w:val="4016867F"/>
    <w:rsid w:val="40179DE6"/>
    <w:rsid w:val="40251F46"/>
    <w:rsid w:val="4026F6CE"/>
    <w:rsid w:val="40342937"/>
    <w:rsid w:val="403D24CC"/>
    <w:rsid w:val="4048499B"/>
    <w:rsid w:val="40512282"/>
    <w:rsid w:val="4051433E"/>
    <w:rsid w:val="4054AD30"/>
    <w:rsid w:val="40598F57"/>
    <w:rsid w:val="40600543"/>
    <w:rsid w:val="406A22DA"/>
    <w:rsid w:val="406CC8CA"/>
    <w:rsid w:val="406EE2FC"/>
    <w:rsid w:val="40736216"/>
    <w:rsid w:val="407676DA"/>
    <w:rsid w:val="4076C979"/>
    <w:rsid w:val="40788B07"/>
    <w:rsid w:val="407C4144"/>
    <w:rsid w:val="40857690"/>
    <w:rsid w:val="408B93DF"/>
    <w:rsid w:val="408D277A"/>
    <w:rsid w:val="408E4998"/>
    <w:rsid w:val="4092CC32"/>
    <w:rsid w:val="4098BD0C"/>
    <w:rsid w:val="4098F465"/>
    <w:rsid w:val="40A02E73"/>
    <w:rsid w:val="40A3CCC5"/>
    <w:rsid w:val="40A864E3"/>
    <w:rsid w:val="40AA0897"/>
    <w:rsid w:val="40AC87A3"/>
    <w:rsid w:val="40B00D91"/>
    <w:rsid w:val="40B57918"/>
    <w:rsid w:val="40B633F4"/>
    <w:rsid w:val="40B82A5E"/>
    <w:rsid w:val="40BFEFCE"/>
    <w:rsid w:val="40C26CE2"/>
    <w:rsid w:val="40C35E22"/>
    <w:rsid w:val="40C520E7"/>
    <w:rsid w:val="40CAAD19"/>
    <w:rsid w:val="40DDE1F3"/>
    <w:rsid w:val="40E96E7D"/>
    <w:rsid w:val="40EEF7AE"/>
    <w:rsid w:val="40F54EC8"/>
    <w:rsid w:val="40F76AFE"/>
    <w:rsid w:val="40F84FA1"/>
    <w:rsid w:val="40F966EA"/>
    <w:rsid w:val="40FFC69B"/>
    <w:rsid w:val="410A1431"/>
    <w:rsid w:val="410BC9DF"/>
    <w:rsid w:val="41109731"/>
    <w:rsid w:val="41139CB1"/>
    <w:rsid w:val="41258A33"/>
    <w:rsid w:val="412B42B7"/>
    <w:rsid w:val="412D03ED"/>
    <w:rsid w:val="412D078D"/>
    <w:rsid w:val="412E3050"/>
    <w:rsid w:val="413183E1"/>
    <w:rsid w:val="4132DB09"/>
    <w:rsid w:val="413D6469"/>
    <w:rsid w:val="41402CDA"/>
    <w:rsid w:val="414A486D"/>
    <w:rsid w:val="414BF4F5"/>
    <w:rsid w:val="4154A57F"/>
    <w:rsid w:val="416141D5"/>
    <w:rsid w:val="41627964"/>
    <w:rsid w:val="416DCC63"/>
    <w:rsid w:val="41701C18"/>
    <w:rsid w:val="41756A0B"/>
    <w:rsid w:val="417AC38D"/>
    <w:rsid w:val="417E2D63"/>
    <w:rsid w:val="417E9E7D"/>
    <w:rsid w:val="417FC206"/>
    <w:rsid w:val="4194AE41"/>
    <w:rsid w:val="4195AD61"/>
    <w:rsid w:val="419C58EC"/>
    <w:rsid w:val="41A04326"/>
    <w:rsid w:val="41A069A9"/>
    <w:rsid w:val="41A3AF44"/>
    <w:rsid w:val="41AC2468"/>
    <w:rsid w:val="41ACDF04"/>
    <w:rsid w:val="41AD016C"/>
    <w:rsid w:val="41BB51FB"/>
    <w:rsid w:val="41BC8641"/>
    <w:rsid w:val="41BEE72B"/>
    <w:rsid w:val="41C44C89"/>
    <w:rsid w:val="41C62691"/>
    <w:rsid w:val="41CBB1A4"/>
    <w:rsid w:val="41D04838"/>
    <w:rsid w:val="41D7041D"/>
    <w:rsid w:val="41DED20E"/>
    <w:rsid w:val="41E143DE"/>
    <w:rsid w:val="41E605A9"/>
    <w:rsid w:val="41E7467D"/>
    <w:rsid w:val="41ECB66D"/>
    <w:rsid w:val="41F2DF02"/>
    <w:rsid w:val="41FFCDD8"/>
    <w:rsid w:val="4201B6ED"/>
    <w:rsid w:val="4208B3A7"/>
    <w:rsid w:val="420CF275"/>
    <w:rsid w:val="42117BFA"/>
    <w:rsid w:val="42121F58"/>
    <w:rsid w:val="4213E9FB"/>
    <w:rsid w:val="4217AD31"/>
    <w:rsid w:val="421DA995"/>
    <w:rsid w:val="42204D7D"/>
    <w:rsid w:val="42240AFE"/>
    <w:rsid w:val="423B85DD"/>
    <w:rsid w:val="423C6007"/>
    <w:rsid w:val="42409C61"/>
    <w:rsid w:val="424330DC"/>
    <w:rsid w:val="42436D73"/>
    <w:rsid w:val="42452473"/>
    <w:rsid w:val="424671FD"/>
    <w:rsid w:val="424AB164"/>
    <w:rsid w:val="424D93C5"/>
    <w:rsid w:val="42508270"/>
    <w:rsid w:val="4256DD5D"/>
    <w:rsid w:val="4259612D"/>
    <w:rsid w:val="425C688A"/>
    <w:rsid w:val="4260DA89"/>
    <w:rsid w:val="4278F5A3"/>
    <w:rsid w:val="427BF6FB"/>
    <w:rsid w:val="428913B0"/>
    <w:rsid w:val="428C65D0"/>
    <w:rsid w:val="428E399E"/>
    <w:rsid w:val="429045C2"/>
    <w:rsid w:val="42912EE6"/>
    <w:rsid w:val="4292BCB8"/>
    <w:rsid w:val="4296B32A"/>
    <w:rsid w:val="42AF523E"/>
    <w:rsid w:val="42B55172"/>
    <w:rsid w:val="42B7F07C"/>
    <w:rsid w:val="42BA8843"/>
    <w:rsid w:val="42CCA516"/>
    <w:rsid w:val="42D40987"/>
    <w:rsid w:val="42D4906F"/>
    <w:rsid w:val="42D61BFB"/>
    <w:rsid w:val="42D697EF"/>
    <w:rsid w:val="42E08670"/>
    <w:rsid w:val="42E2DB8C"/>
    <w:rsid w:val="42E353E7"/>
    <w:rsid w:val="42E8745D"/>
    <w:rsid w:val="42EA6404"/>
    <w:rsid w:val="42F00C3C"/>
    <w:rsid w:val="42F34826"/>
    <w:rsid w:val="42F4D7B6"/>
    <w:rsid w:val="42F6546D"/>
    <w:rsid w:val="42F992E5"/>
    <w:rsid w:val="42FDDE0F"/>
    <w:rsid w:val="43026D6C"/>
    <w:rsid w:val="430825DE"/>
    <w:rsid w:val="430E4652"/>
    <w:rsid w:val="4315A60D"/>
    <w:rsid w:val="4323652B"/>
    <w:rsid w:val="4327C559"/>
    <w:rsid w:val="4329EF55"/>
    <w:rsid w:val="43303610"/>
    <w:rsid w:val="43375354"/>
    <w:rsid w:val="433914B7"/>
    <w:rsid w:val="4339A139"/>
    <w:rsid w:val="433AF7BB"/>
    <w:rsid w:val="433E03DA"/>
    <w:rsid w:val="434163F0"/>
    <w:rsid w:val="43449C55"/>
    <w:rsid w:val="4348397C"/>
    <w:rsid w:val="435254F8"/>
    <w:rsid w:val="435CD147"/>
    <w:rsid w:val="435F8C1B"/>
    <w:rsid w:val="43608065"/>
    <w:rsid w:val="4368D761"/>
    <w:rsid w:val="436B07F1"/>
    <w:rsid w:val="436B3EE5"/>
    <w:rsid w:val="436BE313"/>
    <w:rsid w:val="436EF2BE"/>
    <w:rsid w:val="4373AFA7"/>
    <w:rsid w:val="4374D70E"/>
    <w:rsid w:val="43755969"/>
    <w:rsid w:val="43785971"/>
    <w:rsid w:val="4380C3FB"/>
    <w:rsid w:val="438CDE1B"/>
    <w:rsid w:val="438CFDB8"/>
    <w:rsid w:val="43916421"/>
    <w:rsid w:val="439620CC"/>
    <w:rsid w:val="43A468AC"/>
    <w:rsid w:val="43B24242"/>
    <w:rsid w:val="43B436BF"/>
    <w:rsid w:val="43B9FD6C"/>
    <w:rsid w:val="43BBA7A2"/>
    <w:rsid w:val="43BFE40E"/>
    <w:rsid w:val="43C17363"/>
    <w:rsid w:val="43C6AD09"/>
    <w:rsid w:val="43C8571D"/>
    <w:rsid w:val="43CB6260"/>
    <w:rsid w:val="43CCDE74"/>
    <w:rsid w:val="43CF87A3"/>
    <w:rsid w:val="43D0E5D7"/>
    <w:rsid w:val="43D9104D"/>
    <w:rsid w:val="43DB1255"/>
    <w:rsid w:val="43DDA787"/>
    <w:rsid w:val="43EE1219"/>
    <w:rsid w:val="43F338F1"/>
    <w:rsid w:val="43F8FA02"/>
    <w:rsid w:val="43FE8905"/>
    <w:rsid w:val="4401997B"/>
    <w:rsid w:val="4403BFA5"/>
    <w:rsid w:val="4403F791"/>
    <w:rsid w:val="440690FE"/>
    <w:rsid w:val="440A6DCC"/>
    <w:rsid w:val="440ED62F"/>
    <w:rsid w:val="441239A4"/>
    <w:rsid w:val="44194E97"/>
    <w:rsid w:val="441DF0AC"/>
    <w:rsid w:val="4421F4AF"/>
    <w:rsid w:val="4422D472"/>
    <w:rsid w:val="442C1912"/>
    <w:rsid w:val="443055CE"/>
    <w:rsid w:val="443AF594"/>
    <w:rsid w:val="443B7CD0"/>
    <w:rsid w:val="443D752F"/>
    <w:rsid w:val="44446E7D"/>
    <w:rsid w:val="44464372"/>
    <w:rsid w:val="4448E097"/>
    <w:rsid w:val="444B9755"/>
    <w:rsid w:val="444F71ED"/>
    <w:rsid w:val="445413BA"/>
    <w:rsid w:val="4454C7B6"/>
    <w:rsid w:val="44567721"/>
    <w:rsid w:val="4458C512"/>
    <w:rsid w:val="4463C2AA"/>
    <w:rsid w:val="44644A2E"/>
    <w:rsid w:val="446D5F38"/>
    <w:rsid w:val="4470145C"/>
    <w:rsid w:val="44750BF2"/>
    <w:rsid w:val="4475B173"/>
    <w:rsid w:val="4479ACEA"/>
    <w:rsid w:val="4480FDED"/>
    <w:rsid w:val="44866AFA"/>
    <w:rsid w:val="4487399C"/>
    <w:rsid w:val="448D6482"/>
    <w:rsid w:val="4495A36A"/>
    <w:rsid w:val="44A48D98"/>
    <w:rsid w:val="44AB8A5F"/>
    <w:rsid w:val="44AC8FB1"/>
    <w:rsid w:val="44B20160"/>
    <w:rsid w:val="44B49A27"/>
    <w:rsid w:val="44C5BDEB"/>
    <w:rsid w:val="44CACAE3"/>
    <w:rsid w:val="44CB2501"/>
    <w:rsid w:val="44CC9982"/>
    <w:rsid w:val="44CE5F8E"/>
    <w:rsid w:val="44DF7CB6"/>
    <w:rsid w:val="44E02C4A"/>
    <w:rsid w:val="44E7D9A6"/>
    <w:rsid w:val="44EAAC0E"/>
    <w:rsid w:val="44FDA4BA"/>
    <w:rsid w:val="44FDE0DB"/>
    <w:rsid w:val="450524B4"/>
    <w:rsid w:val="450CB305"/>
    <w:rsid w:val="451168A2"/>
    <w:rsid w:val="4517B69B"/>
    <w:rsid w:val="4528B502"/>
    <w:rsid w:val="452D6F2C"/>
    <w:rsid w:val="452DC702"/>
    <w:rsid w:val="452F4E5C"/>
    <w:rsid w:val="453C02AA"/>
    <w:rsid w:val="4542E3DD"/>
    <w:rsid w:val="4546F4E6"/>
    <w:rsid w:val="45506766"/>
    <w:rsid w:val="45535529"/>
    <w:rsid w:val="4566207D"/>
    <w:rsid w:val="45672922"/>
    <w:rsid w:val="456AEBFE"/>
    <w:rsid w:val="456FF9BC"/>
    <w:rsid w:val="457442CA"/>
    <w:rsid w:val="457F6068"/>
    <w:rsid w:val="45880297"/>
    <w:rsid w:val="458970C2"/>
    <w:rsid w:val="4591FA1E"/>
    <w:rsid w:val="459386F4"/>
    <w:rsid w:val="4596078D"/>
    <w:rsid w:val="45975D73"/>
    <w:rsid w:val="459797A4"/>
    <w:rsid w:val="459C4CA3"/>
    <w:rsid w:val="45A4F66C"/>
    <w:rsid w:val="45A6B39B"/>
    <w:rsid w:val="45A6D885"/>
    <w:rsid w:val="45AA7359"/>
    <w:rsid w:val="45AD5B7D"/>
    <w:rsid w:val="45BC34DF"/>
    <w:rsid w:val="45BE163D"/>
    <w:rsid w:val="45C5C508"/>
    <w:rsid w:val="45C60136"/>
    <w:rsid w:val="45C97195"/>
    <w:rsid w:val="45D03FCA"/>
    <w:rsid w:val="45D37E40"/>
    <w:rsid w:val="45DF2CD9"/>
    <w:rsid w:val="45E0F7BD"/>
    <w:rsid w:val="45E4202B"/>
    <w:rsid w:val="45E487A4"/>
    <w:rsid w:val="45E48CAD"/>
    <w:rsid w:val="45E5B2CC"/>
    <w:rsid w:val="45ED8D1F"/>
    <w:rsid w:val="45FAE5C3"/>
    <w:rsid w:val="46051C3E"/>
    <w:rsid w:val="460581E5"/>
    <w:rsid w:val="46082DA5"/>
    <w:rsid w:val="460DD5C8"/>
    <w:rsid w:val="4610101D"/>
    <w:rsid w:val="4612B98A"/>
    <w:rsid w:val="4619BF0D"/>
    <w:rsid w:val="462155A9"/>
    <w:rsid w:val="462A6518"/>
    <w:rsid w:val="46349316"/>
    <w:rsid w:val="46377CC0"/>
    <w:rsid w:val="46394DAD"/>
    <w:rsid w:val="463B5F6F"/>
    <w:rsid w:val="463FD7BA"/>
    <w:rsid w:val="464253B1"/>
    <w:rsid w:val="4642EC89"/>
    <w:rsid w:val="46475973"/>
    <w:rsid w:val="464F2C80"/>
    <w:rsid w:val="4652481F"/>
    <w:rsid w:val="46530154"/>
    <w:rsid w:val="4657822D"/>
    <w:rsid w:val="4660D2CF"/>
    <w:rsid w:val="46610284"/>
    <w:rsid w:val="466E95FF"/>
    <w:rsid w:val="466F376A"/>
    <w:rsid w:val="46737A12"/>
    <w:rsid w:val="46764670"/>
    <w:rsid w:val="467B72AC"/>
    <w:rsid w:val="46804695"/>
    <w:rsid w:val="4683EC41"/>
    <w:rsid w:val="468935BD"/>
    <w:rsid w:val="468F3A8F"/>
    <w:rsid w:val="46956CB9"/>
    <w:rsid w:val="4698675C"/>
    <w:rsid w:val="469F1F13"/>
    <w:rsid w:val="46A6526C"/>
    <w:rsid w:val="46AA6977"/>
    <w:rsid w:val="46AC771D"/>
    <w:rsid w:val="46B2DDD5"/>
    <w:rsid w:val="46B40278"/>
    <w:rsid w:val="46BB37C1"/>
    <w:rsid w:val="46BDF72C"/>
    <w:rsid w:val="46BEEC68"/>
    <w:rsid w:val="46D17F28"/>
    <w:rsid w:val="46D81DD5"/>
    <w:rsid w:val="46DB1746"/>
    <w:rsid w:val="46DC999E"/>
    <w:rsid w:val="46DCB77B"/>
    <w:rsid w:val="46DD2035"/>
    <w:rsid w:val="46DE7CFA"/>
    <w:rsid w:val="46EBBED1"/>
    <w:rsid w:val="46F369A1"/>
    <w:rsid w:val="46FCE304"/>
    <w:rsid w:val="4706D1BF"/>
    <w:rsid w:val="47092BF1"/>
    <w:rsid w:val="470CDEC7"/>
    <w:rsid w:val="4711730F"/>
    <w:rsid w:val="47154277"/>
    <w:rsid w:val="471C2163"/>
    <w:rsid w:val="471F4B4E"/>
    <w:rsid w:val="4720A5E0"/>
    <w:rsid w:val="472457A1"/>
    <w:rsid w:val="472C0CD3"/>
    <w:rsid w:val="4730C550"/>
    <w:rsid w:val="4730CE2C"/>
    <w:rsid w:val="47387E45"/>
    <w:rsid w:val="473BAA34"/>
    <w:rsid w:val="47412D9A"/>
    <w:rsid w:val="474D228E"/>
    <w:rsid w:val="4751373C"/>
    <w:rsid w:val="4752EAA7"/>
    <w:rsid w:val="475D1C74"/>
    <w:rsid w:val="47667480"/>
    <w:rsid w:val="4769B951"/>
    <w:rsid w:val="4770CF7A"/>
    <w:rsid w:val="477F0099"/>
    <w:rsid w:val="4783E7D0"/>
    <w:rsid w:val="47892F95"/>
    <w:rsid w:val="478ED237"/>
    <w:rsid w:val="4799F007"/>
    <w:rsid w:val="47A325DB"/>
    <w:rsid w:val="47A59BE6"/>
    <w:rsid w:val="47A884DA"/>
    <w:rsid w:val="47AE7B04"/>
    <w:rsid w:val="47BC6FE8"/>
    <w:rsid w:val="47BD7947"/>
    <w:rsid w:val="47C1332E"/>
    <w:rsid w:val="47CB2B1C"/>
    <w:rsid w:val="47D58B21"/>
    <w:rsid w:val="47DCDA37"/>
    <w:rsid w:val="47DFA056"/>
    <w:rsid w:val="47E47CC5"/>
    <w:rsid w:val="47F00079"/>
    <w:rsid w:val="47F15B67"/>
    <w:rsid w:val="47F3585C"/>
    <w:rsid w:val="47F40EA3"/>
    <w:rsid w:val="48033BF5"/>
    <w:rsid w:val="48039A39"/>
    <w:rsid w:val="4804F796"/>
    <w:rsid w:val="4808A68A"/>
    <w:rsid w:val="48097BF2"/>
    <w:rsid w:val="480A61E0"/>
    <w:rsid w:val="480FC16B"/>
    <w:rsid w:val="48196CD5"/>
    <w:rsid w:val="481FBC00"/>
    <w:rsid w:val="4820AA43"/>
    <w:rsid w:val="4821F542"/>
    <w:rsid w:val="4822D536"/>
    <w:rsid w:val="482F1A7F"/>
    <w:rsid w:val="4831C246"/>
    <w:rsid w:val="4831CC06"/>
    <w:rsid w:val="483C2E2D"/>
    <w:rsid w:val="483EA018"/>
    <w:rsid w:val="484404E9"/>
    <w:rsid w:val="48456ED7"/>
    <w:rsid w:val="484B9CED"/>
    <w:rsid w:val="484D462F"/>
    <w:rsid w:val="484D9B28"/>
    <w:rsid w:val="484E5F79"/>
    <w:rsid w:val="4850CD42"/>
    <w:rsid w:val="48560900"/>
    <w:rsid w:val="485F3A9E"/>
    <w:rsid w:val="485F3FB6"/>
    <w:rsid w:val="488A20F3"/>
    <w:rsid w:val="488D3694"/>
    <w:rsid w:val="488D5656"/>
    <w:rsid w:val="488E325F"/>
    <w:rsid w:val="488F8EE9"/>
    <w:rsid w:val="489DE8B3"/>
    <w:rsid w:val="48AAE52E"/>
    <w:rsid w:val="48AB5711"/>
    <w:rsid w:val="48BCCD9E"/>
    <w:rsid w:val="48BF11E2"/>
    <w:rsid w:val="48CADF14"/>
    <w:rsid w:val="48D40DBB"/>
    <w:rsid w:val="48DB14A6"/>
    <w:rsid w:val="48DB3AB2"/>
    <w:rsid w:val="48E2FDEF"/>
    <w:rsid w:val="48E500C6"/>
    <w:rsid w:val="48E6F6AB"/>
    <w:rsid w:val="48E835A3"/>
    <w:rsid w:val="48E92D29"/>
    <w:rsid w:val="48EDD192"/>
    <w:rsid w:val="48F19C03"/>
    <w:rsid w:val="490867AE"/>
    <w:rsid w:val="49089E69"/>
    <w:rsid w:val="4910F276"/>
    <w:rsid w:val="4910F5A4"/>
    <w:rsid w:val="4917615D"/>
    <w:rsid w:val="49217EB0"/>
    <w:rsid w:val="4921A041"/>
    <w:rsid w:val="49231B1C"/>
    <w:rsid w:val="492858C4"/>
    <w:rsid w:val="492E1D50"/>
    <w:rsid w:val="493A1DDB"/>
    <w:rsid w:val="493BE153"/>
    <w:rsid w:val="49438252"/>
    <w:rsid w:val="4945C327"/>
    <w:rsid w:val="4945D645"/>
    <w:rsid w:val="494F953E"/>
    <w:rsid w:val="494FFE66"/>
    <w:rsid w:val="49534031"/>
    <w:rsid w:val="495D1920"/>
    <w:rsid w:val="49691641"/>
    <w:rsid w:val="49708AB3"/>
    <w:rsid w:val="497626C9"/>
    <w:rsid w:val="4976E828"/>
    <w:rsid w:val="4979849E"/>
    <w:rsid w:val="497AF0D0"/>
    <w:rsid w:val="497C164A"/>
    <w:rsid w:val="4987DC3E"/>
    <w:rsid w:val="498C7483"/>
    <w:rsid w:val="498E2E52"/>
    <w:rsid w:val="49940300"/>
    <w:rsid w:val="4994079F"/>
    <w:rsid w:val="499A66D8"/>
    <w:rsid w:val="499D93D0"/>
    <w:rsid w:val="49AE2EA4"/>
    <w:rsid w:val="49B4238C"/>
    <w:rsid w:val="49C04EFA"/>
    <w:rsid w:val="49C27B27"/>
    <w:rsid w:val="49CE22DB"/>
    <w:rsid w:val="49CEBF4C"/>
    <w:rsid w:val="49D05D93"/>
    <w:rsid w:val="49D53565"/>
    <w:rsid w:val="49DCEAC9"/>
    <w:rsid w:val="49E30937"/>
    <w:rsid w:val="49EEE9D8"/>
    <w:rsid w:val="49F1B692"/>
    <w:rsid w:val="49F44AEA"/>
    <w:rsid w:val="49F4FE99"/>
    <w:rsid w:val="49F6C65A"/>
    <w:rsid w:val="49F9E261"/>
    <w:rsid w:val="49FD74B7"/>
    <w:rsid w:val="49FE63E7"/>
    <w:rsid w:val="4A12A13D"/>
    <w:rsid w:val="4A16376D"/>
    <w:rsid w:val="4A16AE93"/>
    <w:rsid w:val="4A19BF78"/>
    <w:rsid w:val="4A1FA45C"/>
    <w:rsid w:val="4A254B92"/>
    <w:rsid w:val="4A2E8B39"/>
    <w:rsid w:val="4A306B00"/>
    <w:rsid w:val="4A48005B"/>
    <w:rsid w:val="4A548C49"/>
    <w:rsid w:val="4A57D9F2"/>
    <w:rsid w:val="4A5A4674"/>
    <w:rsid w:val="4A5DFC4B"/>
    <w:rsid w:val="4A642962"/>
    <w:rsid w:val="4A735E0C"/>
    <w:rsid w:val="4A767CF4"/>
    <w:rsid w:val="4A76F2EF"/>
    <w:rsid w:val="4A78879A"/>
    <w:rsid w:val="4A7CEB3E"/>
    <w:rsid w:val="4A7EB58C"/>
    <w:rsid w:val="4A84650C"/>
    <w:rsid w:val="4A877D4A"/>
    <w:rsid w:val="4A8C7A05"/>
    <w:rsid w:val="4A8CA202"/>
    <w:rsid w:val="4A94474D"/>
    <w:rsid w:val="4A97FD30"/>
    <w:rsid w:val="4A9BA766"/>
    <w:rsid w:val="4A9C0513"/>
    <w:rsid w:val="4AAA83D9"/>
    <w:rsid w:val="4AAD8834"/>
    <w:rsid w:val="4AB30B73"/>
    <w:rsid w:val="4AB5BDE4"/>
    <w:rsid w:val="4AB79DC3"/>
    <w:rsid w:val="4AC8F868"/>
    <w:rsid w:val="4ACB7CFD"/>
    <w:rsid w:val="4AD32483"/>
    <w:rsid w:val="4AE2ED23"/>
    <w:rsid w:val="4AF0673E"/>
    <w:rsid w:val="4AF74614"/>
    <w:rsid w:val="4AF76EB9"/>
    <w:rsid w:val="4AF7CB1E"/>
    <w:rsid w:val="4AFA865E"/>
    <w:rsid w:val="4B02AC61"/>
    <w:rsid w:val="4B0C7499"/>
    <w:rsid w:val="4B0D3A47"/>
    <w:rsid w:val="4B100A3B"/>
    <w:rsid w:val="4B191241"/>
    <w:rsid w:val="4B20E864"/>
    <w:rsid w:val="4B21D9B3"/>
    <w:rsid w:val="4B24082F"/>
    <w:rsid w:val="4B27B98B"/>
    <w:rsid w:val="4B2A9279"/>
    <w:rsid w:val="4B309946"/>
    <w:rsid w:val="4B401F68"/>
    <w:rsid w:val="4B44146B"/>
    <w:rsid w:val="4B541FC1"/>
    <w:rsid w:val="4B5F8FED"/>
    <w:rsid w:val="4B5F959F"/>
    <w:rsid w:val="4B5FA4EC"/>
    <w:rsid w:val="4B64C27A"/>
    <w:rsid w:val="4B6C334B"/>
    <w:rsid w:val="4B74F81E"/>
    <w:rsid w:val="4B7E7C04"/>
    <w:rsid w:val="4B7F9DF3"/>
    <w:rsid w:val="4B805AFF"/>
    <w:rsid w:val="4B816F96"/>
    <w:rsid w:val="4B839611"/>
    <w:rsid w:val="4B8B82C5"/>
    <w:rsid w:val="4B8EC39A"/>
    <w:rsid w:val="4B921A53"/>
    <w:rsid w:val="4B92B8D8"/>
    <w:rsid w:val="4B9E70FA"/>
    <w:rsid w:val="4BA4CD62"/>
    <w:rsid w:val="4BA6F4AE"/>
    <w:rsid w:val="4BB7E066"/>
    <w:rsid w:val="4BB892B5"/>
    <w:rsid w:val="4BC052EA"/>
    <w:rsid w:val="4BC723E9"/>
    <w:rsid w:val="4BCA8EC8"/>
    <w:rsid w:val="4BDBA6C1"/>
    <w:rsid w:val="4BDC1C97"/>
    <w:rsid w:val="4BDCC109"/>
    <w:rsid w:val="4BE04DCE"/>
    <w:rsid w:val="4BE9B122"/>
    <w:rsid w:val="4BEA0804"/>
    <w:rsid w:val="4BF35EDE"/>
    <w:rsid w:val="4BF4C5A1"/>
    <w:rsid w:val="4BF623C4"/>
    <w:rsid w:val="4BFA8972"/>
    <w:rsid w:val="4BFB3967"/>
    <w:rsid w:val="4BFDC382"/>
    <w:rsid w:val="4C04DF6D"/>
    <w:rsid w:val="4C06BC30"/>
    <w:rsid w:val="4C0861B1"/>
    <w:rsid w:val="4C103075"/>
    <w:rsid w:val="4C1198EF"/>
    <w:rsid w:val="4C1316A0"/>
    <w:rsid w:val="4C17F097"/>
    <w:rsid w:val="4C18C4FB"/>
    <w:rsid w:val="4C1F5792"/>
    <w:rsid w:val="4C1F67A2"/>
    <w:rsid w:val="4C21C574"/>
    <w:rsid w:val="4C276CCF"/>
    <w:rsid w:val="4C2CD144"/>
    <w:rsid w:val="4C37FB13"/>
    <w:rsid w:val="4C3B25C4"/>
    <w:rsid w:val="4C3F7641"/>
    <w:rsid w:val="4C4E4F23"/>
    <w:rsid w:val="4C57F047"/>
    <w:rsid w:val="4C587637"/>
    <w:rsid w:val="4C58B5E1"/>
    <w:rsid w:val="4C5BBCCE"/>
    <w:rsid w:val="4C5C2EAD"/>
    <w:rsid w:val="4C5E78D9"/>
    <w:rsid w:val="4C641C23"/>
    <w:rsid w:val="4C6528B5"/>
    <w:rsid w:val="4C7828E7"/>
    <w:rsid w:val="4C8243B7"/>
    <w:rsid w:val="4C833B2F"/>
    <w:rsid w:val="4C9306FA"/>
    <w:rsid w:val="4C97511B"/>
    <w:rsid w:val="4C997DCE"/>
    <w:rsid w:val="4C9B414C"/>
    <w:rsid w:val="4C9BCA2D"/>
    <w:rsid w:val="4C9C51A8"/>
    <w:rsid w:val="4CA53793"/>
    <w:rsid w:val="4CA7D180"/>
    <w:rsid w:val="4CA8EB3A"/>
    <w:rsid w:val="4CAA29B9"/>
    <w:rsid w:val="4CADB858"/>
    <w:rsid w:val="4CAEB12D"/>
    <w:rsid w:val="4CB89120"/>
    <w:rsid w:val="4CBA44E6"/>
    <w:rsid w:val="4CBF69B7"/>
    <w:rsid w:val="4CC50DB1"/>
    <w:rsid w:val="4CCC6448"/>
    <w:rsid w:val="4CD3B2EB"/>
    <w:rsid w:val="4CD3E7A2"/>
    <w:rsid w:val="4CE15167"/>
    <w:rsid w:val="4CE1C49A"/>
    <w:rsid w:val="4CE1FB9A"/>
    <w:rsid w:val="4CE6AD51"/>
    <w:rsid w:val="4CE98041"/>
    <w:rsid w:val="4CED3E8F"/>
    <w:rsid w:val="4CEF0698"/>
    <w:rsid w:val="4CF3B06D"/>
    <w:rsid w:val="4CF73FA1"/>
    <w:rsid w:val="4CFA17D7"/>
    <w:rsid w:val="4CFB2431"/>
    <w:rsid w:val="4CFCB123"/>
    <w:rsid w:val="4CFD1C03"/>
    <w:rsid w:val="4CFEE1E7"/>
    <w:rsid w:val="4D049AED"/>
    <w:rsid w:val="4D051B1B"/>
    <w:rsid w:val="4D06184B"/>
    <w:rsid w:val="4D0E6DD8"/>
    <w:rsid w:val="4D0F42AC"/>
    <w:rsid w:val="4D1E1932"/>
    <w:rsid w:val="4D212D51"/>
    <w:rsid w:val="4D2A9352"/>
    <w:rsid w:val="4D2AFBB7"/>
    <w:rsid w:val="4D2C86EB"/>
    <w:rsid w:val="4D3C990B"/>
    <w:rsid w:val="4D415F8F"/>
    <w:rsid w:val="4D4AD8D7"/>
    <w:rsid w:val="4D54457F"/>
    <w:rsid w:val="4D568E5E"/>
    <w:rsid w:val="4D5CD605"/>
    <w:rsid w:val="4D5D77F3"/>
    <w:rsid w:val="4D675923"/>
    <w:rsid w:val="4D6E74C5"/>
    <w:rsid w:val="4D764F95"/>
    <w:rsid w:val="4D774FFF"/>
    <w:rsid w:val="4D79EDE8"/>
    <w:rsid w:val="4D80E1FA"/>
    <w:rsid w:val="4D82C5C9"/>
    <w:rsid w:val="4D8476B8"/>
    <w:rsid w:val="4D850850"/>
    <w:rsid w:val="4D852CA4"/>
    <w:rsid w:val="4D879E49"/>
    <w:rsid w:val="4D8D381C"/>
    <w:rsid w:val="4D931299"/>
    <w:rsid w:val="4D94E484"/>
    <w:rsid w:val="4D950093"/>
    <w:rsid w:val="4D95CCA6"/>
    <w:rsid w:val="4DA0D42B"/>
    <w:rsid w:val="4DA9032F"/>
    <w:rsid w:val="4DA98E2F"/>
    <w:rsid w:val="4DB04789"/>
    <w:rsid w:val="4DBF78D9"/>
    <w:rsid w:val="4DCD1A41"/>
    <w:rsid w:val="4DD0D10D"/>
    <w:rsid w:val="4DDC66CA"/>
    <w:rsid w:val="4DDC9711"/>
    <w:rsid w:val="4DDE9E4F"/>
    <w:rsid w:val="4DE6866E"/>
    <w:rsid w:val="4DF04573"/>
    <w:rsid w:val="4DF53F87"/>
    <w:rsid w:val="4DF825D8"/>
    <w:rsid w:val="4DFA14F2"/>
    <w:rsid w:val="4DFEA101"/>
    <w:rsid w:val="4E01BA97"/>
    <w:rsid w:val="4E079DD4"/>
    <w:rsid w:val="4E15B11C"/>
    <w:rsid w:val="4E18979E"/>
    <w:rsid w:val="4E20AE94"/>
    <w:rsid w:val="4E25E4E7"/>
    <w:rsid w:val="4E26874A"/>
    <w:rsid w:val="4E289F6E"/>
    <w:rsid w:val="4E2C4D9B"/>
    <w:rsid w:val="4E31CB9C"/>
    <w:rsid w:val="4E3811C0"/>
    <w:rsid w:val="4E389E38"/>
    <w:rsid w:val="4E3BBF45"/>
    <w:rsid w:val="4E500E0F"/>
    <w:rsid w:val="4E5F827D"/>
    <w:rsid w:val="4E6201D7"/>
    <w:rsid w:val="4E664E8B"/>
    <w:rsid w:val="4E6793AC"/>
    <w:rsid w:val="4E6B4E84"/>
    <w:rsid w:val="4E6BD3BE"/>
    <w:rsid w:val="4E6EBCBD"/>
    <w:rsid w:val="4E7604E6"/>
    <w:rsid w:val="4E82E472"/>
    <w:rsid w:val="4E84C704"/>
    <w:rsid w:val="4E89B7CD"/>
    <w:rsid w:val="4E94743C"/>
    <w:rsid w:val="4E9707A1"/>
    <w:rsid w:val="4E9C6BEF"/>
    <w:rsid w:val="4E9DC241"/>
    <w:rsid w:val="4EAFA0AB"/>
    <w:rsid w:val="4EB01F16"/>
    <w:rsid w:val="4EB0FE2A"/>
    <w:rsid w:val="4EB6D786"/>
    <w:rsid w:val="4EBA702A"/>
    <w:rsid w:val="4EBB7685"/>
    <w:rsid w:val="4EBBE68D"/>
    <w:rsid w:val="4EBD08FA"/>
    <w:rsid w:val="4EBE0684"/>
    <w:rsid w:val="4EC2E6E8"/>
    <w:rsid w:val="4EC35610"/>
    <w:rsid w:val="4EC550EF"/>
    <w:rsid w:val="4ECA31DF"/>
    <w:rsid w:val="4ECC7337"/>
    <w:rsid w:val="4ECE4A8C"/>
    <w:rsid w:val="4ED77395"/>
    <w:rsid w:val="4ED907B7"/>
    <w:rsid w:val="4EDA5D02"/>
    <w:rsid w:val="4EDC7913"/>
    <w:rsid w:val="4EE81874"/>
    <w:rsid w:val="4EEDC144"/>
    <w:rsid w:val="4EEF0032"/>
    <w:rsid w:val="4EF598FD"/>
    <w:rsid w:val="4EF6B801"/>
    <w:rsid w:val="4EFDB9D4"/>
    <w:rsid w:val="4F01C8EA"/>
    <w:rsid w:val="4F092250"/>
    <w:rsid w:val="4F0C41EB"/>
    <w:rsid w:val="4F0C8A1F"/>
    <w:rsid w:val="4F0F4D49"/>
    <w:rsid w:val="4F11AF4C"/>
    <w:rsid w:val="4F15FA4A"/>
    <w:rsid w:val="4F170258"/>
    <w:rsid w:val="4F173882"/>
    <w:rsid w:val="4F176908"/>
    <w:rsid w:val="4F1DFA8C"/>
    <w:rsid w:val="4F208276"/>
    <w:rsid w:val="4F269B7F"/>
    <w:rsid w:val="4F272B44"/>
    <w:rsid w:val="4F292DC4"/>
    <w:rsid w:val="4F2ADB61"/>
    <w:rsid w:val="4F2FA997"/>
    <w:rsid w:val="4F3394E6"/>
    <w:rsid w:val="4F33B39F"/>
    <w:rsid w:val="4F37903F"/>
    <w:rsid w:val="4F38F3ED"/>
    <w:rsid w:val="4F43CF5C"/>
    <w:rsid w:val="4F465468"/>
    <w:rsid w:val="4F475E93"/>
    <w:rsid w:val="4F4B72AE"/>
    <w:rsid w:val="4F5BA2ED"/>
    <w:rsid w:val="4F66F30B"/>
    <w:rsid w:val="4F690E8C"/>
    <w:rsid w:val="4F6D4A59"/>
    <w:rsid w:val="4F6F2C67"/>
    <w:rsid w:val="4F7B37C9"/>
    <w:rsid w:val="4F7C8B5D"/>
    <w:rsid w:val="4F836F0D"/>
    <w:rsid w:val="4F8761E0"/>
    <w:rsid w:val="4F87F7FF"/>
    <w:rsid w:val="4F8C32F7"/>
    <w:rsid w:val="4F8E073C"/>
    <w:rsid w:val="4F8E3A4D"/>
    <w:rsid w:val="4F9465CF"/>
    <w:rsid w:val="4F94FF49"/>
    <w:rsid w:val="4F96314E"/>
    <w:rsid w:val="4F9BB857"/>
    <w:rsid w:val="4F9C08BF"/>
    <w:rsid w:val="4FA057AB"/>
    <w:rsid w:val="4FA21939"/>
    <w:rsid w:val="4FA8C85D"/>
    <w:rsid w:val="4FBF8090"/>
    <w:rsid w:val="4FC30142"/>
    <w:rsid w:val="4FC5CFC3"/>
    <w:rsid w:val="4FC6E1D3"/>
    <w:rsid w:val="4FCBE640"/>
    <w:rsid w:val="4FD2FBA4"/>
    <w:rsid w:val="4FD5BCEE"/>
    <w:rsid w:val="4FD991DE"/>
    <w:rsid w:val="4FDD8148"/>
    <w:rsid w:val="4FE13E3E"/>
    <w:rsid w:val="4FE704B0"/>
    <w:rsid w:val="4FEC5A5E"/>
    <w:rsid w:val="4FEEC660"/>
    <w:rsid w:val="4FF191FF"/>
    <w:rsid w:val="4FFD8FF0"/>
    <w:rsid w:val="4FFE4E6B"/>
    <w:rsid w:val="4FFF3BE1"/>
    <w:rsid w:val="500450AF"/>
    <w:rsid w:val="500682BE"/>
    <w:rsid w:val="500C2C29"/>
    <w:rsid w:val="500D797E"/>
    <w:rsid w:val="500F42C1"/>
    <w:rsid w:val="500FE09F"/>
    <w:rsid w:val="5014EA2C"/>
    <w:rsid w:val="502BE86C"/>
    <w:rsid w:val="502D8D92"/>
    <w:rsid w:val="50329E0F"/>
    <w:rsid w:val="503CB34A"/>
    <w:rsid w:val="50413A40"/>
    <w:rsid w:val="5041F152"/>
    <w:rsid w:val="5042C815"/>
    <w:rsid w:val="504F1569"/>
    <w:rsid w:val="5054267A"/>
    <w:rsid w:val="5057A9EC"/>
    <w:rsid w:val="506718EC"/>
    <w:rsid w:val="506955EC"/>
    <w:rsid w:val="506C53AC"/>
    <w:rsid w:val="506C8D9A"/>
    <w:rsid w:val="5073739E"/>
    <w:rsid w:val="507545B9"/>
    <w:rsid w:val="5081D9BA"/>
    <w:rsid w:val="50880D4F"/>
    <w:rsid w:val="5089BDD8"/>
    <w:rsid w:val="508D8A1E"/>
    <w:rsid w:val="5090B950"/>
    <w:rsid w:val="5092E169"/>
    <w:rsid w:val="50936579"/>
    <w:rsid w:val="50A009DE"/>
    <w:rsid w:val="50A2932B"/>
    <w:rsid w:val="50A76CE7"/>
    <w:rsid w:val="50AAB47A"/>
    <w:rsid w:val="50AFEDDC"/>
    <w:rsid w:val="50BC3345"/>
    <w:rsid w:val="50BF8E64"/>
    <w:rsid w:val="50C01363"/>
    <w:rsid w:val="50C0D7E1"/>
    <w:rsid w:val="50C479D3"/>
    <w:rsid w:val="50CAD182"/>
    <w:rsid w:val="50CAD635"/>
    <w:rsid w:val="50CC2947"/>
    <w:rsid w:val="50D6EDD0"/>
    <w:rsid w:val="50E83C95"/>
    <w:rsid w:val="50EB57CE"/>
    <w:rsid w:val="50EE52F3"/>
    <w:rsid w:val="50EFEAE2"/>
    <w:rsid w:val="50F2565C"/>
    <w:rsid w:val="511AB202"/>
    <w:rsid w:val="511E2A4A"/>
    <w:rsid w:val="5121F3CF"/>
    <w:rsid w:val="51260E18"/>
    <w:rsid w:val="512BDE88"/>
    <w:rsid w:val="512D5BCC"/>
    <w:rsid w:val="51312599"/>
    <w:rsid w:val="513B9A01"/>
    <w:rsid w:val="513F3CB3"/>
    <w:rsid w:val="513F7D8F"/>
    <w:rsid w:val="5145265D"/>
    <w:rsid w:val="5146BC7B"/>
    <w:rsid w:val="51540E9F"/>
    <w:rsid w:val="5158C27A"/>
    <w:rsid w:val="516D5A3B"/>
    <w:rsid w:val="516E5500"/>
    <w:rsid w:val="517BD476"/>
    <w:rsid w:val="517D14DF"/>
    <w:rsid w:val="517D1F94"/>
    <w:rsid w:val="5182CE9D"/>
    <w:rsid w:val="51838738"/>
    <w:rsid w:val="51876354"/>
    <w:rsid w:val="518FA2D8"/>
    <w:rsid w:val="518FFD90"/>
    <w:rsid w:val="519112A7"/>
    <w:rsid w:val="5196D99A"/>
    <w:rsid w:val="5197C817"/>
    <w:rsid w:val="519A389C"/>
    <w:rsid w:val="519A53D2"/>
    <w:rsid w:val="519A6A82"/>
    <w:rsid w:val="519CC16B"/>
    <w:rsid w:val="519F49B0"/>
    <w:rsid w:val="519FE20C"/>
    <w:rsid w:val="51AEF70C"/>
    <w:rsid w:val="51AF25D8"/>
    <w:rsid w:val="51B0C37C"/>
    <w:rsid w:val="51B931B6"/>
    <w:rsid w:val="51BA9450"/>
    <w:rsid w:val="51BDE737"/>
    <w:rsid w:val="51C5B155"/>
    <w:rsid w:val="51C7565D"/>
    <w:rsid w:val="51CBA5F6"/>
    <w:rsid w:val="51D19685"/>
    <w:rsid w:val="51E265D3"/>
    <w:rsid w:val="51E5C68F"/>
    <w:rsid w:val="51E70B69"/>
    <w:rsid w:val="51EBD285"/>
    <w:rsid w:val="51F066AF"/>
    <w:rsid w:val="51F10949"/>
    <w:rsid w:val="51FB4E71"/>
    <w:rsid w:val="5200332C"/>
    <w:rsid w:val="520D96AC"/>
    <w:rsid w:val="520E8B73"/>
    <w:rsid w:val="52127BBD"/>
    <w:rsid w:val="5216932B"/>
    <w:rsid w:val="521CD211"/>
    <w:rsid w:val="5225EF8F"/>
    <w:rsid w:val="5230B18D"/>
    <w:rsid w:val="52372DF8"/>
    <w:rsid w:val="523738C6"/>
    <w:rsid w:val="523CC8ED"/>
    <w:rsid w:val="524BFD79"/>
    <w:rsid w:val="5250EEDA"/>
    <w:rsid w:val="5251417A"/>
    <w:rsid w:val="5252957F"/>
    <w:rsid w:val="525B6802"/>
    <w:rsid w:val="525B8222"/>
    <w:rsid w:val="525C8E69"/>
    <w:rsid w:val="52600BAC"/>
    <w:rsid w:val="5261FDEA"/>
    <w:rsid w:val="5264CA46"/>
    <w:rsid w:val="52654B51"/>
    <w:rsid w:val="526B6992"/>
    <w:rsid w:val="526EFC60"/>
    <w:rsid w:val="52730C7E"/>
    <w:rsid w:val="52738A2A"/>
    <w:rsid w:val="5279AC06"/>
    <w:rsid w:val="528C6CF7"/>
    <w:rsid w:val="529028C8"/>
    <w:rsid w:val="5294AE76"/>
    <w:rsid w:val="52990260"/>
    <w:rsid w:val="529CADC1"/>
    <w:rsid w:val="52A31294"/>
    <w:rsid w:val="52A33F42"/>
    <w:rsid w:val="52AE0760"/>
    <w:rsid w:val="52B3A262"/>
    <w:rsid w:val="52B4CC0B"/>
    <w:rsid w:val="52B5CB9A"/>
    <w:rsid w:val="52B889BA"/>
    <w:rsid w:val="52B8A6C7"/>
    <w:rsid w:val="52B90BF9"/>
    <w:rsid w:val="52B9F53F"/>
    <w:rsid w:val="52C56104"/>
    <w:rsid w:val="52CE8A9C"/>
    <w:rsid w:val="52D188E0"/>
    <w:rsid w:val="52D3D754"/>
    <w:rsid w:val="52D5C363"/>
    <w:rsid w:val="52D7C96D"/>
    <w:rsid w:val="52D9F519"/>
    <w:rsid w:val="52DA0B3F"/>
    <w:rsid w:val="52F8931A"/>
    <w:rsid w:val="52FAF42D"/>
    <w:rsid w:val="530289B2"/>
    <w:rsid w:val="5302C894"/>
    <w:rsid w:val="5307A59D"/>
    <w:rsid w:val="530F0CD3"/>
    <w:rsid w:val="53152E2A"/>
    <w:rsid w:val="5317B04D"/>
    <w:rsid w:val="5319DCA1"/>
    <w:rsid w:val="5322AD05"/>
    <w:rsid w:val="532874BE"/>
    <w:rsid w:val="5329C497"/>
    <w:rsid w:val="532AD486"/>
    <w:rsid w:val="534B47F3"/>
    <w:rsid w:val="5353D8C0"/>
    <w:rsid w:val="5359439E"/>
    <w:rsid w:val="535ACFCE"/>
    <w:rsid w:val="5366DD75"/>
    <w:rsid w:val="5371E402"/>
    <w:rsid w:val="5376248C"/>
    <w:rsid w:val="537A9091"/>
    <w:rsid w:val="537CAAE4"/>
    <w:rsid w:val="538631D0"/>
    <w:rsid w:val="538FED66"/>
    <w:rsid w:val="53964140"/>
    <w:rsid w:val="539A7AE5"/>
    <w:rsid w:val="539B38F1"/>
    <w:rsid w:val="53A7A341"/>
    <w:rsid w:val="53AA5A47"/>
    <w:rsid w:val="53AC57C9"/>
    <w:rsid w:val="53B325CD"/>
    <w:rsid w:val="53B9CEC9"/>
    <w:rsid w:val="53BE4BDE"/>
    <w:rsid w:val="53C36381"/>
    <w:rsid w:val="53D1B699"/>
    <w:rsid w:val="53DBB6B2"/>
    <w:rsid w:val="53DCB19B"/>
    <w:rsid w:val="53E0103E"/>
    <w:rsid w:val="53E0AF27"/>
    <w:rsid w:val="53E2F2FE"/>
    <w:rsid w:val="53EB3B3C"/>
    <w:rsid w:val="53EDF81A"/>
    <w:rsid w:val="53F99656"/>
    <w:rsid w:val="53FDF29F"/>
    <w:rsid w:val="5403D9E4"/>
    <w:rsid w:val="5404BCDF"/>
    <w:rsid w:val="54065F32"/>
    <w:rsid w:val="54094A43"/>
    <w:rsid w:val="540F2216"/>
    <w:rsid w:val="5421920D"/>
    <w:rsid w:val="5428AE38"/>
    <w:rsid w:val="542F10CA"/>
    <w:rsid w:val="5433E6C1"/>
    <w:rsid w:val="5436D7C5"/>
    <w:rsid w:val="54387FEC"/>
    <w:rsid w:val="543A67BC"/>
    <w:rsid w:val="543CEB76"/>
    <w:rsid w:val="543FF712"/>
    <w:rsid w:val="54467FDF"/>
    <w:rsid w:val="544AFD28"/>
    <w:rsid w:val="544B2BED"/>
    <w:rsid w:val="54580B50"/>
    <w:rsid w:val="54610203"/>
    <w:rsid w:val="54630AC2"/>
    <w:rsid w:val="5466C282"/>
    <w:rsid w:val="54688A02"/>
    <w:rsid w:val="546AF820"/>
    <w:rsid w:val="547A44B8"/>
    <w:rsid w:val="547D520B"/>
    <w:rsid w:val="548BEA12"/>
    <w:rsid w:val="548DE6FE"/>
    <w:rsid w:val="549D2A75"/>
    <w:rsid w:val="54A3272F"/>
    <w:rsid w:val="54A98F82"/>
    <w:rsid w:val="54B3267C"/>
    <w:rsid w:val="54B59097"/>
    <w:rsid w:val="54BDEF4D"/>
    <w:rsid w:val="54C2A558"/>
    <w:rsid w:val="54C4B48B"/>
    <w:rsid w:val="54CB925D"/>
    <w:rsid w:val="54CCE3F5"/>
    <w:rsid w:val="54DB8C17"/>
    <w:rsid w:val="54E7A99D"/>
    <w:rsid w:val="54F8C51B"/>
    <w:rsid w:val="54FCFA23"/>
    <w:rsid w:val="5507E35E"/>
    <w:rsid w:val="550A6209"/>
    <w:rsid w:val="551DAD79"/>
    <w:rsid w:val="552374EE"/>
    <w:rsid w:val="5523D641"/>
    <w:rsid w:val="55270240"/>
    <w:rsid w:val="552AA460"/>
    <w:rsid w:val="552D1D9C"/>
    <w:rsid w:val="552F5760"/>
    <w:rsid w:val="55304BE7"/>
    <w:rsid w:val="5531E3A3"/>
    <w:rsid w:val="55384598"/>
    <w:rsid w:val="553A5D3F"/>
    <w:rsid w:val="553EB2C3"/>
    <w:rsid w:val="554F808A"/>
    <w:rsid w:val="556758C1"/>
    <w:rsid w:val="556B32F4"/>
    <w:rsid w:val="55720770"/>
    <w:rsid w:val="5573C5EF"/>
    <w:rsid w:val="55743552"/>
    <w:rsid w:val="55869539"/>
    <w:rsid w:val="5587401B"/>
    <w:rsid w:val="558A6A3E"/>
    <w:rsid w:val="558E0C14"/>
    <w:rsid w:val="558FBF7E"/>
    <w:rsid w:val="5596BF2C"/>
    <w:rsid w:val="559A7213"/>
    <w:rsid w:val="559D264F"/>
    <w:rsid w:val="559F09A0"/>
    <w:rsid w:val="55A7993A"/>
    <w:rsid w:val="55B37C0B"/>
    <w:rsid w:val="55B8CECE"/>
    <w:rsid w:val="55BA9DEE"/>
    <w:rsid w:val="55BD076B"/>
    <w:rsid w:val="55C6A98F"/>
    <w:rsid w:val="55C6E163"/>
    <w:rsid w:val="55D2F4F2"/>
    <w:rsid w:val="55D66FB4"/>
    <w:rsid w:val="55D9E0A7"/>
    <w:rsid w:val="55DFA221"/>
    <w:rsid w:val="55EBE791"/>
    <w:rsid w:val="55EEC7E6"/>
    <w:rsid w:val="55EF1362"/>
    <w:rsid w:val="55F4CC56"/>
    <w:rsid w:val="55F84378"/>
    <w:rsid w:val="55FDD364"/>
    <w:rsid w:val="55FF625A"/>
    <w:rsid w:val="56023C11"/>
    <w:rsid w:val="5609F351"/>
    <w:rsid w:val="560CA312"/>
    <w:rsid w:val="561CBC35"/>
    <w:rsid w:val="56277CB2"/>
    <w:rsid w:val="563E220C"/>
    <w:rsid w:val="563FAF80"/>
    <w:rsid w:val="5640C5DA"/>
    <w:rsid w:val="564398CF"/>
    <w:rsid w:val="56557721"/>
    <w:rsid w:val="565E5D00"/>
    <w:rsid w:val="5660D471"/>
    <w:rsid w:val="566A42DE"/>
    <w:rsid w:val="566E5395"/>
    <w:rsid w:val="567D6C26"/>
    <w:rsid w:val="56807A3E"/>
    <w:rsid w:val="5680F679"/>
    <w:rsid w:val="5681809A"/>
    <w:rsid w:val="56823A30"/>
    <w:rsid w:val="568DA42E"/>
    <w:rsid w:val="568DFFF4"/>
    <w:rsid w:val="56961864"/>
    <w:rsid w:val="56963C3D"/>
    <w:rsid w:val="569744AB"/>
    <w:rsid w:val="569B5BB0"/>
    <w:rsid w:val="56A01C46"/>
    <w:rsid w:val="56A46C07"/>
    <w:rsid w:val="56AF9B19"/>
    <w:rsid w:val="56AFDDB2"/>
    <w:rsid w:val="56B130C1"/>
    <w:rsid w:val="56B16187"/>
    <w:rsid w:val="56B16894"/>
    <w:rsid w:val="56B22B26"/>
    <w:rsid w:val="56B28858"/>
    <w:rsid w:val="56B73E03"/>
    <w:rsid w:val="56B9C993"/>
    <w:rsid w:val="56BBA87D"/>
    <w:rsid w:val="56BBDDF0"/>
    <w:rsid w:val="56BD6AA7"/>
    <w:rsid w:val="56C27C1B"/>
    <w:rsid w:val="56C47253"/>
    <w:rsid w:val="56CA3EAE"/>
    <w:rsid w:val="56CA450F"/>
    <w:rsid w:val="56CC7332"/>
    <w:rsid w:val="56D12D25"/>
    <w:rsid w:val="56D3679B"/>
    <w:rsid w:val="56E08911"/>
    <w:rsid w:val="56E217AE"/>
    <w:rsid w:val="56EA2377"/>
    <w:rsid w:val="56EAC3B7"/>
    <w:rsid w:val="56F31591"/>
    <w:rsid w:val="56F50E66"/>
    <w:rsid w:val="56F51230"/>
    <w:rsid w:val="57025775"/>
    <w:rsid w:val="57073A24"/>
    <w:rsid w:val="570AC56B"/>
    <w:rsid w:val="571C1B44"/>
    <w:rsid w:val="571D4179"/>
    <w:rsid w:val="571E660C"/>
    <w:rsid w:val="5723E5E6"/>
    <w:rsid w:val="572B498C"/>
    <w:rsid w:val="5732C739"/>
    <w:rsid w:val="573D5D98"/>
    <w:rsid w:val="573DBFD1"/>
    <w:rsid w:val="57461F86"/>
    <w:rsid w:val="574DEE79"/>
    <w:rsid w:val="5751DEFD"/>
    <w:rsid w:val="5752C970"/>
    <w:rsid w:val="5752CDF5"/>
    <w:rsid w:val="575A4B96"/>
    <w:rsid w:val="575B10EA"/>
    <w:rsid w:val="575BC023"/>
    <w:rsid w:val="575D4EA5"/>
    <w:rsid w:val="576AD6A8"/>
    <w:rsid w:val="5773F12C"/>
    <w:rsid w:val="577ACC1B"/>
    <w:rsid w:val="577BDBE1"/>
    <w:rsid w:val="577ED877"/>
    <w:rsid w:val="57805273"/>
    <w:rsid w:val="579C1575"/>
    <w:rsid w:val="57A0B3EF"/>
    <w:rsid w:val="57A37B32"/>
    <w:rsid w:val="57A3C986"/>
    <w:rsid w:val="57A8A9FB"/>
    <w:rsid w:val="57AFB235"/>
    <w:rsid w:val="57B2DD39"/>
    <w:rsid w:val="57B58121"/>
    <w:rsid w:val="57BE640F"/>
    <w:rsid w:val="57CA948C"/>
    <w:rsid w:val="57CC6661"/>
    <w:rsid w:val="57D187E4"/>
    <w:rsid w:val="57D63367"/>
    <w:rsid w:val="57DA0519"/>
    <w:rsid w:val="57E3DB21"/>
    <w:rsid w:val="57E7E07E"/>
    <w:rsid w:val="57EE85C6"/>
    <w:rsid w:val="57EEB558"/>
    <w:rsid w:val="57F09A03"/>
    <w:rsid w:val="57F9720F"/>
    <w:rsid w:val="58053535"/>
    <w:rsid w:val="5814D184"/>
    <w:rsid w:val="581633D8"/>
    <w:rsid w:val="5817064A"/>
    <w:rsid w:val="581DDC70"/>
    <w:rsid w:val="582024E6"/>
    <w:rsid w:val="58332125"/>
    <w:rsid w:val="583484E3"/>
    <w:rsid w:val="5835101E"/>
    <w:rsid w:val="583BAFE2"/>
    <w:rsid w:val="5857493C"/>
    <w:rsid w:val="585BB6FA"/>
    <w:rsid w:val="5867FE9D"/>
    <w:rsid w:val="586C324B"/>
    <w:rsid w:val="587E2FAD"/>
    <w:rsid w:val="58850A03"/>
    <w:rsid w:val="588D5F80"/>
    <w:rsid w:val="589645F9"/>
    <w:rsid w:val="589AE675"/>
    <w:rsid w:val="58A58FCA"/>
    <w:rsid w:val="58A8995B"/>
    <w:rsid w:val="58A9A05B"/>
    <w:rsid w:val="58AD2614"/>
    <w:rsid w:val="58B6C465"/>
    <w:rsid w:val="58BB97F3"/>
    <w:rsid w:val="58BE5AA2"/>
    <w:rsid w:val="58C17802"/>
    <w:rsid w:val="58C6094D"/>
    <w:rsid w:val="58CC7F2E"/>
    <w:rsid w:val="58D3E961"/>
    <w:rsid w:val="58E5F8E9"/>
    <w:rsid w:val="58EFAF1E"/>
    <w:rsid w:val="58FB33E6"/>
    <w:rsid w:val="58FEA456"/>
    <w:rsid w:val="58FF1205"/>
    <w:rsid w:val="59147E59"/>
    <w:rsid w:val="593414C6"/>
    <w:rsid w:val="59431A6D"/>
    <w:rsid w:val="59446751"/>
    <w:rsid w:val="59451D49"/>
    <w:rsid w:val="594916FC"/>
    <w:rsid w:val="594CCF49"/>
    <w:rsid w:val="594D902C"/>
    <w:rsid w:val="59518AE4"/>
    <w:rsid w:val="5953F481"/>
    <w:rsid w:val="59613CBD"/>
    <w:rsid w:val="5963C865"/>
    <w:rsid w:val="5966FD85"/>
    <w:rsid w:val="596715DA"/>
    <w:rsid w:val="597F1093"/>
    <w:rsid w:val="5983912C"/>
    <w:rsid w:val="5985559C"/>
    <w:rsid w:val="599CF7A7"/>
    <w:rsid w:val="599E033C"/>
    <w:rsid w:val="599FD8BF"/>
    <w:rsid w:val="59A332FA"/>
    <w:rsid w:val="59A78762"/>
    <w:rsid w:val="59A945E3"/>
    <w:rsid w:val="59AC4529"/>
    <w:rsid w:val="59ACF639"/>
    <w:rsid w:val="59ADE758"/>
    <w:rsid w:val="59B34389"/>
    <w:rsid w:val="59BA9F24"/>
    <w:rsid w:val="59BC80D0"/>
    <w:rsid w:val="59C0560E"/>
    <w:rsid w:val="59C30A36"/>
    <w:rsid w:val="59CA76E1"/>
    <w:rsid w:val="59CEBBDE"/>
    <w:rsid w:val="59D18E0B"/>
    <w:rsid w:val="59D7FB7D"/>
    <w:rsid w:val="59DD04ED"/>
    <w:rsid w:val="59DDAF6C"/>
    <w:rsid w:val="59E5D4D0"/>
    <w:rsid w:val="59E74C37"/>
    <w:rsid w:val="59E8E0FA"/>
    <w:rsid w:val="59E8F8C8"/>
    <w:rsid w:val="59F4A3F7"/>
    <w:rsid w:val="59F58856"/>
    <w:rsid w:val="59F6E80A"/>
    <w:rsid w:val="5A0A76EC"/>
    <w:rsid w:val="5A0AAFEA"/>
    <w:rsid w:val="5A0E1050"/>
    <w:rsid w:val="5A0E1086"/>
    <w:rsid w:val="5A0F847F"/>
    <w:rsid w:val="5A0FFB06"/>
    <w:rsid w:val="5A16BA81"/>
    <w:rsid w:val="5A1A567F"/>
    <w:rsid w:val="5A1FA5CF"/>
    <w:rsid w:val="5A28B7E2"/>
    <w:rsid w:val="5A2C05AA"/>
    <w:rsid w:val="5A38BEE8"/>
    <w:rsid w:val="5A3AE8F1"/>
    <w:rsid w:val="5A3BE3A3"/>
    <w:rsid w:val="5A3CCA26"/>
    <w:rsid w:val="5A466EC8"/>
    <w:rsid w:val="5A5FE292"/>
    <w:rsid w:val="5A61577D"/>
    <w:rsid w:val="5A61C81A"/>
    <w:rsid w:val="5A633C34"/>
    <w:rsid w:val="5A6DAD32"/>
    <w:rsid w:val="5A704284"/>
    <w:rsid w:val="5A7488B9"/>
    <w:rsid w:val="5A767CF9"/>
    <w:rsid w:val="5A790DAA"/>
    <w:rsid w:val="5A80F8F9"/>
    <w:rsid w:val="5A844CB2"/>
    <w:rsid w:val="5A87744F"/>
    <w:rsid w:val="5A8AD542"/>
    <w:rsid w:val="5A9996EB"/>
    <w:rsid w:val="5AA056C7"/>
    <w:rsid w:val="5AA0C619"/>
    <w:rsid w:val="5AA9B2D8"/>
    <w:rsid w:val="5AB20390"/>
    <w:rsid w:val="5AC8B788"/>
    <w:rsid w:val="5ACD6256"/>
    <w:rsid w:val="5ACEF959"/>
    <w:rsid w:val="5AD343BE"/>
    <w:rsid w:val="5AD374E2"/>
    <w:rsid w:val="5AD488E6"/>
    <w:rsid w:val="5ADCAFD6"/>
    <w:rsid w:val="5AE720E6"/>
    <w:rsid w:val="5AE824C0"/>
    <w:rsid w:val="5AEE64BD"/>
    <w:rsid w:val="5AF7788F"/>
    <w:rsid w:val="5AF7FD2C"/>
    <w:rsid w:val="5AFA99D8"/>
    <w:rsid w:val="5AFF3D07"/>
    <w:rsid w:val="5B060B28"/>
    <w:rsid w:val="5B0B5670"/>
    <w:rsid w:val="5B1139FF"/>
    <w:rsid w:val="5B1409DA"/>
    <w:rsid w:val="5B16A4A3"/>
    <w:rsid w:val="5B185AC0"/>
    <w:rsid w:val="5B199367"/>
    <w:rsid w:val="5B1BAC5E"/>
    <w:rsid w:val="5B21FA29"/>
    <w:rsid w:val="5B248BDD"/>
    <w:rsid w:val="5B2A11E4"/>
    <w:rsid w:val="5B2C7CE2"/>
    <w:rsid w:val="5B32B4AE"/>
    <w:rsid w:val="5B433DB8"/>
    <w:rsid w:val="5B497680"/>
    <w:rsid w:val="5B4A31FA"/>
    <w:rsid w:val="5B502475"/>
    <w:rsid w:val="5B5171DA"/>
    <w:rsid w:val="5B517605"/>
    <w:rsid w:val="5B52AC43"/>
    <w:rsid w:val="5B5E42ED"/>
    <w:rsid w:val="5B5EEDE6"/>
    <w:rsid w:val="5B609499"/>
    <w:rsid w:val="5B629348"/>
    <w:rsid w:val="5B64952A"/>
    <w:rsid w:val="5B678EE5"/>
    <w:rsid w:val="5B691822"/>
    <w:rsid w:val="5B6AAACC"/>
    <w:rsid w:val="5B6D8629"/>
    <w:rsid w:val="5B7AEB5C"/>
    <w:rsid w:val="5B81E36D"/>
    <w:rsid w:val="5B8C1F5A"/>
    <w:rsid w:val="5B8C7CF4"/>
    <w:rsid w:val="5B8D8CC6"/>
    <w:rsid w:val="5B9102AE"/>
    <w:rsid w:val="5B975CEA"/>
    <w:rsid w:val="5B983C2B"/>
    <w:rsid w:val="5B9ABE17"/>
    <w:rsid w:val="5BA3BDD0"/>
    <w:rsid w:val="5BA767BA"/>
    <w:rsid w:val="5BA84EE6"/>
    <w:rsid w:val="5BA8B6CD"/>
    <w:rsid w:val="5BAA100F"/>
    <w:rsid w:val="5BB6CA35"/>
    <w:rsid w:val="5BB6F4D8"/>
    <w:rsid w:val="5BBD0C47"/>
    <w:rsid w:val="5BBE4A90"/>
    <w:rsid w:val="5BC04EC8"/>
    <w:rsid w:val="5BC37C83"/>
    <w:rsid w:val="5BCA2F69"/>
    <w:rsid w:val="5BD0141A"/>
    <w:rsid w:val="5BD1F60E"/>
    <w:rsid w:val="5BDA5152"/>
    <w:rsid w:val="5BDB8B20"/>
    <w:rsid w:val="5BE451CA"/>
    <w:rsid w:val="5BE4FEFD"/>
    <w:rsid w:val="5BEAB94F"/>
    <w:rsid w:val="5BECCBC8"/>
    <w:rsid w:val="5BF10258"/>
    <w:rsid w:val="5BF33262"/>
    <w:rsid w:val="5BF420D1"/>
    <w:rsid w:val="5C06E917"/>
    <w:rsid w:val="5C07296D"/>
    <w:rsid w:val="5C0820EF"/>
    <w:rsid w:val="5C0E49C7"/>
    <w:rsid w:val="5C0E73FC"/>
    <w:rsid w:val="5C146A92"/>
    <w:rsid w:val="5C14988E"/>
    <w:rsid w:val="5C1D948F"/>
    <w:rsid w:val="5C1E5D30"/>
    <w:rsid w:val="5C223C7D"/>
    <w:rsid w:val="5C226ECA"/>
    <w:rsid w:val="5C231EBD"/>
    <w:rsid w:val="5C24BF85"/>
    <w:rsid w:val="5C256A5F"/>
    <w:rsid w:val="5C32A007"/>
    <w:rsid w:val="5C360C70"/>
    <w:rsid w:val="5C3E7969"/>
    <w:rsid w:val="5C418F7B"/>
    <w:rsid w:val="5C46AE78"/>
    <w:rsid w:val="5C4B2D11"/>
    <w:rsid w:val="5C65FAA9"/>
    <w:rsid w:val="5C6B584D"/>
    <w:rsid w:val="5C6FD6DB"/>
    <w:rsid w:val="5C701C4C"/>
    <w:rsid w:val="5C7593D1"/>
    <w:rsid w:val="5C7989AE"/>
    <w:rsid w:val="5C7B268D"/>
    <w:rsid w:val="5C8B3D84"/>
    <w:rsid w:val="5C8D5CEE"/>
    <w:rsid w:val="5C8DC268"/>
    <w:rsid w:val="5C8E5E09"/>
    <w:rsid w:val="5C91F284"/>
    <w:rsid w:val="5C982456"/>
    <w:rsid w:val="5C99E14F"/>
    <w:rsid w:val="5CA8EA1D"/>
    <w:rsid w:val="5CB83F32"/>
    <w:rsid w:val="5CB8C3F4"/>
    <w:rsid w:val="5CC44303"/>
    <w:rsid w:val="5CC541FB"/>
    <w:rsid w:val="5CC54670"/>
    <w:rsid w:val="5CD3FA8D"/>
    <w:rsid w:val="5CD5CB88"/>
    <w:rsid w:val="5CD79A14"/>
    <w:rsid w:val="5CD9390C"/>
    <w:rsid w:val="5CDCECD6"/>
    <w:rsid w:val="5CDE9E7F"/>
    <w:rsid w:val="5CE967B6"/>
    <w:rsid w:val="5CEA4C38"/>
    <w:rsid w:val="5CEE9F8F"/>
    <w:rsid w:val="5CF7F24D"/>
    <w:rsid w:val="5CF83827"/>
    <w:rsid w:val="5CFE5D0A"/>
    <w:rsid w:val="5D0052CF"/>
    <w:rsid w:val="5D00C865"/>
    <w:rsid w:val="5D012684"/>
    <w:rsid w:val="5D091A64"/>
    <w:rsid w:val="5D1D33D8"/>
    <w:rsid w:val="5D2360C6"/>
    <w:rsid w:val="5D2452AF"/>
    <w:rsid w:val="5D289CEF"/>
    <w:rsid w:val="5D2D49C6"/>
    <w:rsid w:val="5D322A88"/>
    <w:rsid w:val="5D39EEB3"/>
    <w:rsid w:val="5D3A9B8A"/>
    <w:rsid w:val="5D3B17E9"/>
    <w:rsid w:val="5D3DA3D7"/>
    <w:rsid w:val="5D415E4A"/>
    <w:rsid w:val="5D43AA5C"/>
    <w:rsid w:val="5D49F8E1"/>
    <w:rsid w:val="5D4AE211"/>
    <w:rsid w:val="5D4C3BE1"/>
    <w:rsid w:val="5D52C722"/>
    <w:rsid w:val="5D594149"/>
    <w:rsid w:val="5D5DADC8"/>
    <w:rsid w:val="5D5ED41D"/>
    <w:rsid w:val="5D5F526D"/>
    <w:rsid w:val="5D5FD94B"/>
    <w:rsid w:val="5D63BDCA"/>
    <w:rsid w:val="5D66C06A"/>
    <w:rsid w:val="5D6A02A9"/>
    <w:rsid w:val="5D6B64B6"/>
    <w:rsid w:val="5D6B691D"/>
    <w:rsid w:val="5D7507F5"/>
    <w:rsid w:val="5D76DF40"/>
    <w:rsid w:val="5D8C8790"/>
    <w:rsid w:val="5D8EF855"/>
    <w:rsid w:val="5D992149"/>
    <w:rsid w:val="5DA050F7"/>
    <w:rsid w:val="5DA5D241"/>
    <w:rsid w:val="5DB67438"/>
    <w:rsid w:val="5DBBC6DB"/>
    <w:rsid w:val="5DC5B5C3"/>
    <w:rsid w:val="5DD12A31"/>
    <w:rsid w:val="5DD4A7C8"/>
    <w:rsid w:val="5DD7F7FF"/>
    <w:rsid w:val="5DE18BFD"/>
    <w:rsid w:val="5DE55895"/>
    <w:rsid w:val="5DE93E0D"/>
    <w:rsid w:val="5DEAA68C"/>
    <w:rsid w:val="5DF0DED0"/>
    <w:rsid w:val="5DF305FD"/>
    <w:rsid w:val="5DF9920C"/>
    <w:rsid w:val="5DFFD6F1"/>
    <w:rsid w:val="5E00A186"/>
    <w:rsid w:val="5E04BB8C"/>
    <w:rsid w:val="5E07AE04"/>
    <w:rsid w:val="5E0CF97B"/>
    <w:rsid w:val="5E14A41F"/>
    <w:rsid w:val="5E1B258D"/>
    <w:rsid w:val="5E2B7892"/>
    <w:rsid w:val="5E316E26"/>
    <w:rsid w:val="5E36B0D3"/>
    <w:rsid w:val="5E3A604E"/>
    <w:rsid w:val="5E3B5171"/>
    <w:rsid w:val="5E3BD5E5"/>
    <w:rsid w:val="5E3C0EB1"/>
    <w:rsid w:val="5E4D207A"/>
    <w:rsid w:val="5E5BB195"/>
    <w:rsid w:val="5E62E323"/>
    <w:rsid w:val="5E68F110"/>
    <w:rsid w:val="5E70F56E"/>
    <w:rsid w:val="5E71A66F"/>
    <w:rsid w:val="5E77E0A0"/>
    <w:rsid w:val="5E7C7D37"/>
    <w:rsid w:val="5E7CAC03"/>
    <w:rsid w:val="5E8886B8"/>
    <w:rsid w:val="5E9C7D88"/>
    <w:rsid w:val="5E9CD0B1"/>
    <w:rsid w:val="5EAA0918"/>
    <w:rsid w:val="5EB52453"/>
    <w:rsid w:val="5EB61CB9"/>
    <w:rsid w:val="5EBF0CA7"/>
    <w:rsid w:val="5EC5310D"/>
    <w:rsid w:val="5EC71CEA"/>
    <w:rsid w:val="5ED0AB09"/>
    <w:rsid w:val="5ED612AC"/>
    <w:rsid w:val="5EDBB2C7"/>
    <w:rsid w:val="5EDFDFF0"/>
    <w:rsid w:val="5EE05094"/>
    <w:rsid w:val="5EE76A19"/>
    <w:rsid w:val="5EE7A5CD"/>
    <w:rsid w:val="5EE8A129"/>
    <w:rsid w:val="5EEC4F09"/>
    <w:rsid w:val="5EEEC9F5"/>
    <w:rsid w:val="5EF2C188"/>
    <w:rsid w:val="5EF61806"/>
    <w:rsid w:val="5EFDDAB8"/>
    <w:rsid w:val="5F037A28"/>
    <w:rsid w:val="5F064D32"/>
    <w:rsid w:val="5F0744ED"/>
    <w:rsid w:val="5F0FCBB5"/>
    <w:rsid w:val="5F141E33"/>
    <w:rsid w:val="5F1699A5"/>
    <w:rsid w:val="5F20F461"/>
    <w:rsid w:val="5F22E05E"/>
    <w:rsid w:val="5F241704"/>
    <w:rsid w:val="5F24325D"/>
    <w:rsid w:val="5F253F0A"/>
    <w:rsid w:val="5F2AB1EA"/>
    <w:rsid w:val="5F333FE4"/>
    <w:rsid w:val="5F3E037A"/>
    <w:rsid w:val="5F402607"/>
    <w:rsid w:val="5F421508"/>
    <w:rsid w:val="5F45B2D0"/>
    <w:rsid w:val="5F484CC0"/>
    <w:rsid w:val="5F497B40"/>
    <w:rsid w:val="5F4FB844"/>
    <w:rsid w:val="5F532F4F"/>
    <w:rsid w:val="5F5C0B6F"/>
    <w:rsid w:val="5F6BA6EE"/>
    <w:rsid w:val="5F6DA832"/>
    <w:rsid w:val="5F70029E"/>
    <w:rsid w:val="5F7707FA"/>
    <w:rsid w:val="5F7A3820"/>
    <w:rsid w:val="5F85852A"/>
    <w:rsid w:val="5F86A5C2"/>
    <w:rsid w:val="5F88D8EF"/>
    <w:rsid w:val="5F93682D"/>
    <w:rsid w:val="5F9475FB"/>
    <w:rsid w:val="5F95874C"/>
    <w:rsid w:val="5F95C5EA"/>
    <w:rsid w:val="5F9A3850"/>
    <w:rsid w:val="5FA7AF3E"/>
    <w:rsid w:val="5FBF56FC"/>
    <w:rsid w:val="5FC3D60C"/>
    <w:rsid w:val="5FC561E9"/>
    <w:rsid w:val="5FC5689E"/>
    <w:rsid w:val="5FCA7C97"/>
    <w:rsid w:val="5FCD366B"/>
    <w:rsid w:val="5FD56E99"/>
    <w:rsid w:val="5FD9B1E9"/>
    <w:rsid w:val="5FE6042D"/>
    <w:rsid w:val="5FE936EF"/>
    <w:rsid w:val="5FF25B00"/>
    <w:rsid w:val="5FF30DAD"/>
    <w:rsid w:val="5FFA63D6"/>
    <w:rsid w:val="6007BFD6"/>
    <w:rsid w:val="600E7568"/>
    <w:rsid w:val="6015C085"/>
    <w:rsid w:val="601C0AE4"/>
    <w:rsid w:val="60209893"/>
    <w:rsid w:val="60391FD3"/>
    <w:rsid w:val="603D3F15"/>
    <w:rsid w:val="603E4A01"/>
    <w:rsid w:val="60490A80"/>
    <w:rsid w:val="605564A7"/>
    <w:rsid w:val="6063E9C2"/>
    <w:rsid w:val="606A3385"/>
    <w:rsid w:val="6076A7B8"/>
    <w:rsid w:val="60801A1D"/>
    <w:rsid w:val="6088644F"/>
    <w:rsid w:val="60890DBB"/>
    <w:rsid w:val="609469E0"/>
    <w:rsid w:val="60967E82"/>
    <w:rsid w:val="6097EA6C"/>
    <w:rsid w:val="609E123A"/>
    <w:rsid w:val="60A9197E"/>
    <w:rsid w:val="60A9589F"/>
    <w:rsid w:val="60AC7AC2"/>
    <w:rsid w:val="60AC8E68"/>
    <w:rsid w:val="60ADF8C7"/>
    <w:rsid w:val="60AE27A3"/>
    <w:rsid w:val="60B0A86A"/>
    <w:rsid w:val="60B4DF09"/>
    <w:rsid w:val="60BBF990"/>
    <w:rsid w:val="60BE5D08"/>
    <w:rsid w:val="60C08D66"/>
    <w:rsid w:val="60C23D56"/>
    <w:rsid w:val="60C2DD3F"/>
    <w:rsid w:val="60CDC7F2"/>
    <w:rsid w:val="60CFFE37"/>
    <w:rsid w:val="60D22C81"/>
    <w:rsid w:val="60D77249"/>
    <w:rsid w:val="60D9037A"/>
    <w:rsid w:val="60D9C64E"/>
    <w:rsid w:val="60DE5A97"/>
    <w:rsid w:val="60E7F1FD"/>
    <w:rsid w:val="60EC5CC4"/>
    <w:rsid w:val="60F0795F"/>
    <w:rsid w:val="60F51790"/>
    <w:rsid w:val="60F68514"/>
    <w:rsid w:val="60FBA523"/>
    <w:rsid w:val="60FBFB53"/>
    <w:rsid w:val="60FEAB66"/>
    <w:rsid w:val="60FEB800"/>
    <w:rsid w:val="60FF6734"/>
    <w:rsid w:val="60FFEC90"/>
    <w:rsid w:val="610138F9"/>
    <w:rsid w:val="610DF275"/>
    <w:rsid w:val="61180C21"/>
    <w:rsid w:val="612367DC"/>
    <w:rsid w:val="61242B16"/>
    <w:rsid w:val="612FE0A8"/>
    <w:rsid w:val="6138C9DE"/>
    <w:rsid w:val="614D1922"/>
    <w:rsid w:val="615815E0"/>
    <w:rsid w:val="615DA51B"/>
    <w:rsid w:val="616A3F0D"/>
    <w:rsid w:val="616D66E2"/>
    <w:rsid w:val="617E8406"/>
    <w:rsid w:val="618A18B9"/>
    <w:rsid w:val="618C915C"/>
    <w:rsid w:val="61948F10"/>
    <w:rsid w:val="6195FCA8"/>
    <w:rsid w:val="61A2414D"/>
    <w:rsid w:val="61A2BE14"/>
    <w:rsid w:val="61A42D71"/>
    <w:rsid w:val="61A7C8EA"/>
    <w:rsid w:val="61BBA12E"/>
    <w:rsid w:val="61C184FF"/>
    <w:rsid w:val="61C4AEEB"/>
    <w:rsid w:val="61C9E88E"/>
    <w:rsid w:val="61CA9066"/>
    <w:rsid w:val="61CBC59C"/>
    <w:rsid w:val="61CFBE43"/>
    <w:rsid w:val="61D5F88A"/>
    <w:rsid w:val="61D9F769"/>
    <w:rsid w:val="61DAD691"/>
    <w:rsid w:val="61DD1442"/>
    <w:rsid w:val="61DDAB99"/>
    <w:rsid w:val="61E7DF4B"/>
    <w:rsid w:val="61EC49B7"/>
    <w:rsid w:val="61F8E5D8"/>
    <w:rsid w:val="620CB55A"/>
    <w:rsid w:val="62107381"/>
    <w:rsid w:val="621D189B"/>
    <w:rsid w:val="622DB91E"/>
    <w:rsid w:val="622DEA18"/>
    <w:rsid w:val="623219F0"/>
    <w:rsid w:val="62327888"/>
    <w:rsid w:val="623B8049"/>
    <w:rsid w:val="623BED72"/>
    <w:rsid w:val="6247CB3A"/>
    <w:rsid w:val="624EE763"/>
    <w:rsid w:val="624FD8D9"/>
    <w:rsid w:val="62540BA9"/>
    <w:rsid w:val="625A1D3E"/>
    <w:rsid w:val="625B7E43"/>
    <w:rsid w:val="625D8E11"/>
    <w:rsid w:val="62618F51"/>
    <w:rsid w:val="626C849E"/>
    <w:rsid w:val="626E44DE"/>
    <w:rsid w:val="626F7BBC"/>
    <w:rsid w:val="627059DF"/>
    <w:rsid w:val="62797040"/>
    <w:rsid w:val="627BDB28"/>
    <w:rsid w:val="627BEB7A"/>
    <w:rsid w:val="628772FC"/>
    <w:rsid w:val="628AB184"/>
    <w:rsid w:val="6295CCC5"/>
    <w:rsid w:val="62966AB6"/>
    <w:rsid w:val="629F8EB4"/>
    <w:rsid w:val="62AD17C7"/>
    <w:rsid w:val="62B19FB3"/>
    <w:rsid w:val="62B4AACA"/>
    <w:rsid w:val="62BCD18A"/>
    <w:rsid w:val="62BCEA18"/>
    <w:rsid w:val="62C0AFAB"/>
    <w:rsid w:val="62C43608"/>
    <w:rsid w:val="62D0281F"/>
    <w:rsid w:val="62DA5CF9"/>
    <w:rsid w:val="62E6E76A"/>
    <w:rsid w:val="62E98AC7"/>
    <w:rsid w:val="62EA99AC"/>
    <w:rsid w:val="62EC28FE"/>
    <w:rsid w:val="62EC3BE2"/>
    <w:rsid w:val="62F35570"/>
    <w:rsid w:val="62F81513"/>
    <w:rsid w:val="62F8DB03"/>
    <w:rsid w:val="62FEDB9E"/>
    <w:rsid w:val="6307B1CB"/>
    <w:rsid w:val="6307F801"/>
    <w:rsid w:val="6309FBA2"/>
    <w:rsid w:val="630B64A0"/>
    <w:rsid w:val="630FD5C0"/>
    <w:rsid w:val="63125C41"/>
    <w:rsid w:val="6317680E"/>
    <w:rsid w:val="6318B871"/>
    <w:rsid w:val="631E430E"/>
    <w:rsid w:val="631EB516"/>
    <w:rsid w:val="63242E4C"/>
    <w:rsid w:val="63292DFE"/>
    <w:rsid w:val="632A5010"/>
    <w:rsid w:val="632D549E"/>
    <w:rsid w:val="632DEFB1"/>
    <w:rsid w:val="6334D55F"/>
    <w:rsid w:val="634FC6A1"/>
    <w:rsid w:val="6353CC6A"/>
    <w:rsid w:val="6356C052"/>
    <w:rsid w:val="6357CD49"/>
    <w:rsid w:val="6358AB68"/>
    <w:rsid w:val="635C45E1"/>
    <w:rsid w:val="6365B595"/>
    <w:rsid w:val="636F0125"/>
    <w:rsid w:val="637B0D39"/>
    <w:rsid w:val="637BB6C5"/>
    <w:rsid w:val="638066E1"/>
    <w:rsid w:val="63833CE9"/>
    <w:rsid w:val="63895054"/>
    <w:rsid w:val="6392CC80"/>
    <w:rsid w:val="639536DD"/>
    <w:rsid w:val="63A15C42"/>
    <w:rsid w:val="63A54A66"/>
    <w:rsid w:val="63A89CF1"/>
    <w:rsid w:val="63B32243"/>
    <w:rsid w:val="63B9C8D8"/>
    <w:rsid w:val="63BA2B94"/>
    <w:rsid w:val="63BA8F9E"/>
    <w:rsid w:val="63CCBE84"/>
    <w:rsid w:val="63D38CE6"/>
    <w:rsid w:val="63D90F68"/>
    <w:rsid w:val="63DA5008"/>
    <w:rsid w:val="63DE7F9A"/>
    <w:rsid w:val="63E1DA81"/>
    <w:rsid w:val="63E5C59E"/>
    <w:rsid w:val="63E9C6D6"/>
    <w:rsid w:val="63EB8111"/>
    <w:rsid w:val="6402B291"/>
    <w:rsid w:val="6402BD50"/>
    <w:rsid w:val="6403E44C"/>
    <w:rsid w:val="6405C40F"/>
    <w:rsid w:val="640AC4B5"/>
    <w:rsid w:val="6413A44E"/>
    <w:rsid w:val="6415FE6F"/>
    <w:rsid w:val="641E23CC"/>
    <w:rsid w:val="642750BD"/>
    <w:rsid w:val="64298F73"/>
    <w:rsid w:val="6433D7D8"/>
    <w:rsid w:val="643459B1"/>
    <w:rsid w:val="643A108F"/>
    <w:rsid w:val="64538C5B"/>
    <w:rsid w:val="6454275B"/>
    <w:rsid w:val="645CD235"/>
    <w:rsid w:val="645EB4D7"/>
    <w:rsid w:val="64694142"/>
    <w:rsid w:val="646AA3AE"/>
    <w:rsid w:val="646ECA49"/>
    <w:rsid w:val="64827742"/>
    <w:rsid w:val="6483AACC"/>
    <w:rsid w:val="6487619A"/>
    <w:rsid w:val="648A7076"/>
    <w:rsid w:val="648B1979"/>
    <w:rsid w:val="648CC886"/>
    <w:rsid w:val="6490B700"/>
    <w:rsid w:val="649C35BA"/>
    <w:rsid w:val="649FF473"/>
    <w:rsid w:val="64A4AF6B"/>
    <w:rsid w:val="64A7B9BA"/>
    <w:rsid w:val="64A89216"/>
    <w:rsid w:val="64B19BBD"/>
    <w:rsid w:val="64C4C22B"/>
    <w:rsid w:val="64C6D0E3"/>
    <w:rsid w:val="64C9457E"/>
    <w:rsid w:val="64C94777"/>
    <w:rsid w:val="64D06A3A"/>
    <w:rsid w:val="64D98D27"/>
    <w:rsid w:val="64DDCD3F"/>
    <w:rsid w:val="64E24F7B"/>
    <w:rsid w:val="64E4C2A4"/>
    <w:rsid w:val="64E8EA13"/>
    <w:rsid w:val="64EAE9BB"/>
    <w:rsid w:val="64FA49F9"/>
    <w:rsid w:val="64FC3191"/>
    <w:rsid w:val="65027F94"/>
    <w:rsid w:val="65034197"/>
    <w:rsid w:val="6505477D"/>
    <w:rsid w:val="65100C4B"/>
    <w:rsid w:val="651221B8"/>
    <w:rsid w:val="65140776"/>
    <w:rsid w:val="6517E1C5"/>
    <w:rsid w:val="651CCCF3"/>
    <w:rsid w:val="652125E0"/>
    <w:rsid w:val="6529BBAB"/>
    <w:rsid w:val="6529BBCE"/>
    <w:rsid w:val="652A1D37"/>
    <w:rsid w:val="652D0F6C"/>
    <w:rsid w:val="652D6596"/>
    <w:rsid w:val="653A1944"/>
    <w:rsid w:val="65400A47"/>
    <w:rsid w:val="65402BD4"/>
    <w:rsid w:val="654799A9"/>
    <w:rsid w:val="654E4DC2"/>
    <w:rsid w:val="6550AC9B"/>
    <w:rsid w:val="655576F7"/>
    <w:rsid w:val="65557F7E"/>
    <w:rsid w:val="655A3B20"/>
    <w:rsid w:val="6560A47A"/>
    <w:rsid w:val="6560BCE9"/>
    <w:rsid w:val="65646F97"/>
    <w:rsid w:val="65665105"/>
    <w:rsid w:val="65681B3D"/>
    <w:rsid w:val="656B65A5"/>
    <w:rsid w:val="656FD312"/>
    <w:rsid w:val="656FDE3B"/>
    <w:rsid w:val="6571D3A7"/>
    <w:rsid w:val="6575F9D9"/>
    <w:rsid w:val="657917F1"/>
    <w:rsid w:val="657DBEEC"/>
    <w:rsid w:val="6581391D"/>
    <w:rsid w:val="658EF2ED"/>
    <w:rsid w:val="658FB3F4"/>
    <w:rsid w:val="659A19AF"/>
    <w:rsid w:val="65A71148"/>
    <w:rsid w:val="65A91017"/>
    <w:rsid w:val="65ADD96D"/>
    <w:rsid w:val="65B45E8A"/>
    <w:rsid w:val="65B88D72"/>
    <w:rsid w:val="65BBA892"/>
    <w:rsid w:val="65BE141E"/>
    <w:rsid w:val="65C13606"/>
    <w:rsid w:val="65D7D54F"/>
    <w:rsid w:val="65DBC2D3"/>
    <w:rsid w:val="65DC6520"/>
    <w:rsid w:val="65DD4AB1"/>
    <w:rsid w:val="65EB4EB8"/>
    <w:rsid w:val="65F09334"/>
    <w:rsid w:val="65F6D655"/>
    <w:rsid w:val="65F9375A"/>
    <w:rsid w:val="65FA92EB"/>
    <w:rsid w:val="66052196"/>
    <w:rsid w:val="660EBD0E"/>
    <w:rsid w:val="6610ED46"/>
    <w:rsid w:val="6613EA40"/>
    <w:rsid w:val="66142D9C"/>
    <w:rsid w:val="6616C4CC"/>
    <w:rsid w:val="6619E04C"/>
    <w:rsid w:val="66241C1A"/>
    <w:rsid w:val="662E3D0B"/>
    <w:rsid w:val="66318FDD"/>
    <w:rsid w:val="6633BE9F"/>
    <w:rsid w:val="663463C1"/>
    <w:rsid w:val="6634FE86"/>
    <w:rsid w:val="663A65E2"/>
    <w:rsid w:val="663BCB58"/>
    <w:rsid w:val="664CB675"/>
    <w:rsid w:val="664D2DF5"/>
    <w:rsid w:val="665282DE"/>
    <w:rsid w:val="6653A65D"/>
    <w:rsid w:val="66581140"/>
    <w:rsid w:val="66591BA2"/>
    <w:rsid w:val="665B1CA3"/>
    <w:rsid w:val="665BFF48"/>
    <w:rsid w:val="665D863F"/>
    <w:rsid w:val="6660CDDE"/>
    <w:rsid w:val="666183DB"/>
    <w:rsid w:val="66626864"/>
    <w:rsid w:val="6667A5BB"/>
    <w:rsid w:val="6668DEC8"/>
    <w:rsid w:val="6669FB62"/>
    <w:rsid w:val="666CFF5B"/>
    <w:rsid w:val="666DAD82"/>
    <w:rsid w:val="667337BA"/>
    <w:rsid w:val="66747BEE"/>
    <w:rsid w:val="6676CEA6"/>
    <w:rsid w:val="667CDA46"/>
    <w:rsid w:val="667EA01F"/>
    <w:rsid w:val="6680B349"/>
    <w:rsid w:val="66883D12"/>
    <w:rsid w:val="66886557"/>
    <w:rsid w:val="669057AD"/>
    <w:rsid w:val="669A7063"/>
    <w:rsid w:val="669D034C"/>
    <w:rsid w:val="66B5E4F5"/>
    <w:rsid w:val="66B6D9B5"/>
    <w:rsid w:val="66B841C2"/>
    <w:rsid w:val="66B99E2C"/>
    <w:rsid w:val="66BF0A39"/>
    <w:rsid w:val="66C02429"/>
    <w:rsid w:val="66C36CDC"/>
    <w:rsid w:val="66C5C205"/>
    <w:rsid w:val="66D91A79"/>
    <w:rsid w:val="66DAA2E7"/>
    <w:rsid w:val="66DAE4B1"/>
    <w:rsid w:val="66E3EEAF"/>
    <w:rsid w:val="66E9A266"/>
    <w:rsid w:val="66F40A65"/>
    <w:rsid w:val="66F74FC5"/>
    <w:rsid w:val="66FB09B2"/>
    <w:rsid w:val="67010728"/>
    <w:rsid w:val="67030BC1"/>
    <w:rsid w:val="6703EB89"/>
    <w:rsid w:val="67040A7B"/>
    <w:rsid w:val="671030FC"/>
    <w:rsid w:val="671745ED"/>
    <w:rsid w:val="67174B4C"/>
    <w:rsid w:val="671BE5AC"/>
    <w:rsid w:val="6722CA85"/>
    <w:rsid w:val="6724D5D5"/>
    <w:rsid w:val="6724FA6F"/>
    <w:rsid w:val="672952D4"/>
    <w:rsid w:val="67324A0E"/>
    <w:rsid w:val="67346497"/>
    <w:rsid w:val="67354316"/>
    <w:rsid w:val="6738016B"/>
    <w:rsid w:val="673A9BD6"/>
    <w:rsid w:val="673B0DDE"/>
    <w:rsid w:val="673D9F32"/>
    <w:rsid w:val="674DCF8F"/>
    <w:rsid w:val="674F5FBD"/>
    <w:rsid w:val="675346F8"/>
    <w:rsid w:val="67544F2B"/>
    <w:rsid w:val="675474B6"/>
    <w:rsid w:val="6765946F"/>
    <w:rsid w:val="676F557A"/>
    <w:rsid w:val="67704E74"/>
    <w:rsid w:val="6774EB25"/>
    <w:rsid w:val="6775DC9D"/>
    <w:rsid w:val="6776E824"/>
    <w:rsid w:val="67799A8D"/>
    <w:rsid w:val="677B8075"/>
    <w:rsid w:val="677BFF9B"/>
    <w:rsid w:val="677DB56B"/>
    <w:rsid w:val="678136F5"/>
    <w:rsid w:val="6781C2BD"/>
    <w:rsid w:val="67849481"/>
    <w:rsid w:val="6784C503"/>
    <w:rsid w:val="67853E44"/>
    <w:rsid w:val="6787DB8B"/>
    <w:rsid w:val="678E6D7A"/>
    <w:rsid w:val="678F1BC6"/>
    <w:rsid w:val="67914B14"/>
    <w:rsid w:val="6798ECDF"/>
    <w:rsid w:val="679C7FAF"/>
    <w:rsid w:val="679D4C3C"/>
    <w:rsid w:val="67A15328"/>
    <w:rsid w:val="67AADEE8"/>
    <w:rsid w:val="67ADC393"/>
    <w:rsid w:val="67BC4FAF"/>
    <w:rsid w:val="67BCF514"/>
    <w:rsid w:val="67BD3EA6"/>
    <w:rsid w:val="67C8B5FA"/>
    <w:rsid w:val="67CA8D45"/>
    <w:rsid w:val="67CC2426"/>
    <w:rsid w:val="67D164BE"/>
    <w:rsid w:val="67DBD0C8"/>
    <w:rsid w:val="67DD01A1"/>
    <w:rsid w:val="67E339A0"/>
    <w:rsid w:val="67E3C349"/>
    <w:rsid w:val="67EA0A07"/>
    <w:rsid w:val="67F0BD5E"/>
    <w:rsid w:val="67F19C83"/>
    <w:rsid w:val="67FA0F9F"/>
    <w:rsid w:val="67FEEB75"/>
    <w:rsid w:val="6801FFAB"/>
    <w:rsid w:val="6804B59B"/>
    <w:rsid w:val="68064418"/>
    <w:rsid w:val="680C10C9"/>
    <w:rsid w:val="6816B25D"/>
    <w:rsid w:val="6818695B"/>
    <w:rsid w:val="681AB23C"/>
    <w:rsid w:val="6825BB84"/>
    <w:rsid w:val="682A207A"/>
    <w:rsid w:val="682BA526"/>
    <w:rsid w:val="6838CCDE"/>
    <w:rsid w:val="683C0FF3"/>
    <w:rsid w:val="683E985B"/>
    <w:rsid w:val="683F44E3"/>
    <w:rsid w:val="6854E470"/>
    <w:rsid w:val="685AD83D"/>
    <w:rsid w:val="685CE571"/>
    <w:rsid w:val="685F4AB4"/>
    <w:rsid w:val="686D6014"/>
    <w:rsid w:val="686E8A8B"/>
    <w:rsid w:val="6872E560"/>
    <w:rsid w:val="687A2FD6"/>
    <w:rsid w:val="687AB4E4"/>
    <w:rsid w:val="68881BAE"/>
    <w:rsid w:val="68916616"/>
    <w:rsid w:val="68919845"/>
    <w:rsid w:val="68972766"/>
    <w:rsid w:val="68A3007D"/>
    <w:rsid w:val="68A30BF0"/>
    <w:rsid w:val="68B92636"/>
    <w:rsid w:val="68B9E118"/>
    <w:rsid w:val="68BA2BE9"/>
    <w:rsid w:val="68BD83E5"/>
    <w:rsid w:val="68C5CC88"/>
    <w:rsid w:val="68D451F1"/>
    <w:rsid w:val="68D66B8E"/>
    <w:rsid w:val="68DAE752"/>
    <w:rsid w:val="68DB4BD1"/>
    <w:rsid w:val="68DDE9A6"/>
    <w:rsid w:val="68DF2B58"/>
    <w:rsid w:val="68E75584"/>
    <w:rsid w:val="68EA842E"/>
    <w:rsid w:val="68EFB757"/>
    <w:rsid w:val="68F0F672"/>
    <w:rsid w:val="68F20A68"/>
    <w:rsid w:val="68F3FE5B"/>
    <w:rsid w:val="69019A67"/>
    <w:rsid w:val="6904DA18"/>
    <w:rsid w:val="6908778A"/>
    <w:rsid w:val="6920D080"/>
    <w:rsid w:val="6921C235"/>
    <w:rsid w:val="69293F16"/>
    <w:rsid w:val="69316858"/>
    <w:rsid w:val="6932DCC0"/>
    <w:rsid w:val="69371989"/>
    <w:rsid w:val="6950505C"/>
    <w:rsid w:val="69541F32"/>
    <w:rsid w:val="6956A4B1"/>
    <w:rsid w:val="695A12B3"/>
    <w:rsid w:val="695A29B3"/>
    <w:rsid w:val="6965EE90"/>
    <w:rsid w:val="6968518E"/>
    <w:rsid w:val="696B7268"/>
    <w:rsid w:val="696DD2A8"/>
    <w:rsid w:val="6970A051"/>
    <w:rsid w:val="69735072"/>
    <w:rsid w:val="69738570"/>
    <w:rsid w:val="69758FC0"/>
    <w:rsid w:val="697A905C"/>
    <w:rsid w:val="697BFFBD"/>
    <w:rsid w:val="6982294A"/>
    <w:rsid w:val="6986DAA0"/>
    <w:rsid w:val="69883B99"/>
    <w:rsid w:val="698AC720"/>
    <w:rsid w:val="69950F50"/>
    <w:rsid w:val="699C6764"/>
    <w:rsid w:val="69A16465"/>
    <w:rsid w:val="69B43EF5"/>
    <w:rsid w:val="69BB8FA4"/>
    <w:rsid w:val="69C33D22"/>
    <w:rsid w:val="69C8DE60"/>
    <w:rsid w:val="69CC1CDB"/>
    <w:rsid w:val="69D0EC7E"/>
    <w:rsid w:val="69D363A9"/>
    <w:rsid w:val="69D46EEF"/>
    <w:rsid w:val="69D5FD44"/>
    <w:rsid w:val="69D723E5"/>
    <w:rsid w:val="69D7355E"/>
    <w:rsid w:val="69D94524"/>
    <w:rsid w:val="69DFA21B"/>
    <w:rsid w:val="69E54DE5"/>
    <w:rsid w:val="69E60833"/>
    <w:rsid w:val="69E8E23E"/>
    <w:rsid w:val="69E9FC9E"/>
    <w:rsid w:val="69EFC923"/>
    <w:rsid w:val="69F1A0B7"/>
    <w:rsid w:val="69F24B9D"/>
    <w:rsid w:val="69F3D562"/>
    <w:rsid w:val="69F68E18"/>
    <w:rsid w:val="69F768D1"/>
    <w:rsid w:val="69F969DA"/>
    <w:rsid w:val="69FBB189"/>
    <w:rsid w:val="69FC8CFF"/>
    <w:rsid w:val="6A0307CD"/>
    <w:rsid w:val="6A05771A"/>
    <w:rsid w:val="6A06ABE3"/>
    <w:rsid w:val="6A06EC62"/>
    <w:rsid w:val="6A0BE8F2"/>
    <w:rsid w:val="6A112A76"/>
    <w:rsid w:val="6A116B15"/>
    <w:rsid w:val="6A12197E"/>
    <w:rsid w:val="6A145AE2"/>
    <w:rsid w:val="6A1CDB3C"/>
    <w:rsid w:val="6A25C00F"/>
    <w:rsid w:val="6A296CE0"/>
    <w:rsid w:val="6A2F4D80"/>
    <w:rsid w:val="6A479C28"/>
    <w:rsid w:val="6A4DEF00"/>
    <w:rsid w:val="6A52462D"/>
    <w:rsid w:val="6A585815"/>
    <w:rsid w:val="6A5FE91D"/>
    <w:rsid w:val="6A64ACB1"/>
    <w:rsid w:val="6A6612EE"/>
    <w:rsid w:val="6A67A782"/>
    <w:rsid w:val="6A6A823F"/>
    <w:rsid w:val="6A71660D"/>
    <w:rsid w:val="6A75EA71"/>
    <w:rsid w:val="6A7630EA"/>
    <w:rsid w:val="6A76C551"/>
    <w:rsid w:val="6A84786C"/>
    <w:rsid w:val="6A869C73"/>
    <w:rsid w:val="6A86A0BE"/>
    <w:rsid w:val="6A8972BE"/>
    <w:rsid w:val="6A8D4B48"/>
    <w:rsid w:val="6A91055A"/>
    <w:rsid w:val="6A976F4A"/>
    <w:rsid w:val="6A97852F"/>
    <w:rsid w:val="6A992097"/>
    <w:rsid w:val="6AA2C57E"/>
    <w:rsid w:val="6AAEAE9D"/>
    <w:rsid w:val="6AAEE4EC"/>
    <w:rsid w:val="6AAF92D5"/>
    <w:rsid w:val="6AB7A229"/>
    <w:rsid w:val="6ABEAFDB"/>
    <w:rsid w:val="6AC26AA1"/>
    <w:rsid w:val="6AC2745E"/>
    <w:rsid w:val="6AC35D08"/>
    <w:rsid w:val="6AC5DEB6"/>
    <w:rsid w:val="6AD0D1D1"/>
    <w:rsid w:val="6AD3FA34"/>
    <w:rsid w:val="6AE8E55A"/>
    <w:rsid w:val="6AF72BCC"/>
    <w:rsid w:val="6AF7A37D"/>
    <w:rsid w:val="6AF7D6F6"/>
    <w:rsid w:val="6AF8B2AF"/>
    <w:rsid w:val="6B03C58A"/>
    <w:rsid w:val="6B0B13DB"/>
    <w:rsid w:val="6B198D5F"/>
    <w:rsid w:val="6B19D3D5"/>
    <w:rsid w:val="6B1B3FA4"/>
    <w:rsid w:val="6B227FD5"/>
    <w:rsid w:val="6B278D0B"/>
    <w:rsid w:val="6B2831E0"/>
    <w:rsid w:val="6B299EFD"/>
    <w:rsid w:val="6B2BC0DB"/>
    <w:rsid w:val="6B3271C9"/>
    <w:rsid w:val="6B3817BC"/>
    <w:rsid w:val="6B3B897E"/>
    <w:rsid w:val="6B3D206F"/>
    <w:rsid w:val="6B5FB40E"/>
    <w:rsid w:val="6B661EF2"/>
    <w:rsid w:val="6B708090"/>
    <w:rsid w:val="6B7A0CE9"/>
    <w:rsid w:val="6B87E598"/>
    <w:rsid w:val="6B899DE1"/>
    <w:rsid w:val="6B8A450F"/>
    <w:rsid w:val="6B8E3CFF"/>
    <w:rsid w:val="6B9E67EB"/>
    <w:rsid w:val="6BA25E27"/>
    <w:rsid w:val="6BA6C44C"/>
    <w:rsid w:val="6BADCC03"/>
    <w:rsid w:val="6BAF644A"/>
    <w:rsid w:val="6BAFC99A"/>
    <w:rsid w:val="6BB5DF17"/>
    <w:rsid w:val="6BB727DD"/>
    <w:rsid w:val="6BC21E05"/>
    <w:rsid w:val="6BC24467"/>
    <w:rsid w:val="6BC38D33"/>
    <w:rsid w:val="6BC579DC"/>
    <w:rsid w:val="6BC8B52C"/>
    <w:rsid w:val="6BD28335"/>
    <w:rsid w:val="6BD3E937"/>
    <w:rsid w:val="6BD73E14"/>
    <w:rsid w:val="6BDA8CBE"/>
    <w:rsid w:val="6BDCF795"/>
    <w:rsid w:val="6BE61D67"/>
    <w:rsid w:val="6BE7C8DC"/>
    <w:rsid w:val="6BEE03BB"/>
    <w:rsid w:val="6BFEF0E5"/>
    <w:rsid w:val="6C079347"/>
    <w:rsid w:val="6C0FE9C7"/>
    <w:rsid w:val="6C28A2F8"/>
    <w:rsid w:val="6C29EEF8"/>
    <w:rsid w:val="6C2AD5C4"/>
    <w:rsid w:val="6C329EFC"/>
    <w:rsid w:val="6C354C97"/>
    <w:rsid w:val="6C43E299"/>
    <w:rsid w:val="6C4B85C2"/>
    <w:rsid w:val="6C6275C2"/>
    <w:rsid w:val="6C6AC895"/>
    <w:rsid w:val="6C6F6AD5"/>
    <w:rsid w:val="6C6F9465"/>
    <w:rsid w:val="6C72085C"/>
    <w:rsid w:val="6C79BFE4"/>
    <w:rsid w:val="6C7DDBE5"/>
    <w:rsid w:val="6C80DDBA"/>
    <w:rsid w:val="6C874206"/>
    <w:rsid w:val="6C92D969"/>
    <w:rsid w:val="6CA05A78"/>
    <w:rsid w:val="6CBB2535"/>
    <w:rsid w:val="6CC47B7D"/>
    <w:rsid w:val="6CC4C237"/>
    <w:rsid w:val="6CCBD0AE"/>
    <w:rsid w:val="6CCD8A72"/>
    <w:rsid w:val="6CCF3FF7"/>
    <w:rsid w:val="6CD6D297"/>
    <w:rsid w:val="6CD95C90"/>
    <w:rsid w:val="6D0510F3"/>
    <w:rsid w:val="6D05E3B2"/>
    <w:rsid w:val="6D08AA81"/>
    <w:rsid w:val="6D0A407F"/>
    <w:rsid w:val="6D20EE19"/>
    <w:rsid w:val="6D2178B3"/>
    <w:rsid w:val="6D2396FB"/>
    <w:rsid w:val="6D2A911E"/>
    <w:rsid w:val="6D2BEEF7"/>
    <w:rsid w:val="6D3163CD"/>
    <w:rsid w:val="6D31E644"/>
    <w:rsid w:val="6D32F69A"/>
    <w:rsid w:val="6D3E1A64"/>
    <w:rsid w:val="6D3E5E6A"/>
    <w:rsid w:val="6D439981"/>
    <w:rsid w:val="6D448CF5"/>
    <w:rsid w:val="6D4DE3EF"/>
    <w:rsid w:val="6D5732AE"/>
    <w:rsid w:val="6D57CF27"/>
    <w:rsid w:val="6D629DDA"/>
    <w:rsid w:val="6D646BB5"/>
    <w:rsid w:val="6D66E806"/>
    <w:rsid w:val="6D678C38"/>
    <w:rsid w:val="6D67EC8A"/>
    <w:rsid w:val="6D6A201A"/>
    <w:rsid w:val="6D6F3D3D"/>
    <w:rsid w:val="6D756D7C"/>
    <w:rsid w:val="6D7FDB21"/>
    <w:rsid w:val="6D83879D"/>
    <w:rsid w:val="6D851A67"/>
    <w:rsid w:val="6D861029"/>
    <w:rsid w:val="6D9B0443"/>
    <w:rsid w:val="6D9FC36A"/>
    <w:rsid w:val="6DA26472"/>
    <w:rsid w:val="6DAD4BDF"/>
    <w:rsid w:val="6DAEAFBA"/>
    <w:rsid w:val="6DAFA97C"/>
    <w:rsid w:val="6DB07714"/>
    <w:rsid w:val="6DBAA875"/>
    <w:rsid w:val="6DC98C9A"/>
    <w:rsid w:val="6DCE4F06"/>
    <w:rsid w:val="6DCF8642"/>
    <w:rsid w:val="6DD05207"/>
    <w:rsid w:val="6DD452F8"/>
    <w:rsid w:val="6DD6EF8A"/>
    <w:rsid w:val="6DDAEDEB"/>
    <w:rsid w:val="6DDB7A33"/>
    <w:rsid w:val="6DDCCECD"/>
    <w:rsid w:val="6DDF7ACE"/>
    <w:rsid w:val="6DE10A53"/>
    <w:rsid w:val="6DE370AC"/>
    <w:rsid w:val="6DEBAC35"/>
    <w:rsid w:val="6DEE6AE9"/>
    <w:rsid w:val="6DF0DDFA"/>
    <w:rsid w:val="6DF91C59"/>
    <w:rsid w:val="6DFF5094"/>
    <w:rsid w:val="6E0BE7DA"/>
    <w:rsid w:val="6E18918B"/>
    <w:rsid w:val="6E18B8E3"/>
    <w:rsid w:val="6E201A3B"/>
    <w:rsid w:val="6E2417FE"/>
    <w:rsid w:val="6E253AA8"/>
    <w:rsid w:val="6E2BA7E0"/>
    <w:rsid w:val="6E2FDC8F"/>
    <w:rsid w:val="6E3C65FB"/>
    <w:rsid w:val="6E3CCD7B"/>
    <w:rsid w:val="6E4AA4FE"/>
    <w:rsid w:val="6E4D60DC"/>
    <w:rsid w:val="6E558042"/>
    <w:rsid w:val="6E58A800"/>
    <w:rsid w:val="6E5A0AD9"/>
    <w:rsid w:val="6E5FCDE3"/>
    <w:rsid w:val="6E6B35BA"/>
    <w:rsid w:val="6E753248"/>
    <w:rsid w:val="6E7DFB8A"/>
    <w:rsid w:val="6E9D6B45"/>
    <w:rsid w:val="6E9EACDC"/>
    <w:rsid w:val="6EA276C0"/>
    <w:rsid w:val="6EAE1FB3"/>
    <w:rsid w:val="6EB2C5AA"/>
    <w:rsid w:val="6EB52BE4"/>
    <w:rsid w:val="6EB892E7"/>
    <w:rsid w:val="6EC69785"/>
    <w:rsid w:val="6ECFA41E"/>
    <w:rsid w:val="6ED96FA6"/>
    <w:rsid w:val="6ED9A13A"/>
    <w:rsid w:val="6EE1A74D"/>
    <w:rsid w:val="6EE3A5C5"/>
    <w:rsid w:val="6EFEE6C2"/>
    <w:rsid w:val="6F068E1D"/>
    <w:rsid w:val="6F0B6739"/>
    <w:rsid w:val="6F0FBC59"/>
    <w:rsid w:val="6F118319"/>
    <w:rsid w:val="6F1DCE6F"/>
    <w:rsid w:val="6F2AFCC9"/>
    <w:rsid w:val="6F326613"/>
    <w:rsid w:val="6F32E205"/>
    <w:rsid w:val="6F331DB4"/>
    <w:rsid w:val="6F3D8E44"/>
    <w:rsid w:val="6F53DD1A"/>
    <w:rsid w:val="6F59BD02"/>
    <w:rsid w:val="6F5B0067"/>
    <w:rsid w:val="6F5F4EA8"/>
    <w:rsid w:val="6F6001A9"/>
    <w:rsid w:val="6F6039E2"/>
    <w:rsid w:val="6F64872F"/>
    <w:rsid w:val="6F67D39A"/>
    <w:rsid w:val="6F6AFF9F"/>
    <w:rsid w:val="6F6F0A7D"/>
    <w:rsid w:val="6F6FC8E0"/>
    <w:rsid w:val="6F72E9B1"/>
    <w:rsid w:val="6F7AB55E"/>
    <w:rsid w:val="6F7C676A"/>
    <w:rsid w:val="6F7CF23F"/>
    <w:rsid w:val="6F805632"/>
    <w:rsid w:val="6F8402B8"/>
    <w:rsid w:val="6F8BB0F5"/>
    <w:rsid w:val="6F90C3A6"/>
    <w:rsid w:val="6F936B36"/>
    <w:rsid w:val="6F9A1678"/>
    <w:rsid w:val="6FA3C2C8"/>
    <w:rsid w:val="6FA688CE"/>
    <w:rsid w:val="6FA892C8"/>
    <w:rsid w:val="6FAAE79F"/>
    <w:rsid w:val="6FACE64F"/>
    <w:rsid w:val="6FB3B044"/>
    <w:rsid w:val="6FB61115"/>
    <w:rsid w:val="6FBE0F26"/>
    <w:rsid w:val="6FC0EEB0"/>
    <w:rsid w:val="6FCC2416"/>
    <w:rsid w:val="6FCDE1BB"/>
    <w:rsid w:val="6FD0263D"/>
    <w:rsid w:val="6FD6EFBC"/>
    <w:rsid w:val="6FE8C0ED"/>
    <w:rsid w:val="6FE93314"/>
    <w:rsid w:val="6FECCD20"/>
    <w:rsid w:val="6FEDA17E"/>
    <w:rsid w:val="6FF6864B"/>
    <w:rsid w:val="6FF6A9C3"/>
    <w:rsid w:val="6FFAC8EE"/>
    <w:rsid w:val="700A6B71"/>
    <w:rsid w:val="7011DBE3"/>
    <w:rsid w:val="7012FB58"/>
    <w:rsid w:val="7015ECEB"/>
    <w:rsid w:val="701CF4D9"/>
    <w:rsid w:val="701F9CFE"/>
    <w:rsid w:val="7022FA86"/>
    <w:rsid w:val="7023A429"/>
    <w:rsid w:val="702B02A6"/>
    <w:rsid w:val="702BBBF3"/>
    <w:rsid w:val="702E6432"/>
    <w:rsid w:val="70384046"/>
    <w:rsid w:val="70473D12"/>
    <w:rsid w:val="704CA74A"/>
    <w:rsid w:val="704CB8C6"/>
    <w:rsid w:val="704FEBC4"/>
    <w:rsid w:val="7056D85D"/>
    <w:rsid w:val="7059FEEA"/>
    <w:rsid w:val="70627CDD"/>
    <w:rsid w:val="706878E2"/>
    <w:rsid w:val="706C3343"/>
    <w:rsid w:val="706FDE7D"/>
    <w:rsid w:val="7070A9DD"/>
    <w:rsid w:val="70791643"/>
    <w:rsid w:val="70794024"/>
    <w:rsid w:val="7088B5F5"/>
    <w:rsid w:val="70893ADC"/>
    <w:rsid w:val="708D6D5A"/>
    <w:rsid w:val="708E740A"/>
    <w:rsid w:val="70947BF8"/>
    <w:rsid w:val="70956D83"/>
    <w:rsid w:val="709710C3"/>
    <w:rsid w:val="70972C01"/>
    <w:rsid w:val="70A9A0E5"/>
    <w:rsid w:val="70BF6826"/>
    <w:rsid w:val="70C077BA"/>
    <w:rsid w:val="70C4AEED"/>
    <w:rsid w:val="70C81384"/>
    <w:rsid w:val="70C9C836"/>
    <w:rsid w:val="70CC9ED0"/>
    <w:rsid w:val="70CFA7B5"/>
    <w:rsid w:val="70D01871"/>
    <w:rsid w:val="70DDFC13"/>
    <w:rsid w:val="70E21033"/>
    <w:rsid w:val="70E5C85C"/>
    <w:rsid w:val="70ED9C3D"/>
    <w:rsid w:val="70F60AFF"/>
    <w:rsid w:val="70FB1FB9"/>
    <w:rsid w:val="71022332"/>
    <w:rsid w:val="71053A04"/>
    <w:rsid w:val="71054466"/>
    <w:rsid w:val="7107D36C"/>
    <w:rsid w:val="71110720"/>
    <w:rsid w:val="7112FF3A"/>
    <w:rsid w:val="71202C45"/>
    <w:rsid w:val="7123086F"/>
    <w:rsid w:val="7128B6DD"/>
    <w:rsid w:val="713538CB"/>
    <w:rsid w:val="7136AAB0"/>
    <w:rsid w:val="713EA34D"/>
    <w:rsid w:val="7142E73C"/>
    <w:rsid w:val="7149AEE8"/>
    <w:rsid w:val="714C88BD"/>
    <w:rsid w:val="715B64AF"/>
    <w:rsid w:val="715E22F2"/>
    <w:rsid w:val="71675DAC"/>
    <w:rsid w:val="716860D6"/>
    <w:rsid w:val="7168D158"/>
    <w:rsid w:val="716B55CD"/>
    <w:rsid w:val="71716C57"/>
    <w:rsid w:val="7176268F"/>
    <w:rsid w:val="7181F0C7"/>
    <w:rsid w:val="718A46A1"/>
    <w:rsid w:val="718DAAE1"/>
    <w:rsid w:val="718E251C"/>
    <w:rsid w:val="7191D514"/>
    <w:rsid w:val="71961FF6"/>
    <w:rsid w:val="71969BEE"/>
    <w:rsid w:val="7197C035"/>
    <w:rsid w:val="719A6D64"/>
    <w:rsid w:val="719F719C"/>
    <w:rsid w:val="71A1C22D"/>
    <w:rsid w:val="71A1DAF0"/>
    <w:rsid w:val="71A43E5D"/>
    <w:rsid w:val="71AA164E"/>
    <w:rsid w:val="71AD1B82"/>
    <w:rsid w:val="71B3C9D6"/>
    <w:rsid w:val="71B572B9"/>
    <w:rsid w:val="71B8D003"/>
    <w:rsid w:val="71BEFAA1"/>
    <w:rsid w:val="71C43FFB"/>
    <w:rsid w:val="71CABB7A"/>
    <w:rsid w:val="71CACF52"/>
    <w:rsid w:val="71D8BF3B"/>
    <w:rsid w:val="71E195BC"/>
    <w:rsid w:val="71E28BE1"/>
    <w:rsid w:val="71EBB774"/>
    <w:rsid w:val="71EE4B31"/>
    <w:rsid w:val="71F2F9CB"/>
    <w:rsid w:val="71F6ABD0"/>
    <w:rsid w:val="71F7F176"/>
    <w:rsid w:val="71FA4EC9"/>
    <w:rsid w:val="7205ECD2"/>
    <w:rsid w:val="720B3E92"/>
    <w:rsid w:val="7212ABEE"/>
    <w:rsid w:val="72181B1D"/>
    <w:rsid w:val="721BBB7D"/>
    <w:rsid w:val="721FB190"/>
    <w:rsid w:val="72249503"/>
    <w:rsid w:val="722E2CDA"/>
    <w:rsid w:val="72310F74"/>
    <w:rsid w:val="723349B4"/>
    <w:rsid w:val="723EBBA4"/>
    <w:rsid w:val="7240C0DD"/>
    <w:rsid w:val="7242AEE3"/>
    <w:rsid w:val="72438FFB"/>
    <w:rsid w:val="724898C4"/>
    <w:rsid w:val="724E2755"/>
    <w:rsid w:val="72528756"/>
    <w:rsid w:val="725472E6"/>
    <w:rsid w:val="72640B10"/>
    <w:rsid w:val="72671B58"/>
    <w:rsid w:val="72689FFC"/>
    <w:rsid w:val="726962BC"/>
    <w:rsid w:val="726A894D"/>
    <w:rsid w:val="726B678E"/>
    <w:rsid w:val="72716E2D"/>
    <w:rsid w:val="72729B10"/>
    <w:rsid w:val="7272D4D7"/>
    <w:rsid w:val="72756831"/>
    <w:rsid w:val="72782868"/>
    <w:rsid w:val="727B047D"/>
    <w:rsid w:val="727B7CB2"/>
    <w:rsid w:val="727F22FB"/>
    <w:rsid w:val="727F4628"/>
    <w:rsid w:val="727FB514"/>
    <w:rsid w:val="728CDD46"/>
    <w:rsid w:val="728FC363"/>
    <w:rsid w:val="729BD717"/>
    <w:rsid w:val="72A4C850"/>
    <w:rsid w:val="72A522CA"/>
    <w:rsid w:val="72A8D2B7"/>
    <w:rsid w:val="72AC2773"/>
    <w:rsid w:val="72AD25F4"/>
    <w:rsid w:val="72B41301"/>
    <w:rsid w:val="72B9FD07"/>
    <w:rsid w:val="72BF5071"/>
    <w:rsid w:val="72BF8B1F"/>
    <w:rsid w:val="72DD6B5A"/>
    <w:rsid w:val="72DE3F18"/>
    <w:rsid w:val="72ECDC3C"/>
    <w:rsid w:val="72F0D000"/>
    <w:rsid w:val="72F17A06"/>
    <w:rsid w:val="7304B591"/>
    <w:rsid w:val="7308454E"/>
    <w:rsid w:val="7309CA2E"/>
    <w:rsid w:val="730E36D3"/>
    <w:rsid w:val="7311E78C"/>
    <w:rsid w:val="7316040C"/>
    <w:rsid w:val="73173F43"/>
    <w:rsid w:val="7322C1AC"/>
    <w:rsid w:val="73254AB3"/>
    <w:rsid w:val="73259030"/>
    <w:rsid w:val="7326424D"/>
    <w:rsid w:val="73266134"/>
    <w:rsid w:val="732B2490"/>
    <w:rsid w:val="732F44BD"/>
    <w:rsid w:val="73378859"/>
    <w:rsid w:val="733943BE"/>
    <w:rsid w:val="733A7E1E"/>
    <w:rsid w:val="733C9DA8"/>
    <w:rsid w:val="734572D2"/>
    <w:rsid w:val="734A5727"/>
    <w:rsid w:val="734B8902"/>
    <w:rsid w:val="7356E2EA"/>
    <w:rsid w:val="7359D214"/>
    <w:rsid w:val="735A8B3C"/>
    <w:rsid w:val="735C7D15"/>
    <w:rsid w:val="736A79F5"/>
    <w:rsid w:val="73762697"/>
    <w:rsid w:val="737A353F"/>
    <w:rsid w:val="738F7066"/>
    <w:rsid w:val="73931D4C"/>
    <w:rsid w:val="7399BDF0"/>
    <w:rsid w:val="739DA401"/>
    <w:rsid w:val="739DB1BF"/>
    <w:rsid w:val="739E966F"/>
    <w:rsid w:val="73A402E8"/>
    <w:rsid w:val="73A5EC41"/>
    <w:rsid w:val="73A81B26"/>
    <w:rsid w:val="73ADA7A8"/>
    <w:rsid w:val="73B0036E"/>
    <w:rsid w:val="73B23C43"/>
    <w:rsid w:val="73B79C0C"/>
    <w:rsid w:val="73B968BE"/>
    <w:rsid w:val="73E44589"/>
    <w:rsid w:val="73E9D55E"/>
    <w:rsid w:val="73F312A1"/>
    <w:rsid w:val="73F3ABFB"/>
    <w:rsid w:val="73F478BF"/>
    <w:rsid w:val="73FBCE24"/>
    <w:rsid w:val="73FEF15B"/>
    <w:rsid w:val="74048670"/>
    <w:rsid w:val="740A7D9D"/>
    <w:rsid w:val="740FB762"/>
    <w:rsid w:val="7412E266"/>
    <w:rsid w:val="7422707E"/>
    <w:rsid w:val="742AB829"/>
    <w:rsid w:val="742CE5A5"/>
    <w:rsid w:val="742E7797"/>
    <w:rsid w:val="7432814A"/>
    <w:rsid w:val="74375CF8"/>
    <w:rsid w:val="743A9B31"/>
    <w:rsid w:val="743C1B1C"/>
    <w:rsid w:val="743D55C4"/>
    <w:rsid w:val="7444FDE2"/>
    <w:rsid w:val="744B58F7"/>
    <w:rsid w:val="744B8520"/>
    <w:rsid w:val="74596429"/>
    <w:rsid w:val="7459B2D5"/>
    <w:rsid w:val="745A15F2"/>
    <w:rsid w:val="745D81D3"/>
    <w:rsid w:val="745DB0EE"/>
    <w:rsid w:val="745ED8E1"/>
    <w:rsid w:val="746B79F3"/>
    <w:rsid w:val="746FA710"/>
    <w:rsid w:val="74754ACB"/>
    <w:rsid w:val="74831365"/>
    <w:rsid w:val="748C2AF8"/>
    <w:rsid w:val="7491411A"/>
    <w:rsid w:val="74A0AB41"/>
    <w:rsid w:val="74A235B3"/>
    <w:rsid w:val="74A29947"/>
    <w:rsid w:val="74A32163"/>
    <w:rsid w:val="74A52775"/>
    <w:rsid w:val="74A575CB"/>
    <w:rsid w:val="74A9E56A"/>
    <w:rsid w:val="74AEBF3C"/>
    <w:rsid w:val="74AF0EBC"/>
    <w:rsid w:val="74AFA4F8"/>
    <w:rsid w:val="74B24D0E"/>
    <w:rsid w:val="74B315CC"/>
    <w:rsid w:val="74BDA5D0"/>
    <w:rsid w:val="74BDE686"/>
    <w:rsid w:val="74C55BBD"/>
    <w:rsid w:val="74CFE610"/>
    <w:rsid w:val="74D6A7EA"/>
    <w:rsid w:val="74DD0FFB"/>
    <w:rsid w:val="74DF8DD3"/>
    <w:rsid w:val="74E012A9"/>
    <w:rsid w:val="74E2243B"/>
    <w:rsid w:val="74E7132C"/>
    <w:rsid w:val="74E8A8BC"/>
    <w:rsid w:val="74ED1B3A"/>
    <w:rsid w:val="75024A11"/>
    <w:rsid w:val="75075E5C"/>
    <w:rsid w:val="7508431F"/>
    <w:rsid w:val="75097BAA"/>
    <w:rsid w:val="7509D1BF"/>
    <w:rsid w:val="750B8A95"/>
    <w:rsid w:val="750D17F2"/>
    <w:rsid w:val="7511AA39"/>
    <w:rsid w:val="75241E51"/>
    <w:rsid w:val="752BDF38"/>
    <w:rsid w:val="752D36FE"/>
    <w:rsid w:val="752D4795"/>
    <w:rsid w:val="752DED14"/>
    <w:rsid w:val="75357F54"/>
    <w:rsid w:val="754907D5"/>
    <w:rsid w:val="754F81CD"/>
    <w:rsid w:val="75535631"/>
    <w:rsid w:val="755640A1"/>
    <w:rsid w:val="7557D97E"/>
    <w:rsid w:val="755CC0D8"/>
    <w:rsid w:val="755D0F33"/>
    <w:rsid w:val="755FA0AA"/>
    <w:rsid w:val="755FA771"/>
    <w:rsid w:val="75640BDB"/>
    <w:rsid w:val="756DF651"/>
    <w:rsid w:val="75776EF6"/>
    <w:rsid w:val="75797D74"/>
    <w:rsid w:val="757E03E9"/>
    <w:rsid w:val="75827EE6"/>
    <w:rsid w:val="7585720E"/>
    <w:rsid w:val="75883009"/>
    <w:rsid w:val="7588F50B"/>
    <w:rsid w:val="758D60BD"/>
    <w:rsid w:val="758F7E14"/>
    <w:rsid w:val="758F8E99"/>
    <w:rsid w:val="75912930"/>
    <w:rsid w:val="75A6C5E8"/>
    <w:rsid w:val="75A73922"/>
    <w:rsid w:val="75B2ACCD"/>
    <w:rsid w:val="75B64565"/>
    <w:rsid w:val="75BD0C99"/>
    <w:rsid w:val="75BE5FEB"/>
    <w:rsid w:val="75C363B4"/>
    <w:rsid w:val="75C743D4"/>
    <w:rsid w:val="75CAAB97"/>
    <w:rsid w:val="75D14337"/>
    <w:rsid w:val="75E2B8B7"/>
    <w:rsid w:val="75E573F0"/>
    <w:rsid w:val="75EBF541"/>
    <w:rsid w:val="75ED12A7"/>
    <w:rsid w:val="75F21122"/>
    <w:rsid w:val="75FA4117"/>
    <w:rsid w:val="75FD78AC"/>
    <w:rsid w:val="7607E340"/>
    <w:rsid w:val="760824DB"/>
    <w:rsid w:val="760CEEF5"/>
    <w:rsid w:val="7623F021"/>
    <w:rsid w:val="762E9693"/>
    <w:rsid w:val="763B502F"/>
    <w:rsid w:val="7644B748"/>
    <w:rsid w:val="76477A82"/>
    <w:rsid w:val="76491DAA"/>
    <w:rsid w:val="76499AA5"/>
    <w:rsid w:val="764A08B6"/>
    <w:rsid w:val="76645ADE"/>
    <w:rsid w:val="766CCD80"/>
    <w:rsid w:val="766DEB52"/>
    <w:rsid w:val="76772293"/>
    <w:rsid w:val="7685D7EC"/>
    <w:rsid w:val="768FC921"/>
    <w:rsid w:val="76963206"/>
    <w:rsid w:val="7696774C"/>
    <w:rsid w:val="76A8ADE4"/>
    <w:rsid w:val="76B0A551"/>
    <w:rsid w:val="76B56AA1"/>
    <w:rsid w:val="76C0BFDA"/>
    <w:rsid w:val="76C12AD4"/>
    <w:rsid w:val="76C2CED3"/>
    <w:rsid w:val="76C88553"/>
    <w:rsid w:val="76D00B9B"/>
    <w:rsid w:val="76D0B994"/>
    <w:rsid w:val="76D33F3C"/>
    <w:rsid w:val="76D49D80"/>
    <w:rsid w:val="76DE41CD"/>
    <w:rsid w:val="76E085EC"/>
    <w:rsid w:val="76E90E9F"/>
    <w:rsid w:val="76ED66BE"/>
    <w:rsid w:val="76EEC9E6"/>
    <w:rsid w:val="76F33BE2"/>
    <w:rsid w:val="76F404A1"/>
    <w:rsid w:val="76F4C4C6"/>
    <w:rsid w:val="76F5C2EE"/>
    <w:rsid w:val="76F7297F"/>
    <w:rsid w:val="76FD7863"/>
    <w:rsid w:val="76FE3E90"/>
    <w:rsid w:val="770C81D0"/>
    <w:rsid w:val="770F82AA"/>
    <w:rsid w:val="770FA955"/>
    <w:rsid w:val="771074AB"/>
    <w:rsid w:val="7714F588"/>
    <w:rsid w:val="77152406"/>
    <w:rsid w:val="77156020"/>
    <w:rsid w:val="771585E0"/>
    <w:rsid w:val="7724E317"/>
    <w:rsid w:val="7729CA0F"/>
    <w:rsid w:val="772DDCA0"/>
    <w:rsid w:val="772FCD4A"/>
    <w:rsid w:val="77340114"/>
    <w:rsid w:val="773649F0"/>
    <w:rsid w:val="7738027F"/>
    <w:rsid w:val="773A8064"/>
    <w:rsid w:val="773FAF61"/>
    <w:rsid w:val="773FD010"/>
    <w:rsid w:val="774B0CC6"/>
    <w:rsid w:val="774ECF0D"/>
    <w:rsid w:val="77554F71"/>
    <w:rsid w:val="775A23CC"/>
    <w:rsid w:val="775D3E8B"/>
    <w:rsid w:val="77619269"/>
    <w:rsid w:val="776EA50E"/>
    <w:rsid w:val="7772A1A7"/>
    <w:rsid w:val="7773F283"/>
    <w:rsid w:val="7778508D"/>
    <w:rsid w:val="777E86B6"/>
    <w:rsid w:val="777F919F"/>
    <w:rsid w:val="7787BBC7"/>
    <w:rsid w:val="7789C6E2"/>
    <w:rsid w:val="7793EAC5"/>
    <w:rsid w:val="7793F79B"/>
    <w:rsid w:val="7798574C"/>
    <w:rsid w:val="77A3A87A"/>
    <w:rsid w:val="77A3E6FC"/>
    <w:rsid w:val="77A861A5"/>
    <w:rsid w:val="77AA5161"/>
    <w:rsid w:val="77AE32F7"/>
    <w:rsid w:val="77B2BA86"/>
    <w:rsid w:val="77B9D488"/>
    <w:rsid w:val="77BC3E75"/>
    <w:rsid w:val="77BC4AE4"/>
    <w:rsid w:val="77BD73A2"/>
    <w:rsid w:val="77C4B3AA"/>
    <w:rsid w:val="77C7ACAC"/>
    <w:rsid w:val="77C7EFFD"/>
    <w:rsid w:val="77CDAF9C"/>
    <w:rsid w:val="77CFACD5"/>
    <w:rsid w:val="77D4DD10"/>
    <w:rsid w:val="77DA239F"/>
    <w:rsid w:val="77DC6D29"/>
    <w:rsid w:val="77DE1948"/>
    <w:rsid w:val="77E31136"/>
    <w:rsid w:val="77ED2D46"/>
    <w:rsid w:val="77EDB3CE"/>
    <w:rsid w:val="77EE5264"/>
    <w:rsid w:val="77FD94DD"/>
    <w:rsid w:val="78028DF9"/>
    <w:rsid w:val="78084A55"/>
    <w:rsid w:val="78121F10"/>
    <w:rsid w:val="781297BC"/>
    <w:rsid w:val="781579A0"/>
    <w:rsid w:val="78176198"/>
    <w:rsid w:val="781A5AC1"/>
    <w:rsid w:val="781E7282"/>
    <w:rsid w:val="7828D028"/>
    <w:rsid w:val="782BEF84"/>
    <w:rsid w:val="782DCEBB"/>
    <w:rsid w:val="7832E263"/>
    <w:rsid w:val="783681A6"/>
    <w:rsid w:val="78388CEB"/>
    <w:rsid w:val="783C85A2"/>
    <w:rsid w:val="78432158"/>
    <w:rsid w:val="784522B6"/>
    <w:rsid w:val="7847E779"/>
    <w:rsid w:val="78486274"/>
    <w:rsid w:val="78505844"/>
    <w:rsid w:val="78518F2C"/>
    <w:rsid w:val="78542E4D"/>
    <w:rsid w:val="7859AA04"/>
    <w:rsid w:val="785A1BC0"/>
    <w:rsid w:val="786014DC"/>
    <w:rsid w:val="786346A6"/>
    <w:rsid w:val="786DE266"/>
    <w:rsid w:val="7871BA07"/>
    <w:rsid w:val="787E93F4"/>
    <w:rsid w:val="788E4A0D"/>
    <w:rsid w:val="788EADA4"/>
    <w:rsid w:val="7894DD67"/>
    <w:rsid w:val="7899763B"/>
    <w:rsid w:val="789B8B4C"/>
    <w:rsid w:val="789EDAB7"/>
    <w:rsid w:val="78A1A3F5"/>
    <w:rsid w:val="78A9E5B3"/>
    <w:rsid w:val="78AAB219"/>
    <w:rsid w:val="78ACAE7C"/>
    <w:rsid w:val="78AED4CF"/>
    <w:rsid w:val="78AFC2FE"/>
    <w:rsid w:val="78B15816"/>
    <w:rsid w:val="78B2552B"/>
    <w:rsid w:val="78B3CE01"/>
    <w:rsid w:val="78BCF105"/>
    <w:rsid w:val="78C872D9"/>
    <w:rsid w:val="78CCD788"/>
    <w:rsid w:val="78CE412E"/>
    <w:rsid w:val="78D27991"/>
    <w:rsid w:val="78D6889D"/>
    <w:rsid w:val="78D9DA77"/>
    <w:rsid w:val="78E2952D"/>
    <w:rsid w:val="78E789B8"/>
    <w:rsid w:val="78E8494B"/>
    <w:rsid w:val="78ED885D"/>
    <w:rsid w:val="78FDC792"/>
    <w:rsid w:val="79001AA1"/>
    <w:rsid w:val="790280F0"/>
    <w:rsid w:val="7905F3B5"/>
    <w:rsid w:val="7908F6F9"/>
    <w:rsid w:val="79124527"/>
    <w:rsid w:val="7926B9F4"/>
    <w:rsid w:val="792D037D"/>
    <w:rsid w:val="794CF30A"/>
    <w:rsid w:val="794D9D36"/>
    <w:rsid w:val="794EEECF"/>
    <w:rsid w:val="7952F6FA"/>
    <w:rsid w:val="7955A082"/>
    <w:rsid w:val="7958C1CC"/>
    <w:rsid w:val="79694830"/>
    <w:rsid w:val="796B3820"/>
    <w:rsid w:val="796E2EC6"/>
    <w:rsid w:val="7970BF8C"/>
    <w:rsid w:val="797D68F9"/>
    <w:rsid w:val="7985DDFC"/>
    <w:rsid w:val="79877805"/>
    <w:rsid w:val="79939612"/>
    <w:rsid w:val="7995CF9A"/>
    <w:rsid w:val="79982D4E"/>
    <w:rsid w:val="799A1A5A"/>
    <w:rsid w:val="799EF912"/>
    <w:rsid w:val="799FC28D"/>
    <w:rsid w:val="79A345BA"/>
    <w:rsid w:val="79A826E1"/>
    <w:rsid w:val="79B5D520"/>
    <w:rsid w:val="79BB2228"/>
    <w:rsid w:val="79BBA54A"/>
    <w:rsid w:val="79CB9919"/>
    <w:rsid w:val="79D759E2"/>
    <w:rsid w:val="79DD8C4C"/>
    <w:rsid w:val="79DE0A36"/>
    <w:rsid w:val="79E4258B"/>
    <w:rsid w:val="79F62DB9"/>
    <w:rsid w:val="79F6D178"/>
    <w:rsid w:val="79F84D9E"/>
    <w:rsid w:val="79FFE43E"/>
    <w:rsid w:val="7A065952"/>
    <w:rsid w:val="7A0F1349"/>
    <w:rsid w:val="7A10BBEC"/>
    <w:rsid w:val="7A10EBA3"/>
    <w:rsid w:val="7A1376AF"/>
    <w:rsid w:val="7A20B49C"/>
    <w:rsid w:val="7A217869"/>
    <w:rsid w:val="7A233468"/>
    <w:rsid w:val="7A23A248"/>
    <w:rsid w:val="7A2EFC02"/>
    <w:rsid w:val="7A317BEE"/>
    <w:rsid w:val="7A403FE4"/>
    <w:rsid w:val="7A4657E9"/>
    <w:rsid w:val="7A479F3A"/>
    <w:rsid w:val="7A48F6AE"/>
    <w:rsid w:val="7A5C158A"/>
    <w:rsid w:val="7A63F01A"/>
    <w:rsid w:val="7A780BE0"/>
    <w:rsid w:val="7A7A5470"/>
    <w:rsid w:val="7A860C90"/>
    <w:rsid w:val="7A87BFE3"/>
    <w:rsid w:val="7A885657"/>
    <w:rsid w:val="7A88BBAB"/>
    <w:rsid w:val="7A907EF6"/>
    <w:rsid w:val="7A956140"/>
    <w:rsid w:val="7A979575"/>
    <w:rsid w:val="7A989717"/>
    <w:rsid w:val="7A98E3B2"/>
    <w:rsid w:val="7A9B0E1F"/>
    <w:rsid w:val="7A9B9A58"/>
    <w:rsid w:val="7A9F2CA0"/>
    <w:rsid w:val="7AA532E5"/>
    <w:rsid w:val="7AAECBEE"/>
    <w:rsid w:val="7AB0607F"/>
    <w:rsid w:val="7AB64579"/>
    <w:rsid w:val="7AB7A50D"/>
    <w:rsid w:val="7AB96272"/>
    <w:rsid w:val="7AC84E5B"/>
    <w:rsid w:val="7AD44240"/>
    <w:rsid w:val="7ADC3AF0"/>
    <w:rsid w:val="7ADC3EB6"/>
    <w:rsid w:val="7ADE074E"/>
    <w:rsid w:val="7ADF565D"/>
    <w:rsid w:val="7ADF771F"/>
    <w:rsid w:val="7AE04853"/>
    <w:rsid w:val="7AE1E04B"/>
    <w:rsid w:val="7AE82DB8"/>
    <w:rsid w:val="7AEA7694"/>
    <w:rsid w:val="7AECD6E9"/>
    <w:rsid w:val="7AEDA409"/>
    <w:rsid w:val="7AF24626"/>
    <w:rsid w:val="7AF5DAD4"/>
    <w:rsid w:val="7AFF06A5"/>
    <w:rsid w:val="7B0B06BC"/>
    <w:rsid w:val="7B15D0E5"/>
    <w:rsid w:val="7B1BBDDF"/>
    <w:rsid w:val="7B1BE328"/>
    <w:rsid w:val="7B1CE570"/>
    <w:rsid w:val="7B1DF07E"/>
    <w:rsid w:val="7B20946B"/>
    <w:rsid w:val="7B23B1DF"/>
    <w:rsid w:val="7B2754BF"/>
    <w:rsid w:val="7B28DBFA"/>
    <w:rsid w:val="7B30EDB2"/>
    <w:rsid w:val="7B316F68"/>
    <w:rsid w:val="7B31DD2C"/>
    <w:rsid w:val="7B3CE22F"/>
    <w:rsid w:val="7B42AD5C"/>
    <w:rsid w:val="7B511C46"/>
    <w:rsid w:val="7B5559FB"/>
    <w:rsid w:val="7B631926"/>
    <w:rsid w:val="7B64F83F"/>
    <w:rsid w:val="7B6644C3"/>
    <w:rsid w:val="7B672DF9"/>
    <w:rsid w:val="7B6BDBCB"/>
    <w:rsid w:val="7B79097E"/>
    <w:rsid w:val="7B795E9E"/>
    <w:rsid w:val="7B7E98D7"/>
    <w:rsid w:val="7B7EFFF2"/>
    <w:rsid w:val="7B86259B"/>
    <w:rsid w:val="7B8DA001"/>
    <w:rsid w:val="7B8DD132"/>
    <w:rsid w:val="7B943C48"/>
    <w:rsid w:val="7B98259E"/>
    <w:rsid w:val="7B98D00D"/>
    <w:rsid w:val="7B9A0994"/>
    <w:rsid w:val="7BB78AA1"/>
    <w:rsid w:val="7BBA94D4"/>
    <w:rsid w:val="7BBB340C"/>
    <w:rsid w:val="7BC41EB3"/>
    <w:rsid w:val="7BC6A53C"/>
    <w:rsid w:val="7BD07B5B"/>
    <w:rsid w:val="7BD4DD11"/>
    <w:rsid w:val="7BD794CB"/>
    <w:rsid w:val="7BD9794B"/>
    <w:rsid w:val="7BE4FE87"/>
    <w:rsid w:val="7BE9852A"/>
    <w:rsid w:val="7BFE2872"/>
    <w:rsid w:val="7C0319FF"/>
    <w:rsid w:val="7C0936C0"/>
    <w:rsid w:val="7C0BBC9B"/>
    <w:rsid w:val="7C0F3CF7"/>
    <w:rsid w:val="7C11F2F0"/>
    <w:rsid w:val="7C157507"/>
    <w:rsid w:val="7C15F2B1"/>
    <w:rsid w:val="7C238185"/>
    <w:rsid w:val="7C27BC13"/>
    <w:rsid w:val="7C2B4BD4"/>
    <w:rsid w:val="7C36193F"/>
    <w:rsid w:val="7C3C65C4"/>
    <w:rsid w:val="7C419DEF"/>
    <w:rsid w:val="7C48BF49"/>
    <w:rsid w:val="7C4B9B6B"/>
    <w:rsid w:val="7C4F296D"/>
    <w:rsid w:val="7C52C27C"/>
    <w:rsid w:val="7C52C8EF"/>
    <w:rsid w:val="7C59982C"/>
    <w:rsid w:val="7C5A79CA"/>
    <w:rsid w:val="7C5AC5D8"/>
    <w:rsid w:val="7C64EE92"/>
    <w:rsid w:val="7C66EFAA"/>
    <w:rsid w:val="7C72EECC"/>
    <w:rsid w:val="7C76097E"/>
    <w:rsid w:val="7C7BB5D0"/>
    <w:rsid w:val="7C7BC07D"/>
    <w:rsid w:val="7C7C472C"/>
    <w:rsid w:val="7C82EE95"/>
    <w:rsid w:val="7C85E1FE"/>
    <w:rsid w:val="7C95296E"/>
    <w:rsid w:val="7C9597E3"/>
    <w:rsid w:val="7CA51DA4"/>
    <w:rsid w:val="7CAAB33A"/>
    <w:rsid w:val="7CB047DE"/>
    <w:rsid w:val="7CB394F4"/>
    <w:rsid w:val="7CB78937"/>
    <w:rsid w:val="7CC07B5D"/>
    <w:rsid w:val="7CC14273"/>
    <w:rsid w:val="7CC1DC3A"/>
    <w:rsid w:val="7CC2234D"/>
    <w:rsid w:val="7CC50C14"/>
    <w:rsid w:val="7CCA07BC"/>
    <w:rsid w:val="7CCCB2B9"/>
    <w:rsid w:val="7CCE368A"/>
    <w:rsid w:val="7CD9529C"/>
    <w:rsid w:val="7CDF910A"/>
    <w:rsid w:val="7CE2536B"/>
    <w:rsid w:val="7CE5DEE9"/>
    <w:rsid w:val="7CE6A164"/>
    <w:rsid w:val="7CE6A8EF"/>
    <w:rsid w:val="7CE74CCF"/>
    <w:rsid w:val="7CEB9762"/>
    <w:rsid w:val="7CEB9A81"/>
    <w:rsid w:val="7CECD37B"/>
    <w:rsid w:val="7CED34A7"/>
    <w:rsid w:val="7CF32268"/>
    <w:rsid w:val="7CF651ED"/>
    <w:rsid w:val="7CFA09D4"/>
    <w:rsid w:val="7CFBA23C"/>
    <w:rsid w:val="7CFC7879"/>
    <w:rsid w:val="7D0594E8"/>
    <w:rsid w:val="7D12F1F7"/>
    <w:rsid w:val="7D17118B"/>
    <w:rsid w:val="7D1A7174"/>
    <w:rsid w:val="7D1E0633"/>
    <w:rsid w:val="7D1EE5CB"/>
    <w:rsid w:val="7D1F0E7A"/>
    <w:rsid w:val="7D2C0124"/>
    <w:rsid w:val="7D305F1E"/>
    <w:rsid w:val="7D30D01A"/>
    <w:rsid w:val="7D322EDC"/>
    <w:rsid w:val="7D33A370"/>
    <w:rsid w:val="7D3777C3"/>
    <w:rsid w:val="7D38B48B"/>
    <w:rsid w:val="7D3987FA"/>
    <w:rsid w:val="7D48CAEC"/>
    <w:rsid w:val="7D499ECD"/>
    <w:rsid w:val="7D4A7A57"/>
    <w:rsid w:val="7D505777"/>
    <w:rsid w:val="7D530840"/>
    <w:rsid w:val="7D53DF61"/>
    <w:rsid w:val="7D552D3C"/>
    <w:rsid w:val="7D5B1AAE"/>
    <w:rsid w:val="7D5B3761"/>
    <w:rsid w:val="7D61FCFB"/>
    <w:rsid w:val="7D646BBA"/>
    <w:rsid w:val="7D6E613C"/>
    <w:rsid w:val="7D6F7BE5"/>
    <w:rsid w:val="7D72BBCA"/>
    <w:rsid w:val="7D770D7B"/>
    <w:rsid w:val="7D7853CA"/>
    <w:rsid w:val="7D7B3CF4"/>
    <w:rsid w:val="7D7BDF32"/>
    <w:rsid w:val="7D802536"/>
    <w:rsid w:val="7D80DCC7"/>
    <w:rsid w:val="7D810A7C"/>
    <w:rsid w:val="7D86506E"/>
    <w:rsid w:val="7D878B1F"/>
    <w:rsid w:val="7D87F67D"/>
    <w:rsid w:val="7D8AC49B"/>
    <w:rsid w:val="7D8CD1EA"/>
    <w:rsid w:val="7D8D9731"/>
    <w:rsid w:val="7D96FAE1"/>
    <w:rsid w:val="7D983F5F"/>
    <w:rsid w:val="7DA8B6C3"/>
    <w:rsid w:val="7DB09F2D"/>
    <w:rsid w:val="7DB59DF7"/>
    <w:rsid w:val="7DC7BD6B"/>
    <w:rsid w:val="7DC8B8EB"/>
    <w:rsid w:val="7DD287F5"/>
    <w:rsid w:val="7DD83C1B"/>
    <w:rsid w:val="7DDACEE9"/>
    <w:rsid w:val="7DE157B8"/>
    <w:rsid w:val="7DE6FE15"/>
    <w:rsid w:val="7DEF38D3"/>
    <w:rsid w:val="7DF4BD5E"/>
    <w:rsid w:val="7DFBB2B2"/>
    <w:rsid w:val="7DFBD2AB"/>
    <w:rsid w:val="7E00747E"/>
    <w:rsid w:val="7E01E39F"/>
    <w:rsid w:val="7E07E8EC"/>
    <w:rsid w:val="7E0AD283"/>
    <w:rsid w:val="7E0AD29D"/>
    <w:rsid w:val="7E0FD995"/>
    <w:rsid w:val="7E14C635"/>
    <w:rsid w:val="7E1AEA4E"/>
    <w:rsid w:val="7E23097D"/>
    <w:rsid w:val="7E2605EE"/>
    <w:rsid w:val="7E2D6A2F"/>
    <w:rsid w:val="7E3C84A8"/>
    <w:rsid w:val="7E3CCCA1"/>
    <w:rsid w:val="7E43688C"/>
    <w:rsid w:val="7E44888D"/>
    <w:rsid w:val="7E45AC88"/>
    <w:rsid w:val="7E49812C"/>
    <w:rsid w:val="7E4CAEF7"/>
    <w:rsid w:val="7E55F9E5"/>
    <w:rsid w:val="7E5680CB"/>
    <w:rsid w:val="7E5E013B"/>
    <w:rsid w:val="7E6224C7"/>
    <w:rsid w:val="7E6318F2"/>
    <w:rsid w:val="7E64F3F9"/>
    <w:rsid w:val="7E6F36A2"/>
    <w:rsid w:val="7E729D24"/>
    <w:rsid w:val="7E79B305"/>
    <w:rsid w:val="7E854D7E"/>
    <w:rsid w:val="7E86DC54"/>
    <w:rsid w:val="7E8C6CAC"/>
    <w:rsid w:val="7E8FFEA6"/>
    <w:rsid w:val="7E927904"/>
    <w:rsid w:val="7E92AFD7"/>
    <w:rsid w:val="7E994233"/>
    <w:rsid w:val="7EA18AC9"/>
    <w:rsid w:val="7EA260BC"/>
    <w:rsid w:val="7EA348C2"/>
    <w:rsid w:val="7EA38981"/>
    <w:rsid w:val="7EABCC48"/>
    <w:rsid w:val="7EAF5735"/>
    <w:rsid w:val="7EB0405E"/>
    <w:rsid w:val="7EC5AB3A"/>
    <w:rsid w:val="7ECA794A"/>
    <w:rsid w:val="7ECCC3A6"/>
    <w:rsid w:val="7ECF1273"/>
    <w:rsid w:val="7ECFA6C5"/>
    <w:rsid w:val="7ED93E43"/>
    <w:rsid w:val="7EDAFBB4"/>
    <w:rsid w:val="7EDCF474"/>
    <w:rsid w:val="7EE6ED1E"/>
    <w:rsid w:val="7EF37C33"/>
    <w:rsid w:val="7EF4C821"/>
    <w:rsid w:val="7F02C39B"/>
    <w:rsid w:val="7F0511CB"/>
    <w:rsid w:val="7F065C92"/>
    <w:rsid w:val="7F1111CA"/>
    <w:rsid w:val="7F11B617"/>
    <w:rsid w:val="7F1227F2"/>
    <w:rsid w:val="7F159CCA"/>
    <w:rsid w:val="7F1AD402"/>
    <w:rsid w:val="7F1CD685"/>
    <w:rsid w:val="7F314D90"/>
    <w:rsid w:val="7F3B90A2"/>
    <w:rsid w:val="7F3E59CA"/>
    <w:rsid w:val="7F3EEE00"/>
    <w:rsid w:val="7F45EB6E"/>
    <w:rsid w:val="7F4FCBBD"/>
    <w:rsid w:val="7F54ED87"/>
    <w:rsid w:val="7F5CA9A7"/>
    <w:rsid w:val="7F603601"/>
    <w:rsid w:val="7F656C3C"/>
    <w:rsid w:val="7F6738CE"/>
    <w:rsid w:val="7F73C2F0"/>
    <w:rsid w:val="7F7D00C6"/>
    <w:rsid w:val="7F8874D1"/>
    <w:rsid w:val="7F8D00D8"/>
    <w:rsid w:val="7F8F2C88"/>
    <w:rsid w:val="7F94A29F"/>
    <w:rsid w:val="7F9C78FD"/>
    <w:rsid w:val="7FA403F0"/>
    <w:rsid w:val="7FA47CD5"/>
    <w:rsid w:val="7FAEE66A"/>
    <w:rsid w:val="7FB431D1"/>
    <w:rsid w:val="7FBB83E9"/>
    <w:rsid w:val="7FC013BF"/>
    <w:rsid w:val="7FCBB841"/>
    <w:rsid w:val="7FCFBEF3"/>
    <w:rsid w:val="7FD71A42"/>
    <w:rsid w:val="7FD9A81D"/>
    <w:rsid w:val="7FDF2FA1"/>
    <w:rsid w:val="7FF0D0FA"/>
    <w:rsid w:val="7FF5253F"/>
    <w:rsid w:val="7FFD6D1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723AC"/>
  <w15:docId w15:val="{2BF53C5D-EF21-451E-9EDD-F5BE11FCC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DA1"/>
    <w:pPr>
      <w:widowControl/>
      <w:spacing w:after="160" w:line="259" w:lineRule="auto"/>
    </w:pPr>
    <w:rPr>
      <w:rFonts w:ascii="Metropolis Light" w:eastAsiaTheme="minorHAnsi" w:hAnsi="Metropolis Light"/>
      <w:sz w:val="20"/>
      <w:lang w:val="en-NZ"/>
    </w:rPr>
  </w:style>
  <w:style w:type="paragraph" w:styleId="Heading1">
    <w:name w:val="heading 1"/>
    <w:link w:val="Heading1Char"/>
    <w:uiPriority w:val="10"/>
    <w:qFormat/>
    <w:rsid w:val="00117DA1"/>
    <w:pPr>
      <w:keepNext/>
      <w:widowControl/>
      <w:spacing w:before="600" w:after="240" w:line="360" w:lineRule="auto"/>
      <w:outlineLvl w:val="0"/>
    </w:pPr>
    <w:rPr>
      <w:rFonts w:ascii="Metropolis Black" w:eastAsia="Times New Roman" w:hAnsi="Metropolis Black" w:cs="Times New Roman"/>
      <w:b/>
      <w:color w:val="73AB6E"/>
      <w:sz w:val="66"/>
      <w:szCs w:val="24"/>
      <w:lang w:val="en-NZ"/>
    </w:rPr>
  </w:style>
  <w:style w:type="paragraph" w:styleId="Heading2">
    <w:name w:val="heading 2"/>
    <w:next w:val="BodyText"/>
    <w:link w:val="Heading2Char"/>
    <w:uiPriority w:val="5"/>
    <w:qFormat/>
    <w:rsid w:val="00117DA1"/>
    <w:pPr>
      <w:keepNext/>
      <w:widowControl/>
      <w:spacing w:before="360" w:line="360" w:lineRule="auto"/>
      <w:outlineLvl w:val="1"/>
    </w:pPr>
    <w:rPr>
      <w:rFonts w:ascii="Metropolis" w:eastAsia="Times New Roman" w:hAnsi="Metropolis" w:cs="Times New Roman"/>
      <w:b/>
      <w:caps/>
      <w:color w:val="73AB6E"/>
      <w:szCs w:val="24"/>
      <w:lang w:val="en-NZ" w:eastAsia="en-AU"/>
    </w:rPr>
  </w:style>
  <w:style w:type="paragraph" w:styleId="Heading3">
    <w:name w:val="heading 3"/>
    <w:next w:val="BodyText"/>
    <w:link w:val="Heading3Char"/>
    <w:uiPriority w:val="5"/>
    <w:qFormat/>
    <w:rsid w:val="00117DA1"/>
    <w:pPr>
      <w:keepNext/>
      <w:widowControl/>
      <w:spacing w:before="200" w:line="360" w:lineRule="auto"/>
      <w:outlineLvl w:val="2"/>
    </w:pPr>
    <w:rPr>
      <w:rFonts w:ascii="Metropolis" w:eastAsia="Times New Roman" w:hAnsi="Metropolis" w:cs="Times New Roman"/>
      <w:b/>
      <w:color w:val="73AB6E"/>
      <w:szCs w:val="24"/>
      <w:lang w:val="en-NZ" w:eastAsia="en-AU"/>
    </w:rPr>
  </w:style>
  <w:style w:type="paragraph" w:styleId="Heading4">
    <w:name w:val="heading 4"/>
    <w:next w:val="BodyText"/>
    <w:link w:val="Heading4Char"/>
    <w:uiPriority w:val="5"/>
    <w:qFormat/>
    <w:rsid w:val="00117DA1"/>
    <w:pPr>
      <w:keepNext/>
      <w:widowControl/>
      <w:spacing w:before="200" w:line="360" w:lineRule="auto"/>
      <w:outlineLvl w:val="3"/>
    </w:pPr>
    <w:rPr>
      <w:rFonts w:ascii="Metropolis" w:eastAsia="Times New Roman" w:hAnsi="Metropolis" w:cs="Times New Roman"/>
      <w:b/>
      <w:i/>
      <w:color w:val="73AB6E"/>
      <w:sz w:val="20"/>
      <w:szCs w:val="24"/>
      <w:lang w:val="en-NZ" w:eastAsia="en-AU"/>
    </w:rPr>
  </w:style>
  <w:style w:type="paragraph" w:styleId="Heading5">
    <w:name w:val="heading 5"/>
    <w:basedOn w:val="Normal"/>
    <w:next w:val="Normal"/>
    <w:link w:val="Heading5Char"/>
    <w:uiPriority w:val="10"/>
    <w:qFormat/>
    <w:rsid w:val="00117DA1"/>
    <w:pPr>
      <w:keepNext/>
      <w:spacing w:before="200"/>
      <w:outlineLvl w:val="4"/>
    </w:pPr>
    <w:rPr>
      <w:rFonts w:ascii="Metropolis" w:hAnsi="Metropolis"/>
      <w:color w:val="6BA539"/>
    </w:rPr>
  </w:style>
  <w:style w:type="paragraph" w:styleId="Heading6">
    <w:name w:val="heading 6"/>
    <w:link w:val="Heading6Char"/>
    <w:uiPriority w:val="10"/>
    <w:qFormat/>
    <w:rsid w:val="00117DA1"/>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117DA1"/>
    <w:pPr>
      <w:spacing w:before="240" w:after="60"/>
      <w:outlineLvl w:val="6"/>
    </w:pPr>
  </w:style>
  <w:style w:type="paragraph" w:styleId="Heading8">
    <w:name w:val="heading 8"/>
    <w:basedOn w:val="Normal"/>
    <w:next w:val="Normal"/>
    <w:link w:val="Heading8Char"/>
    <w:uiPriority w:val="10"/>
    <w:semiHidden/>
    <w:rsid w:val="00117DA1"/>
    <w:pPr>
      <w:spacing w:before="240" w:after="60"/>
      <w:outlineLvl w:val="7"/>
    </w:pPr>
    <w:rPr>
      <w:i/>
      <w:iCs/>
    </w:rPr>
  </w:style>
  <w:style w:type="paragraph" w:styleId="Heading9">
    <w:name w:val="heading 9"/>
    <w:basedOn w:val="Normal"/>
    <w:next w:val="Normal"/>
    <w:link w:val="Heading9Char"/>
    <w:uiPriority w:val="10"/>
    <w:semiHidden/>
    <w:rsid w:val="00117DA1"/>
    <w:pPr>
      <w:spacing w:before="240" w:after="60"/>
      <w:outlineLvl w:val="8"/>
    </w:pPr>
    <w:rPr>
      <w:rFonts w:ascii="Arial" w:hAnsi="Arial" w:cs="Arial"/>
    </w:rPr>
  </w:style>
  <w:style w:type="character" w:default="1" w:styleId="DefaultParagraphFont">
    <w:name w:val="Default Paragraph Font"/>
    <w:uiPriority w:val="1"/>
    <w:semiHidden/>
    <w:unhideWhenUsed/>
    <w:rsid w:val="00117DA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17DA1"/>
  </w:style>
  <w:style w:type="character" w:customStyle="1" w:styleId="Heading1Char">
    <w:name w:val="Heading 1 Char"/>
    <w:basedOn w:val="DefaultParagraphFont"/>
    <w:link w:val="Heading1"/>
    <w:uiPriority w:val="10"/>
    <w:rsid w:val="008A0873"/>
    <w:rPr>
      <w:rFonts w:ascii="Metropolis Black" w:eastAsia="Times New Roman" w:hAnsi="Metropolis Black" w:cs="Times New Roman"/>
      <w:b/>
      <w:color w:val="73AB6E"/>
      <w:sz w:val="66"/>
      <w:szCs w:val="24"/>
      <w:lang w:val="en-NZ"/>
    </w:rPr>
  </w:style>
  <w:style w:type="character" w:customStyle="1" w:styleId="Heading2Char">
    <w:name w:val="Heading 2 Char"/>
    <w:basedOn w:val="DefaultParagraphFont"/>
    <w:link w:val="Heading2"/>
    <w:uiPriority w:val="5"/>
    <w:rsid w:val="008A0873"/>
    <w:rPr>
      <w:rFonts w:ascii="Metropolis" w:eastAsia="Times New Roman" w:hAnsi="Metropolis" w:cs="Times New Roman"/>
      <w:b/>
      <w:caps/>
      <w:color w:val="73AB6E"/>
      <w:szCs w:val="24"/>
      <w:lang w:val="en-NZ" w:eastAsia="en-AU"/>
    </w:rPr>
  </w:style>
  <w:style w:type="character" w:customStyle="1" w:styleId="Heading3Char">
    <w:name w:val="Heading 3 Char"/>
    <w:basedOn w:val="DefaultParagraphFont"/>
    <w:link w:val="Heading3"/>
    <w:uiPriority w:val="5"/>
    <w:rsid w:val="008A0873"/>
    <w:rPr>
      <w:rFonts w:ascii="Metropolis" w:eastAsia="Times New Roman" w:hAnsi="Metropolis" w:cs="Times New Roman"/>
      <w:b/>
      <w:color w:val="73AB6E"/>
      <w:szCs w:val="24"/>
      <w:lang w:val="en-NZ" w:eastAsia="en-AU"/>
    </w:rPr>
  </w:style>
  <w:style w:type="character" w:customStyle="1" w:styleId="Heading4Char">
    <w:name w:val="Heading 4 Char"/>
    <w:basedOn w:val="DefaultParagraphFont"/>
    <w:link w:val="Heading4"/>
    <w:uiPriority w:val="5"/>
    <w:rsid w:val="008A0873"/>
    <w:rPr>
      <w:rFonts w:ascii="Metropolis" w:eastAsia="Times New Roman" w:hAnsi="Metropolis" w:cs="Times New Roman"/>
      <w:b/>
      <w:i/>
      <w:color w:val="73AB6E"/>
      <w:sz w:val="20"/>
      <w:szCs w:val="24"/>
      <w:lang w:val="en-NZ" w:eastAsia="en-AU"/>
    </w:rPr>
  </w:style>
  <w:style w:type="character" w:customStyle="1" w:styleId="Heading5Char">
    <w:name w:val="Heading 5 Char"/>
    <w:basedOn w:val="DefaultParagraphFont"/>
    <w:link w:val="Heading5"/>
    <w:uiPriority w:val="10"/>
    <w:rsid w:val="008A0873"/>
    <w:rPr>
      <w:rFonts w:ascii="Metropolis" w:eastAsiaTheme="minorHAnsi" w:hAnsi="Metropolis"/>
      <w:color w:val="6BA539"/>
      <w:sz w:val="20"/>
      <w:lang w:val="en-NZ"/>
    </w:rPr>
  </w:style>
  <w:style w:type="character" w:customStyle="1" w:styleId="Heading6Char">
    <w:name w:val="Heading 6 Char"/>
    <w:basedOn w:val="DefaultParagraphFont"/>
    <w:link w:val="Heading6"/>
    <w:uiPriority w:val="10"/>
    <w:rsid w:val="008A0873"/>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8A0873"/>
    <w:rPr>
      <w:rFonts w:ascii="Metropolis Light" w:eastAsiaTheme="minorHAnsi" w:hAnsi="Metropolis Light"/>
      <w:sz w:val="20"/>
      <w:lang w:val="en-NZ"/>
    </w:rPr>
  </w:style>
  <w:style w:type="character" w:customStyle="1" w:styleId="Heading8Char">
    <w:name w:val="Heading 8 Char"/>
    <w:basedOn w:val="DefaultParagraphFont"/>
    <w:link w:val="Heading8"/>
    <w:uiPriority w:val="10"/>
    <w:semiHidden/>
    <w:rsid w:val="008A0873"/>
    <w:rPr>
      <w:rFonts w:ascii="Metropolis Light" w:eastAsiaTheme="minorHAnsi" w:hAnsi="Metropolis Light"/>
      <w:i/>
      <w:iCs/>
      <w:sz w:val="20"/>
      <w:lang w:val="en-NZ"/>
    </w:rPr>
  </w:style>
  <w:style w:type="character" w:customStyle="1" w:styleId="Heading9Char">
    <w:name w:val="Heading 9 Char"/>
    <w:basedOn w:val="DefaultParagraphFont"/>
    <w:link w:val="Heading9"/>
    <w:uiPriority w:val="10"/>
    <w:semiHidden/>
    <w:rsid w:val="008A0873"/>
    <w:rPr>
      <w:rFonts w:ascii="Arial" w:eastAsiaTheme="minorHAnsi" w:hAnsi="Arial" w:cs="Arial"/>
      <w:sz w:val="20"/>
      <w:lang w:val="en-NZ"/>
    </w:rPr>
  </w:style>
  <w:style w:type="paragraph" w:styleId="BalloonText">
    <w:name w:val="Balloon Text"/>
    <w:basedOn w:val="Normal"/>
    <w:link w:val="BalloonTextChar1"/>
    <w:uiPriority w:val="99"/>
    <w:semiHidden/>
    <w:rsid w:val="00117DA1"/>
    <w:rPr>
      <w:rFonts w:ascii="Tahoma" w:hAnsi="Tahoma" w:cs="Tahoma"/>
      <w:sz w:val="16"/>
      <w:szCs w:val="16"/>
    </w:rPr>
  </w:style>
  <w:style w:type="character" w:customStyle="1" w:styleId="BalloonTextChar">
    <w:name w:val="Balloon Text Char"/>
    <w:basedOn w:val="DefaultParagraphFont"/>
    <w:uiPriority w:val="99"/>
    <w:semiHidden/>
    <w:rsid w:val="00117DA1"/>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A0873"/>
    <w:rPr>
      <w:rFonts w:ascii="Tahoma" w:eastAsiaTheme="minorHAnsi" w:hAnsi="Tahoma" w:cs="Tahoma"/>
      <w:sz w:val="16"/>
      <w:szCs w:val="16"/>
      <w:lang w:val="en-NZ"/>
    </w:rPr>
  </w:style>
  <w:style w:type="paragraph" w:styleId="Quote">
    <w:name w:val="Quote"/>
    <w:aliases w:val="Heading Four"/>
    <w:link w:val="QuoteChar"/>
    <w:uiPriority w:val="6"/>
    <w:qFormat/>
    <w:rsid w:val="00117DA1"/>
    <w:pPr>
      <w:widowControl/>
      <w:numPr>
        <w:numId w:val="12"/>
      </w:numPr>
      <w:spacing w:before="80" w:after="80" w:line="360" w:lineRule="auto"/>
      <w:ind w:left="1134" w:firstLine="0"/>
      <w:jc w:val="both"/>
    </w:pPr>
    <w:rPr>
      <w:rFonts w:ascii="Metropolis Light" w:eastAsia="Times New Roman" w:hAnsi="Metropolis Light" w:cs="Times New Roman"/>
      <w:color w:val="0D0D0D" w:themeColor="text1" w:themeTint="F2"/>
      <w:sz w:val="18"/>
      <w:szCs w:val="24"/>
      <w:lang w:val="en-NZ" w:eastAsia="en-AU"/>
    </w:rPr>
  </w:style>
  <w:style w:type="character" w:customStyle="1" w:styleId="QuoteChar">
    <w:name w:val="Quote Char"/>
    <w:aliases w:val="Heading Four Char"/>
    <w:basedOn w:val="DefaultParagraphFont"/>
    <w:link w:val="Quote"/>
    <w:uiPriority w:val="6"/>
    <w:rsid w:val="008A0873"/>
    <w:rPr>
      <w:rFonts w:ascii="Metropolis Light" w:eastAsia="Times New Roman" w:hAnsi="Metropolis Light" w:cs="Times New Roman"/>
      <w:color w:val="0D0D0D" w:themeColor="text1" w:themeTint="F2"/>
      <w:sz w:val="18"/>
      <w:szCs w:val="24"/>
      <w:lang w:val="en-NZ" w:eastAsia="en-AU"/>
    </w:rPr>
  </w:style>
  <w:style w:type="paragraph" w:styleId="List3">
    <w:name w:val="List 3"/>
    <w:basedOn w:val="Normal"/>
    <w:uiPriority w:val="99"/>
    <w:semiHidden/>
    <w:rsid w:val="00117DA1"/>
    <w:pPr>
      <w:spacing w:after="80"/>
      <w:ind w:left="849" w:hanging="283"/>
    </w:pPr>
  </w:style>
  <w:style w:type="paragraph" w:customStyle="1" w:styleId="InsideCoverTextspacebefore">
    <w:name w:val="Inside Cover Text space before"/>
    <w:basedOn w:val="InsideCoverText"/>
    <w:next w:val="InsideCoverText"/>
    <w:uiPriority w:val="22"/>
    <w:qFormat/>
    <w:rsid w:val="00117DA1"/>
    <w:pPr>
      <w:spacing w:before="280"/>
    </w:pPr>
  </w:style>
  <w:style w:type="character" w:styleId="CommentReference">
    <w:name w:val="annotation reference"/>
    <w:basedOn w:val="DefaultParagraphFont"/>
    <w:uiPriority w:val="99"/>
    <w:rsid w:val="00117DA1"/>
    <w:rPr>
      <w:sz w:val="16"/>
      <w:szCs w:val="16"/>
    </w:rPr>
  </w:style>
  <w:style w:type="paragraph" w:styleId="CommentText">
    <w:name w:val="annotation text"/>
    <w:basedOn w:val="Normal"/>
    <w:link w:val="CommentTextChar"/>
    <w:uiPriority w:val="99"/>
    <w:rsid w:val="00117DA1"/>
    <w:rPr>
      <w:szCs w:val="20"/>
    </w:rPr>
  </w:style>
  <w:style w:type="character" w:customStyle="1" w:styleId="CommentTextChar">
    <w:name w:val="Comment Text Char"/>
    <w:basedOn w:val="DefaultParagraphFont"/>
    <w:link w:val="CommentText"/>
    <w:uiPriority w:val="99"/>
    <w:rsid w:val="008A0873"/>
    <w:rPr>
      <w:rFonts w:ascii="Metropolis Light" w:eastAsiaTheme="minorHAnsi" w:hAnsi="Metropolis Light"/>
      <w:sz w:val="20"/>
      <w:szCs w:val="20"/>
      <w:lang w:val="en-NZ"/>
    </w:rPr>
  </w:style>
  <w:style w:type="paragraph" w:customStyle="1" w:styleId="RecommendationText">
    <w:name w:val="Recommendation Text"/>
    <w:link w:val="RecommendationTextChar"/>
    <w:uiPriority w:val="11"/>
    <w:qFormat/>
    <w:rsid w:val="00117DA1"/>
    <w:pPr>
      <w:widowControl/>
      <w:numPr>
        <w:numId w:val="1"/>
      </w:numPr>
      <w:shd w:val="clear" w:color="auto" w:fill="DFEFD1"/>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color w:val="262626" w:themeColor="text1" w:themeTint="D9"/>
      <w:sz w:val="20"/>
      <w:szCs w:val="20"/>
      <w:lang w:val="en-NZ"/>
    </w:rPr>
  </w:style>
  <w:style w:type="paragraph" w:customStyle="1" w:styleId="RecommendationText3">
    <w:name w:val="Recommendation Text 3"/>
    <w:basedOn w:val="RecommendationText"/>
    <w:uiPriority w:val="12"/>
    <w:qFormat/>
    <w:rsid w:val="00117DA1"/>
    <w:pPr>
      <w:numPr>
        <w:ilvl w:val="2"/>
      </w:numPr>
    </w:pPr>
  </w:style>
  <w:style w:type="paragraph" w:styleId="Footer">
    <w:name w:val="footer"/>
    <w:basedOn w:val="Normal"/>
    <w:link w:val="FooterChar"/>
    <w:uiPriority w:val="58"/>
    <w:unhideWhenUsed/>
    <w:rsid w:val="00117DA1"/>
    <w:pPr>
      <w:tabs>
        <w:tab w:val="center" w:pos="4536"/>
        <w:tab w:val="right" w:pos="9072"/>
      </w:tabs>
    </w:pPr>
  </w:style>
  <w:style w:type="character" w:customStyle="1" w:styleId="FooterChar">
    <w:name w:val="Footer Char"/>
    <w:basedOn w:val="DefaultParagraphFont"/>
    <w:link w:val="Footer"/>
    <w:uiPriority w:val="58"/>
    <w:rsid w:val="008A0873"/>
    <w:rPr>
      <w:rFonts w:ascii="Metropolis Light" w:eastAsiaTheme="minorHAnsi" w:hAnsi="Metropolis Light"/>
      <w:sz w:val="20"/>
      <w:lang w:val="en-NZ"/>
    </w:rPr>
  </w:style>
  <w:style w:type="character" w:styleId="FootnoteReference">
    <w:name w:val="footnote reference"/>
    <w:aliases w:val="4_G,(NECG) Footnote Reference,(NECG) Footnote Reference1,(NECG) Footnote Reference2,o,Footnote Reference 1"/>
    <w:basedOn w:val="DefaultParagraphFont"/>
    <w:rsid w:val="00117DA1"/>
    <w:rPr>
      <w:rFonts w:ascii="Metropolis Light" w:hAnsi="Metropolis Light"/>
      <w:color w:val="262626" w:themeColor="text1" w:themeTint="D9"/>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
    <w:link w:val="FootnoteTextChar"/>
    <w:qFormat/>
    <w:rsid w:val="00117DA1"/>
    <w:pPr>
      <w:widowControl/>
      <w:spacing w:before="57" w:after="57" w:line="360" w:lineRule="auto"/>
      <w:ind w:left="709" w:hanging="454"/>
      <w:jc w:val="both"/>
    </w:pPr>
    <w:rPr>
      <w:rFonts w:ascii="Metropolis Light" w:eastAsia="Times New Roman" w:hAnsi="Metropolis Light" w:cs="Times New Roman"/>
      <w:color w:val="0D0D0D" w:themeColor="text1" w:themeTint="F2"/>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
    <w:basedOn w:val="DefaultParagraphFont"/>
    <w:link w:val="FootnoteText"/>
    <w:rsid w:val="008A0873"/>
    <w:rPr>
      <w:rFonts w:ascii="Metropolis Light" w:eastAsia="Times New Roman" w:hAnsi="Metropolis Light" w:cs="Times New Roman"/>
      <w:color w:val="0D0D0D" w:themeColor="text1" w:themeTint="F2"/>
      <w:sz w:val="15"/>
      <w:szCs w:val="20"/>
      <w:lang w:val="en-NZ"/>
    </w:rPr>
  </w:style>
  <w:style w:type="paragraph" w:styleId="Header">
    <w:name w:val="header"/>
    <w:basedOn w:val="Normal"/>
    <w:link w:val="HeaderChar"/>
    <w:uiPriority w:val="99"/>
    <w:unhideWhenUsed/>
    <w:rsid w:val="00117DA1"/>
    <w:pPr>
      <w:tabs>
        <w:tab w:val="center" w:pos="4536"/>
        <w:tab w:val="right" w:pos="9072"/>
      </w:tabs>
    </w:pPr>
    <w:rPr>
      <w:color w:val="262626" w:themeColor="text1" w:themeTint="D9"/>
      <w:sz w:val="13"/>
    </w:rPr>
  </w:style>
  <w:style w:type="character" w:customStyle="1" w:styleId="HeaderChar">
    <w:name w:val="Header Char"/>
    <w:basedOn w:val="DefaultParagraphFont"/>
    <w:link w:val="Header"/>
    <w:uiPriority w:val="99"/>
    <w:rsid w:val="008A0873"/>
    <w:rPr>
      <w:rFonts w:ascii="Metropolis Light" w:eastAsiaTheme="minorHAnsi" w:hAnsi="Metropolis Light"/>
      <w:color w:val="262626" w:themeColor="text1" w:themeTint="D9"/>
      <w:sz w:val="13"/>
      <w:lang w:val="en-NZ"/>
    </w:rPr>
  </w:style>
  <w:style w:type="paragraph" w:customStyle="1" w:styleId="ListRomanNumeral">
    <w:name w:val="List Roman Numeral"/>
    <w:uiPriority w:val="4"/>
    <w:qFormat/>
    <w:rsid w:val="00117DA1"/>
    <w:pPr>
      <w:widowControl/>
      <w:numPr>
        <w:numId w:val="11"/>
      </w:numPr>
      <w:spacing w:before="80" w:after="80" w:line="360" w:lineRule="auto"/>
    </w:pPr>
    <w:rPr>
      <w:rFonts w:ascii="Metropolis Light" w:eastAsia="Times New Roman" w:hAnsi="Metropolis Light" w:cs="Times New Roman"/>
      <w:color w:val="0D0D0D" w:themeColor="text1" w:themeTint="F2"/>
      <w:sz w:val="20"/>
      <w:szCs w:val="24"/>
      <w:lang w:val="en-NZ" w:eastAsia="en-AU"/>
    </w:rPr>
  </w:style>
  <w:style w:type="character" w:customStyle="1" w:styleId="QuoteBulletChar">
    <w:name w:val="Quote Bullet Char"/>
    <w:basedOn w:val="QuoteChar"/>
    <w:link w:val="QuoteBullet"/>
    <w:uiPriority w:val="7"/>
    <w:rsid w:val="008A0873"/>
    <w:rPr>
      <w:rFonts w:ascii="Metropolis Light" w:eastAsia="Times New Roman" w:hAnsi="Metropolis Light" w:cs="Times New Roman"/>
      <w:color w:val="0D0D0D" w:themeColor="text1" w:themeTint="F2"/>
      <w:sz w:val="18"/>
      <w:szCs w:val="24"/>
      <w:lang w:val="en-NZ" w:eastAsia="en-AU"/>
    </w:rPr>
  </w:style>
  <w:style w:type="paragraph" w:customStyle="1" w:styleId="InsideCoverTextGreen">
    <w:name w:val="Inside Cover Text Green"/>
    <w:basedOn w:val="InsideCoverText"/>
    <w:uiPriority w:val="23"/>
    <w:qFormat/>
    <w:rsid w:val="00117DA1"/>
    <w:pPr>
      <w:spacing w:before="280"/>
    </w:pPr>
    <w:rPr>
      <w:color w:val="6BA539"/>
    </w:rPr>
  </w:style>
  <w:style w:type="paragraph" w:styleId="List4">
    <w:name w:val="List 4"/>
    <w:basedOn w:val="Normal"/>
    <w:uiPriority w:val="99"/>
    <w:semiHidden/>
    <w:rsid w:val="00117DA1"/>
    <w:pPr>
      <w:ind w:left="1132" w:hanging="283"/>
    </w:pPr>
  </w:style>
  <w:style w:type="paragraph" w:styleId="ListBullet">
    <w:name w:val="List Bullet"/>
    <w:uiPriority w:val="4"/>
    <w:qFormat/>
    <w:rsid w:val="00117DA1"/>
    <w:pPr>
      <w:widowControl/>
      <w:numPr>
        <w:numId w:val="3"/>
      </w:numPr>
      <w:spacing w:before="80" w:after="80" w:line="360" w:lineRule="auto"/>
      <w:ind w:right="284"/>
      <w:jc w:val="both"/>
    </w:pPr>
    <w:rPr>
      <w:rFonts w:ascii="Metropolis Light" w:eastAsia="Times New Roman" w:hAnsi="Metropolis Light" w:cs="Times New Roman"/>
      <w:color w:val="0D0D0D" w:themeColor="text1" w:themeTint="F2"/>
      <w:sz w:val="20"/>
      <w:szCs w:val="24"/>
      <w:lang w:val="en-NZ" w:eastAsia="en-AU"/>
    </w:rPr>
  </w:style>
  <w:style w:type="paragraph" w:styleId="ListBullet2">
    <w:name w:val="List Bullet 2"/>
    <w:basedOn w:val="ListBullet"/>
    <w:uiPriority w:val="4"/>
    <w:rsid w:val="00117DA1"/>
    <w:pPr>
      <w:numPr>
        <w:ilvl w:val="1"/>
      </w:numPr>
    </w:pPr>
  </w:style>
  <w:style w:type="paragraph" w:styleId="ListBullet3">
    <w:name w:val="List Bullet 3"/>
    <w:basedOn w:val="ListBullet2"/>
    <w:uiPriority w:val="4"/>
    <w:rsid w:val="00117DA1"/>
    <w:pPr>
      <w:numPr>
        <w:ilvl w:val="2"/>
      </w:numPr>
    </w:pPr>
  </w:style>
  <w:style w:type="paragraph" w:styleId="ListBullet4">
    <w:name w:val="List Bullet 4"/>
    <w:basedOn w:val="ListBullet3"/>
    <w:uiPriority w:val="4"/>
    <w:semiHidden/>
    <w:rsid w:val="00117DA1"/>
    <w:pPr>
      <w:numPr>
        <w:ilvl w:val="3"/>
      </w:numPr>
    </w:pPr>
  </w:style>
  <w:style w:type="paragraph" w:styleId="ListContinue">
    <w:name w:val="List Continue"/>
    <w:basedOn w:val="Normal"/>
    <w:uiPriority w:val="99"/>
    <w:semiHidden/>
    <w:rsid w:val="00117DA1"/>
    <w:pPr>
      <w:numPr>
        <w:ilvl w:val="1"/>
        <w:numId w:val="2"/>
      </w:numPr>
    </w:pPr>
  </w:style>
  <w:style w:type="paragraph" w:styleId="ListContinue2">
    <w:name w:val="List Continue 2"/>
    <w:basedOn w:val="Normal"/>
    <w:uiPriority w:val="99"/>
    <w:semiHidden/>
    <w:rsid w:val="00117DA1"/>
    <w:pPr>
      <w:ind w:left="566"/>
    </w:pPr>
  </w:style>
  <w:style w:type="paragraph" w:styleId="ListContinue3">
    <w:name w:val="List Continue 3"/>
    <w:basedOn w:val="Normal"/>
    <w:uiPriority w:val="99"/>
    <w:semiHidden/>
    <w:rsid w:val="00117DA1"/>
    <w:pPr>
      <w:ind w:left="849"/>
    </w:pPr>
  </w:style>
  <w:style w:type="paragraph" w:styleId="ListContinue4">
    <w:name w:val="List Continue 4"/>
    <w:basedOn w:val="Normal"/>
    <w:uiPriority w:val="99"/>
    <w:semiHidden/>
    <w:rsid w:val="00117DA1"/>
    <w:pPr>
      <w:ind w:left="1132"/>
    </w:pPr>
  </w:style>
  <w:style w:type="paragraph" w:styleId="ListContinue5">
    <w:name w:val="List Continue 5"/>
    <w:basedOn w:val="Normal"/>
    <w:uiPriority w:val="99"/>
    <w:semiHidden/>
    <w:rsid w:val="00117DA1"/>
    <w:pPr>
      <w:ind w:left="1415"/>
    </w:pPr>
  </w:style>
  <w:style w:type="paragraph" w:styleId="ListNumber2">
    <w:name w:val="List Number 2"/>
    <w:basedOn w:val="ListNumber"/>
    <w:uiPriority w:val="4"/>
    <w:semiHidden/>
    <w:rsid w:val="00117DA1"/>
    <w:pPr>
      <w:numPr>
        <w:ilvl w:val="1"/>
      </w:numPr>
    </w:pPr>
  </w:style>
  <w:style w:type="paragraph" w:styleId="ListNumber3">
    <w:name w:val="List Number 3"/>
    <w:basedOn w:val="ListNumber"/>
    <w:uiPriority w:val="4"/>
    <w:semiHidden/>
    <w:rsid w:val="00117DA1"/>
    <w:pPr>
      <w:numPr>
        <w:ilvl w:val="2"/>
      </w:numPr>
    </w:pPr>
  </w:style>
  <w:style w:type="paragraph" w:styleId="ListNumber4">
    <w:name w:val="List Number 4"/>
    <w:basedOn w:val="ListNumber3"/>
    <w:uiPriority w:val="4"/>
    <w:semiHidden/>
    <w:rsid w:val="00117DA1"/>
    <w:pPr>
      <w:numPr>
        <w:ilvl w:val="3"/>
      </w:numPr>
    </w:pPr>
  </w:style>
  <w:style w:type="paragraph" w:styleId="ListNumber5">
    <w:name w:val="List Number 5"/>
    <w:basedOn w:val="ListNumber3"/>
    <w:uiPriority w:val="4"/>
    <w:semiHidden/>
    <w:rsid w:val="00117DA1"/>
    <w:pPr>
      <w:numPr>
        <w:ilvl w:val="4"/>
      </w:numPr>
    </w:pPr>
  </w:style>
  <w:style w:type="paragraph" w:customStyle="1" w:styleId="RecommendationQuote">
    <w:name w:val="Recommendation Quote"/>
    <w:basedOn w:val="RecommendationText2"/>
    <w:uiPriority w:val="14"/>
    <w:qFormat/>
    <w:rsid w:val="00117DA1"/>
    <w:pPr>
      <w:spacing w:before="100" w:after="100"/>
    </w:pPr>
    <w:rPr>
      <w:i/>
    </w:rPr>
  </w:style>
  <w:style w:type="paragraph" w:customStyle="1" w:styleId="PartAppendicesHeading">
    <w:name w:val="Part/Appendices Heading"/>
    <w:next w:val="Heading1"/>
    <w:uiPriority w:val="10"/>
    <w:qFormat/>
    <w:rsid w:val="00117DA1"/>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117DA1"/>
    <w:pPr>
      <w:numPr>
        <w:ilvl w:val="1"/>
      </w:numPr>
    </w:pPr>
  </w:style>
  <w:style w:type="paragraph" w:customStyle="1" w:styleId="RecommendationBullet">
    <w:name w:val="Recommendation Bullet"/>
    <w:basedOn w:val="RecommendationText2"/>
    <w:uiPriority w:val="15"/>
    <w:qFormat/>
    <w:rsid w:val="00117DA1"/>
    <w:pPr>
      <w:numPr>
        <w:ilvl w:val="0"/>
        <w:numId w:val="0"/>
      </w:numPr>
    </w:pPr>
  </w:style>
  <w:style w:type="paragraph" w:customStyle="1" w:styleId="QuoteBullet">
    <w:name w:val="Quote Bullet"/>
    <w:basedOn w:val="Quote"/>
    <w:link w:val="QuoteBulletChar"/>
    <w:uiPriority w:val="7"/>
    <w:qFormat/>
    <w:rsid w:val="00117DA1"/>
    <w:pPr>
      <w:numPr>
        <w:numId w:val="4"/>
      </w:numPr>
    </w:pPr>
  </w:style>
  <w:style w:type="paragraph" w:customStyle="1" w:styleId="QuoteBullet2">
    <w:name w:val="Quote Bullet 2"/>
    <w:basedOn w:val="QuoteBullet"/>
    <w:uiPriority w:val="7"/>
    <w:rsid w:val="00117DA1"/>
    <w:pPr>
      <w:numPr>
        <w:ilvl w:val="1"/>
      </w:numPr>
    </w:pPr>
  </w:style>
  <w:style w:type="paragraph" w:customStyle="1" w:styleId="QuoteBullet3">
    <w:name w:val="Quote Bullet 3"/>
    <w:basedOn w:val="QuoteBullet"/>
    <w:uiPriority w:val="7"/>
    <w:rsid w:val="00117DA1"/>
    <w:pPr>
      <w:numPr>
        <w:ilvl w:val="2"/>
      </w:numPr>
    </w:pPr>
  </w:style>
  <w:style w:type="paragraph" w:customStyle="1" w:styleId="RecommendationBullet2">
    <w:name w:val="Recommendation Bullet 2"/>
    <w:basedOn w:val="RecommendationBullet"/>
    <w:uiPriority w:val="15"/>
    <w:qFormat/>
    <w:rsid w:val="00117DA1"/>
    <w:pPr>
      <w:numPr>
        <w:ilvl w:val="1"/>
      </w:numPr>
    </w:pPr>
  </w:style>
  <w:style w:type="paragraph" w:styleId="TOC1">
    <w:name w:val="toc 1"/>
    <w:basedOn w:val="Normal"/>
    <w:next w:val="Normal"/>
    <w:uiPriority w:val="39"/>
    <w:unhideWhenUsed/>
    <w:qFormat/>
    <w:rsid w:val="00117DA1"/>
    <w:pPr>
      <w:tabs>
        <w:tab w:val="right" w:leader="dot" w:pos="9061"/>
      </w:tabs>
      <w:spacing w:before="200"/>
      <w:ind w:right="340"/>
    </w:pPr>
    <w:rPr>
      <w:b/>
      <w:color w:val="6BA539"/>
    </w:rPr>
  </w:style>
  <w:style w:type="paragraph" w:styleId="TOC2">
    <w:name w:val="toc 2"/>
    <w:basedOn w:val="TOC3"/>
    <w:next w:val="Normal"/>
    <w:uiPriority w:val="39"/>
    <w:unhideWhenUsed/>
    <w:qFormat/>
    <w:rsid w:val="00117DA1"/>
    <w:pPr>
      <w:spacing w:after="0"/>
      <w:ind w:left="567"/>
    </w:pPr>
  </w:style>
  <w:style w:type="paragraph" w:styleId="TOC3">
    <w:name w:val="toc 3"/>
    <w:basedOn w:val="Normal"/>
    <w:next w:val="Normal"/>
    <w:uiPriority w:val="39"/>
    <w:unhideWhenUsed/>
    <w:qFormat/>
    <w:rsid w:val="00117DA1"/>
    <w:pPr>
      <w:tabs>
        <w:tab w:val="right" w:leader="dot" w:pos="9072"/>
      </w:tabs>
      <w:ind w:right="340"/>
    </w:pPr>
  </w:style>
  <w:style w:type="paragraph" w:styleId="NoSpacing">
    <w:name w:val="No Spacing"/>
    <w:uiPriority w:val="99"/>
    <w:rsid w:val="00117DA1"/>
    <w:pPr>
      <w:widowControl/>
      <w:spacing w:after="0" w:line="240" w:lineRule="auto"/>
    </w:pPr>
    <w:rPr>
      <w:rFonts w:eastAsia="Times New Roman" w:cs="Times New Roman"/>
      <w:sz w:val="24"/>
      <w:szCs w:val="24"/>
      <w:lang w:val="en-NZ" w:eastAsia="en-AU"/>
    </w:rPr>
  </w:style>
  <w:style w:type="paragraph" w:customStyle="1" w:styleId="RecommendationBullet3">
    <w:name w:val="Recommendation Bullet 3"/>
    <w:basedOn w:val="RecommendationBullet"/>
    <w:uiPriority w:val="15"/>
    <w:qFormat/>
    <w:rsid w:val="00117DA1"/>
    <w:pPr>
      <w:numPr>
        <w:ilvl w:val="2"/>
      </w:numPr>
    </w:pPr>
  </w:style>
  <w:style w:type="paragraph" w:customStyle="1" w:styleId="RecommendationText4">
    <w:name w:val="Recommendation Text 4"/>
    <w:basedOn w:val="RecommendationText3"/>
    <w:uiPriority w:val="13"/>
    <w:qFormat/>
    <w:rsid w:val="00117DA1"/>
    <w:pPr>
      <w:numPr>
        <w:ilvl w:val="3"/>
      </w:numPr>
    </w:pPr>
  </w:style>
  <w:style w:type="paragraph" w:customStyle="1" w:styleId="RecommendationText5">
    <w:name w:val="Recommendation Text 5"/>
    <w:basedOn w:val="RecommendationText4"/>
    <w:uiPriority w:val="13"/>
    <w:qFormat/>
    <w:rsid w:val="00117DA1"/>
    <w:pPr>
      <w:numPr>
        <w:ilvl w:val="4"/>
      </w:numPr>
    </w:pPr>
  </w:style>
  <w:style w:type="paragraph" w:customStyle="1" w:styleId="QuestionText">
    <w:name w:val="Question Text"/>
    <w:basedOn w:val="RecommendationText"/>
    <w:link w:val="QuestionTextChar"/>
    <w:uiPriority w:val="16"/>
    <w:qFormat/>
    <w:rsid w:val="00117DA1"/>
    <w:pPr>
      <w:numPr>
        <w:numId w:val="5"/>
      </w:numPr>
    </w:pPr>
    <w:rPr>
      <w:lang w:val="en-US" w:eastAsia="en-AU"/>
    </w:rPr>
  </w:style>
  <w:style w:type="paragraph" w:customStyle="1" w:styleId="CommentsText">
    <w:name w:val="Comments Text"/>
    <w:basedOn w:val="RecommendationText"/>
    <w:uiPriority w:val="17"/>
    <w:qFormat/>
    <w:rsid w:val="00117DA1"/>
    <w:pPr>
      <w:numPr>
        <w:numId w:val="6"/>
      </w:numPr>
    </w:pPr>
    <w:rPr>
      <w:lang w:eastAsia="en-AU"/>
    </w:rPr>
  </w:style>
  <w:style w:type="paragraph" w:customStyle="1" w:styleId="ReferenceText">
    <w:name w:val="Reference Text"/>
    <w:uiPriority w:val="8"/>
    <w:qFormat/>
    <w:rsid w:val="00117DA1"/>
    <w:pPr>
      <w:widowControl/>
      <w:spacing w:before="60" w:after="60" w:line="260" w:lineRule="atLeast"/>
      <w:ind w:left="113"/>
    </w:pPr>
    <w:rPr>
      <w:rFonts w:ascii="Calibri" w:eastAsia="Times New Roman" w:hAnsi="Calibri" w:cstheme="majorHAnsi"/>
      <w:color w:val="6BA539"/>
      <w:sz w:val="16"/>
      <w:szCs w:val="16"/>
      <w:lang w:val="en-NZ" w:eastAsia="en-AU"/>
    </w:rPr>
  </w:style>
  <w:style w:type="table" w:customStyle="1" w:styleId="LCTable">
    <w:name w:val="LC Table"/>
    <w:basedOn w:val="TableNormal"/>
    <w:uiPriority w:val="99"/>
    <w:rsid w:val="00117DA1"/>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117DA1"/>
    <w:pPr>
      <w:keepNext/>
      <w:widowControl/>
      <w:pBdr>
        <w:top w:val="single" w:sz="18" w:space="7" w:color="6BA539"/>
      </w:pBdr>
      <w:suppressAutoHyphens/>
      <w:kinsoku w:val="0"/>
      <w:adjustRightInd w:val="0"/>
      <w:spacing w:before="240" w:after="170" w:line="280" w:lineRule="atLeast"/>
      <w:jc w:val="both"/>
    </w:pPr>
    <w:rPr>
      <w:rFonts w:ascii="Calibri" w:eastAsia="Times New Roman" w:hAnsi="Calibri" w:cs="Times New Roman"/>
      <w:b/>
      <w:caps/>
      <w:color w:val="6BA539"/>
      <w:spacing w:val="14"/>
      <w:sz w:val="20"/>
      <w:szCs w:val="20"/>
      <w:lang w:val="en-NZ" w:eastAsia="en-AU"/>
    </w:rPr>
  </w:style>
  <w:style w:type="paragraph" w:customStyle="1" w:styleId="Summaryboxtext">
    <w:name w:val="Summary box text"/>
    <w:uiPriority w:val="9"/>
    <w:qFormat/>
    <w:rsid w:val="00117DA1"/>
    <w:pPr>
      <w:widowControl/>
      <w:pBdr>
        <w:bottom w:val="single" w:sz="18" w:space="11" w:color="6BA539"/>
      </w:pBdr>
      <w:suppressAutoHyphens/>
      <w:kinsoku w:val="0"/>
      <w:adjustRightInd w:val="0"/>
      <w:spacing w:before="170" w:after="400" w:line="280" w:lineRule="atLeast"/>
      <w:jc w:val="both"/>
    </w:pPr>
    <w:rPr>
      <w:rFonts w:ascii="Calibri" w:eastAsia="Times New Roman" w:hAnsi="Calibri" w:cs="Times New Roman"/>
      <w:color w:val="6BA539"/>
      <w:sz w:val="20"/>
      <w:szCs w:val="20"/>
      <w:lang w:val="en-NZ" w:eastAsia="en-AU"/>
    </w:rPr>
  </w:style>
  <w:style w:type="paragraph" w:styleId="Caption">
    <w:name w:val="caption"/>
    <w:basedOn w:val="Normal"/>
    <w:next w:val="Normal"/>
    <w:uiPriority w:val="8"/>
    <w:unhideWhenUsed/>
    <w:rsid w:val="00117DA1"/>
    <w:pPr>
      <w:spacing w:before="120"/>
      <w:jc w:val="both"/>
    </w:pPr>
    <w:rPr>
      <w:rFonts w:ascii="Metropolis" w:hAnsi="Metropolis"/>
      <w:b/>
      <w:bCs/>
      <w:color w:val="262626" w:themeColor="text1" w:themeTint="D9"/>
      <w:sz w:val="18"/>
      <w:szCs w:val="18"/>
    </w:rPr>
  </w:style>
  <w:style w:type="character" w:customStyle="1" w:styleId="TableSubheadingWhite">
    <w:name w:val="Table Subheading White"/>
    <w:basedOn w:val="DefaultParagraphFont"/>
    <w:uiPriority w:val="1"/>
    <w:qFormat/>
    <w:rsid w:val="00117DA1"/>
    <w:rPr>
      <w:rFonts w:ascii="Metropolis" w:hAnsi="Metropolis"/>
      <w:caps/>
      <w:color w:val="0D0D0D" w:themeColor="text1" w:themeTint="F2"/>
      <w:sz w:val="18"/>
    </w:rPr>
  </w:style>
  <w:style w:type="paragraph" w:customStyle="1" w:styleId="TableSubheadingGreen">
    <w:name w:val="Table Subheading Green"/>
    <w:basedOn w:val="Normal"/>
    <w:uiPriority w:val="8"/>
    <w:qFormat/>
    <w:rsid w:val="00117DA1"/>
    <w:rPr>
      <w:b/>
      <w:color w:val="6BA539"/>
    </w:rPr>
  </w:style>
  <w:style w:type="character" w:styleId="Hyperlink">
    <w:name w:val="Hyperlink"/>
    <w:basedOn w:val="DefaultParagraphFont"/>
    <w:uiPriority w:val="99"/>
    <w:unhideWhenUsed/>
    <w:rsid w:val="00117DA1"/>
    <w:rPr>
      <w:color w:val="74B230"/>
      <w:u w:val="single"/>
    </w:rPr>
  </w:style>
  <w:style w:type="paragraph" w:styleId="BodyTextIndent3">
    <w:name w:val="Body Text Indent 3"/>
    <w:basedOn w:val="Normal"/>
    <w:link w:val="BodyTextIndent3Char"/>
    <w:uiPriority w:val="2"/>
    <w:semiHidden/>
    <w:rsid w:val="00117DA1"/>
    <w:pPr>
      <w:ind w:left="283"/>
    </w:pPr>
    <w:rPr>
      <w:sz w:val="16"/>
      <w:szCs w:val="16"/>
    </w:rPr>
  </w:style>
  <w:style w:type="character" w:customStyle="1" w:styleId="BodyTextIndent3Char">
    <w:name w:val="Body Text Indent 3 Char"/>
    <w:basedOn w:val="DefaultParagraphFont"/>
    <w:link w:val="BodyTextIndent3"/>
    <w:uiPriority w:val="2"/>
    <w:semiHidden/>
    <w:rsid w:val="008A0873"/>
    <w:rPr>
      <w:rFonts w:ascii="Metropolis Light" w:eastAsiaTheme="minorHAnsi" w:hAnsi="Metropolis Light"/>
      <w:sz w:val="16"/>
      <w:szCs w:val="16"/>
      <w:lang w:val="en-NZ"/>
    </w:rPr>
  </w:style>
  <w:style w:type="paragraph" w:styleId="BodyTextIndent2">
    <w:name w:val="Body Text Indent 2"/>
    <w:basedOn w:val="BodyText2"/>
    <w:link w:val="BodyTextIndent2Char"/>
    <w:uiPriority w:val="1"/>
    <w:qFormat/>
    <w:rsid w:val="00117DA1"/>
    <w:pPr>
      <w:numPr>
        <w:ilvl w:val="4"/>
      </w:numPr>
    </w:pPr>
  </w:style>
  <w:style w:type="character" w:customStyle="1" w:styleId="BodyTextIndent2Char">
    <w:name w:val="Body Text Indent 2 Char"/>
    <w:basedOn w:val="DefaultParagraphFont"/>
    <w:link w:val="BodyTextIndent2"/>
    <w:uiPriority w:val="1"/>
    <w:rsid w:val="008A0873"/>
    <w:rPr>
      <w:rFonts w:ascii="Metropolis Light" w:eastAsia="Times New Roman" w:hAnsi="Metropolis Light" w:cs="Times New Roman"/>
      <w:color w:val="0D0D0D" w:themeColor="text1" w:themeTint="F2"/>
      <w:sz w:val="20"/>
      <w:szCs w:val="24"/>
      <w:lang w:val="en-NZ" w:eastAsia="en-AU"/>
    </w:rPr>
  </w:style>
  <w:style w:type="numbering" w:styleId="111111">
    <w:name w:val="Outline List 2"/>
    <w:basedOn w:val="NoList"/>
    <w:semiHidden/>
    <w:rsid w:val="00117DA1"/>
    <w:pPr>
      <w:numPr>
        <w:numId w:val="15"/>
      </w:numPr>
    </w:pPr>
  </w:style>
  <w:style w:type="numbering" w:styleId="1ai">
    <w:name w:val="Outline List 1"/>
    <w:basedOn w:val="NoList"/>
    <w:semiHidden/>
    <w:rsid w:val="00117DA1"/>
    <w:pPr>
      <w:numPr>
        <w:numId w:val="51"/>
      </w:numPr>
    </w:pPr>
  </w:style>
  <w:style w:type="numbering" w:styleId="ArticleSection">
    <w:name w:val="Outline List 3"/>
    <w:basedOn w:val="NoList"/>
    <w:semiHidden/>
    <w:rsid w:val="00117DA1"/>
    <w:pPr>
      <w:numPr>
        <w:numId w:val="53"/>
      </w:numPr>
    </w:pPr>
  </w:style>
  <w:style w:type="paragraph" w:styleId="BlockText">
    <w:name w:val="Block Text"/>
    <w:basedOn w:val="Normal"/>
    <w:uiPriority w:val="99"/>
    <w:semiHidden/>
    <w:rsid w:val="00117DA1"/>
    <w:pPr>
      <w:ind w:left="1440" w:right="1440"/>
    </w:pPr>
  </w:style>
  <w:style w:type="paragraph" w:styleId="BodyText">
    <w:name w:val="Body Text"/>
    <w:link w:val="BodyTextChar"/>
    <w:qFormat/>
    <w:rsid w:val="00117DA1"/>
    <w:pPr>
      <w:widowControl/>
      <w:numPr>
        <w:ilvl w:val="1"/>
        <w:numId w:val="18"/>
      </w:numPr>
      <w:tabs>
        <w:tab w:val="left" w:pos="709"/>
      </w:tabs>
      <w:spacing w:before="80" w:after="120" w:line="360" w:lineRule="auto"/>
      <w:ind w:hanging="709"/>
      <w:jc w:val="both"/>
    </w:pPr>
    <w:rPr>
      <w:rFonts w:ascii="Metropolis Light" w:eastAsia="Times New Roman" w:hAnsi="Metropolis Light" w:cs="Times New Roman"/>
      <w:color w:val="000000" w:themeColor="text1"/>
      <w:sz w:val="20"/>
      <w:szCs w:val="24"/>
      <w:lang w:val="en-NZ" w:eastAsia="en-AU"/>
    </w:rPr>
  </w:style>
  <w:style w:type="character" w:customStyle="1" w:styleId="BodyTextChar">
    <w:name w:val="Body Text Char"/>
    <w:basedOn w:val="DefaultParagraphFont"/>
    <w:link w:val="BodyText"/>
    <w:rsid w:val="008A0873"/>
    <w:rPr>
      <w:rFonts w:ascii="Metropolis Light" w:eastAsia="Times New Roman" w:hAnsi="Metropolis Light" w:cs="Times New Roman"/>
      <w:color w:val="000000" w:themeColor="text1"/>
      <w:sz w:val="20"/>
      <w:szCs w:val="24"/>
      <w:lang w:val="en-NZ" w:eastAsia="en-AU"/>
    </w:rPr>
  </w:style>
  <w:style w:type="paragraph" w:styleId="BodyText2">
    <w:name w:val="Body Text 2"/>
    <w:link w:val="BodyText2Char"/>
    <w:uiPriority w:val="1"/>
    <w:qFormat/>
    <w:rsid w:val="00117DA1"/>
    <w:pPr>
      <w:widowControl/>
      <w:numPr>
        <w:ilvl w:val="3"/>
        <w:numId w:val="21"/>
      </w:numPr>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BodyText2Char">
    <w:name w:val="Body Text 2 Char"/>
    <w:basedOn w:val="DefaultParagraphFont"/>
    <w:link w:val="BodyText2"/>
    <w:uiPriority w:val="1"/>
    <w:rsid w:val="008A0873"/>
    <w:rPr>
      <w:rFonts w:ascii="Metropolis Light" w:eastAsia="Times New Roman" w:hAnsi="Metropolis Light" w:cs="Times New Roman"/>
      <w:color w:val="0D0D0D" w:themeColor="text1" w:themeTint="F2"/>
      <w:sz w:val="20"/>
      <w:szCs w:val="24"/>
      <w:lang w:val="en-NZ" w:eastAsia="en-AU"/>
    </w:rPr>
  </w:style>
  <w:style w:type="paragraph" w:styleId="BodyText3">
    <w:name w:val="Body Text 3"/>
    <w:link w:val="BodyText3Char"/>
    <w:uiPriority w:val="1"/>
    <w:semiHidden/>
    <w:rsid w:val="00117DA1"/>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8A0873"/>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117DA1"/>
    <w:pPr>
      <w:ind w:firstLine="210"/>
    </w:pPr>
  </w:style>
  <w:style w:type="character" w:customStyle="1" w:styleId="BodyTextFirstIndentChar">
    <w:name w:val="Body Text First Indent Char"/>
    <w:basedOn w:val="BodyTextChar"/>
    <w:link w:val="BodyTextFirstIndent"/>
    <w:uiPriority w:val="99"/>
    <w:semiHidden/>
    <w:rsid w:val="008A0873"/>
    <w:rPr>
      <w:rFonts w:ascii="Metropolis Light" w:eastAsia="Times New Roman" w:hAnsi="Metropolis Light" w:cs="Times New Roman"/>
      <w:color w:val="000000" w:themeColor="text1"/>
      <w:sz w:val="20"/>
      <w:szCs w:val="24"/>
      <w:lang w:val="en-NZ" w:eastAsia="en-AU"/>
    </w:rPr>
  </w:style>
  <w:style w:type="paragraph" w:styleId="BodyTextIndent">
    <w:name w:val="Body Text Indent"/>
    <w:link w:val="BodyTextIndentChar"/>
    <w:rsid w:val="00117DA1"/>
    <w:pPr>
      <w:widowControl/>
      <w:numPr>
        <w:ilvl w:val="2"/>
        <w:numId w:val="21"/>
      </w:numPr>
      <w:spacing w:before="80" w:after="80" w:line="360" w:lineRule="auto"/>
      <w:jc w:val="both"/>
    </w:pPr>
    <w:rPr>
      <w:rFonts w:ascii="Metropolis Light" w:eastAsia="Times New Roman" w:hAnsi="Metropolis Light" w:cs="Times New Roman"/>
      <w:color w:val="262626" w:themeColor="text1" w:themeTint="D9"/>
      <w:sz w:val="20"/>
      <w:szCs w:val="24"/>
      <w:lang w:val="en-NZ" w:eastAsia="en-AU"/>
    </w:rPr>
  </w:style>
  <w:style w:type="character" w:customStyle="1" w:styleId="BodyTextIndentChar">
    <w:name w:val="Body Text Indent Char"/>
    <w:basedOn w:val="DefaultParagraphFont"/>
    <w:link w:val="BodyTextIndent"/>
    <w:rsid w:val="008A0873"/>
    <w:rPr>
      <w:rFonts w:ascii="Metropolis Light" w:eastAsia="Times New Roman" w:hAnsi="Metropolis Light" w:cs="Times New Roman"/>
      <w:color w:val="262626" w:themeColor="text1" w:themeTint="D9"/>
      <w:sz w:val="20"/>
      <w:szCs w:val="24"/>
      <w:lang w:val="en-NZ" w:eastAsia="en-AU"/>
    </w:rPr>
  </w:style>
  <w:style w:type="paragraph" w:styleId="BodyTextFirstIndent2">
    <w:name w:val="Body Text First Indent 2"/>
    <w:basedOn w:val="BodyTextIndent"/>
    <w:link w:val="BodyTextFirstIndent2Char"/>
    <w:uiPriority w:val="99"/>
    <w:semiHidden/>
    <w:rsid w:val="00117DA1"/>
    <w:pPr>
      <w:ind w:firstLine="210"/>
    </w:pPr>
  </w:style>
  <w:style w:type="character" w:customStyle="1" w:styleId="BodyTextFirstIndent2Char">
    <w:name w:val="Body Text First Indent 2 Char"/>
    <w:basedOn w:val="BodyTextIndentChar"/>
    <w:link w:val="BodyTextFirstIndent2"/>
    <w:uiPriority w:val="99"/>
    <w:semiHidden/>
    <w:rsid w:val="008A0873"/>
    <w:rPr>
      <w:rFonts w:ascii="Metropolis Light" w:eastAsia="Times New Roman" w:hAnsi="Metropolis Light" w:cs="Times New Roman"/>
      <w:color w:val="262626" w:themeColor="text1" w:themeTint="D9"/>
      <w:sz w:val="20"/>
      <w:szCs w:val="24"/>
      <w:lang w:val="en-NZ" w:eastAsia="en-AU"/>
    </w:rPr>
  </w:style>
  <w:style w:type="paragraph" w:styleId="Closing">
    <w:name w:val="Closing"/>
    <w:basedOn w:val="Normal"/>
    <w:link w:val="ClosingChar"/>
    <w:uiPriority w:val="99"/>
    <w:semiHidden/>
    <w:rsid w:val="00117DA1"/>
    <w:pPr>
      <w:ind w:left="4252"/>
    </w:pPr>
  </w:style>
  <w:style w:type="character" w:customStyle="1" w:styleId="ClosingChar">
    <w:name w:val="Closing Char"/>
    <w:basedOn w:val="DefaultParagraphFont"/>
    <w:link w:val="Closing"/>
    <w:uiPriority w:val="99"/>
    <w:semiHidden/>
    <w:rsid w:val="008A0873"/>
    <w:rPr>
      <w:rFonts w:ascii="Metropolis Light" w:eastAsiaTheme="minorHAnsi" w:hAnsi="Metropolis Light"/>
      <w:sz w:val="20"/>
      <w:lang w:val="en-NZ"/>
    </w:rPr>
  </w:style>
  <w:style w:type="numbering" w:customStyle="1" w:styleId="Chapter1">
    <w:name w:val="Chapter1"/>
    <w:uiPriority w:val="99"/>
    <w:rsid w:val="00117DA1"/>
    <w:pPr>
      <w:numPr>
        <w:numId w:val="52"/>
      </w:numPr>
    </w:pPr>
  </w:style>
  <w:style w:type="paragraph" w:styleId="E-mailSignature">
    <w:name w:val="E-mail Signature"/>
    <w:basedOn w:val="Normal"/>
    <w:link w:val="E-mailSignatureChar"/>
    <w:uiPriority w:val="99"/>
    <w:semiHidden/>
    <w:rsid w:val="00117DA1"/>
  </w:style>
  <w:style w:type="character" w:customStyle="1" w:styleId="E-mailSignatureChar">
    <w:name w:val="E-mail Signature Char"/>
    <w:basedOn w:val="DefaultParagraphFont"/>
    <w:link w:val="E-mailSignature"/>
    <w:uiPriority w:val="99"/>
    <w:semiHidden/>
    <w:rsid w:val="008A0873"/>
    <w:rPr>
      <w:rFonts w:ascii="Metropolis Light" w:eastAsiaTheme="minorHAnsi" w:hAnsi="Metropolis Light"/>
      <w:sz w:val="20"/>
      <w:lang w:val="en-NZ"/>
    </w:rPr>
  </w:style>
  <w:style w:type="character" w:styleId="Emphasis">
    <w:name w:val="Emphasis"/>
    <w:basedOn w:val="DefaultParagraphFont"/>
    <w:uiPriority w:val="5"/>
    <w:qFormat/>
    <w:rsid w:val="00117DA1"/>
    <w:rPr>
      <w:rFonts w:ascii="Calibri" w:hAnsi="Calibri"/>
      <w:i/>
      <w:iCs/>
      <w:color w:val="0D0D0D" w:themeColor="text1" w:themeTint="F2"/>
      <w:sz w:val="20"/>
    </w:rPr>
  </w:style>
  <w:style w:type="paragraph" w:styleId="EnvelopeAddress">
    <w:name w:val="envelope address"/>
    <w:basedOn w:val="Normal"/>
    <w:uiPriority w:val="99"/>
    <w:semiHidden/>
    <w:rsid w:val="00117DA1"/>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117DA1"/>
    <w:rPr>
      <w:rFonts w:ascii="Arial" w:hAnsi="Arial" w:cs="Arial"/>
      <w:szCs w:val="20"/>
    </w:rPr>
  </w:style>
  <w:style w:type="character" w:styleId="FollowedHyperlink">
    <w:name w:val="FollowedHyperlink"/>
    <w:basedOn w:val="DefaultParagraphFont"/>
    <w:uiPriority w:val="59"/>
    <w:unhideWhenUsed/>
    <w:rsid w:val="00117DA1"/>
    <w:rPr>
      <w:color w:val="74B230"/>
      <w:u w:val="single"/>
    </w:rPr>
  </w:style>
  <w:style w:type="character" w:styleId="HTMLAcronym">
    <w:name w:val="HTML Acronym"/>
    <w:basedOn w:val="DefaultParagraphFont"/>
    <w:uiPriority w:val="99"/>
    <w:semiHidden/>
    <w:rsid w:val="00117DA1"/>
  </w:style>
  <w:style w:type="paragraph" w:styleId="HTMLAddress">
    <w:name w:val="HTML Address"/>
    <w:basedOn w:val="Normal"/>
    <w:link w:val="HTMLAddressChar"/>
    <w:uiPriority w:val="99"/>
    <w:semiHidden/>
    <w:rsid w:val="00117DA1"/>
    <w:rPr>
      <w:i/>
      <w:iCs/>
    </w:rPr>
  </w:style>
  <w:style w:type="character" w:customStyle="1" w:styleId="HTMLAddressChar">
    <w:name w:val="HTML Address Char"/>
    <w:basedOn w:val="DefaultParagraphFont"/>
    <w:link w:val="HTMLAddress"/>
    <w:uiPriority w:val="99"/>
    <w:semiHidden/>
    <w:rsid w:val="008A0873"/>
    <w:rPr>
      <w:rFonts w:ascii="Metropolis Light" w:eastAsiaTheme="minorHAnsi" w:hAnsi="Metropolis Light"/>
      <w:i/>
      <w:iCs/>
      <w:sz w:val="20"/>
      <w:lang w:val="en-NZ"/>
    </w:rPr>
  </w:style>
  <w:style w:type="character" w:styleId="HTMLCite">
    <w:name w:val="HTML Cite"/>
    <w:basedOn w:val="DefaultParagraphFont"/>
    <w:uiPriority w:val="99"/>
    <w:semiHidden/>
    <w:rsid w:val="00117DA1"/>
    <w:rPr>
      <w:i/>
      <w:iCs/>
    </w:rPr>
  </w:style>
  <w:style w:type="character" w:styleId="HTMLCode">
    <w:name w:val="HTML Code"/>
    <w:basedOn w:val="DefaultParagraphFont"/>
    <w:uiPriority w:val="99"/>
    <w:semiHidden/>
    <w:rsid w:val="00117DA1"/>
    <w:rPr>
      <w:rFonts w:ascii="Courier New" w:hAnsi="Courier New" w:cs="Courier New"/>
      <w:sz w:val="20"/>
      <w:szCs w:val="20"/>
    </w:rPr>
  </w:style>
  <w:style w:type="character" w:styleId="HTMLDefinition">
    <w:name w:val="HTML Definition"/>
    <w:basedOn w:val="DefaultParagraphFont"/>
    <w:uiPriority w:val="99"/>
    <w:semiHidden/>
    <w:rsid w:val="00117DA1"/>
    <w:rPr>
      <w:i/>
      <w:iCs/>
    </w:rPr>
  </w:style>
  <w:style w:type="character" w:styleId="HTMLKeyboard">
    <w:name w:val="HTML Keyboard"/>
    <w:basedOn w:val="DefaultParagraphFont"/>
    <w:uiPriority w:val="99"/>
    <w:semiHidden/>
    <w:rsid w:val="00117DA1"/>
    <w:rPr>
      <w:rFonts w:ascii="Courier New" w:hAnsi="Courier New" w:cs="Courier New"/>
      <w:sz w:val="20"/>
      <w:szCs w:val="20"/>
    </w:rPr>
  </w:style>
  <w:style w:type="paragraph" w:styleId="HTMLPreformatted">
    <w:name w:val="HTML Preformatted"/>
    <w:basedOn w:val="Normal"/>
    <w:link w:val="HTMLPreformattedChar"/>
    <w:uiPriority w:val="99"/>
    <w:semiHidden/>
    <w:rsid w:val="00117DA1"/>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8A0873"/>
    <w:rPr>
      <w:rFonts w:ascii="Courier New" w:eastAsiaTheme="minorHAnsi" w:hAnsi="Courier New" w:cs="Courier New"/>
      <w:sz w:val="20"/>
      <w:szCs w:val="20"/>
      <w:lang w:val="en-NZ"/>
    </w:rPr>
  </w:style>
  <w:style w:type="character" w:styleId="HTMLSample">
    <w:name w:val="HTML Sample"/>
    <w:basedOn w:val="DefaultParagraphFont"/>
    <w:uiPriority w:val="99"/>
    <w:semiHidden/>
    <w:rsid w:val="00117DA1"/>
    <w:rPr>
      <w:rFonts w:ascii="Courier New" w:hAnsi="Courier New" w:cs="Courier New"/>
    </w:rPr>
  </w:style>
  <w:style w:type="character" w:styleId="HTMLTypewriter">
    <w:name w:val="HTML Typewriter"/>
    <w:basedOn w:val="DefaultParagraphFont"/>
    <w:uiPriority w:val="99"/>
    <w:semiHidden/>
    <w:rsid w:val="00117DA1"/>
    <w:rPr>
      <w:rFonts w:ascii="Courier New" w:hAnsi="Courier New" w:cs="Courier New"/>
      <w:sz w:val="20"/>
      <w:szCs w:val="20"/>
    </w:rPr>
  </w:style>
  <w:style w:type="character" w:styleId="HTMLVariable">
    <w:name w:val="HTML Variable"/>
    <w:basedOn w:val="DefaultParagraphFont"/>
    <w:uiPriority w:val="99"/>
    <w:semiHidden/>
    <w:rsid w:val="00117DA1"/>
    <w:rPr>
      <w:i/>
      <w:iCs/>
    </w:rPr>
  </w:style>
  <w:style w:type="character" w:styleId="LineNumber">
    <w:name w:val="line number"/>
    <w:basedOn w:val="DefaultParagraphFont"/>
    <w:uiPriority w:val="99"/>
    <w:semiHidden/>
    <w:rsid w:val="00117DA1"/>
  </w:style>
  <w:style w:type="paragraph" w:styleId="List">
    <w:name w:val="List"/>
    <w:basedOn w:val="Normal"/>
    <w:uiPriority w:val="99"/>
    <w:semiHidden/>
    <w:rsid w:val="00117DA1"/>
    <w:pPr>
      <w:ind w:left="283" w:hanging="283"/>
    </w:pPr>
  </w:style>
  <w:style w:type="paragraph" w:styleId="List2">
    <w:name w:val="List 2"/>
    <w:basedOn w:val="Normal"/>
    <w:uiPriority w:val="99"/>
    <w:semiHidden/>
    <w:rsid w:val="00117DA1"/>
    <w:pPr>
      <w:ind w:left="566" w:hanging="283"/>
    </w:pPr>
  </w:style>
  <w:style w:type="paragraph" w:styleId="List5">
    <w:name w:val="List 5"/>
    <w:basedOn w:val="Normal"/>
    <w:uiPriority w:val="99"/>
    <w:semiHidden/>
    <w:rsid w:val="00117DA1"/>
    <w:pPr>
      <w:ind w:left="1415" w:hanging="283"/>
    </w:pPr>
  </w:style>
  <w:style w:type="paragraph" w:styleId="ListBullet5">
    <w:name w:val="List Bullet 5"/>
    <w:basedOn w:val="ListBullet3"/>
    <w:uiPriority w:val="4"/>
    <w:semiHidden/>
    <w:rsid w:val="00117DA1"/>
    <w:pPr>
      <w:numPr>
        <w:ilvl w:val="4"/>
      </w:numPr>
    </w:pPr>
  </w:style>
  <w:style w:type="paragraph" w:styleId="ListNumber">
    <w:name w:val="List Number"/>
    <w:uiPriority w:val="4"/>
    <w:qFormat/>
    <w:rsid w:val="00117DA1"/>
    <w:pPr>
      <w:widowControl/>
      <w:numPr>
        <w:numId w:val="16"/>
      </w:numPr>
      <w:spacing w:before="80" w:after="120" w:line="360" w:lineRule="auto"/>
      <w:jc w:val="both"/>
    </w:pPr>
    <w:rPr>
      <w:rFonts w:ascii="Metropolis Light" w:eastAsia="Times New Roman" w:hAnsi="Metropolis Light" w:cs="Times New Roman"/>
      <w:color w:val="0D0D0D" w:themeColor="text1" w:themeTint="F2"/>
      <w:sz w:val="20"/>
      <w:szCs w:val="24"/>
      <w:lang w:val="en-NZ" w:eastAsia="en-AU"/>
    </w:rPr>
  </w:style>
  <w:style w:type="paragraph" w:styleId="MessageHeader">
    <w:name w:val="Message Header"/>
    <w:basedOn w:val="Normal"/>
    <w:link w:val="MessageHeaderChar"/>
    <w:uiPriority w:val="99"/>
    <w:semiHidden/>
    <w:rsid w:val="00117D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8A0873"/>
    <w:rPr>
      <w:rFonts w:ascii="Arial" w:eastAsiaTheme="minorHAnsi" w:hAnsi="Arial" w:cs="Arial"/>
      <w:sz w:val="20"/>
      <w:shd w:val="pct20" w:color="auto" w:fill="auto"/>
      <w:lang w:val="en-NZ"/>
    </w:rPr>
  </w:style>
  <w:style w:type="paragraph" w:styleId="NormalWeb">
    <w:name w:val="Normal (Web)"/>
    <w:basedOn w:val="Normal"/>
    <w:uiPriority w:val="99"/>
    <w:rsid w:val="00117DA1"/>
  </w:style>
  <w:style w:type="paragraph" w:styleId="NormalIndent">
    <w:name w:val="Normal Indent"/>
    <w:basedOn w:val="Normal"/>
    <w:uiPriority w:val="8"/>
    <w:semiHidden/>
    <w:rsid w:val="00117DA1"/>
    <w:pPr>
      <w:ind w:left="720"/>
    </w:pPr>
  </w:style>
  <w:style w:type="paragraph" w:styleId="NoteHeading">
    <w:name w:val="Note Heading"/>
    <w:basedOn w:val="Normal"/>
    <w:next w:val="Normal"/>
    <w:link w:val="NoteHeadingChar"/>
    <w:uiPriority w:val="99"/>
    <w:semiHidden/>
    <w:rsid w:val="00117DA1"/>
  </w:style>
  <w:style w:type="character" w:customStyle="1" w:styleId="NoteHeadingChar">
    <w:name w:val="Note Heading Char"/>
    <w:basedOn w:val="DefaultParagraphFont"/>
    <w:link w:val="NoteHeading"/>
    <w:uiPriority w:val="99"/>
    <w:semiHidden/>
    <w:rsid w:val="008A0873"/>
    <w:rPr>
      <w:rFonts w:ascii="Metropolis Light" w:eastAsiaTheme="minorHAnsi" w:hAnsi="Metropolis Light"/>
      <w:sz w:val="20"/>
      <w:lang w:val="en-NZ"/>
    </w:rPr>
  </w:style>
  <w:style w:type="character" w:styleId="PageNumber">
    <w:name w:val="page number"/>
    <w:uiPriority w:val="99"/>
    <w:rsid w:val="00117DA1"/>
    <w:rPr>
      <w:rFonts w:ascii="Metropolis Light" w:hAnsi="Metropolis Light"/>
      <w:color w:val="262626" w:themeColor="text1" w:themeTint="D9"/>
      <w:sz w:val="13"/>
    </w:rPr>
  </w:style>
  <w:style w:type="paragraph" w:styleId="PlainText">
    <w:name w:val="Plain Text"/>
    <w:basedOn w:val="Normal"/>
    <w:link w:val="PlainTextChar"/>
    <w:uiPriority w:val="99"/>
    <w:semiHidden/>
    <w:rsid w:val="00117DA1"/>
    <w:rPr>
      <w:rFonts w:ascii="Courier New" w:hAnsi="Courier New" w:cs="Courier New"/>
      <w:szCs w:val="20"/>
    </w:rPr>
  </w:style>
  <w:style w:type="character" w:customStyle="1" w:styleId="PlainTextChar">
    <w:name w:val="Plain Text Char"/>
    <w:basedOn w:val="DefaultParagraphFont"/>
    <w:link w:val="PlainText"/>
    <w:uiPriority w:val="99"/>
    <w:semiHidden/>
    <w:rsid w:val="008A0873"/>
    <w:rPr>
      <w:rFonts w:ascii="Courier New" w:eastAsiaTheme="minorHAnsi" w:hAnsi="Courier New" w:cs="Courier New"/>
      <w:sz w:val="20"/>
      <w:szCs w:val="20"/>
      <w:lang w:val="en-NZ"/>
    </w:rPr>
  </w:style>
  <w:style w:type="paragraph" w:styleId="Salutation">
    <w:name w:val="Salutation"/>
    <w:basedOn w:val="Normal"/>
    <w:next w:val="Normal"/>
    <w:link w:val="SalutationChar"/>
    <w:uiPriority w:val="99"/>
    <w:semiHidden/>
    <w:rsid w:val="00117DA1"/>
  </w:style>
  <w:style w:type="character" w:customStyle="1" w:styleId="SalutationChar">
    <w:name w:val="Salutation Char"/>
    <w:basedOn w:val="DefaultParagraphFont"/>
    <w:link w:val="Salutation"/>
    <w:uiPriority w:val="99"/>
    <w:semiHidden/>
    <w:rsid w:val="008A0873"/>
    <w:rPr>
      <w:rFonts w:ascii="Metropolis Light" w:eastAsiaTheme="minorHAnsi" w:hAnsi="Metropolis Light"/>
      <w:sz w:val="20"/>
      <w:lang w:val="en-NZ"/>
    </w:rPr>
  </w:style>
  <w:style w:type="paragraph" w:styleId="Signature">
    <w:name w:val="Signature"/>
    <w:basedOn w:val="Normal"/>
    <w:link w:val="SignatureChar"/>
    <w:uiPriority w:val="99"/>
    <w:semiHidden/>
    <w:rsid w:val="00117DA1"/>
    <w:pPr>
      <w:ind w:left="4252"/>
    </w:pPr>
  </w:style>
  <w:style w:type="character" w:customStyle="1" w:styleId="SignatureChar">
    <w:name w:val="Signature Char"/>
    <w:basedOn w:val="DefaultParagraphFont"/>
    <w:link w:val="Signature"/>
    <w:uiPriority w:val="99"/>
    <w:semiHidden/>
    <w:rsid w:val="008A0873"/>
    <w:rPr>
      <w:rFonts w:ascii="Metropolis Light" w:eastAsiaTheme="minorHAnsi" w:hAnsi="Metropolis Light"/>
      <w:sz w:val="20"/>
      <w:lang w:val="en-NZ"/>
    </w:rPr>
  </w:style>
  <w:style w:type="character" w:styleId="Strong">
    <w:name w:val="Strong"/>
    <w:basedOn w:val="DefaultParagraphFont"/>
    <w:uiPriority w:val="5"/>
    <w:qFormat/>
    <w:rsid w:val="00117DA1"/>
    <w:rPr>
      <w:rFonts w:ascii="Metropolis Light" w:hAnsi="Metropolis Light"/>
      <w:b/>
      <w:bCs/>
      <w:color w:val="0D0D0D" w:themeColor="text1" w:themeTint="F2"/>
      <w:sz w:val="20"/>
    </w:rPr>
  </w:style>
  <w:style w:type="paragraph" w:styleId="Subtitle">
    <w:name w:val="Subtitle"/>
    <w:basedOn w:val="Title"/>
    <w:link w:val="SubtitleChar"/>
    <w:uiPriority w:val="21"/>
    <w:qFormat/>
    <w:rsid w:val="00117DA1"/>
    <w:pPr>
      <w:pBdr>
        <w:top w:val="single" w:sz="4" w:space="12" w:color="1F497D" w:themeColor="text2"/>
      </w:pBdr>
    </w:pPr>
    <w:rPr>
      <w:sz w:val="48"/>
    </w:rPr>
  </w:style>
  <w:style w:type="character" w:customStyle="1" w:styleId="SubtitleChar">
    <w:name w:val="Subtitle Char"/>
    <w:basedOn w:val="DefaultParagraphFont"/>
    <w:link w:val="Subtitle"/>
    <w:uiPriority w:val="21"/>
    <w:rsid w:val="008A0873"/>
    <w:rPr>
      <w:rFonts w:ascii="Calibri" w:eastAsia="Times New Roman" w:hAnsi="Calibri" w:cs="Arial"/>
      <w:b/>
      <w:bCs/>
      <w:caps/>
      <w:color w:val="6BA539"/>
      <w:sz w:val="48"/>
      <w:szCs w:val="32"/>
      <w:lang w:val="en-NZ" w:eastAsia="en-AU"/>
    </w:rPr>
  </w:style>
  <w:style w:type="table" w:styleId="Table3Deffects1">
    <w:name w:val="Table 3D effects 1"/>
    <w:basedOn w:val="TableNormal"/>
    <w:semiHidden/>
    <w:rsid w:val="00117DA1"/>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7DA1"/>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7DA1"/>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7DA1"/>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7DA1"/>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7DA1"/>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7DA1"/>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7DA1"/>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7DA1"/>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7DA1"/>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7DA1"/>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7DA1"/>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7DA1"/>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7DA1"/>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7DA1"/>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7DA1"/>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7DA1"/>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17DA1"/>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17DA1"/>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7DA1"/>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7DA1"/>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7DA1"/>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7DA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7DA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7DA1"/>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7DA1"/>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17DA1"/>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17DA1"/>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17DA1"/>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17DA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17DA1"/>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17DA1"/>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17DA1"/>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17DA1"/>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17DA1"/>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17DA1"/>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17DA1"/>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17DA1"/>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17DA1"/>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17DA1"/>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17DA1"/>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17DA1"/>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7DA1"/>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7DA1"/>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117DA1"/>
    <w:pPr>
      <w:spacing w:after="0" w:line="288" w:lineRule="auto"/>
      <w:jc w:val="right"/>
      <w:outlineLvl w:val="0"/>
    </w:pPr>
    <w:rPr>
      <w:rFonts w:ascii="Calibri" w:eastAsia="Times New Roman" w:hAnsi="Calibri" w:cs="Arial"/>
      <w:b/>
      <w:bCs/>
      <w:caps/>
      <w:color w:val="6BA539"/>
      <w:sz w:val="72"/>
      <w:szCs w:val="32"/>
      <w:lang w:val="en-NZ" w:eastAsia="en-AU"/>
    </w:rPr>
  </w:style>
  <w:style w:type="character" w:customStyle="1" w:styleId="TitleChar">
    <w:name w:val="Title Char"/>
    <w:basedOn w:val="DefaultParagraphFont"/>
    <w:link w:val="Title"/>
    <w:uiPriority w:val="20"/>
    <w:rsid w:val="008A0873"/>
    <w:rPr>
      <w:rFonts w:ascii="Calibri" w:eastAsia="Times New Roman" w:hAnsi="Calibri" w:cs="Arial"/>
      <w:b/>
      <w:bCs/>
      <w:caps/>
      <w:color w:val="6BA539"/>
      <w:sz w:val="72"/>
      <w:szCs w:val="32"/>
      <w:lang w:val="en-NZ" w:eastAsia="en-AU"/>
    </w:rPr>
  </w:style>
  <w:style w:type="paragraph" w:customStyle="1" w:styleId="InsideCoverText">
    <w:name w:val="Inside Cover Text"/>
    <w:uiPriority w:val="22"/>
    <w:qFormat/>
    <w:rsid w:val="00117DA1"/>
    <w:pPr>
      <w:widowControl/>
      <w:spacing w:before="60" w:after="20" w:line="280" w:lineRule="atLeast"/>
      <w:jc w:val="both"/>
    </w:pPr>
    <w:rPr>
      <w:rFonts w:ascii="Metropolis Light" w:eastAsia="Times New Roman" w:hAnsi="Metropolis Light" w:cs="Times New Roman"/>
      <w:color w:val="0D0D0D" w:themeColor="text1" w:themeTint="F2"/>
      <w:sz w:val="20"/>
      <w:szCs w:val="24"/>
      <w:lang w:val="en-NZ" w:eastAsia="en-AU"/>
    </w:rPr>
  </w:style>
  <w:style w:type="paragraph" w:styleId="TOCHeading">
    <w:name w:val="TOC Heading"/>
    <w:basedOn w:val="Heading1"/>
    <w:next w:val="Normal"/>
    <w:uiPriority w:val="39"/>
    <w:unhideWhenUsed/>
    <w:qFormat/>
    <w:rsid w:val="00117DA1"/>
    <w:pPr>
      <w:keepLines/>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117DA1"/>
    <w:pPr>
      <w:keepNext/>
      <w:widowControl/>
      <w:spacing w:after="400" w:line="360" w:lineRule="auto"/>
    </w:pPr>
    <w:rPr>
      <w:rFonts w:ascii="Metropolis Black" w:eastAsia="Times New Roman" w:hAnsi="Metropolis Black" w:cs="Times New Roman"/>
      <w:b/>
      <w:color w:val="73AB6E"/>
      <w:sz w:val="56"/>
      <w:szCs w:val="24"/>
      <w:lang w:val="en-NZ" w:eastAsia="en-AU"/>
    </w:rPr>
  </w:style>
  <w:style w:type="paragraph" w:customStyle="1" w:styleId="QuoteIndent1">
    <w:name w:val="Quote Indent 1"/>
    <w:basedOn w:val="Quote"/>
    <w:uiPriority w:val="6"/>
    <w:qFormat/>
    <w:rsid w:val="00117DA1"/>
    <w:pPr>
      <w:numPr>
        <w:ilvl w:val="1"/>
      </w:numPr>
    </w:pPr>
  </w:style>
  <w:style w:type="paragraph" w:customStyle="1" w:styleId="QuoteIndent2">
    <w:name w:val="Quote Indent 2"/>
    <w:basedOn w:val="QuoteIndent1"/>
    <w:uiPriority w:val="6"/>
    <w:qFormat/>
    <w:rsid w:val="00117DA1"/>
    <w:pPr>
      <w:numPr>
        <w:ilvl w:val="2"/>
      </w:numPr>
    </w:pPr>
  </w:style>
  <w:style w:type="paragraph" w:customStyle="1" w:styleId="FootnoteBullet">
    <w:name w:val="Footnote Bullet"/>
    <w:basedOn w:val="FootnoteText"/>
    <w:uiPriority w:val="34"/>
    <w:qFormat/>
    <w:rsid w:val="00117DA1"/>
    <w:pPr>
      <w:numPr>
        <w:numId w:val="7"/>
      </w:numPr>
    </w:pPr>
    <w:rPr>
      <w:szCs w:val="17"/>
    </w:rPr>
  </w:style>
  <w:style w:type="paragraph" w:customStyle="1" w:styleId="FootnoteQuote">
    <w:name w:val="Footnote Quote"/>
    <w:basedOn w:val="FootnoteText"/>
    <w:uiPriority w:val="34"/>
    <w:qFormat/>
    <w:rsid w:val="00117DA1"/>
    <w:pPr>
      <w:ind w:left="851" w:firstLine="0"/>
    </w:pPr>
    <w:rPr>
      <w:sz w:val="13"/>
    </w:rPr>
  </w:style>
  <w:style w:type="paragraph" w:customStyle="1" w:styleId="FootnoteNumbered">
    <w:name w:val="Footnote Numbered"/>
    <w:basedOn w:val="FootnoteText"/>
    <w:uiPriority w:val="34"/>
    <w:qFormat/>
    <w:rsid w:val="00117DA1"/>
    <w:pPr>
      <w:numPr>
        <w:numId w:val="8"/>
      </w:numPr>
    </w:pPr>
  </w:style>
  <w:style w:type="paragraph" w:customStyle="1" w:styleId="FootnoteNumbered2">
    <w:name w:val="Footnote Numbered 2"/>
    <w:basedOn w:val="FootnoteNumbered"/>
    <w:uiPriority w:val="34"/>
    <w:qFormat/>
    <w:rsid w:val="00117DA1"/>
    <w:pPr>
      <w:numPr>
        <w:ilvl w:val="1"/>
      </w:numPr>
    </w:pPr>
  </w:style>
  <w:style w:type="paragraph" w:customStyle="1" w:styleId="FootnoteNumbered3">
    <w:name w:val="Footnote Numbered 3"/>
    <w:basedOn w:val="FootnoteNumbered"/>
    <w:uiPriority w:val="34"/>
    <w:qFormat/>
    <w:rsid w:val="00117DA1"/>
    <w:pPr>
      <w:numPr>
        <w:ilvl w:val="2"/>
      </w:numPr>
    </w:pPr>
  </w:style>
  <w:style w:type="paragraph" w:customStyle="1" w:styleId="Summarybodytext">
    <w:name w:val="Summary bodytext"/>
    <w:basedOn w:val="BodyText"/>
    <w:uiPriority w:val="8"/>
    <w:qFormat/>
    <w:rsid w:val="00117DA1"/>
    <w:pPr>
      <w:numPr>
        <w:numId w:val="9"/>
      </w:numPr>
      <w:tabs>
        <w:tab w:val="num" w:pos="709"/>
      </w:tabs>
    </w:pPr>
  </w:style>
  <w:style w:type="paragraph" w:customStyle="1" w:styleId="Recommendationheading">
    <w:name w:val="Recommendation heading"/>
    <w:next w:val="RecommendationText"/>
    <w:uiPriority w:val="8"/>
    <w:qFormat/>
    <w:rsid w:val="00117DA1"/>
    <w:pPr>
      <w:widowControl/>
      <w:shd w:val="clear" w:color="auto" w:fill="6BA539"/>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117DA1"/>
    <w:rPr>
      <w:rFonts w:ascii="Calibri" w:hAnsi="Calibri"/>
      <w:color w:val="262626" w:themeColor="text1" w:themeTint="D9"/>
      <w:spacing w:val="54"/>
    </w:rPr>
  </w:style>
  <w:style w:type="paragraph" w:customStyle="1" w:styleId="CoverTitle">
    <w:name w:val="Cover Title"/>
    <w:basedOn w:val="Title"/>
    <w:uiPriority w:val="8"/>
    <w:qFormat/>
    <w:rsid w:val="00117DA1"/>
    <w:rPr>
      <w:rFonts w:ascii="Metropolis" w:hAnsi="Metropolis"/>
    </w:rPr>
  </w:style>
  <w:style w:type="paragraph" w:customStyle="1" w:styleId="CoverSubtitle">
    <w:name w:val="Cover Subtitle"/>
    <w:basedOn w:val="Subtitle"/>
    <w:uiPriority w:val="8"/>
    <w:qFormat/>
    <w:rsid w:val="00117DA1"/>
    <w:rPr>
      <w:rFonts w:ascii="Metropolis" w:hAnsi="Metropolis"/>
    </w:rPr>
  </w:style>
  <w:style w:type="paragraph" w:customStyle="1" w:styleId="CoverDate">
    <w:name w:val="Cover Date"/>
    <w:basedOn w:val="Normal"/>
    <w:uiPriority w:val="8"/>
    <w:qFormat/>
    <w:rsid w:val="00117DA1"/>
    <w:pPr>
      <w:spacing w:before="57" w:after="57"/>
      <w:jc w:val="right"/>
    </w:pPr>
    <w:rPr>
      <w:color w:val="6BA539"/>
    </w:rPr>
  </w:style>
  <w:style w:type="table" w:customStyle="1" w:styleId="LCTableFinancial">
    <w:name w:val="LC Table Financial"/>
    <w:basedOn w:val="TableNormal"/>
    <w:uiPriority w:val="99"/>
    <w:rsid w:val="00117DA1"/>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uiPriority w:val="5"/>
    <w:qFormat/>
    <w:rsid w:val="00117DA1"/>
    <w:pPr>
      <w:keepNext/>
      <w:widowControl/>
      <w:spacing w:after="120" w:line="360" w:lineRule="auto"/>
      <w:ind w:left="17"/>
      <w:outlineLvl w:val="0"/>
    </w:pPr>
    <w:rPr>
      <w:rFonts w:ascii="Metropolis Black" w:eastAsia="Times New Roman" w:hAnsi="Metropolis Black" w:cs="Times New Roman"/>
      <w:b/>
      <w:color w:val="73AB6E"/>
      <w:sz w:val="66"/>
      <w:szCs w:val="24"/>
      <w:lang w:val="en-NZ" w:eastAsia="en-AU"/>
    </w:rPr>
  </w:style>
  <w:style w:type="paragraph" w:customStyle="1" w:styleId="BodyTextnonum">
    <w:name w:val="Body Text (no num)"/>
    <w:basedOn w:val="BodyText"/>
    <w:uiPriority w:val="1"/>
    <w:qFormat/>
    <w:rsid w:val="00117DA1"/>
    <w:pPr>
      <w:numPr>
        <w:ilvl w:val="2"/>
      </w:numPr>
    </w:pPr>
  </w:style>
  <w:style w:type="paragraph" w:customStyle="1" w:styleId="BodyTextalphalist">
    <w:name w:val="Body Text (alpha list)"/>
    <w:basedOn w:val="BodyText"/>
    <w:uiPriority w:val="1"/>
    <w:qFormat/>
    <w:rsid w:val="00117DA1"/>
    <w:pPr>
      <w:numPr>
        <w:ilvl w:val="0"/>
        <w:numId w:val="0"/>
      </w:numPr>
      <w:tabs>
        <w:tab w:val="num" w:pos="1134"/>
      </w:tabs>
      <w:ind w:left="1134" w:hanging="425"/>
    </w:pPr>
  </w:style>
  <w:style w:type="paragraph" w:customStyle="1" w:styleId="QuoteIndent0">
    <w:name w:val="Quote Indent 0"/>
    <w:basedOn w:val="Quote"/>
    <w:uiPriority w:val="6"/>
    <w:qFormat/>
    <w:rsid w:val="00117DA1"/>
  </w:style>
  <w:style w:type="paragraph" w:customStyle="1" w:styleId="TableHeading">
    <w:name w:val="Table Heading"/>
    <w:basedOn w:val="Normal"/>
    <w:uiPriority w:val="8"/>
    <w:qFormat/>
    <w:rsid w:val="00117DA1"/>
    <w:pPr>
      <w:spacing w:before="60"/>
    </w:pPr>
    <w:rPr>
      <w:caps/>
      <w:color w:val="FFFFFF"/>
      <w:sz w:val="18"/>
    </w:rPr>
  </w:style>
  <w:style w:type="paragraph" w:customStyle="1" w:styleId="LegislationIndent0">
    <w:name w:val="Legislation Indent 0"/>
    <w:basedOn w:val="LegislationBodytext"/>
    <w:uiPriority w:val="8"/>
    <w:qFormat/>
    <w:rsid w:val="00117DA1"/>
    <w:pPr>
      <w:ind w:left="1276" w:hanging="709"/>
    </w:pPr>
  </w:style>
  <w:style w:type="paragraph" w:customStyle="1" w:styleId="LegislationSubheading1">
    <w:name w:val="Legislation Subheading 1"/>
    <w:basedOn w:val="BodyText"/>
    <w:uiPriority w:val="8"/>
    <w:qFormat/>
    <w:rsid w:val="00117DA1"/>
    <w:pPr>
      <w:ind w:left="0" w:firstLine="0"/>
    </w:pPr>
    <w:rPr>
      <w:b/>
    </w:rPr>
  </w:style>
  <w:style w:type="paragraph" w:customStyle="1" w:styleId="LegislationNumberedSubheading">
    <w:name w:val="Legislation Numbered Subheading"/>
    <w:basedOn w:val="LegislationSubheading1"/>
    <w:uiPriority w:val="8"/>
    <w:qFormat/>
    <w:rsid w:val="00117DA1"/>
    <w:pPr>
      <w:ind w:left="709" w:hanging="709"/>
    </w:pPr>
  </w:style>
  <w:style w:type="paragraph" w:customStyle="1" w:styleId="LegislationBodytext">
    <w:name w:val="Legislation Bodytext"/>
    <w:basedOn w:val="Normal"/>
    <w:uiPriority w:val="8"/>
    <w:qFormat/>
    <w:rsid w:val="00117DA1"/>
    <w:pPr>
      <w:ind w:left="567"/>
    </w:pPr>
  </w:style>
  <w:style w:type="paragraph" w:customStyle="1" w:styleId="LegislationIndent1">
    <w:name w:val="Legislation Indent 1"/>
    <w:basedOn w:val="LegislationIndent0"/>
    <w:uiPriority w:val="8"/>
    <w:qFormat/>
    <w:rsid w:val="00117DA1"/>
    <w:pPr>
      <w:ind w:left="1843" w:hanging="567"/>
    </w:pPr>
  </w:style>
  <w:style w:type="paragraph" w:customStyle="1" w:styleId="LegislationSubheading2">
    <w:name w:val="Legislation Subheading 2"/>
    <w:basedOn w:val="LegislationSubheading1"/>
    <w:uiPriority w:val="8"/>
    <w:qFormat/>
    <w:rsid w:val="00117DA1"/>
    <w:pPr>
      <w:jc w:val="center"/>
    </w:pPr>
    <w:rPr>
      <w:b w:val="0"/>
      <w:i/>
    </w:rPr>
  </w:style>
  <w:style w:type="paragraph" w:customStyle="1" w:styleId="LegislationIndent2">
    <w:name w:val="Legislation Indent 2"/>
    <w:basedOn w:val="LegislationIndent1"/>
    <w:uiPriority w:val="8"/>
    <w:qFormat/>
    <w:rsid w:val="00117DA1"/>
    <w:pPr>
      <w:ind w:left="2268" w:hanging="425"/>
    </w:pPr>
  </w:style>
  <w:style w:type="paragraph" w:customStyle="1" w:styleId="G1GuidelinesText">
    <w:name w:val="G1 Guidelines Text"/>
    <w:basedOn w:val="RecommendationText"/>
    <w:uiPriority w:val="8"/>
    <w:qFormat/>
    <w:rsid w:val="00117DA1"/>
    <w:pPr>
      <w:framePr w:wrap="around" w:vAnchor="text" w:hAnchor="text" w:y="1"/>
      <w:numPr>
        <w:numId w:val="10"/>
      </w:numPr>
    </w:pPr>
  </w:style>
  <w:style w:type="paragraph" w:customStyle="1" w:styleId="RecommendationText1">
    <w:name w:val="Recommendation Text 1"/>
    <w:basedOn w:val="RecommendationText"/>
    <w:link w:val="RecommendationText1Char"/>
    <w:uiPriority w:val="8"/>
    <w:qFormat/>
    <w:rsid w:val="00117DA1"/>
    <w:pPr>
      <w:numPr>
        <w:numId w:val="0"/>
      </w:numPr>
      <w:ind w:left="709"/>
    </w:pPr>
  </w:style>
  <w:style w:type="paragraph" w:customStyle="1" w:styleId="Introindent">
    <w:name w:val="Intro indent"/>
    <w:basedOn w:val="Normal"/>
    <w:next w:val="Normal"/>
    <w:qFormat/>
    <w:rsid w:val="00117DA1"/>
    <w:pPr>
      <w:widowControl w:val="0"/>
      <w:ind w:left="680"/>
      <w:jc w:val="both"/>
    </w:pPr>
    <w:rPr>
      <w:lang w:val="en-US"/>
    </w:rPr>
  </w:style>
  <w:style w:type="paragraph" w:styleId="CommentSubject">
    <w:name w:val="annotation subject"/>
    <w:basedOn w:val="CommentText"/>
    <w:next w:val="CommentText"/>
    <w:link w:val="CommentSubjectChar"/>
    <w:uiPriority w:val="34"/>
    <w:rsid w:val="00117DA1"/>
    <w:pPr>
      <w:spacing w:line="240" w:lineRule="auto"/>
    </w:pPr>
    <w:rPr>
      <w:b/>
      <w:bCs/>
      <w:color w:val="262626" w:themeColor="text1" w:themeTint="D9"/>
    </w:rPr>
  </w:style>
  <w:style w:type="character" w:customStyle="1" w:styleId="CommentSubjectChar">
    <w:name w:val="Comment Subject Char"/>
    <w:basedOn w:val="CommentTextChar"/>
    <w:link w:val="CommentSubject"/>
    <w:uiPriority w:val="34"/>
    <w:rsid w:val="008A0873"/>
    <w:rPr>
      <w:rFonts w:ascii="Metropolis Light" w:eastAsiaTheme="minorHAnsi" w:hAnsi="Metropolis Light"/>
      <w:b/>
      <w:bCs/>
      <w:color w:val="262626" w:themeColor="text1" w:themeTint="D9"/>
      <w:sz w:val="20"/>
      <w:szCs w:val="20"/>
      <w:lang w:val="en-NZ"/>
    </w:rPr>
  </w:style>
  <w:style w:type="paragraph" w:styleId="Revision">
    <w:name w:val="Revision"/>
    <w:hidden/>
    <w:rsid w:val="00117DA1"/>
    <w:pPr>
      <w:widowControl/>
      <w:spacing w:after="0" w:line="240" w:lineRule="auto"/>
    </w:pPr>
    <w:rPr>
      <w:rFonts w:eastAsia="Times New Roman" w:cs="Times New Roman"/>
      <w:sz w:val="24"/>
      <w:szCs w:val="24"/>
      <w:lang w:val="en-NZ" w:eastAsia="en-AU"/>
    </w:rPr>
  </w:style>
  <w:style w:type="paragraph" w:customStyle="1" w:styleId="paragraph">
    <w:name w:val="paragraph"/>
    <w:basedOn w:val="Normal"/>
    <w:rsid w:val="00117DA1"/>
    <w:pPr>
      <w:spacing w:before="100" w:beforeAutospacing="1" w:after="100" w:afterAutospacing="1" w:line="240" w:lineRule="auto"/>
    </w:pPr>
    <w:rPr>
      <w:color w:val="262626" w:themeColor="text1" w:themeTint="D9"/>
      <w:lang w:eastAsia="en-NZ"/>
    </w:rPr>
  </w:style>
  <w:style w:type="character" w:customStyle="1" w:styleId="normaltextrun">
    <w:name w:val="normaltextrun"/>
    <w:basedOn w:val="DefaultParagraphFont"/>
    <w:rsid w:val="00117DA1"/>
    <w:rPr>
      <w:rFonts w:ascii="Metropolis Light" w:hAnsi="Metropolis Light"/>
      <w:color w:val="262626" w:themeColor="text1" w:themeTint="D9"/>
    </w:rPr>
  </w:style>
  <w:style w:type="character" w:customStyle="1" w:styleId="eop">
    <w:name w:val="eop"/>
    <w:basedOn w:val="DefaultParagraphFont"/>
    <w:rsid w:val="00117DA1"/>
    <w:rPr>
      <w:rFonts w:ascii="Metropolis Light" w:hAnsi="Metropolis Light"/>
      <w:color w:val="262626" w:themeColor="text1" w:themeTint="D9"/>
    </w:rPr>
  </w:style>
  <w:style w:type="paragraph" w:styleId="ListParagraph">
    <w:name w:val="List Paragraph"/>
    <w:basedOn w:val="Normal"/>
    <w:uiPriority w:val="34"/>
    <w:qFormat/>
    <w:rsid w:val="00117DA1"/>
    <w:pPr>
      <w:ind w:left="720"/>
      <w:contextualSpacing/>
    </w:pPr>
    <w:rPr>
      <w:sz w:val="24"/>
    </w:rPr>
  </w:style>
  <w:style w:type="character" w:styleId="PlaceholderText">
    <w:name w:val="Placeholder Text"/>
    <w:basedOn w:val="DefaultParagraphFont"/>
    <w:uiPriority w:val="34"/>
    <w:rsid w:val="00117DA1"/>
    <w:rPr>
      <w:color w:val="808080"/>
    </w:rPr>
  </w:style>
  <w:style w:type="paragraph" w:customStyle="1" w:styleId="HEADING2topchapter-notinTOC">
    <w:name w:val="HEADING 2 ( top chapter - not in TOC)"/>
    <w:basedOn w:val="Normal"/>
    <w:link w:val="HEADING2topchapter-notinTOCChar"/>
    <w:uiPriority w:val="8"/>
    <w:qFormat/>
    <w:rsid w:val="00117DA1"/>
    <w:pPr>
      <w:pageBreakBefore/>
      <w:spacing w:after="240" w:line="240" w:lineRule="auto"/>
    </w:pPr>
    <w:rPr>
      <w:rFonts w:ascii="Metropolis" w:eastAsia="Metropolis" w:hAnsi="Metropolis" w:cs="Metropolis"/>
      <w:b/>
      <w:bCs/>
      <w:color w:val="73AB6E"/>
    </w:rPr>
  </w:style>
  <w:style w:type="character" w:customStyle="1" w:styleId="HEADING2topchapter-notinTOCChar">
    <w:name w:val="HEADING 2 ( top chapter - not in TOC) Char"/>
    <w:basedOn w:val="DefaultParagraphFont"/>
    <w:link w:val="HEADING2topchapter-notinTOC"/>
    <w:uiPriority w:val="8"/>
    <w:rsid w:val="008A0873"/>
    <w:rPr>
      <w:rFonts w:ascii="Metropolis" w:eastAsia="Metropolis" w:hAnsi="Metropolis" w:cs="Metropolis"/>
      <w:b/>
      <w:bCs/>
      <w:color w:val="73AB6E"/>
      <w:sz w:val="20"/>
      <w:lang w:val="en-NZ"/>
    </w:rPr>
  </w:style>
  <w:style w:type="character" w:styleId="BookTitle">
    <w:name w:val="Book Title"/>
    <w:basedOn w:val="DefaultParagraphFont"/>
    <w:uiPriority w:val="29"/>
    <w:rsid w:val="00117DA1"/>
    <w:rPr>
      <w:rFonts w:ascii="Metropolis Light" w:hAnsi="Metropolis Light"/>
      <w:b/>
      <w:bCs/>
      <w:smallCaps/>
      <w:color w:val="262626" w:themeColor="text1" w:themeTint="D9"/>
      <w:spacing w:val="5"/>
    </w:rPr>
  </w:style>
  <w:style w:type="paragraph" w:styleId="Date">
    <w:name w:val="Date"/>
    <w:basedOn w:val="Normal"/>
    <w:next w:val="Normal"/>
    <w:link w:val="DateChar"/>
    <w:uiPriority w:val="29"/>
    <w:rsid w:val="00117DA1"/>
    <w:rPr>
      <w:color w:val="262626" w:themeColor="text1" w:themeTint="D9"/>
    </w:rPr>
  </w:style>
  <w:style w:type="character" w:customStyle="1" w:styleId="DateChar">
    <w:name w:val="Date Char"/>
    <w:basedOn w:val="DefaultParagraphFont"/>
    <w:link w:val="Date"/>
    <w:uiPriority w:val="29"/>
    <w:rsid w:val="008A0873"/>
    <w:rPr>
      <w:rFonts w:ascii="Metropolis Light" w:eastAsiaTheme="minorHAnsi" w:hAnsi="Metropolis Light"/>
      <w:color w:val="262626" w:themeColor="text1" w:themeTint="D9"/>
      <w:sz w:val="20"/>
      <w:lang w:val="en-NZ"/>
    </w:rPr>
  </w:style>
  <w:style w:type="paragraph" w:styleId="Bibliography">
    <w:name w:val="Bibliography"/>
    <w:basedOn w:val="Normal"/>
    <w:next w:val="Normal"/>
    <w:uiPriority w:val="34"/>
    <w:rsid w:val="00117DA1"/>
    <w:rPr>
      <w:color w:val="262626" w:themeColor="text1" w:themeTint="D9"/>
    </w:rPr>
  </w:style>
  <w:style w:type="character" w:styleId="EndnoteReference">
    <w:name w:val="endnote reference"/>
    <w:basedOn w:val="DefaultParagraphFont"/>
    <w:uiPriority w:val="34"/>
    <w:qFormat/>
    <w:rsid w:val="00117DA1"/>
    <w:rPr>
      <w:rFonts w:ascii="Metropolis Light" w:hAnsi="Metropolis Light"/>
      <w:color w:val="262626" w:themeColor="text1" w:themeTint="D9"/>
      <w:vertAlign w:val="superscript"/>
    </w:rPr>
  </w:style>
  <w:style w:type="paragraph" w:styleId="Index1">
    <w:name w:val="index 1"/>
    <w:basedOn w:val="Normal"/>
    <w:next w:val="Normal"/>
    <w:uiPriority w:val="34"/>
    <w:rsid w:val="00117DA1"/>
    <w:pPr>
      <w:spacing w:after="0" w:line="240" w:lineRule="auto"/>
      <w:ind w:left="200" w:hanging="200"/>
    </w:pPr>
    <w:rPr>
      <w:color w:val="262626" w:themeColor="text1" w:themeTint="D9"/>
    </w:rPr>
  </w:style>
  <w:style w:type="paragraph" w:styleId="IndexHeading">
    <w:name w:val="index heading"/>
    <w:basedOn w:val="Normal"/>
    <w:next w:val="Index1"/>
    <w:uiPriority w:val="34"/>
    <w:rsid w:val="00117DA1"/>
    <w:rPr>
      <w:rFonts w:ascii="Metropolis" w:eastAsiaTheme="majorEastAsia" w:hAnsi="Metropolis" w:cstheme="majorBidi"/>
      <w:b/>
      <w:bCs/>
    </w:rPr>
  </w:style>
  <w:style w:type="character" w:styleId="IntenseEmphasis">
    <w:name w:val="Intense Emphasis"/>
    <w:basedOn w:val="DefaultParagraphFont"/>
    <w:uiPriority w:val="34"/>
    <w:rsid w:val="00117DA1"/>
    <w:rPr>
      <w:rFonts w:ascii="Metropolis Light" w:hAnsi="Metropolis Light"/>
      <w:b/>
      <w:bCs/>
      <w:i/>
      <w:iCs/>
      <w:color w:val="4F81BD" w:themeColor="accent1"/>
    </w:rPr>
  </w:style>
  <w:style w:type="character" w:styleId="IntenseReference">
    <w:name w:val="Intense Reference"/>
    <w:basedOn w:val="DefaultParagraphFont"/>
    <w:uiPriority w:val="34"/>
    <w:rsid w:val="00117DA1"/>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117DA1"/>
    <w:pPr>
      <w:spacing w:before="120"/>
    </w:pPr>
    <w:rPr>
      <w:rFonts w:ascii="Metropolis" w:eastAsiaTheme="majorEastAsia" w:hAnsi="Metropolis" w:cstheme="majorBidi"/>
      <w:b/>
      <w:bCs/>
      <w:sz w:val="24"/>
    </w:rPr>
  </w:style>
  <w:style w:type="paragraph" w:styleId="TOC4">
    <w:name w:val="toc 4"/>
    <w:basedOn w:val="Normal"/>
    <w:next w:val="Normal"/>
    <w:uiPriority w:val="34"/>
    <w:rsid w:val="00117DA1"/>
    <w:pPr>
      <w:spacing w:after="100"/>
      <w:ind w:left="600"/>
    </w:pPr>
    <w:rPr>
      <w:color w:val="262626" w:themeColor="text1" w:themeTint="D9"/>
    </w:rPr>
  </w:style>
  <w:style w:type="paragraph" w:styleId="TOC5">
    <w:name w:val="toc 5"/>
    <w:basedOn w:val="Normal"/>
    <w:next w:val="Normal"/>
    <w:uiPriority w:val="34"/>
    <w:rsid w:val="00117DA1"/>
    <w:pPr>
      <w:spacing w:after="100"/>
      <w:ind w:left="800"/>
    </w:pPr>
    <w:rPr>
      <w:color w:val="262626" w:themeColor="text1" w:themeTint="D9"/>
    </w:rPr>
  </w:style>
  <w:style w:type="paragraph" w:styleId="TOC6">
    <w:name w:val="toc 6"/>
    <w:basedOn w:val="Normal"/>
    <w:next w:val="Normal"/>
    <w:uiPriority w:val="34"/>
    <w:rsid w:val="00117DA1"/>
    <w:pPr>
      <w:spacing w:after="100"/>
      <w:ind w:left="1000"/>
    </w:pPr>
    <w:rPr>
      <w:color w:val="262626" w:themeColor="text1" w:themeTint="D9"/>
    </w:rPr>
  </w:style>
  <w:style w:type="paragraph" w:styleId="TOC8">
    <w:name w:val="toc 8"/>
    <w:basedOn w:val="Normal"/>
    <w:next w:val="Normal"/>
    <w:uiPriority w:val="34"/>
    <w:rsid w:val="00117DA1"/>
    <w:pPr>
      <w:spacing w:after="100"/>
      <w:ind w:left="1400"/>
    </w:pPr>
    <w:rPr>
      <w:color w:val="262626" w:themeColor="text1" w:themeTint="D9"/>
    </w:rPr>
  </w:style>
  <w:style w:type="paragraph" w:styleId="TOC9">
    <w:name w:val="toc 9"/>
    <w:basedOn w:val="Normal"/>
    <w:next w:val="Normal"/>
    <w:uiPriority w:val="34"/>
    <w:rsid w:val="00117DA1"/>
    <w:pPr>
      <w:spacing w:after="100"/>
      <w:ind w:left="1600"/>
    </w:pPr>
    <w:rPr>
      <w:color w:val="262626" w:themeColor="text1" w:themeTint="D9"/>
    </w:rPr>
  </w:style>
  <w:style w:type="paragraph" w:styleId="TOC7">
    <w:name w:val="toc 7"/>
    <w:basedOn w:val="Normal"/>
    <w:next w:val="Normal"/>
    <w:uiPriority w:val="34"/>
    <w:rsid w:val="00117DA1"/>
    <w:pPr>
      <w:spacing w:after="100"/>
      <w:ind w:left="1200"/>
    </w:pPr>
    <w:rPr>
      <w:color w:val="262626" w:themeColor="text1" w:themeTint="D9"/>
    </w:rPr>
  </w:style>
  <w:style w:type="paragraph" w:styleId="DocumentMap">
    <w:name w:val="Document Map"/>
    <w:basedOn w:val="Normal"/>
    <w:link w:val="DocumentMapChar"/>
    <w:uiPriority w:val="34"/>
    <w:rsid w:val="00117DA1"/>
    <w:pPr>
      <w:spacing w:after="0" w:line="240" w:lineRule="auto"/>
    </w:pPr>
    <w:rPr>
      <w:rFonts w:ascii="Tahoma" w:hAnsi="Tahoma" w:cs="Tahoma"/>
      <w:color w:val="262626" w:themeColor="text1" w:themeTint="D9"/>
      <w:sz w:val="16"/>
      <w:szCs w:val="16"/>
    </w:rPr>
  </w:style>
  <w:style w:type="character" w:customStyle="1" w:styleId="DocumentMapChar">
    <w:name w:val="Document Map Char"/>
    <w:basedOn w:val="DefaultParagraphFont"/>
    <w:link w:val="DocumentMap"/>
    <w:uiPriority w:val="34"/>
    <w:rsid w:val="008A0873"/>
    <w:rPr>
      <w:rFonts w:ascii="Tahoma" w:eastAsiaTheme="minorHAnsi" w:hAnsi="Tahoma" w:cs="Tahoma"/>
      <w:color w:val="262626" w:themeColor="text1" w:themeTint="D9"/>
      <w:sz w:val="16"/>
      <w:szCs w:val="16"/>
      <w:lang w:val="en-NZ"/>
    </w:rPr>
  </w:style>
  <w:style w:type="paragraph" w:styleId="EndnoteText">
    <w:name w:val="endnote text"/>
    <w:basedOn w:val="Normal"/>
    <w:link w:val="EndnoteTextChar"/>
    <w:uiPriority w:val="34"/>
    <w:rsid w:val="00117DA1"/>
    <w:pPr>
      <w:spacing w:after="0" w:line="240" w:lineRule="auto"/>
    </w:pPr>
    <w:rPr>
      <w:color w:val="262626" w:themeColor="text1" w:themeTint="D9"/>
      <w:szCs w:val="20"/>
    </w:rPr>
  </w:style>
  <w:style w:type="character" w:customStyle="1" w:styleId="EndnoteTextChar">
    <w:name w:val="Endnote Text Char"/>
    <w:basedOn w:val="DefaultParagraphFont"/>
    <w:link w:val="EndnoteText"/>
    <w:uiPriority w:val="34"/>
    <w:rsid w:val="008A0873"/>
    <w:rPr>
      <w:rFonts w:ascii="Metropolis Light" w:eastAsiaTheme="minorHAnsi" w:hAnsi="Metropolis Light"/>
      <w:color w:val="262626" w:themeColor="text1" w:themeTint="D9"/>
      <w:sz w:val="20"/>
      <w:szCs w:val="20"/>
      <w:lang w:val="en-NZ"/>
    </w:rPr>
  </w:style>
  <w:style w:type="paragraph" w:styleId="Index2">
    <w:name w:val="index 2"/>
    <w:basedOn w:val="Normal"/>
    <w:next w:val="Normal"/>
    <w:uiPriority w:val="34"/>
    <w:rsid w:val="00117DA1"/>
    <w:pPr>
      <w:spacing w:after="0" w:line="240" w:lineRule="auto"/>
      <w:ind w:left="400" w:hanging="200"/>
    </w:pPr>
  </w:style>
  <w:style w:type="paragraph" w:styleId="Index3">
    <w:name w:val="index 3"/>
    <w:basedOn w:val="Normal"/>
    <w:next w:val="Normal"/>
    <w:uiPriority w:val="34"/>
    <w:rsid w:val="00117DA1"/>
    <w:pPr>
      <w:spacing w:after="0" w:line="240" w:lineRule="auto"/>
      <w:ind w:left="600" w:hanging="200"/>
    </w:pPr>
  </w:style>
  <w:style w:type="paragraph" w:styleId="Index4">
    <w:name w:val="index 4"/>
    <w:basedOn w:val="Normal"/>
    <w:next w:val="Normal"/>
    <w:uiPriority w:val="34"/>
    <w:rsid w:val="00117DA1"/>
    <w:pPr>
      <w:spacing w:after="0" w:line="240" w:lineRule="auto"/>
      <w:ind w:left="800" w:hanging="200"/>
    </w:pPr>
  </w:style>
  <w:style w:type="paragraph" w:styleId="Index5">
    <w:name w:val="index 5"/>
    <w:basedOn w:val="Normal"/>
    <w:next w:val="Normal"/>
    <w:uiPriority w:val="34"/>
    <w:rsid w:val="00117DA1"/>
    <w:pPr>
      <w:spacing w:after="0" w:line="240" w:lineRule="auto"/>
      <w:ind w:left="1000" w:hanging="200"/>
    </w:pPr>
  </w:style>
  <w:style w:type="paragraph" w:styleId="Index6">
    <w:name w:val="index 6"/>
    <w:basedOn w:val="Normal"/>
    <w:next w:val="Normal"/>
    <w:uiPriority w:val="34"/>
    <w:rsid w:val="00117DA1"/>
    <w:pPr>
      <w:spacing w:after="0" w:line="240" w:lineRule="auto"/>
      <w:ind w:left="1200" w:hanging="200"/>
    </w:pPr>
  </w:style>
  <w:style w:type="paragraph" w:styleId="Index7">
    <w:name w:val="index 7"/>
    <w:basedOn w:val="Normal"/>
    <w:next w:val="Normal"/>
    <w:uiPriority w:val="34"/>
    <w:rsid w:val="00117DA1"/>
    <w:pPr>
      <w:spacing w:after="0" w:line="240" w:lineRule="auto"/>
      <w:ind w:left="1400" w:hanging="200"/>
    </w:pPr>
  </w:style>
  <w:style w:type="paragraph" w:styleId="Index8">
    <w:name w:val="index 8"/>
    <w:basedOn w:val="Normal"/>
    <w:next w:val="Normal"/>
    <w:uiPriority w:val="34"/>
    <w:rsid w:val="00117DA1"/>
    <w:pPr>
      <w:spacing w:after="0" w:line="240" w:lineRule="auto"/>
      <w:ind w:left="1600" w:hanging="200"/>
    </w:pPr>
  </w:style>
  <w:style w:type="paragraph" w:styleId="Index9">
    <w:name w:val="index 9"/>
    <w:basedOn w:val="Normal"/>
    <w:next w:val="Normal"/>
    <w:uiPriority w:val="34"/>
    <w:rsid w:val="00117DA1"/>
    <w:pPr>
      <w:spacing w:after="0" w:line="240" w:lineRule="auto"/>
      <w:ind w:left="1800" w:hanging="200"/>
    </w:pPr>
  </w:style>
  <w:style w:type="paragraph" w:styleId="IntenseQuote">
    <w:name w:val="Intense Quote"/>
    <w:basedOn w:val="Normal"/>
    <w:next w:val="Normal"/>
    <w:link w:val="IntenseQuoteChar"/>
    <w:uiPriority w:val="34"/>
    <w:rsid w:val="00117D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8A0873"/>
    <w:rPr>
      <w:rFonts w:ascii="Metropolis Light" w:eastAsiaTheme="minorHAnsi" w:hAnsi="Metropolis Light"/>
      <w:b/>
      <w:bCs/>
      <w:i/>
      <w:iCs/>
      <w:color w:val="4F81BD" w:themeColor="accent1"/>
      <w:sz w:val="20"/>
      <w:lang w:val="en-NZ"/>
    </w:rPr>
  </w:style>
  <w:style w:type="paragraph" w:styleId="MacroText">
    <w:name w:val="macro"/>
    <w:link w:val="MacroTextChar"/>
    <w:uiPriority w:val="34"/>
    <w:rsid w:val="00117DA1"/>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color w:val="404040" w:themeColor="text1" w:themeTint="BF"/>
      <w:sz w:val="20"/>
      <w:szCs w:val="20"/>
      <w:lang w:val="en-NZ" w:eastAsia="en-AU"/>
    </w:rPr>
  </w:style>
  <w:style w:type="character" w:customStyle="1" w:styleId="MacroTextChar">
    <w:name w:val="Macro Text Char"/>
    <w:basedOn w:val="DefaultParagraphFont"/>
    <w:link w:val="MacroText"/>
    <w:uiPriority w:val="34"/>
    <w:rsid w:val="008A0873"/>
    <w:rPr>
      <w:rFonts w:ascii="Consolas" w:eastAsia="Times New Roman" w:hAnsi="Consolas" w:cs="Times New Roman"/>
      <w:color w:val="404040" w:themeColor="text1" w:themeTint="BF"/>
      <w:sz w:val="20"/>
      <w:szCs w:val="20"/>
      <w:lang w:val="en-NZ" w:eastAsia="en-AU"/>
    </w:rPr>
  </w:style>
  <w:style w:type="paragraph" w:styleId="TableofAuthorities">
    <w:name w:val="table of authorities"/>
    <w:basedOn w:val="Normal"/>
    <w:next w:val="Normal"/>
    <w:uiPriority w:val="34"/>
    <w:rsid w:val="00117DA1"/>
    <w:pPr>
      <w:spacing w:after="0"/>
      <w:ind w:left="200" w:hanging="200"/>
    </w:pPr>
    <w:rPr>
      <w:color w:val="262626" w:themeColor="text1" w:themeTint="D9"/>
    </w:rPr>
  </w:style>
  <w:style w:type="paragraph" w:styleId="TableofFigures">
    <w:name w:val="table of figures"/>
    <w:basedOn w:val="Normal"/>
    <w:next w:val="Normal"/>
    <w:uiPriority w:val="34"/>
    <w:rsid w:val="00117DA1"/>
    <w:pPr>
      <w:spacing w:after="0"/>
    </w:pPr>
  </w:style>
  <w:style w:type="character" w:customStyle="1" w:styleId="UnresolvedMention1">
    <w:name w:val="Unresolved Mention1"/>
    <w:basedOn w:val="DefaultParagraphFont"/>
    <w:uiPriority w:val="99"/>
    <w:semiHidden/>
    <w:unhideWhenUsed/>
    <w:rsid w:val="00117DA1"/>
    <w:rPr>
      <w:color w:val="808080"/>
      <w:shd w:val="clear" w:color="auto" w:fill="E6E6E6"/>
    </w:rPr>
  </w:style>
  <w:style w:type="paragraph" w:customStyle="1" w:styleId="subsection2">
    <w:name w:val="subsection2"/>
    <w:basedOn w:val="Normal"/>
    <w:rsid w:val="00117DA1"/>
    <w:pPr>
      <w:spacing w:before="100" w:beforeAutospacing="1" w:after="100" w:afterAutospacing="1" w:line="240" w:lineRule="auto"/>
    </w:pPr>
    <w:rPr>
      <w:rFonts w:ascii="Times New Roman" w:hAnsi="Times New Roman"/>
      <w:sz w:val="24"/>
      <w:lang w:eastAsia="en-NZ"/>
    </w:rPr>
  </w:style>
  <w:style w:type="character" w:styleId="SubtleEmphasis">
    <w:name w:val="Subtle Emphasis"/>
    <w:basedOn w:val="DefaultParagraphFont"/>
    <w:uiPriority w:val="34"/>
    <w:rsid w:val="00117DA1"/>
    <w:rPr>
      <w:i/>
      <w:iCs/>
      <w:color w:val="808080" w:themeColor="text1" w:themeTint="7F"/>
    </w:rPr>
  </w:style>
  <w:style w:type="paragraph" w:customStyle="1" w:styleId="text">
    <w:name w:val="text"/>
    <w:basedOn w:val="Normal"/>
    <w:rsid w:val="00117DA1"/>
    <w:pPr>
      <w:spacing w:before="100" w:beforeAutospacing="1" w:after="100" w:afterAutospacing="1" w:line="240" w:lineRule="auto"/>
    </w:pPr>
    <w:rPr>
      <w:rFonts w:ascii="Times" w:hAnsi="Times"/>
      <w:szCs w:val="20"/>
    </w:rPr>
  </w:style>
  <w:style w:type="character" w:customStyle="1" w:styleId="insertwords">
    <w:name w:val="insertwords"/>
    <w:basedOn w:val="DefaultParagraphFont"/>
    <w:rsid w:val="00117DA1"/>
  </w:style>
  <w:style w:type="character" w:customStyle="1" w:styleId="label">
    <w:name w:val="label"/>
    <w:basedOn w:val="DefaultParagraphFont"/>
    <w:rsid w:val="00117DA1"/>
  </w:style>
  <w:style w:type="numbering" w:customStyle="1" w:styleId="1111111">
    <w:name w:val="1 / 1.1 / 1.1.11"/>
    <w:basedOn w:val="NoList"/>
    <w:next w:val="111111"/>
    <w:semiHidden/>
    <w:rsid w:val="00305778"/>
  </w:style>
  <w:style w:type="numbering" w:customStyle="1" w:styleId="1ai1">
    <w:name w:val="1 / a / i1"/>
    <w:basedOn w:val="NoList"/>
    <w:next w:val="1ai"/>
    <w:semiHidden/>
    <w:rsid w:val="00305778"/>
  </w:style>
  <w:style w:type="numbering" w:customStyle="1" w:styleId="ArticleSection1">
    <w:name w:val="Article / Section1"/>
    <w:basedOn w:val="NoList"/>
    <w:next w:val="ArticleSection"/>
    <w:semiHidden/>
    <w:rsid w:val="00305778"/>
  </w:style>
  <w:style w:type="numbering" w:customStyle="1" w:styleId="Chapter11">
    <w:name w:val="Chapter11"/>
    <w:uiPriority w:val="99"/>
    <w:rsid w:val="00305778"/>
  </w:style>
  <w:style w:type="paragraph" w:customStyle="1" w:styleId="Proposal">
    <w:name w:val="Proposal"/>
    <w:basedOn w:val="Normal"/>
    <w:link w:val="ProposalChar"/>
    <w:qFormat/>
    <w:rsid w:val="00117DA1"/>
    <w:pPr>
      <w:tabs>
        <w:tab w:val="left" w:pos="960"/>
      </w:tabs>
      <w:spacing w:before="59" w:after="0" w:line="290" w:lineRule="atLeast"/>
      <w:ind w:left="964" w:right="284" w:hanging="6"/>
      <w:jc w:val="both"/>
    </w:pPr>
    <w:rPr>
      <w:rFonts w:eastAsia="Metropolis Light" w:cs="Metropolis Light"/>
      <w:szCs w:val="19"/>
    </w:rPr>
  </w:style>
  <w:style w:type="character" w:customStyle="1" w:styleId="ProposalChar">
    <w:name w:val="Proposal Char"/>
    <w:basedOn w:val="DefaultParagraphFont"/>
    <w:link w:val="Proposal"/>
    <w:rsid w:val="008A0873"/>
    <w:rPr>
      <w:rFonts w:ascii="Metropolis Light" w:eastAsia="Metropolis Light" w:hAnsi="Metropolis Light" w:cs="Metropolis Light"/>
      <w:sz w:val="20"/>
      <w:szCs w:val="19"/>
      <w:lang w:val="en-NZ"/>
    </w:rPr>
  </w:style>
  <w:style w:type="paragraph" w:customStyle="1" w:styleId="QuestionBox">
    <w:name w:val="Question Box"/>
    <w:basedOn w:val="BodyText"/>
    <w:link w:val="QuestionBoxChar"/>
    <w:uiPriority w:val="8"/>
    <w:qFormat/>
    <w:rsid w:val="00117DA1"/>
    <w:pPr>
      <w:numPr>
        <w:ilvl w:val="0"/>
        <w:numId w:val="0"/>
      </w:numPr>
      <w:ind w:left="1004" w:right="284"/>
    </w:pPr>
    <w:rPr>
      <w:rFonts w:eastAsia="Metropolis Light"/>
    </w:rPr>
  </w:style>
  <w:style w:type="character" w:customStyle="1" w:styleId="QuestionBoxChar">
    <w:name w:val="Question Box Char"/>
    <w:basedOn w:val="BodyTextChar"/>
    <w:link w:val="QuestionBox"/>
    <w:uiPriority w:val="8"/>
    <w:rsid w:val="008A0873"/>
    <w:rPr>
      <w:rFonts w:ascii="Metropolis Light" w:eastAsia="Metropolis Light" w:hAnsi="Metropolis Light" w:cs="Times New Roman"/>
      <w:color w:val="000000" w:themeColor="text1"/>
      <w:sz w:val="20"/>
      <w:szCs w:val="24"/>
      <w:lang w:val="en-NZ" w:eastAsia="en-AU"/>
    </w:rPr>
  </w:style>
  <w:style w:type="character" w:customStyle="1" w:styleId="apple-converted-space">
    <w:name w:val="apple-converted-space"/>
    <w:basedOn w:val="DefaultParagraphFont"/>
    <w:rsid w:val="00117DA1"/>
  </w:style>
  <w:style w:type="paragraph" w:customStyle="1" w:styleId="BodyText1">
    <w:name w:val="Body Text1"/>
    <w:next w:val="BodyText"/>
    <w:link w:val="BodyText1Char"/>
    <w:uiPriority w:val="8"/>
    <w:qFormat/>
    <w:rsid w:val="00117DA1"/>
    <w:pPr>
      <w:widowControl/>
      <w:tabs>
        <w:tab w:val="num" w:pos="360"/>
      </w:tabs>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sslistitemcontent">
    <w:name w:val="ss_listitemcontent"/>
    <w:basedOn w:val="DefaultParagraphFont"/>
    <w:rsid w:val="00117DA1"/>
  </w:style>
  <w:style w:type="character" w:customStyle="1" w:styleId="BodyText1Char">
    <w:name w:val="Body Text1 Char"/>
    <w:basedOn w:val="BodyTextChar"/>
    <w:link w:val="BodyText1"/>
    <w:uiPriority w:val="8"/>
    <w:rsid w:val="008A0873"/>
    <w:rPr>
      <w:rFonts w:ascii="Metropolis Light" w:eastAsia="Times New Roman" w:hAnsi="Metropolis Light" w:cs="Times New Roman"/>
      <w:color w:val="0D0D0D" w:themeColor="text1" w:themeTint="F2"/>
      <w:sz w:val="20"/>
      <w:szCs w:val="24"/>
      <w:lang w:val="en-NZ" w:eastAsia="en-AU"/>
    </w:rPr>
  </w:style>
  <w:style w:type="paragraph" w:customStyle="1" w:styleId="B2Recommendation">
    <w:name w:val="B2 Recommendation"/>
    <w:basedOn w:val="Normal"/>
    <w:rsid w:val="00117DA1"/>
    <w:pPr>
      <w:numPr>
        <w:numId w:val="13"/>
      </w:numPr>
      <w:tabs>
        <w:tab w:val="left" w:pos="2268"/>
      </w:tabs>
      <w:spacing w:after="0" w:line="240" w:lineRule="auto"/>
    </w:pPr>
    <w:rPr>
      <w:rFonts w:ascii="Times New Roman Mäori" w:hAnsi="Times New Roman Mäori"/>
      <w:b/>
      <w:bCs/>
      <w:color w:val="339966"/>
      <w:sz w:val="24"/>
      <w:szCs w:val="20"/>
      <w:lang w:val="en-GB"/>
    </w:rPr>
  </w:style>
  <w:style w:type="paragraph" w:customStyle="1" w:styleId="Default">
    <w:name w:val="Default"/>
    <w:rsid w:val="00117DA1"/>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NZ" w:eastAsia="en-AU"/>
    </w:rPr>
  </w:style>
  <w:style w:type="table" w:customStyle="1" w:styleId="GridTable1Light-Accent11">
    <w:name w:val="Grid Table 1 Light - Accent 11"/>
    <w:basedOn w:val="TableNormal"/>
    <w:uiPriority w:val="46"/>
    <w:rsid w:val="00117DA1"/>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Chapter12">
    <w:name w:val="Chapter12"/>
    <w:uiPriority w:val="99"/>
    <w:rsid w:val="00305778"/>
  </w:style>
  <w:style w:type="character" w:customStyle="1" w:styleId="UnresolvedMention10">
    <w:name w:val="Unresolved Mention10"/>
    <w:basedOn w:val="DefaultParagraphFont"/>
    <w:uiPriority w:val="99"/>
    <w:semiHidden/>
    <w:unhideWhenUsed/>
    <w:rsid w:val="00117DA1"/>
    <w:rPr>
      <w:color w:val="605E5C"/>
      <w:shd w:val="clear" w:color="auto" w:fill="E1DFDD"/>
    </w:rPr>
  </w:style>
  <w:style w:type="paragraph" w:customStyle="1" w:styleId="Questionabc">
    <w:name w:val="Question abc"/>
    <w:basedOn w:val="Proposal"/>
    <w:next w:val="QuestionBox"/>
    <w:link w:val="QuestionabcChar"/>
    <w:uiPriority w:val="8"/>
    <w:qFormat/>
    <w:rsid w:val="00117DA1"/>
    <w:pPr>
      <w:numPr>
        <w:numId w:val="54"/>
      </w:numPr>
      <w:spacing w:before="80" w:after="120" w:line="360" w:lineRule="auto"/>
      <w:ind w:left="1417" w:hanging="425"/>
    </w:pPr>
  </w:style>
  <w:style w:type="character" w:customStyle="1" w:styleId="QuestionabcChar">
    <w:name w:val="Question abc Char"/>
    <w:basedOn w:val="ProposalChar"/>
    <w:link w:val="Questionabc"/>
    <w:uiPriority w:val="8"/>
    <w:rsid w:val="008A0873"/>
    <w:rPr>
      <w:rFonts w:ascii="Metropolis Light" w:eastAsia="Metropolis Light" w:hAnsi="Metropolis Light" w:cs="Metropolis Light"/>
      <w:sz w:val="20"/>
      <w:szCs w:val="19"/>
      <w:lang w:val="en-NZ"/>
    </w:rPr>
  </w:style>
  <w:style w:type="character" w:customStyle="1" w:styleId="UnresolvedMention2">
    <w:name w:val="Unresolved Mention2"/>
    <w:basedOn w:val="DefaultParagraphFont"/>
    <w:uiPriority w:val="99"/>
    <w:semiHidden/>
    <w:unhideWhenUsed/>
    <w:rsid w:val="00117DA1"/>
    <w:rPr>
      <w:color w:val="605E5C"/>
      <w:shd w:val="clear" w:color="auto" w:fill="E1DFDD"/>
    </w:rPr>
  </w:style>
  <w:style w:type="character" w:customStyle="1" w:styleId="UnresolvedMention3">
    <w:name w:val="Unresolved Mention3"/>
    <w:basedOn w:val="DefaultParagraphFont"/>
    <w:uiPriority w:val="99"/>
    <w:semiHidden/>
    <w:unhideWhenUsed/>
    <w:rsid w:val="00117DA1"/>
    <w:rPr>
      <w:color w:val="605E5C"/>
      <w:shd w:val="clear" w:color="auto" w:fill="E1DFDD"/>
    </w:rPr>
  </w:style>
  <w:style w:type="paragraph" w:customStyle="1" w:styleId="Foreword">
    <w:name w:val="Foreword"/>
    <w:basedOn w:val="BodyTextIndent"/>
    <w:link w:val="ForewordChar"/>
    <w:uiPriority w:val="8"/>
    <w:qFormat/>
    <w:rsid w:val="00117DA1"/>
    <w:pPr>
      <w:spacing w:after="120"/>
      <w:ind w:left="0"/>
    </w:pPr>
    <w:rPr>
      <w:rFonts w:eastAsia="Metropolis Light"/>
      <w:color w:val="0D0D0D" w:themeColor="text1" w:themeTint="F2"/>
    </w:rPr>
  </w:style>
  <w:style w:type="character" w:customStyle="1" w:styleId="ForewordChar">
    <w:name w:val="Foreword Char"/>
    <w:basedOn w:val="BodyTextIndentChar"/>
    <w:link w:val="Foreword"/>
    <w:uiPriority w:val="8"/>
    <w:rsid w:val="008A0873"/>
    <w:rPr>
      <w:rFonts w:ascii="Metropolis Light" w:eastAsia="Metropolis Light" w:hAnsi="Metropolis Light" w:cs="Times New Roman"/>
      <w:color w:val="0D0D0D" w:themeColor="text1" w:themeTint="F2"/>
      <w:sz w:val="20"/>
      <w:szCs w:val="24"/>
      <w:lang w:val="en-NZ" w:eastAsia="en-AU"/>
    </w:rPr>
  </w:style>
  <w:style w:type="paragraph" w:customStyle="1" w:styleId="TableHeader">
    <w:name w:val="Table Header"/>
    <w:basedOn w:val="BodyText"/>
    <w:link w:val="TableHeaderChar"/>
    <w:uiPriority w:val="8"/>
    <w:qFormat/>
    <w:rsid w:val="00117DA1"/>
    <w:pPr>
      <w:numPr>
        <w:numId w:val="0"/>
      </w:numPr>
      <w:tabs>
        <w:tab w:val="left" w:pos="709"/>
      </w:tabs>
      <w:spacing w:line="240" w:lineRule="auto"/>
      <w:jc w:val="left"/>
    </w:pPr>
    <w:rPr>
      <w:b/>
      <w:bCs/>
      <w:color w:val="FFFFFF" w:themeColor="background1"/>
    </w:rPr>
  </w:style>
  <w:style w:type="paragraph" w:customStyle="1" w:styleId="TableText">
    <w:name w:val="Table Text"/>
    <w:basedOn w:val="BodyText"/>
    <w:link w:val="TableTextChar"/>
    <w:uiPriority w:val="8"/>
    <w:qFormat/>
    <w:rsid w:val="00117DA1"/>
    <w:pPr>
      <w:numPr>
        <w:numId w:val="0"/>
      </w:numPr>
      <w:tabs>
        <w:tab w:val="left" w:pos="709"/>
      </w:tabs>
      <w:spacing w:line="288" w:lineRule="auto"/>
      <w:jc w:val="left"/>
    </w:pPr>
    <w:rPr>
      <w:sz w:val="18"/>
    </w:rPr>
  </w:style>
  <w:style w:type="character" w:customStyle="1" w:styleId="TableHeaderChar">
    <w:name w:val="Table Header Char"/>
    <w:basedOn w:val="BodyTextChar"/>
    <w:link w:val="TableHeader"/>
    <w:uiPriority w:val="8"/>
    <w:rsid w:val="008A0873"/>
    <w:rPr>
      <w:rFonts w:ascii="Metropolis Light" w:eastAsia="Times New Roman" w:hAnsi="Metropolis Light" w:cs="Times New Roman"/>
      <w:b/>
      <w:bCs/>
      <w:color w:val="FFFFFF" w:themeColor="background1"/>
      <w:sz w:val="20"/>
      <w:szCs w:val="24"/>
      <w:lang w:val="en-NZ" w:eastAsia="en-AU"/>
    </w:rPr>
  </w:style>
  <w:style w:type="table" w:customStyle="1" w:styleId="LCReportTable">
    <w:name w:val="LC Report Table"/>
    <w:basedOn w:val="LCTableFinancial"/>
    <w:uiPriority w:val="99"/>
    <w:rsid w:val="00117DA1"/>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Semibold" w:hAnsi="@Yu Gothic UI Semibold"/>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TableTextChar">
    <w:name w:val="Table Text Char"/>
    <w:basedOn w:val="BodyTextChar"/>
    <w:link w:val="TableText"/>
    <w:uiPriority w:val="8"/>
    <w:rsid w:val="008A0873"/>
    <w:rPr>
      <w:rFonts w:ascii="Metropolis Light" w:eastAsia="Times New Roman" w:hAnsi="Metropolis Light" w:cs="Times New Roman"/>
      <w:color w:val="000000" w:themeColor="text1"/>
      <w:sz w:val="18"/>
      <w:szCs w:val="24"/>
      <w:lang w:val="en-NZ" w:eastAsia="en-AU"/>
    </w:rPr>
  </w:style>
  <w:style w:type="paragraph" w:customStyle="1" w:styleId="Prelimheadings">
    <w:name w:val="Prelim headings"/>
    <w:basedOn w:val="Heading1nonum"/>
    <w:link w:val="PrelimheadingsChar"/>
    <w:uiPriority w:val="8"/>
    <w:rsid w:val="00117DA1"/>
    <w:pPr>
      <w:pageBreakBefore/>
      <w:spacing w:before="480"/>
    </w:pPr>
    <w:rPr>
      <w:color w:val="5CA0B9"/>
    </w:rPr>
  </w:style>
  <w:style w:type="character" w:customStyle="1" w:styleId="PrelimheadingsChar">
    <w:name w:val="Prelim headings Char"/>
    <w:basedOn w:val="DefaultParagraphFont"/>
    <w:link w:val="Prelimheadings"/>
    <w:uiPriority w:val="8"/>
    <w:rsid w:val="008A0873"/>
    <w:rPr>
      <w:rFonts w:ascii="Metropolis Black" w:eastAsia="Times New Roman" w:hAnsi="Metropolis Black" w:cs="Times New Roman"/>
      <w:b/>
      <w:color w:val="5CA0B9"/>
      <w:sz w:val="66"/>
      <w:szCs w:val="24"/>
      <w:lang w:val="en-NZ" w:eastAsia="en-AU"/>
    </w:rPr>
  </w:style>
  <w:style w:type="character" w:styleId="UnresolvedMention">
    <w:name w:val="Unresolved Mention"/>
    <w:basedOn w:val="DefaultParagraphFont"/>
    <w:uiPriority w:val="99"/>
    <w:unhideWhenUsed/>
    <w:rsid w:val="005B10E9"/>
    <w:rPr>
      <w:color w:val="605E5C"/>
      <w:shd w:val="clear" w:color="auto" w:fill="E1DFDD"/>
    </w:rPr>
  </w:style>
  <w:style w:type="character" w:customStyle="1" w:styleId="listlabel">
    <w:name w:val="listlabel"/>
    <w:basedOn w:val="DefaultParagraphFont"/>
    <w:rsid w:val="005B10E9"/>
  </w:style>
  <w:style w:type="character" w:customStyle="1" w:styleId="listbody">
    <w:name w:val="listbody"/>
    <w:basedOn w:val="DefaultParagraphFont"/>
    <w:rsid w:val="005B10E9"/>
  </w:style>
  <w:style w:type="character" w:customStyle="1" w:styleId="textrun">
    <w:name w:val="textrun"/>
    <w:basedOn w:val="DefaultParagraphFont"/>
    <w:rsid w:val="005B10E9"/>
  </w:style>
  <w:style w:type="paragraph" w:customStyle="1" w:styleId="B1Recommendation">
    <w:name w:val="B1 Recommendation"/>
    <w:basedOn w:val="Normal"/>
    <w:rsid w:val="00BF13DC"/>
    <w:pPr>
      <w:numPr>
        <w:numId w:val="14"/>
      </w:numPr>
      <w:tabs>
        <w:tab w:val="left" w:pos="1701"/>
        <w:tab w:val="left" w:pos="2268"/>
      </w:tabs>
    </w:pPr>
    <w:rPr>
      <w:rFonts w:ascii="Times New Roman Mäori" w:hAnsi="Times New Roman Mäori"/>
      <w:b/>
      <w:bCs/>
      <w:color w:val="339966"/>
      <w:szCs w:val="20"/>
      <w:lang w:val="en-GB"/>
    </w:rPr>
  </w:style>
  <w:style w:type="character" w:customStyle="1" w:styleId="superscript">
    <w:name w:val="superscript"/>
    <w:basedOn w:val="DefaultParagraphFont"/>
    <w:rsid w:val="005B10E9"/>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styleId="Mention">
    <w:name w:val="Mention"/>
    <w:basedOn w:val="DefaultParagraphFont"/>
    <w:uiPriority w:val="99"/>
    <w:unhideWhenUsed/>
    <w:rsid w:val="005B10E9"/>
    <w:rPr>
      <w:color w:val="2B579A"/>
      <w:shd w:val="clear" w:color="auto" w:fill="E1DFDD"/>
    </w:rPr>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6">
    <w:name w:val="E-mail Signature Char2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1">
    <w:name w:val="E-mail Signature Char1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2">
    <w:name w:val="E-mail Signature Char1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3">
    <w:name w:val="E-mail Signature Char1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4">
    <w:name w:val="E-mail Signature Char1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5">
    <w:name w:val="E-mail Signature Char2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5">
    <w:name w:val="E-mail Signature Char1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6">
    <w:name w:val="E-mail Signature Char1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7">
    <w:name w:val="E-mail Signature Char1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8">
    <w:name w:val="E-mail Signature Char1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9">
    <w:name w:val="E-mail Signature Char1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0">
    <w:name w:val="E-mail Signature Char2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1">
    <w:name w:val="E-mail Signature Char2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2">
    <w:name w:val="E-mail Signature Char2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3">
    <w:name w:val="E-mail Signature Char2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4">
    <w:name w:val="E-mail Signature Char2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7">
    <w:name w:val="E-mail Signature Char2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8">
    <w:name w:val="E-mail Signature Char2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9">
    <w:name w:val="E-mail Signature Char2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30">
    <w:name w:val="E-mail Signature Char3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paragraph" w:customStyle="1" w:styleId="Numberedpara">
    <w:name w:val="Numbered para"/>
    <w:basedOn w:val="Normal"/>
    <w:qFormat/>
    <w:rsid w:val="005B10E9"/>
    <w:pPr>
      <w:spacing w:after="80"/>
      <w:ind w:left="567"/>
      <w:jc w:val="both"/>
    </w:pPr>
    <w:rPr>
      <w:color w:val="000000" w:themeColor="text1"/>
    </w:rPr>
  </w:style>
  <w:style w:type="character" w:customStyle="1" w:styleId="E-mailSignatureChar34">
    <w:name w:val="E-mail Signature Char3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1">
    <w:name w:val="E-mail Signature Char3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2">
    <w:name w:val="E-mail Signature Char3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3">
    <w:name w:val="E-mail Signature Char3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5">
    <w:name w:val="E-mail Signature Char3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6">
    <w:name w:val="E-mail Signature Char3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7">
    <w:name w:val="E-mail Signature Char3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8">
    <w:name w:val="E-mail Signature Char3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9">
    <w:name w:val="E-mail Signature Char3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0">
    <w:name w:val="E-mail Signature Char4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4">
    <w:name w:val="E-mail Signature Char4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1">
    <w:name w:val="E-mail Signature Char4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2">
    <w:name w:val="E-mail Signature Char4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3">
    <w:name w:val="E-mail Signature Char4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0">
    <w:name w:val="E-mail Signature Char5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5">
    <w:name w:val="E-mail Signature Char4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6">
    <w:name w:val="E-mail Signature Char4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7">
    <w:name w:val="E-mail Signature Char4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8">
    <w:name w:val="E-mail Signature Char4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9">
    <w:name w:val="E-mail Signature Char4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1">
    <w:name w:val="E-mail Signature Char5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2">
    <w:name w:val="E-mail Signature Char5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3">
    <w:name w:val="E-mail Signature Char53"/>
    <w:basedOn w:val="DefaultParagraphFont"/>
    <w:uiPriority w:val="99"/>
    <w:semiHidden/>
    <w:rsid w:val="005B10E9"/>
    <w:rPr>
      <w:rFonts w:ascii="Tahoma" w:eastAsia="SimSun" w:hAnsi="Tahoma" w:cs="SimSun"/>
      <w:color w:val="0D0D0D" w:themeColor="text1" w:themeTint="F2"/>
      <w:sz w:val="20"/>
      <w:szCs w:val="24"/>
      <w:lang w:val="en-NZ" w:eastAsia="en-AU"/>
    </w:rPr>
  </w:style>
  <w:style w:type="paragraph" w:customStyle="1" w:styleId="BodyTextIndent1">
    <w:name w:val="Body Text Indent1"/>
    <w:basedOn w:val="Normal"/>
    <w:rsid w:val="005B10E9"/>
  </w:style>
  <w:style w:type="paragraph" w:customStyle="1" w:styleId="BodyText21">
    <w:name w:val="Body Text 21"/>
    <w:basedOn w:val="Normal"/>
    <w:rsid w:val="005B10E9"/>
  </w:style>
  <w:style w:type="paragraph" w:customStyle="1" w:styleId="BodyTextIndent21">
    <w:name w:val="Body Text Indent 21"/>
    <w:basedOn w:val="Normal"/>
    <w:rsid w:val="005B10E9"/>
  </w:style>
  <w:style w:type="character" w:customStyle="1" w:styleId="E-mailSignatureChar54">
    <w:name w:val="E-mail Signature Char5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5">
    <w:name w:val="E-mail Signature Char5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6">
    <w:name w:val="E-mail Signature Char5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7">
    <w:name w:val="E-mail Signature Char5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8">
    <w:name w:val="E-mail Signature Char5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0">
    <w:name w:val="E-mail Signature Char6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9">
    <w:name w:val="E-mail Signature Char5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spellingerror">
    <w:name w:val="spellingerror"/>
    <w:basedOn w:val="DefaultParagraphFont"/>
    <w:rsid w:val="005B10E9"/>
  </w:style>
  <w:style w:type="character" w:customStyle="1" w:styleId="E-mailSignatureChar61">
    <w:name w:val="E-mail Signature Char6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2">
    <w:name w:val="E-mail Signature Char6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3">
    <w:name w:val="E-mail Signature Char6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4">
    <w:name w:val="E-mail Signature Char6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5">
    <w:name w:val="E-mail Signature Char6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6">
    <w:name w:val="E-mail Signature Char6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7">
    <w:name w:val="E-mail Signature Char6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8">
    <w:name w:val="E-mail Signature Char6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9">
    <w:name w:val="E-mail Signature Char6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70">
    <w:name w:val="E-mail Signature Char7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1">
    <w:name w:val="E-mail Signature Char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2">
    <w:name w:val="E-mail Signature Char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3">
    <w:name w:val="E-mail Signature Char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4">
    <w:name w:val="E-mail Signature Char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5">
    <w:name w:val="E-mail Signature Char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6">
    <w:name w:val="E-mail Signature Char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7">
    <w:name w:val="E-mail Signature Char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8">
    <w:name w:val="E-mail Signature Char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9">
    <w:name w:val="E-mail Signature Char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1">
    <w:name w:val="E-mail Signature Char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0">
    <w:name w:val="E-mail Signature Char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2">
    <w:name w:val="E-mail Signature Char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3">
    <w:name w:val="E-mail Signature Char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4">
    <w:name w:val="E-mail Signature Char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6">
    <w:name w:val="E-mail Signature Char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5">
    <w:name w:val="E-mail Signature Char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7">
    <w:name w:val="E-mail Signature Char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8">
    <w:name w:val="E-mail Signature Char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9">
    <w:name w:val="E-mail Signature Char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0">
    <w:name w:val="E-mail Signature Char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3">
    <w:name w:val="E-mail Signature Char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2">
    <w:name w:val="E-mail Signature Char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1">
    <w:name w:val="E-mail Signature Char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5">
    <w:name w:val="E-mail Signature Char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4">
    <w:name w:val="E-mail Signature Char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6">
    <w:name w:val="E-mail Signature Char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7">
    <w:name w:val="E-mail Signature Char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8">
    <w:name w:val="E-mail Signature Char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9">
    <w:name w:val="E-mail Signature Char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9">
    <w:name w:val="E-mail Signature Char1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8">
    <w:name w:val="E-mail Signature Char1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7">
    <w:name w:val="E-mail Signature Char1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0">
    <w:name w:val="E-mail Signature Char1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1">
    <w:name w:val="E-mail Signature Char1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2">
    <w:name w:val="E-mail Signature Char1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3">
    <w:name w:val="E-mail Signature Char1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4">
    <w:name w:val="E-mail Signature Char1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5">
    <w:name w:val="E-mail Signature Char1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6">
    <w:name w:val="E-mail Signature Char1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f0">
    <w:name w:val="pf0"/>
    <w:basedOn w:val="Normal"/>
    <w:rsid w:val="008D2F77"/>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table" w:customStyle="1" w:styleId="LCTable1">
    <w:name w:val="LC Table1"/>
    <w:basedOn w:val="TableNormal"/>
    <w:uiPriority w:val="99"/>
    <w:rsid w:val="005B10E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table" w:customStyle="1" w:styleId="Table3Deffects11">
    <w:name w:val="Table 3D effects 11"/>
    <w:basedOn w:val="TableNormal"/>
    <w:next w:val="Table3Deffects1"/>
    <w:semiHidden/>
    <w:rsid w:val="005B10E9"/>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5B10E9"/>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5B10E9"/>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5B10E9"/>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5B10E9"/>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5B10E9"/>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5B10E9"/>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5B10E9"/>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5B10E9"/>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5B10E9"/>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5B10E9"/>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5B10E9"/>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5B10E9"/>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5B10E9"/>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5B10E9"/>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5B10E9"/>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5B10E9"/>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5B10E9"/>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5B10E9"/>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5B10E9"/>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5B10E9"/>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5B10E9"/>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5B10E9"/>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5B10E9"/>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CTableFinancial1">
    <w:name w:val="LC Table Financial1"/>
    <w:basedOn w:val="TableNormal"/>
    <w:uiPriority w:val="99"/>
    <w:rsid w:val="005B10E9"/>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table" w:customStyle="1" w:styleId="GridTable1Light-Accent111">
    <w:name w:val="Grid Table 1 Light - Accent 111"/>
    <w:basedOn w:val="TableNormal"/>
    <w:uiPriority w:val="46"/>
    <w:rsid w:val="005B10E9"/>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CReportTable1">
    <w:name w:val="LC Report Table1"/>
    <w:basedOn w:val="LCTableFinancial"/>
    <w:uiPriority w:val="99"/>
    <w:rsid w:val="00C536D1"/>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Times New Roman Mäori" w:hAnsi="Times New Roman Mäori"/>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UnresolvedMention4">
    <w:name w:val="Unresolved Mention4"/>
    <w:basedOn w:val="DefaultParagraphFont"/>
    <w:uiPriority w:val="99"/>
    <w:unhideWhenUsed/>
    <w:rsid w:val="005B10E9"/>
    <w:rPr>
      <w:color w:val="605E5C"/>
      <w:shd w:val="clear" w:color="auto" w:fill="E1DFDD"/>
    </w:rPr>
  </w:style>
  <w:style w:type="character" w:customStyle="1" w:styleId="Mention1">
    <w:name w:val="Mention1"/>
    <w:basedOn w:val="DefaultParagraphFont"/>
    <w:uiPriority w:val="99"/>
    <w:unhideWhenUsed/>
    <w:rsid w:val="005B10E9"/>
    <w:rPr>
      <w:color w:val="2B579A"/>
      <w:shd w:val="clear" w:color="auto" w:fill="E1DFDD"/>
    </w:rPr>
  </w:style>
  <w:style w:type="character" w:customStyle="1" w:styleId="E-mailSignatureChar110">
    <w:name w:val="E-mail Signature Char1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1">
    <w:name w:val="E-mail Signature Char1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2">
    <w:name w:val="E-mail Signature Char1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3">
    <w:name w:val="E-mail Signature Char1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4">
    <w:name w:val="E-mail Signature Char1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5">
    <w:name w:val="E-mail Signature Char1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7">
    <w:name w:val="E-mail Signature Char1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6">
    <w:name w:val="E-mail Signature Char1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8">
    <w:name w:val="E-mail Signature Char1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9">
    <w:name w:val="E-mail Signature Char1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0">
    <w:name w:val="E-mail Signature Char1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1">
    <w:name w:val="E-mail Signature Char1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2">
    <w:name w:val="E-mail Signature Char1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3">
    <w:name w:val="E-mail Signature Char1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4">
    <w:name w:val="E-mail Signature Char1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5">
    <w:name w:val="E-mail Signature Char1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6">
    <w:name w:val="E-mail Signature Char1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7">
    <w:name w:val="E-mail Signature Char1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8">
    <w:name w:val="E-mail Signature Char1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9">
    <w:name w:val="E-mail Signature Char1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0">
    <w:name w:val="E-mail Signature Char1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1">
    <w:name w:val="E-mail Signature Char1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5">
    <w:name w:val="E-mail Signature Char1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ootnoteReference1">
    <w:name w:val="Footnote Reference1"/>
    <w:basedOn w:val="DefaultParagraphFont"/>
    <w:rsid w:val="005B10E9"/>
    <w:rPr>
      <w:rFonts w:ascii="Metropolis Light" w:hAnsi="Metropolis Light"/>
      <w:color w:val="262626"/>
      <w:vertAlign w:val="superscript"/>
    </w:rPr>
  </w:style>
  <w:style w:type="character" w:customStyle="1" w:styleId="E-mailSignatureChar133">
    <w:name w:val="E-mail Signature Char1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2">
    <w:name w:val="E-mail Signature Char1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6">
    <w:name w:val="E-mail Signature Char1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4">
    <w:name w:val="E-mail Signature Char1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7">
    <w:name w:val="E-mail Signature Char1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8">
    <w:name w:val="E-mail Signature Char1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9">
    <w:name w:val="E-mail Signature Char1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0">
    <w:name w:val="E-mail Signature Char1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3">
    <w:name w:val="E-mail Signature Char1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1">
    <w:name w:val="E-mail Signature Char1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2">
    <w:name w:val="E-mail Signature Char1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table" w:customStyle="1" w:styleId="TableGrid0">
    <w:name w:val="TableGrid"/>
    <w:rsid w:val="005B10E9"/>
    <w:pPr>
      <w:widowControl/>
      <w:spacing w:after="0" w:line="240" w:lineRule="auto"/>
    </w:pPr>
    <w:tblPr>
      <w:tblCellMar>
        <w:top w:w="0" w:type="dxa"/>
        <w:left w:w="0" w:type="dxa"/>
        <w:bottom w:w="0" w:type="dxa"/>
        <w:right w:w="0" w:type="dxa"/>
      </w:tblCellMar>
    </w:tblPr>
  </w:style>
  <w:style w:type="character" w:customStyle="1" w:styleId="E-mailSignatureChar144">
    <w:name w:val="E-mail Signature Char1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5">
    <w:name w:val="E-mail Signature Char1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7">
    <w:name w:val="E-mail Signature Char1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6">
    <w:name w:val="E-mail Signature Char1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8">
    <w:name w:val="E-mail Signature Char1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1">
    <w:name w:val="E-mail Signature Char1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9">
    <w:name w:val="E-mail Signature Char1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0">
    <w:name w:val="E-mail Signature Char1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2">
    <w:name w:val="E-mail Signature Char1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4">
    <w:name w:val="E-mail Signature Char1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3">
    <w:name w:val="E-mail Signature Char1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9">
    <w:name w:val="E-mail Signature Char15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5">
    <w:name w:val="E-mail Signature Char1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6">
    <w:name w:val="E-mail Signature Char1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7">
    <w:name w:val="E-mail Signature Char15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8">
    <w:name w:val="E-mail Signature Char15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3">
    <w:name w:val="E-mail Signature Char16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1">
    <w:name w:val="E-mail Signature Char16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0">
    <w:name w:val="E-mail Signature Char16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2">
    <w:name w:val="E-mail Signature Char16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5">
    <w:name w:val="E-mail Signature Char1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4">
    <w:name w:val="E-mail Signature Char16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0">
    <w:name w:val="E-mail Signature Char1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subsection">
    <w:name w:val="subsection"/>
    <w:basedOn w:val="Normal"/>
    <w:rsid w:val="005B10E9"/>
    <w:pPr>
      <w:spacing w:before="100" w:beforeAutospacing="1" w:after="100" w:afterAutospacing="1"/>
    </w:pPr>
    <w:rPr>
      <w:rFonts w:ascii="Times New Roman" w:hAnsi="Times New Roman"/>
      <w:sz w:val="24"/>
    </w:rPr>
  </w:style>
  <w:style w:type="character" w:customStyle="1" w:styleId="E-mailSignatureChar167">
    <w:name w:val="E-mail Signature Char1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6">
    <w:name w:val="E-mail Signature Char1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8">
    <w:name w:val="E-mail Signature Char1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9">
    <w:name w:val="E-mail Signature Char1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1">
    <w:name w:val="E-mail Signature Char1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2">
    <w:name w:val="E-mail Signature Char1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3">
    <w:name w:val="E-mail Signature Char1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4">
    <w:name w:val="E-mail Signature Char1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4">
    <w:name w:val="E-mail Signature Char1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acthead5">
    <w:name w:val="acthead5"/>
    <w:basedOn w:val="Normal"/>
    <w:rsid w:val="005B10E9"/>
    <w:pPr>
      <w:spacing w:before="100" w:beforeAutospacing="1" w:after="100" w:afterAutospacing="1"/>
    </w:pPr>
    <w:rPr>
      <w:rFonts w:ascii="Times New Roman" w:hAnsi="Times New Roman"/>
      <w:sz w:val="24"/>
    </w:rPr>
  </w:style>
  <w:style w:type="character" w:customStyle="1" w:styleId="charsectno">
    <w:name w:val="charsectno"/>
    <w:basedOn w:val="DefaultParagraphFont"/>
    <w:rsid w:val="005B10E9"/>
  </w:style>
  <w:style w:type="character" w:customStyle="1" w:styleId="E-mailSignatureChar188">
    <w:name w:val="E-mail Signature Char1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5">
    <w:name w:val="E-mail Signature Char1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6">
    <w:name w:val="E-mail Signature Char1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7">
    <w:name w:val="E-mail Signature Char1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8">
    <w:name w:val="E-mail Signature Char1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9">
    <w:name w:val="E-mail Signature Char1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0">
    <w:name w:val="E-mail Signature Char1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1">
    <w:name w:val="E-mail Signature Char1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2">
    <w:name w:val="E-mail Signature Char1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3">
    <w:name w:val="E-mail Signature Char1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4">
    <w:name w:val="E-mail Signature Char1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5">
    <w:name w:val="E-mail Signature Char1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7">
    <w:name w:val="E-mail Signature Char1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6">
    <w:name w:val="E-mail Signature Char1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0">
    <w:name w:val="E-mail Signature Char1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9">
    <w:name w:val="E-mail Signature Char1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indhit">
    <w:name w:val="findhit"/>
    <w:basedOn w:val="DefaultParagraphFont"/>
    <w:rsid w:val="005B10E9"/>
  </w:style>
  <w:style w:type="character" w:customStyle="1" w:styleId="E-mailSignatureChar191">
    <w:name w:val="E-mail Signature Char1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2">
    <w:name w:val="E-mail Signature Char1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3">
    <w:name w:val="E-mail Signature Char1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5">
    <w:name w:val="E-mail Signature Char1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6">
    <w:name w:val="E-mail Signature Char1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7">
    <w:name w:val="E-mail Signature Char1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8">
    <w:name w:val="E-mail Signature Char1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9">
    <w:name w:val="E-mail Signature Char1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0">
    <w:name w:val="E-mail Signature Char2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1">
    <w:name w:val="E-mail Signature Char2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3">
    <w:name w:val="E-mail Signature Char2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2">
    <w:name w:val="E-mail Signature Char2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4">
    <w:name w:val="E-mail Signature Char2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6">
    <w:name w:val="E-mail Signature Char2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5">
    <w:name w:val="E-mail Signature Char2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7">
    <w:name w:val="E-mail Signature Char2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8">
    <w:name w:val="E-mail Signature Char2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9">
    <w:name w:val="E-mail Signature Char2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4">
    <w:name w:val="E-mail Signature Char2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0">
    <w:name w:val="E-mail Signature Char2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2">
    <w:name w:val="E-mail Signature Char2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1">
    <w:name w:val="E-mail Signature Char2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3">
    <w:name w:val="E-mail Signature Char2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7">
    <w:name w:val="E-mail Signature Char2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5">
    <w:name w:val="E-mail Signature Char2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6">
    <w:name w:val="E-mail Signature Char2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8">
    <w:name w:val="E-mail Signature Char2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9">
    <w:name w:val="E-mail Signature Char2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0">
    <w:name w:val="E-mail Signature Char2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1">
    <w:name w:val="E-mail Signature Char2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2">
    <w:name w:val="E-mail Signature Char2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8">
    <w:name w:val="E-mail Signature Char2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3">
    <w:name w:val="E-mail Signature Char2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4">
    <w:name w:val="E-mail Signature Char2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5">
    <w:name w:val="E-mail Signature Char2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6">
    <w:name w:val="E-mail Signature Char2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7">
    <w:name w:val="E-mail Signature Char2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3">
    <w:name w:val="E-mail Signature Char2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9">
    <w:name w:val="E-mail Signature Char2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g">
    <w:name w:val="g"/>
    <w:basedOn w:val="DefaultParagraphFont"/>
    <w:rsid w:val="005B10E9"/>
  </w:style>
  <w:style w:type="character" w:customStyle="1" w:styleId="E-mailSignatureChar230">
    <w:name w:val="E-mail Signature Char2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1">
    <w:name w:val="E-mail Signature Char2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2">
    <w:name w:val="E-mail Signature Char2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5">
    <w:name w:val="E-mail Signature Char2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4">
    <w:name w:val="E-mail Signature Char2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6">
    <w:name w:val="E-mail Signature Char2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7">
    <w:name w:val="E-mail Signature Char2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0">
    <w:name w:val="E-mail Signature Char2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8">
    <w:name w:val="E-mail Signature Char2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9">
    <w:name w:val="E-mail Signature Char2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1">
    <w:name w:val="E-mail Signature Char2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3">
    <w:name w:val="E-mail Signature Char2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2">
    <w:name w:val="E-mail Signature Char2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9">
    <w:name w:val="E-mail Signature Char2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4">
    <w:name w:val="E-mail Signature Char2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6">
    <w:name w:val="E-mail Signature Char2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5">
    <w:name w:val="E-mail Signature Char2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7">
    <w:name w:val="E-mail Signature Char2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8">
    <w:name w:val="E-mail Signature Char2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0">
    <w:name w:val="E-mail Signature Char2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1">
    <w:name w:val="E-mail Signature Char2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3">
    <w:name w:val="E-mail Signature Char2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2">
    <w:name w:val="E-mail Signature Char2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4">
    <w:name w:val="E-mail Signature Char2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5">
    <w:name w:val="E-mail Signature Char2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6">
    <w:name w:val="E-mail Signature Char2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7">
    <w:name w:val="E-mail Signature Char257"/>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8">
    <w:name w:val="E-mail Signature Char258"/>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9">
    <w:name w:val="E-mail Signature Char259"/>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0">
    <w:name w:val="E-mail Signature Char260"/>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1">
    <w:name w:val="E-mail Signature Char261"/>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2">
    <w:name w:val="E-mail Signature Char262"/>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3">
    <w:name w:val="E-mail Signature Char263"/>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4">
    <w:name w:val="E-mail Signature Char264"/>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6">
    <w:name w:val="E-mail Signature Char2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mainparagraph">
    <w:name w:val="mainparagraph"/>
    <w:basedOn w:val="Normal"/>
    <w:rsid w:val="005B10E9"/>
    <w:pPr>
      <w:spacing w:before="100" w:beforeAutospacing="1" w:after="100" w:afterAutospacing="1"/>
    </w:pPr>
    <w:rPr>
      <w:rFonts w:ascii="Times New Roman" w:hAnsi="Times New Roman"/>
      <w:sz w:val="24"/>
    </w:rPr>
  </w:style>
  <w:style w:type="character" w:customStyle="1" w:styleId="E-mailSignatureChar265">
    <w:name w:val="E-mail Signature Char2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7">
    <w:name w:val="E-mail Signature Char2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9">
    <w:name w:val="E-mail Signature Char2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8">
    <w:name w:val="E-mail Signature Char2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0">
    <w:name w:val="E-mail Signature Char2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1">
    <w:name w:val="E-mail Signature Char2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2">
    <w:name w:val="E-mail Signature Char2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3">
    <w:name w:val="E-mail Signature Char2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4">
    <w:name w:val="E-mail Signature Char2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5">
    <w:name w:val="E-mail Signature Char2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6">
    <w:name w:val="E-mail Signature Char2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8">
    <w:name w:val="E-mail Signature Char2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7">
    <w:name w:val="E-mail Signature Char2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9">
    <w:name w:val="E-mail Signature Char2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
    <w:name w:val="Email Signature Char"/>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roposal2">
    <w:name w:val="Proposal 2"/>
    <w:basedOn w:val="BodyText"/>
    <w:link w:val="Proposal2Char"/>
    <w:uiPriority w:val="8"/>
    <w:qFormat/>
    <w:rsid w:val="005B10E9"/>
    <w:pPr>
      <w:numPr>
        <w:ilvl w:val="0"/>
        <w:numId w:val="0"/>
      </w:numPr>
      <w:ind w:left="1004" w:right="284"/>
    </w:pPr>
    <w:rPr>
      <w:rFonts w:eastAsia="Metropolis Light"/>
    </w:rPr>
  </w:style>
  <w:style w:type="character" w:customStyle="1" w:styleId="Proposal2Char">
    <w:name w:val="Proposal 2 Char"/>
    <w:basedOn w:val="BodyTextChar"/>
    <w:link w:val="Proposal2"/>
    <w:uiPriority w:val="8"/>
    <w:rsid w:val="005B10E9"/>
    <w:rPr>
      <w:rFonts w:ascii="Metropolis Light" w:eastAsia="Metropolis Light" w:hAnsi="Metropolis Light" w:cs="Times New Roman"/>
      <w:color w:val="000000" w:themeColor="text1"/>
      <w:sz w:val="20"/>
      <w:szCs w:val="24"/>
      <w:lang w:val="en-NZ" w:eastAsia="en-AU"/>
    </w:rPr>
  </w:style>
  <w:style w:type="paragraph" w:customStyle="1" w:styleId="Proposal20">
    <w:name w:val="Proposal2"/>
    <w:basedOn w:val="Proposal"/>
    <w:link w:val="Proposal2Char0"/>
    <w:uiPriority w:val="8"/>
    <w:qFormat/>
    <w:rsid w:val="005B10E9"/>
    <w:pPr>
      <w:spacing w:before="0" w:line="260" w:lineRule="atLeast"/>
    </w:pPr>
  </w:style>
  <w:style w:type="character" w:customStyle="1" w:styleId="Proposal2Char0">
    <w:name w:val="Proposal2 Char"/>
    <w:basedOn w:val="ProposalChar"/>
    <w:link w:val="Proposal20"/>
    <w:uiPriority w:val="8"/>
    <w:rsid w:val="005B10E9"/>
    <w:rPr>
      <w:rFonts w:ascii="Metropolis Light" w:eastAsia="Metropolis Light" w:hAnsi="Metropolis Light" w:cs="Metropolis Light"/>
      <w:color w:val="0D0D0D" w:themeColor="text1" w:themeTint="F2"/>
      <w:sz w:val="20"/>
      <w:szCs w:val="19"/>
      <w:lang w:val="en-NZ" w:eastAsia="en-AU"/>
    </w:rPr>
  </w:style>
  <w:style w:type="character" w:customStyle="1" w:styleId="publication-italic">
    <w:name w:val="publication-italic"/>
    <w:basedOn w:val="DefaultParagraphFont"/>
    <w:rsid w:val="005B10E9"/>
  </w:style>
  <w:style w:type="character" w:customStyle="1" w:styleId="cf01">
    <w:name w:val="cf01"/>
    <w:basedOn w:val="DefaultParagraphFont"/>
    <w:rsid w:val="005B10E9"/>
    <w:rPr>
      <w:rFonts w:ascii="Segoe UI" w:hAnsi="Segoe UI" w:cs="Segoe UI" w:hint="default"/>
      <w:sz w:val="18"/>
      <w:szCs w:val="18"/>
    </w:rPr>
  </w:style>
  <w:style w:type="character" w:customStyle="1" w:styleId="ssit">
    <w:name w:val="ss_it"/>
    <w:basedOn w:val="DefaultParagraphFont"/>
    <w:rsid w:val="005B10E9"/>
  </w:style>
  <w:style w:type="character" w:customStyle="1" w:styleId="given-names">
    <w:name w:val="given-names"/>
    <w:basedOn w:val="DefaultParagraphFont"/>
    <w:rsid w:val="005B10E9"/>
  </w:style>
  <w:style w:type="character" w:customStyle="1" w:styleId="surname">
    <w:name w:val="surname"/>
    <w:basedOn w:val="DefaultParagraphFont"/>
    <w:rsid w:val="005B10E9"/>
  </w:style>
  <w:style w:type="character" w:customStyle="1" w:styleId="E-mailSignatureChar280">
    <w:name w:val="E-mail Signature Char2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1">
    <w:name w:val="E-mail Signature Char2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2">
    <w:name w:val="E-mail Signature Char2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3">
    <w:name w:val="E-mail Signature Char2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BoxTitle">
    <w:name w:val="Box Title"/>
    <w:basedOn w:val="Normal"/>
    <w:link w:val="BoxTitleChar"/>
    <w:uiPriority w:val="8"/>
    <w:qFormat/>
    <w:rsid w:val="00117DA1"/>
    <w:pPr>
      <w:spacing w:before="100" w:beforeAutospacing="1"/>
    </w:pPr>
    <w:rPr>
      <w:rFonts w:ascii="Metropolis" w:eastAsia="Metropolis" w:hAnsi="Metropolis" w:cs="Metropolis"/>
      <w:b/>
      <w:color w:val="FFFFFF"/>
      <w:sz w:val="19"/>
      <w:szCs w:val="19"/>
    </w:rPr>
  </w:style>
  <w:style w:type="paragraph" w:customStyle="1" w:styleId="QuestionTitle">
    <w:name w:val="Question Title"/>
    <w:basedOn w:val="BoxTitle"/>
    <w:link w:val="QuestionTitleChar"/>
    <w:uiPriority w:val="8"/>
    <w:qFormat/>
    <w:rsid w:val="005B10E9"/>
  </w:style>
  <w:style w:type="character" w:customStyle="1" w:styleId="BoxTitleChar">
    <w:name w:val="Box Title Char"/>
    <w:basedOn w:val="DefaultParagraphFont"/>
    <w:link w:val="BoxTitle"/>
    <w:uiPriority w:val="8"/>
    <w:rsid w:val="008A0873"/>
    <w:rPr>
      <w:rFonts w:ascii="Metropolis" w:eastAsia="Metropolis" w:hAnsi="Metropolis" w:cs="Metropolis"/>
      <w:b/>
      <w:color w:val="FFFFFF"/>
      <w:sz w:val="19"/>
      <w:szCs w:val="19"/>
      <w:lang w:val="en-NZ"/>
    </w:rPr>
  </w:style>
  <w:style w:type="character" w:customStyle="1" w:styleId="QuestionTitleChar">
    <w:name w:val="Question Title Char"/>
    <w:basedOn w:val="BoxTitleChar"/>
    <w:link w:val="QuestionTitle"/>
    <w:uiPriority w:val="8"/>
    <w:rsid w:val="005B10E9"/>
    <w:rPr>
      <w:rFonts w:ascii="Metropolis" w:eastAsia="Metropolis" w:hAnsi="Metropolis" w:cs="Metropolis"/>
      <w:b/>
      <w:color w:val="FFFFFF"/>
      <w:sz w:val="19"/>
      <w:szCs w:val="19"/>
      <w:lang w:val="en-NZ" w:eastAsia="en-AU"/>
    </w:rPr>
  </w:style>
  <w:style w:type="paragraph" w:customStyle="1" w:styleId="up1tab">
    <w:name w:val="up1tab"/>
    <w:basedOn w:val="Normal"/>
    <w:rsid w:val="003D6A25"/>
    <w:pPr>
      <w:spacing w:before="100" w:beforeAutospacing="1" w:after="100" w:afterAutospacing="1"/>
    </w:pPr>
    <w:rPr>
      <w:rFonts w:ascii="Times New Roman" w:hAnsi="Times New Roman"/>
      <w:sz w:val="24"/>
    </w:rPr>
  </w:style>
  <w:style w:type="paragraph" w:customStyle="1" w:styleId="ind1c">
    <w:name w:val="ind1c"/>
    <w:basedOn w:val="Normal"/>
    <w:rsid w:val="003D6A25"/>
    <w:pPr>
      <w:spacing w:before="100" w:beforeAutospacing="1" w:after="100" w:afterAutospacing="1"/>
    </w:pPr>
    <w:rPr>
      <w:rFonts w:ascii="Times New Roman" w:hAnsi="Times New Roman"/>
      <w:sz w:val="24"/>
    </w:rPr>
  </w:style>
  <w:style w:type="character" w:customStyle="1" w:styleId="EmailSignatureChar13">
    <w:name w:val="Email Signature Char13"/>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2">
    <w:name w:val="Email Signature Char12"/>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284">
    <w:name w:val="E-mail Signature Char284"/>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1">
    <w:name w:val="Email Signature Char11"/>
    <w:basedOn w:val="DefaultParagraphFont"/>
    <w:uiPriority w:val="99"/>
    <w:semiHidden/>
    <w:rsid w:val="00D36A28"/>
    <w:rPr>
      <w:rFonts w:ascii="Metropolis Light" w:hAnsi="Metropolis Light"/>
      <w:color w:val="0D0D0D" w:themeColor="text1" w:themeTint="F2"/>
      <w:sz w:val="20"/>
      <w:lang w:val="en-NZ"/>
    </w:rPr>
  </w:style>
  <w:style w:type="paragraph" w:customStyle="1" w:styleId="QuestionsBox">
    <w:name w:val="Questions Box"/>
    <w:basedOn w:val="Normal"/>
    <w:link w:val="QuestionsBoxChar"/>
    <w:uiPriority w:val="8"/>
    <w:rsid w:val="00953281"/>
    <w:pPr>
      <w:pBdr>
        <w:top w:val="single" w:sz="4" w:space="8" w:color="4F6228" w:themeColor="accent3" w:themeShade="80"/>
        <w:left w:val="single" w:sz="4" w:space="5" w:color="4F6228" w:themeColor="accent3" w:themeShade="80"/>
        <w:bottom w:val="single" w:sz="4" w:space="5" w:color="4F6228" w:themeColor="accent3" w:themeShade="80"/>
        <w:right w:val="single" w:sz="4" w:space="5" w:color="4F6228" w:themeColor="accent3" w:themeShade="80"/>
      </w:pBdr>
      <w:shd w:val="clear" w:color="auto" w:fill="DFEFD1"/>
      <w:suppressAutoHyphens/>
      <w:autoSpaceDE w:val="0"/>
      <w:autoSpaceDN w:val="0"/>
      <w:adjustRightInd w:val="0"/>
      <w:spacing w:before="80" w:after="80" w:line="360" w:lineRule="auto"/>
      <w:ind w:left="709" w:hanging="709"/>
      <w:jc w:val="both"/>
      <w:textAlignment w:val="center"/>
    </w:pPr>
    <w:rPr>
      <w:rFonts w:eastAsia="Times New Roman" w:cs="Times New Roman"/>
      <w:color w:val="262626" w:themeColor="text1" w:themeTint="D9"/>
      <w:szCs w:val="20"/>
      <w:lang w:eastAsia="en-AU"/>
    </w:rPr>
  </w:style>
  <w:style w:type="character" w:customStyle="1" w:styleId="QuestionsBoxChar">
    <w:name w:val="Questions Box Char"/>
    <w:basedOn w:val="DefaultParagraphFont"/>
    <w:link w:val="QuestionsBox"/>
    <w:uiPriority w:val="8"/>
    <w:rsid w:val="00953281"/>
    <w:rPr>
      <w:rFonts w:ascii="Metropolis Light" w:eastAsia="Times New Roman" w:hAnsi="Metropolis Light" w:cs="Times New Roman"/>
      <w:color w:val="262626" w:themeColor="text1" w:themeTint="D9"/>
      <w:sz w:val="20"/>
      <w:szCs w:val="20"/>
      <w:shd w:val="clear" w:color="auto" w:fill="DFEFD1"/>
      <w:lang w:val="en-NZ" w:eastAsia="en-AU"/>
    </w:rPr>
  </w:style>
  <w:style w:type="character" w:customStyle="1" w:styleId="cf11">
    <w:name w:val="cf11"/>
    <w:basedOn w:val="DefaultParagraphFont"/>
    <w:rsid w:val="00C24813"/>
    <w:rPr>
      <w:rFonts w:ascii="Segoe UI" w:hAnsi="Segoe UI" w:cs="Segoe UI" w:hint="default"/>
      <w:i/>
      <w:iCs/>
      <w:sz w:val="18"/>
      <w:szCs w:val="18"/>
    </w:rPr>
  </w:style>
  <w:style w:type="paragraph" w:customStyle="1" w:styleId="R1RecommendationText">
    <w:name w:val="R1 Recommendation Text"/>
    <w:basedOn w:val="Normal"/>
    <w:link w:val="R1RecommendationTextChar"/>
    <w:qFormat/>
    <w:rsid w:val="00CB2992"/>
    <w:pPr>
      <w:numPr>
        <w:numId w:val="19"/>
      </w:numPr>
      <w:pBdr>
        <w:top w:val="single" w:sz="4" w:space="6"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spacing w:before="80" w:after="80" w:line="360" w:lineRule="auto"/>
      <w:jc w:val="both"/>
      <w:textAlignment w:val="center"/>
    </w:pPr>
    <w:rPr>
      <w:rFonts w:eastAsia="Calibri" w:cs="Times New Roman"/>
      <w:color w:val="000000" w:themeColor="text1"/>
      <w:szCs w:val="20"/>
      <w:lang w:eastAsia="en-AU"/>
      <w14:shadow w14:blurRad="50800" w14:dist="50800" w14:dir="5400000" w14:sx="0" w14:sy="0" w14:kx="0" w14:ky="0" w14:algn="ctr">
        <w14:schemeClr w14:val="bg1"/>
      </w14:shadow>
    </w:rPr>
  </w:style>
  <w:style w:type="character" w:customStyle="1" w:styleId="R1RecommendationTextChar">
    <w:name w:val="R1 Recommendation Text Char"/>
    <w:basedOn w:val="DefaultParagraphFont"/>
    <w:link w:val="R1RecommendationText"/>
    <w:rsid w:val="00CB2992"/>
    <w:rPr>
      <w:rFonts w:ascii="Metropolis Light" w:eastAsia="Calibri" w:hAnsi="Metropolis Light" w:cs="Times New Roman"/>
      <w:color w:val="000000" w:themeColor="text1"/>
      <w:sz w:val="20"/>
      <w:szCs w:val="20"/>
      <w:shd w:val="clear" w:color="auto" w:fill="F2F2F2" w:themeFill="background1" w:themeFillShade="F2"/>
      <w:lang w:val="en-NZ" w:eastAsia="en-AU"/>
      <w14:shadow w14:blurRad="50800" w14:dist="50800" w14:dir="5400000" w14:sx="0" w14:sy="0" w14:kx="0" w14:ky="0" w14:algn="ctr">
        <w14:schemeClr w14:val="bg1"/>
      </w14:shadow>
    </w:rPr>
  </w:style>
  <w:style w:type="character" w:customStyle="1" w:styleId="QuestionTextChar">
    <w:name w:val="Question Text Char"/>
    <w:basedOn w:val="DefaultParagraphFont"/>
    <w:link w:val="QuestionText"/>
    <w:uiPriority w:val="16"/>
    <w:rsid w:val="00254D4D"/>
    <w:rPr>
      <w:rFonts w:ascii="Metropolis Light" w:eastAsia="Times New Roman" w:hAnsi="Metropolis Light" w:cs="Times New Roman"/>
      <w:color w:val="262626" w:themeColor="text1" w:themeTint="D9"/>
      <w:sz w:val="20"/>
      <w:szCs w:val="20"/>
      <w:shd w:val="clear" w:color="auto" w:fill="DFEFD1"/>
      <w:lang w:eastAsia="en-AU"/>
    </w:rPr>
  </w:style>
  <w:style w:type="character" w:customStyle="1" w:styleId="ssbf">
    <w:name w:val="ss_bf"/>
    <w:basedOn w:val="DefaultParagraphFont"/>
    <w:rsid w:val="00254D4D"/>
  </w:style>
  <w:style w:type="numbering" w:customStyle="1" w:styleId="NoList1">
    <w:name w:val="No List1"/>
    <w:next w:val="NoList"/>
    <w:uiPriority w:val="99"/>
    <w:semiHidden/>
    <w:unhideWhenUsed/>
    <w:rsid w:val="00254D4D"/>
  </w:style>
  <w:style w:type="numbering" w:customStyle="1" w:styleId="11111111">
    <w:name w:val="1 / 1.1 / 1.1.111"/>
    <w:basedOn w:val="NoList"/>
    <w:next w:val="111111"/>
    <w:semiHidden/>
    <w:rsid w:val="00254D4D"/>
  </w:style>
  <w:style w:type="numbering" w:customStyle="1" w:styleId="1ai11">
    <w:name w:val="1 / a / i11"/>
    <w:basedOn w:val="NoList"/>
    <w:next w:val="1ai"/>
    <w:semiHidden/>
    <w:rsid w:val="00254D4D"/>
  </w:style>
  <w:style w:type="numbering" w:customStyle="1" w:styleId="ArticleSection11">
    <w:name w:val="Article / Section11"/>
    <w:basedOn w:val="NoList"/>
    <w:next w:val="ArticleSection"/>
    <w:semiHidden/>
    <w:rsid w:val="00254D4D"/>
  </w:style>
  <w:style w:type="numbering" w:customStyle="1" w:styleId="Chapter111">
    <w:name w:val="Chapter111"/>
    <w:uiPriority w:val="99"/>
    <w:rsid w:val="00254D4D"/>
  </w:style>
  <w:style w:type="numbering" w:customStyle="1" w:styleId="Chapter121">
    <w:name w:val="Chapter121"/>
    <w:uiPriority w:val="99"/>
    <w:rsid w:val="00254D4D"/>
  </w:style>
  <w:style w:type="paragraph" w:customStyle="1" w:styleId="QuestionsFrame">
    <w:name w:val="Questions Frame"/>
    <w:basedOn w:val="QuestionText"/>
    <w:uiPriority w:val="8"/>
    <w:qFormat/>
    <w:rsid w:val="00254D4D"/>
    <w:pPr>
      <w:spacing w:after="240"/>
      <w:ind w:left="709" w:hanging="709"/>
    </w:pPr>
    <w:rPr>
      <w:lang w:val="en-NZ"/>
    </w:rPr>
  </w:style>
  <w:style w:type="character" w:customStyle="1" w:styleId="RecommendationTextChar">
    <w:name w:val="Recommendation Text Char"/>
    <w:basedOn w:val="DefaultParagraphFont"/>
    <w:link w:val="RecommendationText"/>
    <w:uiPriority w:val="11"/>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ummaryFrame">
    <w:name w:val="Summary Frame"/>
    <w:basedOn w:val="QuestionsFrame"/>
    <w:uiPriority w:val="8"/>
    <w:qFormat/>
    <w:rsid w:val="00254D4D"/>
    <w:pPr>
      <w:ind w:left="0" w:firstLine="0"/>
    </w:pPr>
  </w:style>
  <w:style w:type="paragraph" w:customStyle="1" w:styleId="EAGRecommendation">
    <w:name w:val="EAG Recommendation"/>
    <w:basedOn w:val="RecommendationText"/>
    <w:autoRedefine/>
    <w:uiPriority w:val="8"/>
    <w:qFormat/>
    <w:rsid w:val="00254D4D"/>
    <w:pPr>
      <w:ind w:left="567" w:hanging="567"/>
    </w:pPr>
  </w:style>
  <w:style w:type="paragraph" w:customStyle="1" w:styleId="aEAGRecommendation">
    <w:name w:val="a. EAG Recommendation"/>
    <w:basedOn w:val="RecommendationText1"/>
    <w:link w:val="aEAGRecommendationChar"/>
    <w:uiPriority w:val="8"/>
    <w:qFormat/>
    <w:rsid w:val="00254D4D"/>
    <w:pPr>
      <w:ind w:left="1418" w:hanging="567"/>
    </w:pPr>
  </w:style>
  <w:style w:type="character" w:customStyle="1" w:styleId="RecommendationText1Char">
    <w:name w:val="Recommendation Text 1 Char"/>
    <w:basedOn w:val="RecommendationTextChar"/>
    <w:link w:val="RecommendationText1"/>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character" w:customStyle="1" w:styleId="aEAGRecommendationChar">
    <w:name w:val="a. EAG Recommendation Char"/>
    <w:basedOn w:val="RecommendationText1Char"/>
    <w:link w:val="aEAGRecommendation"/>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tyle1">
    <w:name w:val="Style1"/>
    <w:basedOn w:val="EAGRecommendation"/>
    <w:autoRedefine/>
    <w:uiPriority w:val="8"/>
    <w:qFormat/>
    <w:rsid w:val="00254D4D"/>
  </w:style>
  <w:style w:type="paragraph" w:customStyle="1" w:styleId="Style2">
    <w:name w:val="Style2"/>
    <w:basedOn w:val="Style1"/>
    <w:uiPriority w:val="8"/>
    <w:qFormat/>
    <w:rsid w:val="00254D4D"/>
  </w:style>
  <w:style w:type="paragraph" w:customStyle="1" w:styleId="Style3">
    <w:name w:val="Style3"/>
    <w:basedOn w:val="RecommendationText"/>
    <w:autoRedefine/>
    <w:uiPriority w:val="8"/>
    <w:qFormat/>
    <w:rsid w:val="00254D4D"/>
    <w:pPr>
      <w:ind w:left="567" w:hanging="567"/>
    </w:pPr>
  </w:style>
  <w:style w:type="paragraph" w:customStyle="1" w:styleId="Heading1-Mainpart">
    <w:name w:val="Heading 1 - Main part"/>
    <w:basedOn w:val="Normal"/>
    <w:link w:val="Heading1-MainpartChar"/>
    <w:qFormat/>
    <w:rsid w:val="00254D4D"/>
    <w:pPr>
      <w:spacing w:before="120" w:after="240" w:line="276" w:lineRule="auto"/>
    </w:pPr>
    <w:rPr>
      <w:rFonts w:ascii="Metropolis" w:eastAsia="Metropolis Black" w:hAnsi="Metropolis"/>
      <w:b/>
      <w:spacing w:val="-7"/>
      <w:sz w:val="32"/>
    </w:rPr>
  </w:style>
  <w:style w:type="character" w:customStyle="1" w:styleId="Heading1-MainpartChar">
    <w:name w:val="Heading 1 - Main part Char"/>
    <w:basedOn w:val="DefaultParagraphFont"/>
    <w:link w:val="Heading1-Mainpart"/>
    <w:rsid w:val="00254D4D"/>
    <w:rPr>
      <w:rFonts w:ascii="Metropolis" w:eastAsia="Metropolis Black" w:hAnsi="Metropolis"/>
      <w:b/>
      <w:spacing w:val="-7"/>
      <w:sz w:val="32"/>
      <w:lang w:val="en-NZ"/>
    </w:rPr>
  </w:style>
  <w:style w:type="character" w:customStyle="1" w:styleId="sssh">
    <w:name w:val="ss_sh"/>
    <w:basedOn w:val="DefaultParagraphFont"/>
    <w:rsid w:val="00254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257">
      <w:bodyDiv w:val="1"/>
      <w:marLeft w:val="0"/>
      <w:marRight w:val="0"/>
      <w:marTop w:val="0"/>
      <w:marBottom w:val="0"/>
      <w:divBdr>
        <w:top w:val="none" w:sz="0" w:space="0" w:color="auto"/>
        <w:left w:val="none" w:sz="0" w:space="0" w:color="auto"/>
        <w:bottom w:val="none" w:sz="0" w:space="0" w:color="auto"/>
        <w:right w:val="none" w:sz="0" w:space="0" w:color="auto"/>
      </w:divBdr>
    </w:div>
    <w:div w:id="10618412">
      <w:bodyDiv w:val="1"/>
      <w:marLeft w:val="0"/>
      <w:marRight w:val="0"/>
      <w:marTop w:val="0"/>
      <w:marBottom w:val="0"/>
      <w:divBdr>
        <w:top w:val="none" w:sz="0" w:space="0" w:color="auto"/>
        <w:left w:val="none" w:sz="0" w:space="0" w:color="auto"/>
        <w:bottom w:val="none" w:sz="0" w:space="0" w:color="auto"/>
        <w:right w:val="none" w:sz="0" w:space="0" w:color="auto"/>
      </w:divBdr>
    </w:div>
    <w:div w:id="10886651">
      <w:bodyDiv w:val="1"/>
      <w:marLeft w:val="0"/>
      <w:marRight w:val="0"/>
      <w:marTop w:val="0"/>
      <w:marBottom w:val="0"/>
      <w:divBdr>
        <w:top w:val="none" w:sz="0" w:space="0" w:color="auto"/>
        <w:left w:val="none" w:sz="0" w:space="0" w:color="auto"/>
        <w:bottom w:val="none" w:sz="0" w:space="0" w:color="auto"/>
        <w:right w:val="none" w:sz="0" w:space="0" w:color="auto"/>
      </w:divBdr>
    </w:div>
    <w:div w:id="11150361">
      <w:bodyDiv w:val="1"/>
      <w:marLeft w:val="0"/>
      <w:marRight w:val="0"/>
      <w:marTop w:val="0"/>
      <w:marBottom w:val="0"/>
      <w:divBdr>
        <w:top w:val="none" w:sz="0" w:space="0" w:color="auto"/>
        <w:left w:val="none" w:sz="0" w:space="0" w:color="auto"/>
        <w:bottom w:val="none" w:sz="0" w:space="0" w:color="auto"/>
        <w:right w:val="none" w:sz="0" w:space="0" w:color="auto"/>
      </w:divBdr>
    </w:div>
    <w:div w:id="32847865">
      <w:bodyDiv w:val="1"/>
      <w:marLeft w:val="0"/>
      <w:marRight w:val="0"/>
      <w:marTop w:val="0"/>
      <w:marBottom w:val="0"/>
      <w:divBdr>
        <w:top w:val="none" w:sz="0" w:space="0" w:color="auto"/>
        <w:left w:val="none" w:sz="0" w:space="0" w:color="auto"/>
        <w:bottom w:val="none" w:sz="0" w:space="0" w:color="auto"/>
        <w:right w:val="none" w:sz="0" w:space="0" w:color="auto"/>
      </w:divBdr>
    </w:div>
    <w:div w:id="42406339">
      <w:bodyDiv w:val="1"/>
      <w:marLeft w:val="0"/>
      <w:marRight w:val="0"/>
      <w:marTop w:val="0"/>
      <w:marBottom w:val="0"/>
      <w:divBdr>
        <w:top w:val="none" w:sz="0" w:space="0" w:color="auto"/>
        <w:left w:val="none" w:sz="0" w:space="0" w:color="auto"/>
        <w:bottom w:val="none" w:sz="0" w:space="0" w:color="auto"/>
        <w:right w:val="none" w:sz="0" w:space="0" w:color="auto"/>
      </w:divBdr>
      <w:divsChild>
        <w:div w:id="1085616969">
          <w:marLeft w:val="0"/>
          <w:marRight w:val="0"/>
          <w:marTop w:val="83"/>
          <w:marBottom w:val="0"/>
          <w:divBdr>
            <w:top w:val="none" w:sz="0" w:space="0" w:color="auto"/>
            <w:left w:val="none" w:sz="0" w:space="0" w:color="auto"/>
            <w:bottom w:val="none" w:sz="0" w:space="0" w:color="auto"/>
            <w:right w:val="none" w:sz="0" w:space="0" w:color="auto"/>
          </w:divBdr>
          <w:divsChild>
            <w:div w:id="1392266764">
              <w:marLeft w:val="0"/>
              <w:marRight w:val="0"/>
              <w:marTop w:val="83"/>
              <w:marBottom w:val="0"/>
              <w:divBdr>
                <w:top w:val="none" w:sz="0" w:space="0" w:color="auto"/>
                <w:left w:val="none" w:sz="0" w:space="0" w:color="auto"/>
                <w:bottom w:val="none" w:sz="0" w:space="0" w:color="auto"/>
                <w:right w:val="none" w:sz="0" w:space="0" w:color="auto"/>
              </w:divBdr>
            </w:div>
            <w:div w:id="18210720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66003229">
      <w:bodyDiv w:val="1"/>
      <w:marLeft w:val="0"/>
      <w:marRight w:val="0"/>
      <w:marTop w:val="0"/>
      <w:marBottom w:val="0"/>
      <w:divBdr>
        <w:top w:val="none" w:sz="0" w:space="0" w:color="auto"/>
        <w:left w:val="none" w:sz="0" w:space="0" w:color="auto"/>
        <w:bottom w:val="none" w:sz="0" w:space="0" w:color="auto"/>
        <w:right w:val="none" w:sz="0" w:space="0" w:color="auto"/>
      </w:divBdr>
    </w:div>
    <w:div w:id="73472731">
      <w:bodyDiv w:val="1"/>
      <w:marLeft w:val="0"/>
      <w:marRight w:val="0"/>
      <w:marTop w:val="0"/>
      <w:marBottom w:val="0"/>
      <w:divBdr>
        <w:top w:val="none" w:sz="0" w:space="0" w:color="auto"/>
        <w:left w:val="none" w:sz="0" w:space="0" w:color="auto"/>
        <w:bottom w:val="none" w:sz="0" w:space="0" w:color="auto"/>
        <w:right w:val="none" w:sz="0" w:space="0" w:color="auto"/>
      </w:divBdr>
    </w:div>
    <w:div w:id="96483919">
      <w:bodyDiv w:val="1"/>
      <w:marLeft w:val="0"/>
      <w:marRight w:val="0"/>
      <w:marTop w:val="0"/>
      <w:marBottom w:val="0"/>
      <w:divBdr>
        <w:top w:val="none" w:sz="0" w:space="0" w:color="auto"/>
        <w:left w:val="none" w:sz="0" w:space="0" w:color="auto"/>
        <w:bottom w:val="none" w:sz="0" w:space="0" w:color="auto"/>
        <w:right w:val="none" w:sz="0" w:space="0" w:color="auto"/>
      </w:divBdr>
      <w:divsChild>
        <w:div w:id="1147476900">
          <w:marLeft w:val="0"/>
          <w:marRight w:val="0"/>
          <w:marTop w:val="0"/>
          <w:marBottom w:val="0"/>
          <w:divBdr>
            <w:top w:val="none" w:sz="0" w:space="0" w:color="auto"/>
            <w:left w:val="none" w:sz="0" w:space="0" w:color="auto"/>
            <w:bottom w:val="none" w:sz="0" w:space="0" w:color="auto"/>
            <w:right w:val="none" w:sz="0" w:space="0" w:color="auto"/>
          </w:divBdr>
          <w:divsChild>
            <w:div w:id="1063716439">
              <w:marLeft w:val="0"/>
              <w:marRight w:val="0"/>
              <w:marTop w:val="0"/>
              <w:marBottom w:val="0"/>
              <w:divBdr>
                <w:top w:val="none" w:sz="0" w:space="0" w:color="auto"/>
                <w:left w:val="none" w:sz="0" w:space="0" w:color="auto"/>
                <w:bottom w:val="none" w:sz="0" w:space="0" w:color="auto"/>
                <w:right w:val="none" w:sz="0" w:space="0" w:color="auto"/>
              </w:divBdr>
              <w:divsChild>
                <w:div w:id="3699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8233">
      <w:bodyDiv w:val="1"/>
      <w:marLeft w:val="0"/>
      <w:marRight w:val="0"/>
      <w:marTop w:val="0"/>
      <w:marBottom w:val="0"/>
      <w:divBdr>
        <w:top w:val="none" w:sz="0" w:space="0" w:color="auto"/>
        <w:left w:val="none" w:sz="0" w:space="0" w:color="auto"/>
        <w:bottom w:val="none" w:sz="0" w:space="0" w:color="auto"/>
        <w:right w:val="none" w:sz="0" w:space="0" w:color="auto"/>
      </w:divBdr>
    </w:div>
    <w:div w:id="105932311">
      <w:bodyDiv w:val="1"/>
      <w:marLeft w:val="0"/>
      <w:marRight w:val="0"/>
      <w:marTop w:val="0"/>
      <w:marBottom w:val="0"/>
      <w:divBdr>
        <w:top w:val="none" w:sz="0" w:space="0" w:color="auto"/>
        <w:left w:val="none" w:sz="0" w:space="0" w:color="auto"/>
        <w:bottom w:val="none" w:sz="0" w:space="0" w:color="auto"/>
        <w:right w:val="none" w:sz="0" w:space="0" w:color="auto"/>
      </w:divBdr>
    </w:div>
    <w:div w:id="125052739">
      <w:bodyDiv w:val="1"/>
      <w:marLeft w:val="0"/>
      <w:marRight w:val="0"/>
      <w:marTop w:val="0"/>
      <w:marBottom w:val="0"/>
      <w:divBdr>
        <w:top w:val="none" w:sz="0" w:space="0" w:color="auto"/>
        <w:left w:val="none" w:sz="0" w:space="0" w:color="auto"/>
        <w:bottom w:val="none" w:sz="0" w:space="0" w:color="auto"/>
        <w:right w:val="none" w:sz="0" w:space="0" w:color="auto"/>
      </w:divBdr>
    </w:div>
    <w:div w:id="133180384">
      <w:bodyDiv w:val="1"/>
      <w:marLeft w:val="0"/>
      <w:marRight w:val="0"/>
      <w:marTop w:val="0"/>
      <w:marBottom w:val="0"/>
      <w:divBdr>
        <w:top w:val="none" w:sz="0" w:space="0" w:color="auto"/>
        <w:left w:val="none" w:sz="0" w:space="0" w:color="auto"/>
        <w:bottom w:val="none" w:sz="0" w:space="0" w:color="auto"/>
        <w:right w:val="none" w:sz="0" w:space="0" w:color="auto"/>
      </w:divBdr>
    </w:div>
    <w:div w:id="143086192">
      <w:bodyDiv w:val="1"/>
      <w:marLeft w:val="0"/>
      <w:marRight w:val="0"/>
      <w:marTop w:val="0"/>
      <w:marBottom w:val="0"/>
      <w:divBdr>
        <w:top w:val="none" w:sz="0" w:space="0" w:color="auto"/>
        <w:left w:val="none" w:sz="0" w:space="0" w:color="auto"/>
        <w:bottom w:val="none" w:sz="0" w:space="0" w:color="auto"/>
        <w:right w:val="none" w:sz="0" w:space="0" w:color="auto"/>
      </w:divBdr>
    </w:div>
    <w:div w:id="158732794">
      <w:bodyDiv w:val="1"/>
      <w:marLeft w:val="0"/>
      <w:marRight w:val="0"/>
      <w:marTop w:val="0"/>
      <w:marBottom w:val="0"/>
      <w:divBdr>
        <w:top w:val="none" w:sz="0" w:space="0" w:color="auto"/>
        <w:left w:val="none" w:sz="0" w:space="0" w:color="auto"/>
        <w:bottom w:val="none" w:sz="0" w:space="0" w:color="auto"/>
        <w:right w:val="none" w:sz="0" w:space="0" w:color="auto"/>
      </w:divBdr>
    </w:div>
    <w:div w:id="164246888">
      <w:bodyDiv w:val="1"/>
      <w:marLeft w:val="0"/>
      <w:marRight w:val="0"/>
      <w:marTop w:val="0"/>
      <w:marBottom w:val="0"/>
      <w:divBdr>
        <w:top w:val="none" w:sz="0" w:space="0" w:color="auto"/>
        <w:left w:val="none" w:sz="0" w:space="0" w:color="auto"/>
        <w:bottom w:val="none" w:sz="0" w:space="0" w:color="auto"/>
        <w:right w:val="none" w:sz="0" w:space="0" w:color="auto"/>
      </w:divBdr>
    </w:div>
    <w:div w:id="181089160">
      <w:bodyDiv w:val="1"/>
      <w:marLeft w:val="0"/>
      <w:marRight w:val="0"/>
      <w:marTop w:val="0"/>
      <w:marBottom w:val="0"/>
      <w:divBdr>
        <w:top w:val="none" w:sz="0" w:space="0" w:color="auto"/>
        <w:left w:val="none" w:sz="0" w:space="0" w:color="auto"/>
        <w:bottom w:val="none" w:sz="0" w:space="0" w:color="auto"/>
        <w:right w:val="none" w:sz="0" w:space="0" w:color="auto"/>
      </w:divBdr>
    </w:div>
    <w:div w:id="187454080">
      <w:bodyDiv w:val="1"/>
      <w:marLeft w:val="0"/>
      <w:marRight w:val="0"/>
      <w:marTop w:val="0"/>
      <w:marBottom w:val="0"/>
      <w:divBdr>
        <w:top w:val="none" w:sz="0" w:space="0" w:color="auto"/>
        <w:left w:val="none" w:sz="0" w:space="0" w:color="auto"/>
        <w:bottom w:val="none" w:sz="0" w:space="0" w:color="auto"/>
        <w:right w:val="none" w:sz="0" w:space="0" w:color="auto"/>
      </w:divBdr>
      <w:divsChild>
        <w:div w:id="1711954020">
          <w:marLeft w:val="0"/>
          <w:marRight w:val="0"/>
          <w:marTop w:val="83"/>
          <w:marBottom w:val="0"/>
          <w:divBdr>
            <w:top w:val="none" w:sz="0" w:space="0" w:color="auto"/>
            <w:left w:val="none" w:sz="0" w:space="0" w:color="auto"/>
            <w:bottom w:val="none" w:sz="0" w:space="0" w:color="auto"/>
            <w:right w:val="none" w:sz="0" w:space="0" w:color="auto"/>
          </w:divBdr>
          <w:divsChild>
            <w:div w:id="240914330">
              <w:marLeft w:val="0"/>
              <w:marRight w:val="0"/>
              <w:marTop w:val="83"/>
              <w:marBottom w:val="0"/>
              <w:divBdr>
                <w:top w:val="none" w:sz="0" w:space="0" w:color="auto"/>
                <w:left w:val="none" w:sz="0" w:space="0" w:color="auto"/>
                <w:bottom w:val="none" w:sz="0" w:space="0" w:color="auto"/>
                <w:right w:val="none" w:sz="0" w:space="0" w:color="auto"/>
              </w:divBdr>
            </w:div>
            <w:div w:id="6144830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98318123">
      <w:bodyDiv w:val="1"/>
      <w:marLeft w:val="0"/>
      <w:marRight w:val="0"/>
      <w:marTop w:val="0"/>
      <w:marBottom w:val="0"/>
      <w:divBdr>
        <w:top w:val="none" w:sz="0" w:space="0" w:color="auto"/>
        <w:left w:val="none" w:sz="0" w:space="0" w:color="auto"/>
        <w:bottom w:val="none" w:sz="0" w:space="0" w:color="auto"/>
        <w:right w:val="none" w:sz="0" w:space="0" w:color="auto"/>
      </w:divBdr>
    </w:div>
    <w:div w:id="207570177">
      <w:bodyDiv w:val="1"/>
      <w:marLeft w:val="0"/>
      <w:marRight w:val="0"/>
      <w:marTop w:val="0"/>
      <w:marBottom w:val="0"/>
      <w:divBdr>
        <w:top w:val="none" w:sz="0" w:space="0" w:color="auto"/>
        <w:left w:val="none" w:sz="0" w:space="0" w:color="auto"/>
        <w:bottom w:val="none" w:sz="0" w:space="0" w:color="auto"/>
        <w:right w:val="none" w:sz="0" w:space="0" w:color="auto"/>
      </w:divBdr>
    </w:div>
    <w:div w:id="213926805">
      <w:bodyDiv w:val="1"/>
      <w:marLeft w:val="0"/>
      <w:marRight w:val="0"/>
      <w:marTop w:val="0"/>
      <w:marBottom w:val="0"/>
      <w:divBdr>
        <w:top w:val="none" w:sz="0" w:space="0" w:color="auto"/>
        <w:left w:val="none" w:sz="0" w:space="0" w:color="auto"/>
        <w:bottom w:val="none" w:sz="0" w:space="0" w:color="auto"/>
        <w:right w:val="none" w:sz="0" w:space="0" w:color="auto"/>
      </w:divBdr>
      <w:divsChild>
        <w:div w:id="502550240">
          <w:marLeft w:val="0"/>
          <w:marRight w:val="0"/>
          <w:marTop w:val="0"/>
          <w:marBottom w:val="0"/>
          <w:divBdr>
            <w:top w:val="none" w:sz="0" w:space="0" w:color="auto"/>
            <w:left w:val="none" w:sz="0" w:space="0" w:color="auto"/>
            <w:bottom w:val="none" w:sz="0" w:space="0" w:color="auto"/>
            <w:right w:val="none" w:sz="0" w:space="0" w:color="auto"/>
          </w:divBdr>
        </w:div>
        <w:div w:id="859046624">
          <w:marLeft w:val="0"/>
          <w:marRight w:val="0"/>
          <w:marTop w:val="0"/>
          <w:marBottom w:val="0"/>
          <w:divBdr>
            <w:top w:val="none" w:sz="0" w:space="0" w:color="auto"/>
            <w:left w:val="none" w:sz="0" w:space="0" w:color="auto"/>
            <w:bottom w:val="none" w:sz="0" w:space="0" w:color="auto"/>
            <w:right w:val="none" w:sz="0" w:space="0" w:color="auto"/>
          </w:divBdr>
        </w:div>
        <w:div w:id="1096826083">
          <w:marLeft w:val="0"/>
          <w:marRight w:val="0"/>
          <w:marTop w:val="0"/>
          <w:marBottom w:val="0"/>
          <w:divBdr>
            <w:top w:val="none" w:sz="0" w:space="0" w:color="auto"/>
            <w:left w:val="none" w:sz="0" w:space="0" w:color="auto"/>
            <w:bottom w:val="none" w:sz="0" w:space="0" w:color="auto"/>
            <w:right w:val="none" w:sz="0" w:space="0" w:color="auto"/>
          </w:divBdr>
        </w:div>
      </w:divsChild>
    </w:div>
    <w:div w:id="216400345">
      <w:bodyDiv w:val="1"/>
      <w:marLeft w:val="0"/>
      <w:marRight w:val="0"/>
      <w:marTop w:val="0"/>
      <w:marBottom w:val="0"/>
      <w:divBdr>
        <w:top w:val="none" w:sz="0" w:space="0" w:color="auto"/>
        <w:left w:val="none" w:sz="0" w:space="0" w:color="auto"/>
        <w:bottom w:val="none" w:sz="0" w:space="0" w:color="auto"/>
        <w:right w:val="none" w:sz="0" w:space="0" w:color="auto"/>
      </w:divBdr>
    </w:div>
    <w:div w:id="217084680">
      <w:bodyDiv w:val="1"/>
      <w:marLeft w:val="0"/>
      <w:marRight w:val="0"/>
      <w:marTop w:val="0"/>
      <w:marBottom w:val="0"/>
      <w:divBdr>
        <w:top w:val="none" w:sz="0" w:space="0" w:color="auto"/>
        <w:left w:val="none" w:sz="0" w:space="0" w:color="auto"/>
        <w:bottom w:val="none" w:sz="0" w:space="0" w:color="auto"/>
        <w:right w:val="none" w:sz="0" w:space="0" w:color="auto"/>
      </w:divBdr>
    </w:div>
    <w:div w:id="231085999">
      <w:bodyDiv w:val="1"/>
      <w:marLeft w:val="0"/>
      <w:marRight w:val="0"/>
      <w:marTop w:val="0"/>
      <w:marBottom w:val="0"/>
      <w:divBdr>
        <w:top w:val="none" w:sz="0" w:space="0" w:color="auto"/>
        <w:left w:val="none" w:sz="0" w:space="0" w:color="auto"/>
        <w:bottom w:val="none" w:sz="0" w:space="0" w:color="auto"/>
        <w:right w:val="none" w:sz="0" w:space="0" w:color="auto"/>
      </w:divBdr>
    </w:div>
    <w:div w:id="246614332">
      <w:bodyDiv w:val="1"/>
      <w:marLeft w:val="0"/>
      <w:marRight w:val="0"/>
      <w:marTop w:val="0"/>
      <w:marBottom w:val="0"/>
      <w:divBdr>
        <w:top w:val="none" w:sz="0" w:space="0" w:color="auto"/>
        <w:left w:val="none" w:sz="0" w:space="0" w:color="auto"/>
        <w:bottom w:val="none" w:sz="0" w:space="0" w:color="auto"/>
        <w:right w:val="none" w:sz="0" w:space="0" w:color="auto"/>
      </w:divBdr>
    </w:div>
    <w:div w:id="256720453">
      <w:bodyDiv w:val="1"/>
      <w:marLeft w:val="0"/>
      <w:marRight w:val="0"/>
      <w:marTop w:val="0"/>
      <w:marBottom w:val="0"/>
      <w:divBdr>
        <w:top w:val="none" w:sz="0" w:space="0" w:color="auto"/>
        <w:left w:val="none" w:sz="0" w:space="0" w:color="auto"/>
        <w:bottom w:val="none" w:sz="0" w:space="0" w:color="auto"/>
        <w:right w:val="none" w:sz="0" w:space="0" w:color="auto"/>
      </w:divBdr>
    </w:div>
    <w:div w:id="264920339">
      <w:bodyDiv w:val="1"/>
      <w:marLeft w:val="0"/>
      <w:marRight w:val="0"/>
      <w:marTop w:val="0"/>
      <w:marBottom w:val="0"/>
      <w:divBdr>
        <w:top w:val="none" w:sz="0" w:space="0" w:color="auto"/>
        <w:left w:val="none" w:sz="0" w:space="0" w:color="auto"/>
        <w:bottom w:val="none" w:sz="0" w:space="0" w:color="auto"/>
        <w:right w:val="none" w:sz="0" w:space="0" w:color="auto"/>
      </w:divBdr>
    </w:div>
    <w:div w:id="278530967">
      <w:bodyDiv w:val="1"/>
      <w:marLeft w:val="0"/>
      <w:marRight w:val="0"/>
      <w:marTop w:val="0"/>
      <w:marBottom w:val="0"/>
      <w:divBdr>
        <w:top w:val="none" w:sz="0" w:space="0" w:color="auto"/>
        <w:left w:val="none" w:sz="0" w:space="0" w:color="auto"/>
        <w:bottom w:val="none" w:sz="0" w:space="0" w:color="auto"/>
        <w:right w:val="none" w:sz="0" w:space="0" w:color="auto"/>
      </w:divBdr>
    </w:div>
    <w:div w:id="282808682">
      <w:bodyDiv w:val="1"/>
      <w:marLeft w:val="0"/>
      <w:marRight w:val="0"/>
      <w:marTop w:val="0"/>
      <w:marBottom w:val="0"/>
      <w:divBdr>
        <w:top w:val="none" w:sz="0" w:space="0" w:color="auto"/>
        <w:left w:val="none" w:sz="0" w:space="0" w:color="auto"/>
        <w:bottom w:val="none" w:sz="0" w:space="0" w:color="auto"/>
        <w:right w:val="none" w:sz="0" w:space="0" w:color="auto"/>
      </w:divBdr>
    </w:div>
    <w:div w:id="284577791">
      <w:bodyDiv w:val="1"/>
      <w:marLeft w:val="0"/>
      <w:marRight w:val="0"/>
      <w:marTop w:val="0"/>
      <w:marBottom w:val="0"/>
      <w:divBdr>
        <w:top w:val="none" w:sz="0" w:space="0" w:color="auto"/>
        <w:left w:val="none" w:sz="0" w:space="0" w:color="auto"/>
        <w:bottom w:val="none" w:sz="0" w:space="0" w:color="auto"/>
        <w:right w:val="none" w:sz="0" w:space="0" w:color="auto"/>
      </w:divBdr>
    </w:div>
    <w:div w:id="285620622">
      <w:bodyDiv w:val="1"/>
      <w:marLeft w:val="0"/>
      <w:marRight w:val="0"/>
      <w:marTop w:val="0"/>
      <w:marBottom w:val="0"/>
      <w:divBdr>
        <w:top w:val="none" w:sz="0" w:space="0" w:color="auto"/>
        <w:left w:val="none" w:sz="0" w:space="0" w:color="auto"/>
        <w:bottom w:val="none" w:sz="0" w:space="0" w:color="auto"/>
        <w:right w:val="none" w:sz="0" w:space="0" w:color="auto"/>
      </w:divBdr>
    </w:div>
    <w:div w:id="291715484">
      <w:bodyDiv w:val="1"/>
      <w:marLeft w:val="0"/>
      <w:marRight w:val="0"/>
      <w:marTop w:val="0"/>
      <w:marBottom w:val="0"/>
      <w:divBdr>
        <w:top w:val="none" w:sz="0" w:space="0" w:color="auto"/>
        <w:left w:val="none" w:sz="0" w:space="0" w:color="auto"/>
        <w:bottom w:val="none" w:sz="0" w:space="0" w:color="auto"/>
        <w:right w:val="none" w:sz="0" w:space="0" w:color="auto"/>
      </w:divBdr>
    </w:div>
    <w:div w:id="293485315">
      <w:bodyDiv w:val="1"/>
      <w:marLeft w:val="0"/>
      <w:marRight w:val="0"/>
      <w:marTop w:val="0"/>
      <w:marBottom w:val="0"/>
      <w:divBdr>
        <w:top w:val="none" w:sz="0" w:space="0" w:color="auto"/>
        <w:left w:val="none" w:sz="0" w:space="0" w:color="auto"/>
        <w:bottom w:val="none" w:sz="0" w:space="0" w:color="auto"/>
        <w:right w:val="none" w:sz="0" w:space="0" w:color="auto"/>
      </w:divBdr>
    </w:div>
    <w:div w:id="295109140">
      <w:bodyDiv w:val="1"/>
      <w:marLeft w:val="0"/>
      <w:marRight w:val="0"/>
      <w:marTop w:val="0"/>
      <w:marBottom w:val="0"/>
      <w:divBdr>
        <w:top w:val="none" w:sz="0" w:space="0" w:color="auto"/>
        <w:left w:val="none" w:sz="0" w:space="0" w:color="auto"/>
        <w:bottom w:val="none" w:sz="0" w:space="0" w:color="auto"/>
        <w:right w:val="none" w:sz="0" w:space="0" w:color="auto"/>
      </w:divBdr>
    </w:div>
    <w:div w:id="299848334">
      <w:bodyDiv w:val="1"/>
      <w:marLeft w:val="0"/>
      <w:marRight w:val="0"/>
      <w:marTop w:val="0"/>
      <w:marBottom w:val="0"/>
      <w:divBdr>
        <w:top w:val="none" w:sz="0" w:space="0" w:color="auto"/>
        <w:left w:val="none" w:sz="0" w:space="0" w:color="auto"/>
        <w:bottom w:val="none" w:sz="0" w:space="0" w:color="auto"/>
        <w:right w:val="none" w:sz="0" w:space="0" w:color="auto"/>
      </w:divBdr>
    </w:div>
    <w:div w:id="300577938">
      <w:bodyDiv w:val="1"/>
      <w:marLeft w:val="0"/>
      <w:marRight w:val="0"/>
      <w:marTop w:val="0"/>
      <w:marBottom w:val="0"/>
      <w:divBdr>
        <w:top w:val="none" w:sz="0" w:space="0" w:color="auto"/>
        <w:left w:val="none" w:sz="0" w:space="0" w:color="auto"/>
        <w:bottom w:val="none" w:sz="0" w:space="0" w:color="auto"/>
        <w:right w:val="none" w:sz="0" w:space="0" w:color="auto"/>
      </w:divBdr>
    </w:div>
    <w:div w:id="315306083">
      <w:bodyDiv w:val="1"/>
      <w:marLeft w:val="0"/>
      <w:marRight w:val="0"/>
      <w:marTop w:val="0"/>
      <w:marBottom w:val="0"/>
      <w:divBdr>
        <w:top w:val="none" w:sz="0" w:space="0" w:color="auto"/>
        <w:left w:val="none" w:sz="0" w:space="0" w:color="auto"/>
        <w:bottom w:val="none" w:sz="0" w:space="0" w:color="auto"/>
        <w:right w:val="none" w:sz="0" w:space="0" w:color="auto"/>
      </w:divBdr>
    </w:div>
    <w:div w:id="324286713">
      <w:bodyDiv w:val="1"/>
      <w:marLeft w:val="0"/>
      <w:marRight w:val="0"/>
      <w:marTop w:val="0"/>
      <w:marBottom w:val="0"/>
      <w:divBdr>
        <w:top w:val="none" w:sz="0" w:space="0" w:color="auto"/>
        <w:left w:val="none" w:sz="0" w:space="0" w:color="auto"/>
        <w:bottom w:val="none" w:sz="0" w:space="0" w:color="auto"/>
        <w:right w:val="none" w:sz="0" w:space="0" w:color="auto"/>
      </w:divBdr>
    </w:div>
    <w:div w:id="328021423">
      <w:bodyDiv w:val="1"/>
      <w:marLeft w:val="0"/>
      <w:marRight w:val="0"/>
      <w:marTop w:val="0"/>
      <w:marBottom w:val="0"/>
      <w:divBdr>
        <w:top w:val="none" w:sz="0" w:space="0" w:color="auto"/>
        <w:left w:val="none" w:sz="0" w:space="0" w:color="auto"/>
        <w:bottom w:val="none" w:sz="0" w:space="0" w:color="auto"/>
        <w:right w:val="none" w:sz="0" w:space="0" w:color="auto"/>
      </w:divBdr>
    </w:div>
    <w:div w:id="351960832">
      <w:bodyDiv w:val="1"/>
      <w:marLeft w:val="0"/>
      <w:marRight w:val="0"/>
      <w:marTop w:val="0"/>
      <w:marBottom w:val="0"/>
      <w:divBdr>
        <w:top w:val="none" w:sz="0" w:space="0" w:color="auto"/>
        <w:left w:val="none" w:sz="0" w:space="0" w:color="auto"/>
        <w:bottom w:val="none" w:sz="0" w:space="0" w:color="auto"/>
        <w:right w:val="none" w:sz="0" w:space="0" w:color="auto"/>
      </w:divBdr>
    </w:div>
    <w:div w:id="370693919">
      <w:bodyDiv w:val="1"/>
      <w:marLeft w:val="0"/>
      <w:marRight w:val="0"/>
      <w:marTop w:val="0"/>
      <w:marBottom w:val="0"/>
      <w:divBdr>
        <w:top w:val="none" w:sz="0" w:space="0" w:color="auto"/>
        <w:left w:val="none" w:sz="0" w:space="0" w:color="auto"/>
        <w:bottom w:val="none" w:sz="0" w:space="0" w:color="auto"/>
        <w:right w:val="none" w:sz="0" w:space="0" w:color="auto"/>
      </w:divBdr>
    </w:div>
    <w:div w:id="374626814">
      <w:bodyDiv w:val="1"/>
      <w:marLeft w:val="0"/>
      <w:marRight w:val="0"/>
      <w:marTop w:val="0"/>
      <w:marBottom w:val="0"/>
      <w:divBdr>
        <w:top w:val="none" w:sz="0" w:space="0" w:color="auto"/>
        <w:left w:val="none" w:sz="0" w:space="0" w:color="auto"/>
        <w:bottom w:val="none" w:sz="0" w:space="0" w:color="auto"/>
        <w:right w:val="none" w:sz="0" w:space="0" w:color="auto"/>
      </w:divBdr>
    </w:div>
    <w:div w:id="401022122">
      <w:bodyDiv w:val="1"/>
      <w:marLeft w:val="0"/>
      <w:marRight w:val="0"/>
      <w:marTop w:val="0"/>
      <w:marBottom w:val="0"/>
      <w:divBdr>
        <w:top w:val="none" w:sz="0" w:space="0" w:color="auto"/>
        <w:left w:val="none" w:sz="0" w:space="0" w:color="auto"/>
        <w:bottom w:val="none" w:sz="0" w:space="0" w:color="auto"/>
        <w:right w:val="none" w:sz="0" w:space="0" w:color="auto"/>
      </w:divBdr>
    </w:div>
    <w:div w:id="401492964">
      <w:bodyDiv w:val="1"/>
      <w:marLeft w:val="0"/>
      <w:marRight w:val="0"/>
      <w:marTop w:val="0"/>
      <w:marBottom w:val="0"/>
      <w:divBdr>
        <w:top w:val="none" w:sz="0" w:space="0" w:color="auto"/>
        <w:left w:val="none" w:sz="0" w:space="0" w:color="auto"/>
        <w:bottom w:val="none" w:sz="0" w:space="0" w:color="auto"/>
        <w:right w:val="none" w:sz="0" w:space="0" w:color="auto"/>
      </w:divBdr>
    </w:div>
    <w:div w:id="408960633">
      <w:bodyDiv w:val="1"/>
      <w:marLeft w:val="0"/>
      <w:marRight w:val="0"/>
      <w:marTop w:val="0"/>
      <w:marBottom w:val="0"/>
      <w:divBdr>
        <w:top w:val="none" w:sz="0" w:space="0" w:color="auto"/>
        <w:left w:val="none" w:sz="0" w:space="0" w:color="auto"/>
        <w:bottom w:val="none" w:sz="0" w:space="0" w:color="auto"/>
        <w:right w:val="none" w:sz="0" w:space="0" w:color="auto"/>
      </w:divBdr>
    </w:div>
    <w:div w:id="415323220">
      <w:bodyDiv w:val="1"/>
      <w:marLeft w:val="0"/>
      <w:marRight w:val="0"/>
      <w:marTop w:val="0"/>
      <w:marBottom w:val="0"/>
      <w:divBdr>
        <w:top w:val="none" w:sz="0" w:space="0" w:color="auto"/>
        <w:left w:val="none" w:sz="0" w:space="0" w:color="auto"/>
        <w:bottom w:val="none" w:sz="0" w:space="0" w:color="auto"/>
        <w:right w:val="none" w:sz="0" w:space="0" w:color="auto"/>
      </w:divBdr>
    </w:div>
    <w:div w:id="420105750">
      <w:bodyDiv w:val="1"/>
      <w:marLeft w:val="0"/>
      <w:marRight w:val="0"/>
      <w:marTop w:val="0"/>
      <w:marBottom w:val="0"/>
      <w:divBdr>
        <w:top w:val="none" w:sz="0" w:space="0" w:color="auto"/>
        <w:left w:val="none" w:sz="0" w:space="0" w:color="auto"/>
        <w:bottom w:val="none" w:sz="0" w:space="0" w:color="auto"/>
        <w:right w:val="none" w:sz="0" w:space="0" w:color="auto"/>
      </w:divBdr>
    </w:div>
    <w:div w:id="436023837">
      <w:bodyDiv w:val="1"/>
      <w:marLeft w:val="0"/>
      <w:marRight w:val="0"/>
      <w:marTop w:val="0"/>
      <w:marBottom w:val="0"/>
      <w:divBdr>
        <w:top w:val="none" w:sz="0" w:space="0" w:color="auto"/>
        <w:left w:val="none" w:sz="0" w:space="0" w:color="auto"/>
        <w:bottom w:val="none" w:sz="0" w:space="0" w:color="auto"/>
        <w:right w:val="none" w:sz="0" w:space="0" w:color="auto"/>
      </w:divBdr>
    </w:div>
    <w:div w:id="437718160">
      <w:bodyDiv w:val="1"/>
      <w:marLeft w:val="0"/>
      <w:marRight w:val="0"/>
      <w:marTop w:val="0"/>
      <w:marBottom w:val="0"/>
      <w:divBdr>
        <w:top w:val="none" w:sz="0" w:space="0" w:color="auto"/>
        <w:left w:val="none" w:sz="0" w:space="0" w:color="auto"/>
        <w:bottom w:val="none" w:sz="0" w:space="0" w:color="auto"/>
        <w:right w:val="none" w:sz="0" w:space="0" w:color="auto"/>
      </w:divBdr>
    </w:div>
    <w:div w:id="449127775">
      <w:bodyDiv w:val="1"/>
      <w:marLeft w:val="0"/>
      <w:marRight w:val="0"/>
      <w:marTop w:val="0"/>
      <w:marBottom w:val="0"/>
      <w:divBdr>
        <w:top w:val="none" w:sz="0" w:space="0" w:color="auto"/>
        <w:left w:val="none" w:sz="0" w:space="0" w:color="auto"/>
        <w:bottom w:val="none" w:sz="0" w:space="0" w:color="auto"/>
        <w:right w:val="none" w:sz="0" w:space="0" w:color="auto"/>
      </w:divBdr>
    </w:div>
    <w:div w:id="452676733">
      <w:bodyDiv w:val="1"/>
      <w:marLeft w:val="0"/>
      <w:marRight w:val="0"/>
      <w:marTop w:val="0"/>
      <w:marBottom w:val="0"/>
      <w:divBdr>
        <w:top w:val="none" w:sz="0" w:space="0" w:color="auto"/>
        <w:left w:val="none" w:sz="0" w:space="0" w:color="auto"/>
        <w:bottom w:val="none" w:sz="0" w:space="0" w:color="auto"/>
        <w:right w:val="none" w:sz="0" w:space="0" w:color="auto"/>
      </w:divBdr>
    </w:div>
    <w:div w:id="455834361">
      <w:bodyDiv w:val="1"/>
      <w:marLeft w:val="0"/>
      <w:marRight w:val="0"/>
      <w:marTop w:val="0"/>
      <w:marBottom w:val="0"/>
      <w:divBdr>
        <w:top w:val="none" w:sz="0" w:space="0" w:color="auto"/>
        <w:left w:val="none" w:sz="0" w:space="0" w:color="auto"/>
        <w:bottom w:val="none" w:sz="0" w:space="0" w:color="auto"/>
        <w:right w:val="none" w:sz="0" w:space="0" w:color="auto"/>
      </w:divBdr>
    </w:div>
    <w:div w:id="469324939">
      <w:bodyDiv w:val="1"/>
      <w:marLeft w:val="0"/>
      <w:marRight w:val="0"/>
      <w:marTop w:val="0"/>
      <w:marBottom w:val="0"/>
      <w:divBdr>
        <w:top w:val="none" w:sz="0" w:space="0" w:color="auto"/>
        <w:left w:val="none" w:sz="0" w:space="0" w:color="auto"/>
        <w:bottom w:val="none" w:sz="0" w:space="0" w:color="auto"/>
        <w:right w:val="none" w:sz="0" w:space="0" w:color="auto"/>
      </w:divBdr>
    </w:div>
    <w:div w:id="475143546">
      <w:bodyDiv w:val="1"/>
      <w:marLeft w:val="0"/>
      <w:marRight w:val="0"/>
      <w:marTop w:val="0"/>
      <w:marBottom w:val="0"/>
      <w:divBdr>
        <w:top w:val="none" w:sz="0" w:space="0" w:color="auto"/>
        <w:left w:val="none" w:sz="0" w:space="0" w:color="auto"/>
        <w:bottom w:val="none" w:sz="0" w:space="0" w:color="auto"/>
        <w:right w:val="none" w:sz="0" w:space="0" w:color="auto"/>
      </w:divBdr>
    </w:div>
    <w:div w:id="479421817">
      <w:bodyDiv w:val="1"/>
      <w:marLeft w:val="0"/>
      <w:marRight w:val="0"/>
      <w:marTop w:val="0"/>
      <w:marBottom w:val="0"/>
      <w:divBdr>
        <w:top w:val="none" w:sz="0" w:space="0" w:color="auto"/>
        <w:left w:val="none" w:sz="0" w:space="0" w:color="auto"/>
        <w:bottom w:val="none" w:sz="0" w:space="0" w:color="auto"/>
        <w:right w:val="none" w:sz="0" w:space="0" w:color="auto"/>
      </w:divBdr>
    </w:div>
    <w:div w:id="484778428">
      <w:bodyDiv w:val="1"/>
      <w:marLeft w:val="0"/>
      <w:marRight w:val="0"/>
      <w:marTop w:val="0"/>
      <w:marBottom w:val="0"/>
      <w:divBdr>
        <w:top w:val="none" w:sz="0" w:space="0" w:color="auto"/>
        <w:left w:val="none" w:sz="0" w:space="0" w:color="auto"/>
        <w:bottom w:val="none" w:sz="0" w:space="0" w:color="auto"/>
        <w:right w:val="none" w:sz="0" w:space="0" w:color="auto"/>
      </w:divBdr>
    </w:div>
    <w:div w:id="489564402">
      <w:bodyDiv w:val="1"/>
      <w:marLeft w:val="0"/>
      <w:marRight w:val="0"/>
      <w:marTop w:val="0"/>
      <w:marBottom w:val="0"/>
      <w:divBdr>
        <w:top w:val="none" w:sz="0" w:space="0" w:color="auto"/>
        <w:left w:val="none" w:sz="0" w:space="0" w:color="auto"/>
        <w:bottom w:val="none" w:sz="0" w:space="0" w:color="auto"/>
        <w:right w:val="none" w:sz="0" w:space="0" w:color="auto"/>
      </w:divBdr>
    </w:div>
    <w:div w:id="523708353">
      <w:bodyDiv w:val="1"/>
      <w:marLeft w:val="0"/>
      <w:marRight w:val="0"/>
      <w:marTop w:val="0"/>
      <w:marBottom w:val="0"/>
      <w:divBdr>
        <w:top w:val="none" w:sz="0" w:space="0" w:color="auto"/>
        <w:left w:val="none" w:sz="0" w:space="0" w:color="auto"/>
        <w:bottom w:val="none" w:sz="0" w:space="0" w:color="auto"/>
        <w:right w:val="none" w:sz="0" w:space="0" w:color="auto"/>
      </w:divBdr>
    </w:div>
    <w:div w:id="528034929">
      <w:bodyDiv w:val="1"/>
      <w:marLeft w:val="0"/>
      <w:marRight w:val="0"/>
      <w:marTop w:val="0"/>
      <w:marBottom w:val="0"/>
      <w:divBdr>
        <w:top w:val="none" w:sz="0" w:space="0" w:color="auto"/>
        <w:left w:val="none" w:sz="0" w:space="0" w:color="auto"/>
        <w:bottom w:val="none" w:sz="0" w:space="0" w:color="auto"/>
        <w:right w:val="none" w:sz="0" w:space="0" w:color="auto"/>
      </w:divBdr>
    </w:div>
    <w:div w:id="536892543">
      <w:bodyDiv w:val="1"/>
      <w:marLeft w:val="0"/>
      <w:marRight w:val="0"/>
      <w:marTop w:val="0"/>
      <w:marBottom w:val="0"/>
      <w:divBdr>
        <w:top w:val="none" w:sz="0" w:space="0" w:color="auto"/>
        <w:left w:val="none" w:sz="0" w:space="0" w:color="auto"/>
        <w:bottom w:val="none" w:sz="0" w:space="0" w:color="auto"/>
        <w:right w:val="none" w:sz="0" w:space="0" w:color="auto"/>
      </w:divBdr>
    </w:div>
    <w:div w:id="537278913">
      <w:bodyDiv w:val="1"/>
      <w:marLeft w:val="0"/>
      <w:marRight w:val="0"/>
      <w:marTop w:val="0"/>
      <w:marBottom w:val="0"/>
      <w:divBdr>
        <w:top w:val="none" w:sz="0" w:space="0" w:color="auto"/>
        <w:left w:val="none" w:sz="0" w:space="0" w:color="auto"/>
        <w:bottom w:val="none" w:sz="0" w:space="0" w:color="auto"/>
        <w:right w:val="none" w:sz="0" w:space="0" w:color="auto"/>
      </w:divBdr>
    </w:div>
    <w:div w:id="538054325">
      <w:bodyDiv w:val="1"/>
      <w:marLeft w:val="0"/>
      <w:marRight w:val="0"/>
      <w:marTop w:val="0"/>
      <w:marBottom w:val="0"/>
      <w:divBdr>
        <w:top w:val="none" w:sz="0" w:space="0" w:color="auto"/>
        <w:left w:val="none" w:sz="0" w:space="0" w:color="auto"/>
        <w:bottom w:val="none" w:sz="0" w:space="0" w:color="auto"/>
        <w:right w:val="none" w:sz="0" w:space="0" w:color="auto"/>
      </w:divBdr>
      <w:divsChild>
        <w:div w:id="1938951009">
          <w:marLeft w:val="0"/>
          <w:marRight w:val="0"/>
          <w:marTop w:val="0"/>
          <w:marBottom w:val="0"/>
          <w:divBdr>
            <w:top w:val="none" w:sz="0" w:space="0" w:color="auto"/>
            <w:left w:val="none" w:sz="0" w:space="0" w:color="auto"/>
            <w:bottom w:val="none" w:sz="0" w:space="0" w:color="auto"/>
            <w:right w:val="none" w:sz="0" w:space="0" w:color="auto"/>
          </w:divBdr>
          <w:divsChild>
            <w:div w:id="1556623900">
              <w:marLeft w:val="0"/>
              <w:marRight w:val="0"/>
              <w:marTop w:val="0"/>
              <w:marBottom w:val="0"/>
              <w:divBdr>
                <w:top w:val="none" w:sz="0" w:space="0" w:color="auto"/>
                <w:left w:val="none" w:sz="0" w:space="0" w:color="auto"/>
                <w:bottom w:val="none" w:sz="0" w:space="0" w:color="auto"/>
                <w:right w:val="none" w:sz="0" w:space="0" w:color="auto"/>
              </w:divBdr>
              <w:divsChild>
                <w:div w:id="19633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2708">
      <w:bodyDiv w:val="1"/>
      <w:marLeft w:val="0"/>
      <w:marRight w:val="0"/>
      <w:marTop w:val="0"/>
      <w:marBottom w:val="0"/>
      <w:divBdr>
        <w:top w:val="none" w:sz="0" w:space="0" w:color="auto"/>
        <w:left w:val="none" w:sz="0" w:space="0" w:color="auto"/>
        <w:bottom w:val="none" w:sz="0" w:space="0" w:color="auto"/>
        <w:right w:val="none" w:sz="0" w:space="0" w:color="auto"/>
      </w:divBdr>
    </w:div>
    <w:div w:id="541789679">
      <w:bodyDiv w:val="1"/>
      <w:marLeft w:val="0"/>
      <w:marRight w:val="0"/>
      <w:marTop w:val="0"/>
      <w:marBottom w:val="0"/>
      <w:divBdr>
        <w:top w:val="none" w:sz="0" w:space="0" w:color="auto"/>
        <w:left w:val="none" w:sz="0" w:space="0" w:color="auto"/>
        <w:bottom w:val="none" w:sz="0" w:space="0" w:color="auto"/>
        <w:right w:val="none" w:sz="0" w:space="0" w:color="auto"/>
      </w:divBdr>
    </w:div>
    <w:div w:id="541987591">
      <w:bodyDiv w:val="1"/>
      <w:marLeft w:val="0"/>
      <w:marRight w:val="0"/>
      <w:marTop w:val="0"/>
      <w:marBottom w:val="0"/>
      <w:divBdr>
        <w:top w:val="none" w:sz="0" w:space="0" w:color="auto"/>
        <w:left w:val="none" w:sz="0" w:space="0" w:color="auto"/>
        <w:bottom w:val="none" w:sz="0" w:space="0" w:color="auto"/>
        <w:right w:val="none" w:sz="0" w:space="0" w:color="auto"/>
      </w:divBdr>
    </w:div>
    <w:div w:id="544413695">
      <w:bodyDiv w:val="1"/>
      <w:marLeft w:val="0"/>
      <w:marRight w:val="0"/>
      <w:marTop w:val="0"/>
      <w:marBottom w:val="0"/>
      <w:divBdr>
        <w:top w:val="none" w:sz="0" w:space="0" w:color="auto"/>
        <w:left w:val="none" w:sz="0" w:space="0" w:color="auto"/>
        <w:bottom w:val="none" w:sz="0" w:space="0" w:color="auto"/>
        <w:right w:val="none" w:sz="0" w:space="0" w:color="auto"/>
      </w:divBdr>
    </w:div>
    <w:div w:id="550045732">
      <w:bodyDiv w:val="1"/>
      <w:marLeft w:val="0"/>
      <w:marRight w:val="0"/>
      <w:marTop w:val="0"/>
      <w:marBottom w:val="0"/>
      <w:divBdr>
        <w:top w:val="none" w:sz="0" w:space="0" w:color="auto"/>
        <w:left w:val="none" w:sz="0" w:space="0" w:color="auto"/>
        <w:bottom w:val="none" w:sz="0" w:space="0" w:color="auto"/>
        <w:right w:val="none" w:sz="0" w:space="0" w:color="auto"/>
      </w:divBdr>
      <w:divsChild>
        <w:div w:id="127171281">
          <w:marLeft w:val="0"/>
          <w:marRight w:val="0"/>
          <w:marTop w:val="0"/>
          <w:marBottom w:val="0"/>
          <w:divBdr>
            <w:top w:val="none" w:sz="0" w:space="0" w:color="auto"/>
            <w:left w:val="none" w:sz="0" w:space="0" w:color="auto"/>
            <w:bottom w:val="none" w:sz="0" w:space="0" w:color="auto"/>
            <w:right w:val="none" w:sz="0" w:space="0" w:color="auto"/>
          </w:divBdr>
        </w:div>
        <w:div w:id="1336834601">
          <w:marLeft w:val="0"/>
          <w:marRight w:val="0"/>
          <w:marTop w:val="0"/>
          <w:marBottom w:val="0"/>
          <w:divBdr>
            <w:top w:val="none" w:sz="0" w:space="0" w:color="auto"/>
            <w:left w:val="none" w:sz="0" w:space="0" w:color="auto"/>
            <w:bottom w:val="none" w:sz="0" w:space="0" w:color="auto"/>
            <w:right w:val="none" w:sz="0" w:space="0" w:color="auto"/>
          </w:divBdr>
        </w:div>
      </w:divsChild>
    </w:div>
    <w:div w:id="575164499">
      <w:bodyDiv w:val="1"/>
      <w:marLeft w:val="0"/>
      <w:marRight w:val="0"/>
      <w:marTop w:val="0"/>
      <w:marBottom w:val="0"/>
      <w:divBdr>
        <w:top w:val="none" w:sz="0" w:space="0" w:color="auto"/>
        <w:left w:val="none" w:sz="0" w:space="0" w:color="auto"/>
        <w:bottom w:val="none" w:sz="0" w:space="0" w:color="auto"/>
        <w:right w:val="none" w:sz="0" w:space="0" w:color="auto"/>
      </w:divBdr>
    </w:div>
    <w:div w:id="579098312">
      <w:bodyDiv w:val="1"/>
      <w:marLeft w:val="0"/>
      <w:marRight w:val="0"/>
      <w:marTop w:val="0"/>
      <w:marBottom w:val="0"/>
      <w:divBdr>
        <w:top w:val="none" w:sz="0" w:space="0" w:color="auto"/>
        <w:left w:val="none" w:sz="0" w:space="0" w:color="auto"/>
        <w:bottom w:val="none" w:sz="0" w:space="0" w:color="auto"/>
        <w:right w:val="none" w:sz="0" w:space="0" w:color="auto"/>
      </w:divBdr>
    </w:div>
    <w:div w:id="587085345">
      <w:bodyDiv w:val="1"/>
      <w:marLeft w:val="0"/>
      <w:marRight w:val="0"/>
      <w:marTop w:val="0"/>
      <w:marBottom w:val="0"/>
      <w:divBdr>
        <w:top w:val="none" w:sz="0" w:space="0" w:color="auto"/>
        <w:left w:val="none" w:sz="0" w:space="0" w:color="auto"/>
        <w:bottom w:val="none" w:sz="0" w:space="0" w:color="auto"/>
        <w:right w:val="none" w:sz="0" w:space="0" w:color="auto"/>
      </w:divBdr>
    </w:div>
    <w:div w:id="591741522">
      <w:bodyDiv w:val="1"/>
      <w:marLeft w:val="0"/>
      <w:marRight w:val="0"/>
      <w:marTop w:val="0"/>
      <w:marBottom w:val="0"/>
      <w:divBdr>
        <w:top w:val="none" w:sz="0" w:space="0" w:color="auto"/>
        <w:left w:val="none" w:sz="0" w:space="0" w:color="auto"/>
        <w:bottom w:val="none" w:sz="0" w:space="0" w:color="auto"/>
        <w:right w:val="none" w:sz="0" w:space="0" w:color="auto"/>
      </w:divBdr>
    </w:div>
    <w:div w:id="598417270">
      <w:bodyDiv w:val="1"/>
      <w:marLeft w:val="0"/>
      <w:marRight w:val="0"/>
      <w:marTop w:val="0"/>
      <w:marBottom w:val="0"/>
      <w:divBdr>
        <w:top w:val="none" w:sz="0" w:space="0" w:color="auto"/>
        <w:left w:val="none" w:sz="0" w:space="0" w:color="auto"/>
        <w:bottom w:val="none" w:sz="0" w:space="0" w:color="auto"/>
        <w:right w:val="none" w:sz="0" w:space="0" w:color="auto"/>
      </w:divBdr>
    </w:div>
    <w:div w:id="602614092">
      <w:bodyDiv w:val="1"/>
      <w:marLeft w:val="0"/>
      <w:marRight w:val="0"/>
      <w:marTop w:val="0"/>
      <w:marBottom w:val="0"/>
      <w:divBdr>
        <w:top w:val="none" w:sz="0" w:space="0" w:color="auto"/>
        <w:left w:val="none" w:sz="0" w:space="0" w:color="auto"/>
        <w:bottom w:val="none" w:sz="0" w:space="0" w:color="auto"/>
        <w:right w:val="none" w:sz="0" w:space="0" w:color="auto"/>
      </w:divBdr>
    </w:div>
    <w:div w:id="610088773">
      <w:bodyDiv w:val="1"/>
      <w:marLeft w:val="0"/>
      <w:marRight w:val="0"/>
      <w:marTop w:val="0"/>
      <w:marBottom w:val="0"/>
      <w:divBdr>
        <w:top w:val="none" w:sz="0" w:space="0" w:color="auto"/>
        <w:left w:val="none" w:sz="0" w:space="0" w:color="auto"/>
        <w:bottom w:val="none" w:sz="0" w:space="0" w:color="auto"/>
        <w:right w:val="none" w:sz="0" w:space="0" w:color="auto"/>
      </w:divBdr>
    </w:div>
    <w:div w:id="616569357">
      <w:bodyDiv w:val="1"/>
      <w:marLeft w:val="0"/>
      <w:marRight w:val="0"/>
      <w:marTop w:val="0"/>
      <w:marBottom w:val="0"/>
      <w:divBdr>
        <w:top w:val="none" w:sz="0" w:space="0" w:color="auto"/>
        <w:left w:val="none" w:sz="0" w:space="0" w:color="auto"/>
        <w:bottom w:val="none" w:sz="0" w:space="0" w:color="auto"/>
        <w:right w:val="none" w:sz="0" w:space="0" w:color="auto"/>
      </w:divBdr>
    </w:div>
    <w:div w:id="622463094">
      <w:bodyDiv w:val="1"/>
      <w:marLeft w:val="0"/>
      <w:marRight w:val="0"/>
      <w:marTop w:val="0"/>
      <w:marBottom w:val="0"/>
      <w:divBdr>
        <w:top w:val="none" w:sz="0" w:space="0" w:color="auto"/>
        <w:left w:val="none" w:sz="0" w:space="0" w:color="auto"/>
        <w:bottom w:val="none" w:sz="0" w:space="0" w:color="auto"/>
        <w:right w:val="none" w:sz="0" w:space="0" w:color="auto"/>
      </w:divBdr>
    </w:div>
    <w:div w:id="624193138">
      <w:bodyDiv w:val="1"/>
      <w:marLeft w:val="0"/>
      <w:marRight w:val="0"/>
      <w:marTop w:val="0"/>
      <w:marBottom w:val="0"/>
      <w:divBdr>
        <w:top w:val="none" w:sz="0" w:space="0" w:color="auto"/>
        <w:left w:val="none" w:sz="0" w:space="0" w:color="auto"/>
        <w:bottom w:val="none" w:sz="0" w:space="0" w:color="auto"/>
        <w:right w:val="none" w:sz="0" w:space="0" w:color="auto"/>
      </w:divBdr>
    </w:div>
    <w:div w:id="654190047">
      <w:bodyDiv w:val="1"/>
      <w:marLeft w:val="0"/>
      <w:marRight w:val="0"/>
      <w:marTop w:val="0"/>
      <w:marBottom w:val="0"/>
      <w:divBdr>
        <w:top w:val="none" w:sz="0" w:space="0" w:color="auto"/>
        <w:left w:val="none" w:sz="0" w:space="0" w:color="auto"/>
        <w:bottom w:val="none" w:sz="0" w:space="0" w:color="auto"/>
        <w:right w:val="none" w:sz="0" w:space="0" w:color="auto"/>
      </w:divBdr>
    </w:div>
    <w:div w:id="666060858">
      <w:bodyDiv w:val="1"/>
      <w:marLeft w:val="0"/>
      <w:marRight w:val="0"/>
      <w:marTop w:val="0"/>
      <w:marBottom w:val="0"/>
      <w:divBdr>
        <w:top w:val="none" w:sz="0" w:space="0" w:color="auto"/>
        <w:left w:val="none" w:sz="0" w:space="0" w:color="auto"/>
        <w:bottom w:val="none" w:sz="0" w:space="0" w:color="auto"/>
        <w:right w:val="none" w:sz="0" w:space="0" w:color="auto"/>
      </w:divBdr>
    </w:div>
    <w:div w:id="672949924">
      <w:bodyDiv w:val="1"/>
      <w:marLeft w:val="0"/>
      <w:marRight w:val="0"/>
      <w:marTop w:val="0"/>
      <w:marBottom w:val="0"/>
      <w:divBdr>
        <w:top w:val="none" w:sz="0" w:space="0" w:color="auto"/>
        <w:left w:val="none" w:sz="0" w:space="0" w:color="auto"/>
        <w:bottom w:val="none" w:sz="0" w:space="0" w:color="auto"/>
        <w:right w:val="none" w:sz="0" w:space="0" w:color="auto"/>
      </w:divBdr>
    </w:div>
    <w:div w:id="674111345">
      <w:bodyDiv w:val="1"/>
      <w:marLeft w:val="0"/>
      <w:marRight w:val="0"/>
      <w:marTop w:val="0"/>
      <w:marBottom w:val="0"/>
      <w:divBdr>
        <w:top w:val="none" w:sz="0" w:space="0" w:color="auto"/>
        <w:left w:val="none" w:sz="0" w:space="0" w:color="auto"/>
        <w:bottom w:val="none" w:sz="0" w:space="0" w:color="auto"/>
        <w:right w:val="none" w:sz="0" w:space="0" w:color="auto"/>
      </w:divBdr>
    </w:div>
    <w:div w:id="675307252">
      <w:bodyDiv w:val="1"/>
      <w:marLeft w:val="0"/>
      <w:marRight w:val="0"/>
      <w:marTop w:val="0"/>
      <w:marBottom w:val="0"/>
      <w:divBdr>
        <w:top w:val="none" w:sz="0" w:space="0" w:color="auto"/>
        <w:left w:val="none" w:sz="0" w:space="0" w:color="auto"/>
        <w:bottom w:val="none" w:sz="0" w:space="0" w:color="auto"/>
        <w:right w:val="none" w:sz="0" w:space="0" w:color="auto"/>
      </w:divBdr>
    </w:div>
    <w:div w:id="685643696">
      <w:bodyDiv w:val="1"/>
      <w:marLeft w:val="0"/>
      <w:marRight w:val="0"/>
      <w:marTop w:val="0"/>
      <w:marBottom w:val="0"/>
      <w:divBdr>
        <w:top w:val="none" w:sz="0" w:space="0" w:color="auto"/>
        <w:left w:val="none" w:sz="0" w:space="0" w:color="auto"/>
        <w:bottom w:val="none" w:sz="0" w:space="0" w:color="auto"/>
        <w:right w:val="none" w:sz="0" w:space="0" w:color="auto"/>
      </w:divBdr>
      <w:divsChild>
        <w:div w:id="1206479864">
          <w:marLeft w:val="0"/>
          <w:marRight w:val="0"/>
          <w:marTop w:val="0"/>
          <w:marBottom w:val="0"/>
          <w:divBdr>
            <w:top w:val="none" w:sz="0" w:space="0" w:color="auto"/>
            <w:left w:val="none" w:sz="0" w:space="0" w:color="auto"/>
            <w:bottom w:val="none" w:sz="0" w:space="0" w:color="auto"/>
            <w:right w:val="none" w:sz="0" w:space="0" w:color="auto"/>
          </w:divBdr>
          <w:divsChild>
            <w:div w:id="1032464936">
              <w:marLeft w:val="0"/>
              <w:marRight w:val="0"/>
              <w:marTop w:val="0"/>
              <w:marBottom w:val="0"/>
              <w:divBdr>
                <w:top w:val="none" w:sz="0" w:space="0" w:color="auto"/>
                <w:left w:val="none" w:sz="0" w:space="0" w:color="auto"/>
                <w:bottom w:val="none" w:sz="0" w:space="0" w:color="auto"/>
                <w:right w:val="none" w:sz="0" w:space="0" w:color="auto"/>
              </w:divBdr>
              <w:divsChild>
                <w:div w:id="17296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90638">
      <w:bodyDiv w:val="1"/>
      <w:marLeft w:val="0"/>
      <w:marRight w:val="0"/>
      <w:marTop w:val="0"/>
      <w:marBottom w:val="0"/>
      <w:divBdr>
        <w:top w:val="none" w:sz="0" w:space="0" w:color="auto"/>
        <w:left w:val="none" w:sz="0" w:space="0" w:color="auto"/>
        <w:bottom w:val="none" w:sz="0" w:space="0" w:color="auto"/>
        <w:right w:val="none" w:sz="0" w:space="0" w:color="auto"/>
      </w:divBdr>
    </w:div>
    <w:div w:id="688415409">
      <w:bodyDiv w:val="1"/>
      <w:marLeft w:val="0"/>
      <w:marRight w:val="0"/>
      <w:marTop w:val="0"/>
      <w:marBottom w:val="0"/>
      <w:divBdr>
        <w:top w:val="none" w:sz="0" w:space="0" w:color="auto"/>
        <w:left w:val="none" w:sz="0" w:space="0" w:color="auto"/>
        <w:bottom w:val="none" w:sz="0" w:space="0" w:color="auto"/>
        <w:right w:val="none" w:sz="0" w:space="0" w:color="auto"/>
      </w:divBdr>
    </w:div>
    <w:div w:id="691415626">
      <w:bodyDiv w:val="1"/>
      <w:marLeft w:val="0"/>
      <w:marRight w:val="0"/>
      <w:marTop w:val="0"/>
      <w:marBottom w:val="0"/>
      <w:divBdr>
        <w:top w:val="none" w:sz="0" w:space="0" w:color="auto"/>
        <w:left w:val="none" w:sz="0" w:space="0" w:color="auto"/>
        <w:bottom w:val="none" w:sz="0" w:space="0" w:color="auto"/>
        <w:right w:val="none" w:sz="0" w:space="0" w:color="auto"/>
      </w:divBdr>
      <w:divsChild>
        <w:div w:id="1746537809">
          <w:marLeft w:val="0"/>
          <w:marRight w:val="0"/>
          <w:marTop w:val="0"/>
          <w:marBottom w:val="0"/>
          <w:divBdr>
            <w:top w:val="none" w:sz="0" w:space="0" w:color="auto"/>
            <w:left w:val="none" w:sz="0" w:space="0" w:color="auto"/>
            <w:bottom w:val="none" w:sz="0" w:space="0" w:color="auto"/>
            <w:right w:val="none" w:sz="0" w:space="0" w:color="auto"/>
          </w:divBdr>
        </w:div>
        <w:div w:id="2043742757">
          <w:marLeft w:val="0"/>
          <w:marRight w:val="0"/>
          <w:marTop w:val="0"/>
          <w:marBottom w:val="0"/>
          <w:divBdr>
            <w:top w:val="none" w:sz="0" w:space="0" w:color="auto"/>
            <w:left w:val="none" w:sz="0" w:space="0" w:color="auto"/>
            <w:bottom w:val="none" w:sz="0" w:space="0" w:color="auto"/>
            <w:right w:val="none" w:sz="0" w:space="0" w:color="auto"/>
          </w:divBdr>
        </w:div>
      </w:divsChild>
    </w:div>
    <w:div w:id="692191630">
      <w:bodyDiv w:val="1"/>
      <w:marLeft w:val="0"/>
      <w:marRight w:val="0"/>
      <w:marTop w:val="0"/>
      <w:marBottom w:val="0"/>
      <w:divBdr>
        <w:top w:val="none" w:sz="0" w:space="0" w:color="auto"/>
        <w:left w:val="none" w:sz="0" w:space="0" w:color="auto"/>
        <w:bottom w:val="none" w:sz="0" w:space="0" w:color="auto"/>
        <w:right w:val="none" w:sz="0" w:space="0" w:color="auto"/>
      </w:divBdr>
      <w:divsChild>
        <w:div w:id="825821139">
          <w:marLeft w:val="0"/>
          <w:marRight w:val="0"/>
          <w:marTop w:val="0"/>
          <w:marBottom w:val="0"/>
          <w:divBdr>
            <w:top w:val="none" w:sz="0" w:space="0" w:color="auto"/>
            <w:left w:val="none" w:sz="0" w:space="0" w:color="auto"/>
            <w:bottom w:val="none" w:sz="0" w:space="0" w:color="auto"/>
            <w:right w:val="none" w:sz="0" w:space="0" w:color="auto"/>
          </w:divBdr>
        </w:div>
        <w:div w:id="1973944765">
          <w:marLeft w:val="0"/>
          <w:marRight w:val="0"/>
          <w:marTop w:val="0"/>
          <w:marBottom w:val="0"/>
          <w:divBdr>
            <w:top w:val="none" w:sz="0" w:space="0" w:color="auto"/>
            <w:left w:val="none" w:sz="0" w:space="0" w:color="auto"/>
            <w:bottom w:val="none" w:sz="0" w:space="0" w:color="auto"/>
            <w:right w:val="none" w:sz="0" w:space="0" w:color="auto"/>
          </w:divBdr>
        </w:div>
      </w:divsChild>
    </w:div>
    <w:div w:id="701442810">
      <w:bodyDiv w:val="1"/>
      <w:marLeft w:val="0"/>
      <w:marRight w:val="0"/>
      <w:marTop w:val="0"/>
      <w:marBottom w:val="0"/>
      <w:divBdr>
        <w:top w:val="none" w:sz="0" w:space="0" w:color="auto"/>
        <w:left w:val="none" w:sz="0" w:space="0" w:color="auto"/>
        <w:bottom w:val="none" w:sz="0" w:space="0" w:color="auto"/>
        <w:right w:val="none" w:sz="0" w:space="0" w:color="auto"/>
      </w:divBdr>
    </w:div>
    <w:div w:id="703485623">
      <w:bodyDiv w:val="1"/>
      <w:marLeft w:val="0"/>
      <w:marRight w:val="0"/>
      <w:marTop w:val="0"/>
      <w:marBottom w:val="0"/>
      <w:divBdr>
        <w:top w:val="none" w:sz="0" w:space="0" w:color="auto"/>
        <w:left w:val="none" w:sz="0" w:space="0" w:color="auto"/>
        <w:bottom w:val="none" w:sz="0" w:space="0" w:color="auto"/>
        <w:right w:val="none" w:sz="0" w:space="0" w:color="auto"/>
      </w:divBdr>
    </w:div>
    <w:div w:id="738207029">
      <w:bodyDiv w:val="1"/>
      <w:marLeft w:val="0"/>
      <w:marRight w:val="0"/>
      <w:marTop w:val="0"/>
      <w:marBottom w:val="0"/>
      <w:divBdr>
        <w:top w:val="none" w:sz="0" w:space="0" w:color="auto"/>
        <w:left w:val="none" w:sz="0" w:space="0" w:color="auto"/>
        <w:bottom w:val="none" w:sz="0" w:space="0" w:color="auto"/>
        <w:right w:val="none" w:sz="0" w:space="0" w:color="auto"/>
      </w:divBdr>
    </w:div>
    <w:div w:id="770128772">
      <w:bodyDiv w:val="1"/>
      <w:marLeft w:val="0"/>
      <w:marRight w:val="0"/>
      <w:marTop w:val="0"/>
      <w:marBottom w:val="0"/>
      <w:divBdr>
        <w:top w:val="none" w:sz="0" w:space="0" w:color="auto"/>
        <w:left w:val="none" w:sz="0" w:space="0" w:color="auto"/>
        <w:bottom w:val="none" w:sz="0" w:space="0" w:color="auto"/>
        <w:right w:val="none" w:sz="0" w:space="0" w:color="auto"/>
      </w:divBdr>
    </w:div>
    <w:div w:id="783503017">
      <w:bodyDiv w:val="1"/>
      <w:marLeft w:val="0"/>
      <w:marRight w:val="0"/>
      <w:marTop w:val="0"/>
      <w:marBottom w:val="0"/>
      <w:divBdr>
        <w:top w:val="none" w:sz="0" w:space="0" w:color="auto"/>
        <w:left w:val="none" w:sz="0" w:space="0" w:color="auto"/>
        <w:bottom w:val="none" w:sz="0" w:space="0" w:color="auto"/>
        <w:right w:val="none" w:sz="0" w:space="0" w:color="auto"/>
      </w:divBdr>
    </w:div>
    <w:div w:id="793597279">
      <w:bodyDiv w:val="1"/>
      <w:marLeft w:val="0"/>
      <w:marRight w:val="0"/>
      <w:marTop w:val="0"/>
      <w:marBottom w:val="0"/>
      <w:divBdr>
        <w:top w:val="none" w:sz="0" w:space="0" w:color="auto"/>
        <w:left w:val="none" w:sz="0" w:space="0" w:color="auto"/>
        <w:bottom w:val="none" w:sz="0" w:space="0" w:color="auto"/>
        <w:right w:val="none" w:sz="0" w:space="0" w:color="auto"/>
      </w:divBdr>
    </w:div>
    <w:div w:id="808206081">
      <w:bodyDiv w:val="1"/>
      <w:marLeft w:val="0"/>
      <w:marRight w:val="0"/>
      <w:marTop w:val="0"/>
      <w:marBottom w:val="0"/>
      <w:divBdr>
        <w:top w:val="none" w:sz="0" w:space="0" w:color="auto"/>
        <w:left w:val="none" w:sz="0" w:space="0" w:color="auto"/>
        <w:bottom w:val="none" w:sz="0" w:space="0" w:color="auto"/>
        <w:right w:val="none" w:sz="0" w:space="0" w:color="auto"/>
      </w:divBdr>
    </w:div>
    <w:div w:id="815488223">
      <w:bodyDiv w:val="1"/>
      <w:marLeft w:val="0"/>
      <w:marRight w:val="0"/>
      <w:marTop w:val="0"/>
      <w:marBottom w:val="0"/>
      <w:divBdr>
        <w:top w:val="none" w:sz="0" w:space="0" w:color="auto"/>
        <w:left w:val="none" w:sz="0" w:space="0" w:color="auto"/>
        <w:bottom w:val="none" w:sz="0" w:space="0" w:color="auto"/>
        <w:right w:val="none" w:sz="0" w:space="0" w:color="auto"/>
      </w:divBdr>
    </w:div>
    <w:div w:id="823009371">
      <w:bodyDiv w:val="1"/>
      <w:marLeft w:val="0"/>
      <w:marRight w:val="0"/>
      <w:marTop w:val="0"/>
      <w:marBottom w:val="0"/>
      <w:divBdr>
        <w:top w:val="none" w:sz="0" w:space="0" w:color="auto"/>
        <w:left w:val="none" w:sz="0" w:space="0" w:color="auto"/>
        <w:bottom w:val="none" w:sz="0" w:space="0" w:color="auto"/>
        <w:right w:val="none" w:sz="0" w:space="0" w:color="auto"/>
      </w:divBdr>
    </w:div>
    <w:div w:id="827134709">
      <w:bodyDiv w:val="1"/>
      <w:marLeft w:val="0"/>
      <w:marRight w:val="0"/>
      <w:marTop w:val="0"/>
      <w:marBottom w:val="0"/>
      <w:divBdr>
        <w:top w:val="none" w:sz="0" w:space="0" w:color="auto"/>
        <w:left w:val="none" w:sz="0" w:space="0" w:color="auto"/>
        <w:bottom w:val="none" w:sz="0" w:space="0" w:color="auto"/>
        <w:right w:val="none" w:sz="0" w:space="0" w:color="auto"/>
      </w:divBdr>
    </w:div>
    <w:div w:id="832373512">
      <w:bodyDiv w:val="1"/>
      <w:marLeft w:val="0"/>
      <w:marRight w:val="0"/>
      <w:marTop w:val="0"/>
      <w:marBottom w:val="0"/>
      <w:divBdr>
        <w:top w:val="none" w:sz="0" w:space="0" w:color="auto"/>
        <w:left w:val="none" w:sz="0" w:space="0" w:color="auto"/>
        <w:bottom w:val="none" w:sz="0" w:space="0" w:color="auto"/>
        <w:right w:val="none" w:sz="0" w:space="0" w:color="auto"/>
      </w:divBdr>
    </w:div>
    <w:div w:id="853956221">
      <w:bodyDiv w:val="1"/>
      <w:marLeft w:val="0"/>
      <w:marRight w:val="0"/>
      <w:marTop w:val="0"/>
      <w:marBottom w:val="0"/>
      <w:divBdr>
        <w:top w:val="none" w:sz="0" w:space="0" w:color="auto"/>
        <w:left w:val="none" w:sz="0" w:space="0" w:color="auto"/>
        <w:bottom w:val="none" w:sz="0" w:space="0" w:color="auto"/>
        <w:right w:val="none" w:sz="0" w:space="0" w:color="auto"/>
      </w:divBdr>
    </w:div>
    <w:div w:id="853958464">
      <w:bodyDiv w:val="1"/>
      <w:marLeft w:val="0"/>
      <w:marRight w:val="0"/>
      <w:marTop w:val="0"/>
      <w:marBottom w:val="0"/>
      <w:divBdr>
        <w:top w:val="none" w:sz="0" w:space="0" w:color="auto"/>
        <w:left w:val="none" w:sz="0" w:space="0" w:color="auto"/>
        <w:bottom w:val="none" w:sz="0" w:space="0" w:color="auto"/>
        <w:right w:val="none" w:sz="0" w:space="0" w:color="auto"/>
      </w:divBdr>
    </w:div>
    <w:div w:id="876626273">
      <w:bodyDiv w:val="1"/>
      <w:marLeft w:val="0"/>
      <w:marRight w:val="0"/>
      <w:marTop w:val="0"/>
      <w:marBottom w:val="0"/>
      <w:divBdr>
        <w:top w:val="none" w:sz="0" w:space="0" w:color="auto"/>
        <w:left w:val="none" w:sz="0" w:space="0" w:color="auto"/>
        <w:bottom w:val="none" w:sz="0" w:space="0" w:color="auto"/>
        <w:right w:val="none" w:sz="0" w:space="0" w:color="auto"/>
      </w:divBdr>
    </w:div>
    <w:div w:id="879364488">
      <w:bodyDiv w:val="1"/>
      <w:marLeft w:val="0"/>
      <w:marRight w:val="0"/>
      <w:marTop w:val="0"/>
      <w:marBottom w:val="0"/>
      <w:divBdr>
        <w:top w:val="none" w:sz="0" w:space="0" w:color="auto"/>
        <w:left w:val="none" w:sz="0" w:space="0" w:color="auto"/>
        <w:bottom w:val="none" w:sz="0" w:space="0" w:color="auto"/>
        <w:right w:val="none" w:sz="0" w:space="0" w:color="auto"/>
      </w:divBdr>
    </w:div>
    <w:div w:id="880284334">
      <w:bodyDiv w:val="1"/>
      <w:marLeft w:val="0"/>
      <w:marRight w:val="0"/>
      <w:marTop w:val="0"/>
      <w:marBottom w:val="0"/>
      <w:divBdr>
        <w:top w:val="none" w:sz="0" w:space="0" w:color="auto"/>
        <w:left w:val="none" w:sz="0" w:space="0" w:color="auto"/>
        <w:bottom w:val="none" w:sz="0" w:space="0" w:color="auto"/>
        <w:right w:val="none" w:sz="0" w:space="0" w:color="auto"/>
      </w:divBdr>
    </w:div>
    <w:div w:id="880898927">
      <w:bodyDiv w:val="1"/>
      <w:marLeft w:val="0"/>
      <w:marRight w:val="0"/>
      <w:marTop w:val="0"/>
      <w:marBottom w:val="0"/>
      <w:divBdr>
        <w:top w:val="none" w:sz="0" w:space="0" w:color="auto"/>
        <w:left w:val="none" w:sz="0" w:space="0" w:color="auto"/>
        <w:bottom w:val="none" w:sz="0" w:space="0" w:color="auto"/>
        <w:right w:val="none" w:sz="0" w:space="0" w:color="auto"/>
      </w:divBdr>
    </w:div>
    <w:div w:id="886649518">
      <w:bodyDiv w:val="1"/>
      <w:marLeft w:val="0"/>
      <w:marRight w:val="0"/>
      <w:marTop w:val="0"/>
      <w:marBottom w:val="0"/>
      <w:divBdr>
        <w:top w:val="none" w:sz="0" w:space="0" w:color="auto"/>
        <w:left w:val="none" w:sz="0" w:space="0" w:color="auto"/>
        <w:bottom w:val="none" w:sz="0" w:space="0" w:color="auto"/>
        <w:right w:val="none" w:sz="0" w:space="0" w:color="auto"/>
      </w:divBdr>
    </w:div>
    <w:div w:id="891887898">
      <w:bodyDiv w:val="1"/>
      <w:marLeft w:val="0"/>
      <w:marRight w:val="0"/>
      <w:marTop w:val="0"/>
      <w:marBottom w:val="0"/>
      <w:divBdr>
        <w:top w:val="none" w:sz="0" w:space="0" w:color="auto"/>
        <w:left w:val="none" w:sz="0" w:space="0" w:color="auto"/>
        <w:bottom w:val="none" w:sz="0" w:space="0" w:color="auto"/>
        <w:right w:val="none" w:sz="0" w:space="0" w:color="auto"/>
      </w:divBdr>
    </w:div>
    <w:div w:id="892545685">
      <w:bodyDiv w:val="1"/>
      <w:marLeft w:val="0"/>
      <w:marRight w:val="0"/>
      <w:marTop w:val="0"/>
      <w:marBottom w:val="0"/>
      <w:divBdr>
        <w:top w:val="none" w:sz="0" w:space="0" w:color="auto"/>
        <w:left w:val="none" w:sz="0" w:space="0" w:color="auto"/>
        <w:bottom w:val="none" w:sz="0" w:space="0" w:color="auto"/>
        <w:right w:val="none" w:sz="0" w:space="0" w:color="auto"/>
      </w:divBdr>
    </w:div>
    <w:div w:id="897010997">
      <w:bodyDiv w:val="1"/>
      <w:marLeft w:val="0"/>
      <w:marRight w:val="0"/>
      <w:marTop w:val="0"/>
      <w:marBottom w:val="0"/>
      <w:divBdr>
        <w:top w:val="none" w:sz="0" w:space="0" w:color="auto"/>
        <w:left w:val="none" w:sz="0" w:space="0" w:color="auto"/>
        <w:bottom w:val="none" w:sz="0" w:space="0" w:color="auto"/>
        <w:right w:val="none" w:sz="0" w:space="0" w:color="auto"/>
      </w:divBdr>
    </w:div>
    <w:div w:id="914053732">
      <w:bodyDiv w:val="1"/>
      <w:marLeft w:val="0"/>
      <w:marRight w:val="0"/>
      <w:marTop w:val="0"/>
      <w:marBottom w:val="0"/>
      <w:divBdr>
        <w:top w:val="none" w:sz="0" w:space="0" w:color="auto"/>
        <w:left w:val="none" w:sz="0" w:space="0" w:color="auto"/>
        <w:bottom w:val="none" w:sz="0" w:space="0" w:color="auto"/>
        <w:right w:val="none" w:sz="0" w:space="0" w:color="auto"/>
      </w:divBdr>
      <w:divsChild>
        <w:div w:id="418137835">
          <w:marLeft w:val="0"/>
          <w:marRight w:val="0"/>
          <w:marTop w:val="0"/>
          <w:marBottom w:val="0"/>
          <w:divBdr>
            <w:top w:val="none" w:sz="0" w:space="0" w:color="auto"/>
            <w:left w:val="none" w:sz="0" w:space="0" w:color="auto"/>
            <w:bottom w:val="none" w:sz="0" w:space="0" w:color="auto"/>
            <w:right w:val="none" w:sz="0" w:space="0" w:color="auto"/>
          </w:divBdr>
        </w:div>
      </w:divsChild>
    </w:div>
    <w:div w:id="916590888">
      <w:bodyDiv w:val="1"/>
      <w:marLeft w:val="0"/>
      <w:marRight w:val="0"/>
      <w:marTop w:val="0"/>
      <w:marBottom w:val="0"/>
      <w:divBdr>
        <w:top w:val="none" w:sz="0" w:space="0" w:color="auto"/>
        <w:left w:val="none" w:sz="0" w:space="0" w:color="auto"/>
        <w:bottom w:val="none" w:sz="0" w:space="0" w:color="auto"/>
        <w:right w:val="none" w:sz="0" w:space="0" w:color="auto"/>
      </w:divBdr>
    </w:div>
    <w:div w:id="926885940">
      <w:bodyDiv w:val="1"/>
      <w:marLeft w:val="0"/>
      <w:marRight w:val="0"/>
      <w:marTop w:val="0"/>
      <w:marBottom w:val="0"/>
      <w:divBdr>
        <w:top w:val="none" w:sz="0" w:space="0" w:color="auto"/>
        <w:left w:val="none" w:sz="0" w:space="0" w:color="auto"/>
        <w:bottom w:val="none" w:sz="0" w:space="0" w:color="auto"/>
        <w:right w:val="none" w:sz="0" w:space="0" w:color="auto"/>
      </w:divBdr>
      <w:divsChild>
        <w:div w:id="975062177">
          <w:marLeft w:val="0"/>
          <w:marRight w:val="0"/>
          <w:marTop w:val="0"/>
          <w:marBottom w:val="0"/>
          <w:divBdr>
            <w:top w:val="none" w:sz="0" w:space="0" w:color="auto"/>
            <w:left w:val="none" w:sz="0" w:space="0" w:color="auto"/>
            <w:bottom w:val="none" w:sz="0" w:space="0" w:color="auto"/>
            <w:right w:val="none" w:sz="0" w:space="0" w:color="auto"/>
          </w:divBdr>
        </w:div>
        <w:div w:id="1868909431">
          <w:marLeft w:val="0"/>
          <w:marRight w:val="0"/>
          <w:marTop w:val="0"/>
          <w:marBottom w:val="0"/>
          <w:divBdr>
            <w:top w:val="none" w:sz="0" w:space="0" w:color="auto"/>
            <w:left w:val="none" w:sz="0" w:space="0" w:color="auto"/>
            <w:bottom w:val="none" w:sz="0" w:space="0" w:color="auto"/>
            <w:right w:val="none" w:sz="0" w:space="0" w:color="auto"/>
          </w:divBdr>
        </w:div>
      </w:divsChild>
    </w:div>
    <w:div w:id="929504005">
      <w:bodyDiv w:val="1"/>
      <w:marLeft w:val="0"/>
      <w:marRight w:val="0"/>
      <w:marTop w:val="0"/>
      <w:marBottom w:val="0"/>
      <w:divBdr>
        <w:top w:val="none" w:sz="0" w:space="0" w:color="auto"/>
        <w:left w:val="none" w:sz="0" w:space="0" w:color="auto"/>
        <w:bottom w:val="none" w:sz="0" w:space="0" w:color="auto"/>
        <w:right w:val="none" w:sz="0" w:space="0" w:color="auto"/>
      </w:divBdr>
    </w:div>
    <w:div w:id="952055841">
      <w:bodyDiv w:val="1"/>
      <w:marLeft w:val="0"/>
      <w:marRight w:val="0"/>
      <w:marTop w:val="0"/>
      <w:marBottom w:val="0"/>
      <w:divBdr>
        <w:top w:val="none" w:sz="0" w:space="0" w:color="auto"/>
        <w:left w:val="none" w:sz="0" w:space="0" w:color="auto"/>
        <w:bottom w:val="none" w:sz="0" w:space="0" w:color="auto"/>
        <w:right w:val="none" w:sz="0" w:space="0" w:color="auto"/>
      </w:divBdr>
    </w:div>
    <w:div w:id="955067619">
      <w:bodyDiv w:val="1"/>
      <w:marLeft w:val="0"/>
      <w:marRight w:val="0"/>
      <w:marTop w:val="0"/>
      <w:marBottom w:val="0"/>
      <w:divBdr>
        <w:top w:val="none" w:sz="0" w:space="0" w:color="auto"/>
        <w:left w:val="none" w:sz="0" w:space="0" w:color="auto"/>
        <w:bottom w:val="none" w:sz="0" w:space="0" w:color="auto"/>
        <w:right w:val="none" w:sz="0" w:space="0" w:color="auto"/>
      </w:divBdr>
    </w:div>
    <w:div w:id="969820692">
      <w:bodyDiv w:val="1"/>
      <w:marLeft w:val="0"/>
      <w:marRight w:val="0"/>
      <w:marTop w:val="0"/>
      <w:marBottom w:val="0"/>
      <w:divBdr>
        <w:top w:val="none" w:sz="0" w:space="0" w:color="auto"/>
        <w:left w:val="none" w:sz="0" w:space="0" w:color="auto"/>
        <w:bottom w:val="none" w:sz="0" w:space="0" w:color="auto"/>
        <w:right w:val="none" w:sz="0" w:space="0" w:color="auto"/>
      </w:divBdr>
    </w:div>
    <w:div w:id="976841302">
      <w:bodyDiv w:val="1"/>
      <w:marLeft w:val="0"/>
      <w:marRight w:val="0"/>
      <w:marTop w:val="0"/>
      <w:marBottom w:val="0"/>
      <w:divBdr>
        <w:top w:val="none" w:sz="0" w:space="0" w:color="auto"/>
        <w:left w:val="none" w:sz="0" w:space="0" w:color="auto"/>
        <w:bottom w:val="none" w:sz="0" w:space="0" w:color="auto"/>
        <w:right w:val="none" w:sz="0" w:space="0" w:color="auto"/>
      </w:divBdr>
    </w:div>
    <w:div w:id="985596208">
      <w:bodyDiv w:val="1"/>
      <w:marLeft w:val="0"/>
      <w:marRight w:val="0"/>
      <w:marTop w:val="0"/>
      <w:marBottom w:val="0"/>
      <w:divBdr>
        <w:top w:val="none" w:sz="0" w:space="0" w:color="auto"/>
        <w:left w:val="none" w:sz="0" w:space="0" w:color="auto"/>
        <w:bottom w:val="none" w:sz="0" w:space="0" w:color="auto"/>
        <w:right w:val="none" w:sz="0" w:space="0" w:color="auto"/>
      </w:divBdr>
    </w:div>
    <w:div w:id="1003970999">
      <w:bodyDiv w:val="1"/>
      <w:marLeft w:val="0"/>
      <w:marRight w:val="0"/>
      <w:marTop w:val="0"/>
      <w:marBottom w:val="0"/>
      <w:divBdr>
        <w:top w:val="none" w:sz="0" w:space="0" w:color="auto"/>
        <w:left w:val="none" w:sz="0" w:space="0" w:color="auto"/>
        <w:bottom w:val="none" w:sz="0" w:space="0" w:color="auto"/>
        <w:right w:val="none" w:sz="0" w:space="0" w:color="auto"/>
      </w:divBdr>
    </w:div>
    <w:div w:id="1013259945">
      <w:bodyDiv w:val="1"/>
      <w:marLeft w:val="0"/>
      <w:marRight w:val="0"/>
      <w:marTop w:val="0"/>
      <w:marBottom w:val="0"/>
      <w:divBdr>
        <w:top w:val="none" w:sz="0" w:space="0" w:color="auto"/>
        <w:left w:val="none" w:sz="0" w:space="0" w:color="auto"/>
        <w:bottom w:val="none" w:sz="0" w:space="0" w:color="auto"/>
        <w:right w:val="none" w:sz="0" w:space="0" w:color="auto"/>
      </w:divBdr>
    </w:div>
    <w:div w:id="1013262170">
      <w:bodyDiv w:val="1"/>
      <w:marLeft w:val="0"/>
      <w:marRight w:val="0"/>
      <w:marTop w:val="0"/>
      <w:marBottom w:val="0"/>
      <w:divBdr>
        <w:top w:val="none" w:sz="0" w:space="0" w:color="auto"/>
        <w:left w:val="none" w:sz="0" w:space="0" w:color="auto"/>
        <w:bottom w:val="none" w:sz="0" w:space="0" w:color="auto"/>
        <w:right w:val="none" w:sz="0" w:space="0" w:color="auto"/>
      </w:divBdr>
    </w:div>
    <w:div w:id="1034161749">
      <w:bodyDiv w:val="1"/>
      <w:marLeft w:val="0"/>
      <w:marRight w:val="0"/>
      <w:marTop w:val="0"/>
      <w:marBottom w:val="0"/>
      <w:divBdr>
        <w:top w:val="none" w:sz="0" w:space="0" w:color="auto"/>
        <w:left w:val="none" w:sz="0" w:space="0" w:color="auto"/>
        <w:bottom w:val="none" w:sz="0" w:space="0" w:color="auto"/>
        <w:right w:val="none" w:sz="0" w:space="0" w:color="auto"/>
      </w:divBdr>
    </w:div>
    <w:div w:id="1053384334">
      <w:bodyDiv w:val="1"/>
      <w:marLeft w:val="0"/>
      <w:marRight w:val="0"/>
      <w:marTop w:val="0"/>
      <w:marBottom w:val="0"/>
      <w:divBdr>
        <w:top w:val="none" w:sz="0" w:space="0" w:color="auto"/>
        <w:left w:val="none" w:sz="0" w:space="0" w:color="auto"/>
        <w:bottom w:val="none" w:sz="0" w:space="0" w:color="auto"/>
        <w:right w:val="none" w:sz="0" w:space="0" w:color="auto"/>
      </w:divBdr>
    </w:div>
    <w:div w:id="1064136049">
      <w:bodyDiv w:val="1"/>
      <w:marLeft w:val="0"/>
      <w:marRight w:val="0"/>
      <w:marTop w:val="0"/>
      <w:marBottom w:val="0"/>
      <w:divBdr>
        <w:top w:val="none" w:sz="0" w:space="0" w:color="auto"/>
        <w:left w:val="none" w:sz="0" w:space="0" w:color="auto"/>
        <w:bottom w:val="none" w:sz="0" w:space="0" w:color="auto"/>
        <w:right w:val="none" w:sz="0" w:space="0" w:color="auto"/>
      </w:divBdr>
    </w:div>
    <w:div w:id="1066296552">
      <w:bodyDiv w:val="1"/>
      <w:marLeft w:val="0"/>
      <w:marRight w:val="0"/>
      <w:marTop w:val="0"/>
      <w:marBottom w:val="0"/>
      <w:divBdr>
        <w:top w:val="none" w:sz="0" w:space="0" w:color="auto"/>
        <w:left w:val="none" w:sz="0" w:space="0" w:color="auto"/>
        <w:bottom w:val="none" w:sz="0" w:space="0" w:color="auto"/>
        <w:right w:val="none" w:sz="0" w:space="0" w:color="auto"/>
      </w:divBdr>
    </w:div>
    <w:div w:id="1070956003">
      <w:bodyDiv w:val="1"/>
      <w:marLeft w:val="0"/>
      <w:marRight w:val="0"/>
      <w:marTop w:val="0"/>
      <w:marBottom w:val="0"/>
      <w:divBdr>
        <w:top w:val="none" w:sz="0" w:space="0" w:color="auto"/>
        <w:left w:val="none" w:sz="0" w:space="0" w:color="auto"/>
        <w:bottom w:val="none" w:sz="0" w:space="0" w:color="auto"/>
        <w:right w:val="none" w:sz="0" w:space="0" w:color="auto"/>
      </w:divBdr>
    </w:div>
    <w:div w:id="1078552017">
      <w:bodyDiv w:val="1"/>
      <w:marLeft w:val="0"/>
      <w:marRight w:val="0"/>
      <w:marTop w:val="0"/>
      <w:marBottom w:val="0"/>
      <w:divBdr>
        <w:top w:val="none" w:sz="0" w:space="0" w:color="auto"/>
        <w:left w:val="none" w:sz="0" w:space="0" w:color="auto"/>
        <w:bottom w:val="none" w:sz="0" w:space="0" w:color="auto"/>
        <w:right w:val="none" w:sz="0" w:space="0" w:color="auto"/>
      </w:divBdr>
    </w:div>
    <w:div w:id="1080056977">
      <w:bodyDiv w:val="1"/>
      <w:marLeft w:val="0"/>
      <w:marRight w:val="0"/>
      <w:marTop w:val="0"/>
      <w:marBottom w:val="0"/>
      <w:divBdr>
        <w:top w:val="none" w:sz="0" w:space="0" w:color="auto"/>
        <w:left w:val="none" w:sz="0" w:space="0" w:color="auto"/>
        <w:bottom w:val="none" w:sz="0" w:space="0" w:color="auto"/>
        <w:right w:val="none" w:sz="0" w:space="0" w:color="auto"/>
      </w:divBdr>
    </w:div>
    <w:div w:id="1081416946">
      <w:bodyDiv w:val="1"/>
      <w:marLeft w:val="0"/>
      <w:marRight w:val="0"/>
      <w:marTop w:val="0"/>
      <w:marBottom w:val="0"/>
      <w:divBdr>
        <w:top w:val="none" w:sz="0" w:space="0" w:color="auto"/>
        <w:left w:val="none" w:sz="0" w:space="0" w:color="auto"/>
        <w:bottom w:val="none" w:sz="0" w:space="0" w:color="auto"/>
        <w:right w:val="none" w:sz="0" w:space="0" w:color="auto"/>
      </w:divBdr>
    </w:div>
    <w:div w:id="1095438679">
      <w:bodyDiv w:val="1"/>
      <w:marLeft w:val="0"/>
      <w:marRight w:val="0"/>
      <w:marTop w:val="0"/>
      <w:marBottom w:val="0"/>
      <w:divBdr>
        <w:top w:val="none" w:sz="0" w:space="0" w:color="auto"/>
        <w:left w:val="none" w:sz="0" w:space="0" w:color="auto"/>
        <w:bottom w:val="none" w:sz="0" w:space="0" w:color="auto"/>
        <w:right w:val="none" w:sz="0" w:space="0" w:color="auto"/>
      </w:divBdr>
    </w:div>
    <w:div w:id="1097477998">
      <w:bodyDiv w:val="1"/>
      <w:marLeft w:val="0"/>
      <w:marRight w:val="0"/>
      <w:marTop w:val="0"/>
      <w:marBottom w:val="0"/>
      <w:divBdr>
        <w:top w:val="none" w:sz="0" w:space="0" w:color="auto"/>
        <w:left w:val="none" w:sz="0" w:space="0" w:color="auto"/>
        <w:bottom w:val="none" w:sz="0" w:space="0" w:color="auto"/>
        <w:right w:val="none" w:sz="0" w:space="0" w:color="auto"/>
      </w:divBdr>
    </w:div>
    <w:div w:id="1106072944">
      <w:bodyDiv w:val="1"/>
      <w:marLeft w:val="0"/>
      <w:marRight w:val="0"/>
      <w:marTop w:val="0"/>
      <w:marBottom w:val="0"/>
      <w:divBdr>
        <w:top w:val="none" w:sz="0" w:space="0" w:color="auto"/>
        <w:left w:val="none" w:sz="0" w:space="0" w:color="auto"/>
        <w:bottom w:val="none" w:sz="0" w:space="0" w:color="auto"/>
        <w:right w:val="none" w:sz="0" w:space="0" w:color="auto"/>
      </w:divBdr>
    </w:div>
    <w:div w:id="1136600754">
      <w:bodyDiv w:val="1"/>
      <w:marLeft w:val="0"/>
      <w:marRight w:val="0"/>
      <w:marTop w:val="0"/>
      <w:marBottom w:val="0"/>
      <w:divBdr>
        <w:top w:val="none" w:sz="0" w:space="0" w:color="auto"/>
        <w:left w:val="none" w:sz="0" w:space="0" w:color="auto"/>
        <w:bottom w:val="none" w:sz="0" w:space="0" w:color="auto"/>
        <w:right w:val="none" w:sz="0" w:space="0" w:color="auto"/>
      </w:divBdr>
    </w:div>
    <w:div w:id="1136726522">
      <w:bodyDiv w:val="1"/>
      <w:marLeft w:val="0"/>
      <w:marRight w:val="0"/>
      <w:marTop w:val="0"/>
      <w:marBottom w:val="0"/>
      <w:divBdr>
        <w:top w:val="none" w:sz="0" w:space="0" w:color="auto"/>
        <w:left w:val="none" w:sz="0" w:space="0" w:color="auto"/>
        <w:bottom w:val="none" w:sz="0" w:space="0" w:color="auto"/>
        <w:right w:val="none" w:sz="0" w:space="0" w:color="auto"/>
      </w:divBdr>
    </w:div>
    <w:div w:id="1152520427">
      <w:bodyDiv w:val="1"/>
      <w:marLeft w:val="0"/>
      <w:marRight w:val="0"/>
      <w:marTop w:val="0"/>
      <w:marBottom w:val="0"/>
      <w:divBdr>
        <w:top w:val="none" w:sz="0" w:space="0" w:color="auto"/>
        <w:left w:val="none" w:sz="0" w:space="0" w:color="auto"/>
        <w:bottom w:val="none" w:sz="0" w:space="0" w:color="auto"/>
        <w:right w:val="none" w:sz="0" w:space="0" w:color="auto"/>
      </w:divBdr>
    </w:div>
    <w:div w:id="1152599982">
      <w:bodyDiv w:val="1"/>
      <w:marLeft w:val="0"/>
      <w:marRight w:val="0"/>
      <w:marTop w:val="0"/>
      <w:marBottom w:val="0"/>
      <w:divBdr>
        <w:top w:val="none" w:sz="0" w:space="0" w:color="auto"/>
        <w:left w:val="none" w:sz="0" w:space="0" w:color="auto"/>
        <w:bottom w:val="none" w:sz="0" w:space="0" w:color="auto"/>
        <w:right w:val="none" w:sz="0" w:space="0" w:color="auto"/>
      </w:divBdr>
    </w:div>
    <w:div w:id="1152795259">
      <w:bodyDiv w:val="1"/>
      <w:marLeft w:val="0"/>
      <w:marRight w:val="0"/>
      <w:marTop w:val="0"/>
      <w:marBottom w:val="0"/>
      <w:divBdr>
        <w:top w:val="none" w:sz="0" w:space="0" w:color="auto"/>
        <w:left w:val="none" w:sz="0" w:space="0" w:color="auto"/>
        <w:bottom w:val="none" w:sz="0" w:space="0" w:color="auto"/>
        <w:right w:val="none" w:sz="0" w:space="0" w:color="auto"/>
      </w:divBdr>
    </w:div>
    <w:div w:id="1163009592">
      <w:bodyDiv w:val="1"/>
      <w:marLeft w:val="0"/>
      <w:marRight w:val="0"/>
      <w:marTop w:val="0"/>
      <w:marBottom w:val="0"/>
      <w:divBdr>
        <w:top w:val="none" w:sz="0" w:space="0" w:color="auto"/>
        <w:left w:val="none" w:sz="0" w:space="0" w:color="auto"/>
        <w:bottom w:val="none" w:sz="0" w:space="0" w:color="auto"/>
        <w:right w:val="none" w:sz="0" w:space="0" w:color="auto"/>
      </w:divBdr>
      <w:divsChild>
        <w:div w:id="462623352">
          <w:marLeft w:val="0"/>
          <w:marRight w:val="0"/>
          <w:marTop w:val="0"/>
          <w:marBottom w:val="0"/>
          <w:divBdr>
            <w:top w:val="none" w:sz="0" w:space="0" w:color="auto"/>
            <w:left w:val="none" w:sz="0" w:space="0" w:color="auto"/>
            <w:bottom w:val="none" w:sz="0" w:space="0" w:color="auto"/>
            <w:right w:val="none" w:sz="0" w:space="0" w:color="auto"/>
          </w:divBdr>
        </w:div>
        <w:div w:id="954167528">
          <w:marLeft w:val="0"/>
          <w:marRight w:val="0"/>
          <w:marTop w:val="0"/>
          <w:marBottom w:val="0"/>
          <w:divBdr>
            <w:top w:val="none" w:sz="0" w:space="0" w:color="auto"/>
            <w:left w:val="none" w:sz="0" w:space="0" w:color="auto"/>
            <w:bottom w:val="none" w:sz="0" w:space="0" w:color="auto"/>
            <w:right w:val="none" w:sz="0" w:space="0" w:color="auto"/>
          </w:divBdr>
        </w:div>
        <w:div w:id="1121076137">
          <w:marLeft w:val="0"/>
          <w:marRight w:val="0"/>
          <w:marTop w:val="0"/>
          <w:marBottom w:val="0"/>
          <w:divBdr>
            <w:top w:val="none" w:sz="0" w:space="0" w:color="auto"/>
            <w:left w:val="none" w:sz="0" w:space="0" w:color="auto"/>
            <w:bottom w:val="none" w:sz="0" w:space="0" w:color="auto"/>
            <w:right w:val="none" w:sz="0" w:space="0" w:color="auto"/>
          </w:divBdr>
          <w:divsChild>
            <w:div w:id="1859342610">
              <w:marLeft w:val="0"/>
              <w:marRight w:val="0"/>
              <w:marTop w:val="0"/>
              <w:marBottom w:val="0"/>
              <w:divBdr>
                <w:top w:val="none" w:sz="0" w:space="0" w:color="auto"/>
                <w:left w:val="none" w:sz="0" w:space="0" w:color="auto"/>
                <w:bottom w:val="none" w:sz="0" w:space="0" w:color="auto"/>
                <w:right w:val="none" w:sz="0" w:space="0" w:color="auto"/>
              </w:divBdr>
              <w:divsChild>
                <w:div w:id="1331370782">
                  <w:marLeft w:val="0"/>
                  <w:marRight w:val="0"/>
                  <w:marTop w:val="0"/>
                  <w:marBottom w:val="0"/>
                  <w:divBdr>
                    <w:top w:val="none" w:sz="0" w:space="0" w:color="auto"/>
                    <w:left w:val="none" w:sz="0" w:space="0" w:color="auto"/>
                    <w:bottom w:val="none" w:sz="0" w:space="0" w:color="auto"/>
                    <w:right w:val="none" w:sz="0" w:space="0" w:color="auto"/>
                  </w:divBdr>
                </w:div>
                <w:div w:id="1856918796">
                  <w:marLeft w:val="0"/>
                  <w:marRight w:val="0"/>
                  <w:marTop w:val="0"/>
                  <w:marBottom w:val="0"/>
                  <w:divBdr>
                    <w:top w:val="none" w:sz="0" w:space="0" w:color="auto"/>
                    <w:left w:val="none" w:sz="0" w:space="0" w:color="auto"/>
                    <w:bottom w:val="none" w:sz="0" w:space="0" w:color="auto"/>
                    <w:right w:val="none" w:sz="0" w:space="0" w:color="auto"/>
                  </w:divBdr>
                  <w:divsChild>
                    <w:div w:id="76828744">
                      <w:marLeft w:val="0"/>
                      <w:marRight w:val="0"/>
                      <w:marTop w:val="0"/>
                      <w:marBottom w:val="0"/>
                      <w:divBdr>
                        <w:top w:val="none" w:sz="0" w:space="0" w:color="auto"/>
                        <w:left w:val="none" w:sz="0" w:space="0" w:color="auto"/>
                        <w:bottom w:val="none" w:sz="0" w:space="0" w:color="auto"/>
                        <w:right w:val="none" w:sz="0" w:space="0" w:color="auto"/>
                      </w:divBdr>
                    </w:div>
                    <w:div w:id="2154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18917">
      <w:bodyDiv w:val="1"/>
      <w:marLeft w:val="0"/>
      <w:marRight w:val="0"/>
      <w:marTop w:val="0"/>
      <w:marBottom w:val="0"/>
      <w:divBdr>
        <w:top w:val="none" w:sz="0" w:space="0" w:color="auto"/>
        <w:left w:val="none" w:sz="0" w:space="0" w:color="auto"/>
        <w:bottom w:val="none" w:sz="0" w:space="0" w:color="auto"/>
        <w:right w:val="none" w:sz="0" w:space="0" w:color="auto"/>
      </w:divBdr>
    </w:div>
    <w:div w:id="1165439745">
      <w:bodyDiv w:val="1"/>
      <w:marLeft w:val="0"/>
      <w:marRight w:val="0"/>
      <w:marTop w:val="0"/>
      <w:marBottom w:val="0"/>
      <w:divBdr>
        <w:top w:val="none" w:sz="0" w:space="0" w:color="auto"/>
        <w:left w:val="none" w:sz="0" w:space="0" w:color="auto"/>
        <w:bottom w:val="none" w:sz="0" w:space="0" w:color="auto"/>
        <w:right w:val="none" w:sz="0" w:space="0" w:color="auto"/>
      </w:divBdr>
    </w:div>
    <w:div w:id="1182739008">
      <w:bodyDiv w:val="1"/>
      <w:marLeft w:val="0"/>
      <w:marRight w:val="0"/>
      <w:marTop w:val="0"/>
      <w:marBottom w:val="0"/>
      <w:divBdr>
        <w:top w:val="none" w:sz="0" w:space="0" w:color="auto"/>
        <w:left w:val="none" w:sz="0" w:space="0" w:color="auto"/>
        <w:bottom w:val="none" w:sz="0" w:space="0" w:color="auto"/>
        <w:right w:val="none" w:sz="0" w:space="0" w:color="auto"/>
      </w:divBdr>
    </w:div>
    <w:div w:id="1187865327">
      <w:bodyDiv w:val="1"/>
      <w:marLeft w:val="0"/>
      <w:marRight w:val="0"/>
      <w:marTop w:val="0"/>
      <w:marBottom w:val="0"/>
      <w:divBdr>
        <w:top w:val="none" w:sz="0" w:space="0" w:color="auto"/>
        <w:left w:val="none" w:sz="0" w:space="0" w:color="auto"/>
        <w:bottom w:val="none" w:sz="0" w:space="0" w:color="auto"/>
        <w:right w:val="none" w:sz="0" w:space="0" w:color="auto"/>
      </w:divBdr>
    </w:div>
    <w:div w:id="1189102774">
      <w:bodyDiv w:val="1"/>
      <w:marLeft w:val="0"/>
      <w:marRight w:val="0"/>
      <w:marTop w:val="0"/>
      <w:marBottom w:val="0"/>
      <w:divBdr>
        <w:top w:val="none" w:sz="0" w:space="0" w:color="auto"/>
        <w:left w:val="none" w:sz="0" w:space="0" w:color="auto"/>
        <w:bottom w:val="none" w:sz="0" w:space="0" w:color="auto"/>
        <w:right w:val="none" w:sz="0" w:space="0" w:color="auto"/>
      </w:divBdr>
    </w:div>
    <w:div w:id="1201866607">
      <w:bodyDiv w:val="1"/>
      <w:marLeft w:val="0"/>
      <w:marRight w:val="0"/>
      <w:marTop w:val="0"/>
      <w:marBottom w:val="0"/>
      <w:divBdr>
        <w:top w:val="none" w:sz="0" w:space="0" w:color="auto"/>
        <w:left w:val="none" w:sz="0" w:space="0" w:color="auto"/>
        <w:bottom w:val="none" w:sz="0" w:space="0" w:color="auto"/>
        <w:right w:val="none" w:sz="0" w:space="0" w:color="auto"/>
      </w:divBdr>
    </w:div>
    <w:div w:id="1210603932">
      <w:bodyDiv w:val="1"/>
      <w:marLeft w:val="0"/>
      <w:marRight w:val="0"/>
      <w:marTop w:val="0"/>
      <w:marBottom w:val="0"/>
      <w:divBdr>
        <w:top w:val="none" w:sz="0" w:space="0" w:color="auto"/>
        <w:left w:val="none" w:sz="0" w:space="0" w:color="auto"/>
        <w:bottom w:val="none" w:sz="0" w:space="0" w:color="auto"/>
        <w:right w:val="none" w:sz="0" w:space="0" w:color="auto"/>
      </w:divBdr>
    </w:div>
    <w:div w:id="1212766678">
      <w:bodyDiv w:val="1"/>
      <w:marLeft w:val="0"/>
      <w:marRight w:val="0"/>
      <w:marTop w:val="0"/>
      <w:marBottom w:val="0"/>
      <w:divBdr>
        <w:top w:val="none" w:sz="0" w:space="0" w:color="auto"/>
        <w:left w:val="none" w:sz="0" w:space="0" w:color="auto"/>
        <w:bottom w:val="none" w:sz="0" w:space="0" w:color="auto"/>
        <w:right w:val="none" w:sz="0" w:space="0" w:color="auto"/>
      </w:divBdr>
      <w:divsChild>
        <w:div w:id="272827798">
          <w:marLeft w:val="0"/>
          <w:marRight w:val="0"/>
          <w:marTop w:val="240"/>
          <w:marBottom w:val="0"/>
          <w:divBdr>
            <w:top w:val="none" w:sz="0" w:space="0" w:color="auto"/>
            <w:left w:val="none" w:sz="0" w:space="0" w:color="auto"/>
            <w:bottom w:val="none" w:sz="0" w:space="0" w:color="auto"/>
            <w:right w:val="none" w:sz="0" w:space="0" w:color="auto"/>
          </w:divBdr>
        </w:div>
      </w:divsChild>
    </w:div>
    <w:div w:id="1239245397">
      <w:bodyDiv w:val="1"/>
      <w:marLeft w:val="0"/>
      <w:marRight w:val="0"/>
      <w:marTop w:val="0"/>
      <w:marBottom w:val="0"/>
      <w:divBdr>
        <w:top w:val="none" w:sz="0" w:space="0" w:color="auto"/>
        <w:left w:val="none" w:sz="0" w:space="0" w:color="auto"/>
        <w:bottom w:val="none" w:sz="0" w:space="0" w:color="auto"/>
        <w:right w:val="none" w:sz="0" w:space="0" w:color="auto"/>
      </w:divBdr>
    </w:div>
    <w:div w:id="1241645064">
      <w:bodyDiv w:val="1"/>
      <w:marLeft w:val="0"/>
      <w:marRight w:val="0"/>
      <w:marTop w:val="0"/>
      <w:marBottom w:val="0"/>
      <w:divBdr>
        <w:top w:val="none" w:sz="0" w:space="0" w:color="auto"/>
        <w:left w:val="none" w:sz="0" w:space="0" w:color="auto"/>
        <w:bottom w:val="none" w:sz="0" w:space="0" w:color="auto"/>
        <w:right w:val="none" w:sz="0" w:space="0" w:color="auto"/>
      </w:divBdr>
    </w:div>
    <w:div w:id="1243222911">
      <w:bodyDiv w:val="1"/>
      <w:marLeft w:val="0"/>
      <w:marRight w:val="0"/>
      <w:marTop w:val="0"/>
      <w:marBottom w:val="0"/>
      <w:divBdr>
        <w:top w:val="none" w:sz="0" w:space="0" w:color="auto"/>
        <w:left w:val="none" w:sz="0" w:space="0" w:color="auto"/>
        <w:bottom w:val="none" w:sz="0" w:space="0" w:color="auto"/>
        <w:right w:val="none" w:sz="0" w:space="0" w:color="auto"/>
      </w:divBdr>
    </w:div>
    <w:div w:id="1251692295">
      <w:bodyDiv w:val="1"/>
      <w:marLeft w:val="0"/>
      <w:marRight w:val="0"/>
      <w:marTop w:val="0"/>
      <w:marBottom w:val="0"/>
      <w:divBdr>
        <w:top w:val="none" w:sz="0" w:space="0" w:color="auto"/>
        <w:left w:val="none" w:sz="0" w:space="0" w:color="auto"/>
        <w:bottom w:val="none" w:sz="0" w:space="0" w:color="auto"/>
        <w:right w:val="none" w:sz="0" w:space="0" w:color="auto"/>
      </w:divBdr>
    </w:div>
    <w:div w:id="1252813893">
      <w:bodyDiv w:val="1"/>
      <w:marLeft w:val="0"/>
      <w:marRight w:val="0"/>
      <w:marTop w:val="0"/>
      <w:marBottom w:val="0"/>
      <w:divBdr>
        <w:top w:val="none" w:sz="0" w:space="0" w:color="auto"/>
        <w:left w:val="none" w:sz="0" w:space="0" w:color="auto"/>
        <w:bottom w:val="none" w:sz="0" w:space="0" w:color="auto"/>
        <w:right w:val="none" w:sz="0" w:space="0" w:color="auto"/>
      </w:divBdr>
      <w:divsChild>
        <w:div w:id="83887216">
          <w:marLeft w:val="0"/>
          <w:marRight w:val="0"/>
          <w:marTop w:val="0"/>
          <w:marBottom w:val="0"/>
          <w:divBdr>
            <w:top w:val="none" w:sz="0" w:space="0" w:color="auto"/>
            <w:left w:val="none" w:sz="0" w:space="0" w:color="auto"/>
            <w:bottom w:val="none" w:sz="0" w:space="0" w:color="auto"/>
            <w:right w:val="none" w:sz="0" w:space="0" w:color="auto"/>
          </w:divBdr>
        </w:div>
        <w:div w:id="563954933">
          <w:marLeft w:val="0"/>
          <w:marRight w:val="0"/>
          <w:marTop w:val="0"/>
          <w:marBottom w:val="0"/>
          <w:divBdr>
            <w:top w:val="none" w:sz="0" w:space="0" w:color="auto"/>
            <w:left w:val="none" w:sz="0" w:space="0" w:color="auto"/>
            <w:bottom w:val="none" w:sz="0" w:space="0" w:color="auto"/>
            <w:right w:val="none" w:sz="0" w:space="0" w:color="auto"/>
          </w:divBdr>
        </w:div>
      </w:divsChild>
    </w:div>
    <w:div w:id="1271160010">
      <w:bodyDiv w:val="1"/>
      <w:marLeft w:val="0"/>
      <w:marRight w:val="0"/>
      <w:marTop w:val="0"/>
      <w:marBottom w:val="0"/>
      <w:divBdr>
        <w:top w:val="none" w:sz="0" w:space="0" w:color="auto"/>
        <w:left w:val="none" w:sz="0" w:space="0" w:color="auto"/>
        <w:bottom w:val="none" w:sz="0" w:space="0" w:color="auto"/>
        <w:right w:val="none" w:sz="0" w:space="0" w:color="auto"/>
      </w:divBdr>
    </w:div>
    <w:div w:id="1277981522">
      <w:bodyDiv w:val="1"/>
      <w:marLeft w:val="0"/>
      <w:marRight w:val="0"/>
      <w:marTop w:val="0"/>
      <w:marBottom w:val="0"/>
      <w:divBdr>
        <w:top w:val="none" w:sz="0" w:space="0" w:color="auto"/>
        <w:left w:val="none" w:sz="0" w:space="0" w:color="auto"/>
        <w:bottom w:val="none" w:sz="0" w:space="0" w:color="auto"/>
        <w:right w:val="none" w:sz="0" w:space="0" w:color="auto"/>
      </w:divBdr>
    </w:div>
    <w:div w:id="1278486319">
      <w:bodyDiv w:val="1"/>
      <w:marLeft w:val="0"/>
      <w:marRight w:val="0"/>
      <w:marTop w:val="0"/>
      <w:marBottom w:val="0"/>
      <w:divBdr>
        <w:top w:val="none" w:sz="0" w:space="0" w:color="auto"/>
        <w:left w:val="none" w:sz="0" w:space="0" w:color="auto"/>
        <w:bottom w:val="none" w:sz="0" w:space="0" w:color="auto"/>
        <w:right w:val="none" w:sz="0" w:space="0" w:color="auto"/>
      </w:divBdr>
    </w:div>
    <w:div w:id="1286497351">
      <w:bodyDiv w:val="1"/>
      <w:marLeft w:val="0"/>
      <w:marRight w:val="0"/>
      <w:marTop w:val="0"/>
      <w:marBottom w:val="0"/>
      <w:divBdr>
        <w:top w:val="none" w:sz="0" w:space="0" w:color="auto"/>
        <w:left w:val="none" w:sz="0" w:space="0" w:color="auto"/>
        <w:bottom w:val="none" w:sz="0" w:space="0" w:color="auto"/>
        <w:right w:val="none" w:sz="0" w:space="0" w:color="auto"/>
      </w:divBdr>
    </w:div>
    <w:div w:id="1289555021">
      <w:bodyDiv w:val="1"/>
      <w:marLeft w:val="0"/>
      <w:marRight w:val="0"/>
      <w:marTop w:val="0"/>
      <w:marBottom w:val="0"/>
      <w:divBdr>
        <w:top w:val="none" w:sz="0" w:space="0" w:color="auto"/>
        <w:left w:val="none" w:sz="0" w:space="0" w:color="auto"/>
        <w:bottom w:val="none" w:sz="0" w:space="0" w:color="auto"/>
        <w:right w:val="none" w:sz="0" w:space="0" w:color="auto"/>
      </w:divBdr>
    </w:div>
    <w:div w:id="1292859055">
      <w:bodyDiv w:val="1"/>
      <w:marLeft w:val="0"/>
      <w:marRight w:val="0"/>
      <w:marTop w:val="0"/>
      <w:marBottom w:val="0"/>
      <w:divBdr>
        <w:top w:val="none" w:sz="0" w:space="0" w:color="auto"/>
        <w:left w:val="none" w:sz="0" w:space="0" w:color="auto"/>
        <w:bottom w:val="none" w:sz="0" w:space="0" w:color="auto"/>
        <w:right w:val="none" w:sz="0" w:space="0" w:color="auto"/>
      </w:divBdr>
    </w:div>
    <w:div w:id="1306005820">
      <w:bodyDiv w:val="1"/>
      <w:marLeft w:val="0"/>
      <w:marRight w:val="0"/>
      <w:marTop w:val="0"/>
      <w:marBottom w:val="0"/>
      <w:divBdr>
        <w:top w:val="none" w:sz="0" w:space="0" w:color="auto"/>
        <w:left w:val="none" w:sz="0" w:space="0" w:color="auto"/>
        <w:bottom w:val="none" w:sz="0" w:space="0" w:color="auto"/>
        <w:right w:val="none" w:sz="0" w:space="0" w:color="auto"/>
      </w:divBdr>
    </w:div>
    <w:div w:id="1309170953">
      <w:bodyDiv w:val="1"/>
      <w:marLeft w:val="0"/>
      <w:marRight w:val="0"/>
      <w:marTop w:val="0"/>
      <w:marBottom w:val="0"/>
      <w:divBdr>
        <w:top w:val="none" w:sz="0" w:space="0" w:color="auto"/>
        <w:left w:val="none" w:sz="0" w:space="0" w:color="auto"/>
        <w:bottom w:val="none" w:sz="0" w:space="0" w:color="auto"/>
        <w:right w:val="none" w:sz="0" w:space="0" w:color="auto"/>
      </w:divBdr>
    </w:div>
    <w:div w:id="1312556985">
      <w:bodyDiv w:val="1"/>
      <w:marLeft w:val="0"/>
      <w:marRight w:val="0"/>
      <w:marTop w:val="0"/>
      <w:marBottom w:val="0"/>
      <w:divBdr>
        <w:top w:val="none" w:sz="0" w:space="0" w:color="auto"/>
        <w:left w:val="none" w:sz="0" w:space="0" w:color="auto"/>
        <w:bottom w:val="none" w:sz="0" w:space="0" w:color="auto"/>
        <w:right w:val="none" w:sz="0" w:space="0" w:color="auto"/>
      </w:divBdr>
    </w:div>
    <w:div w:id="1336154902">
      <w:bodyDiv w:val="1"/>
      <w:marLeft w:val="0"/>
      <w:marRight w:val="0"/>
      <w:marTop w:val="0"/>
      <w:marBottom w:val="0"/>
      <w:divBdr>
        <w:top w:val="none" w:sz="0" w:space="0" w:color="auto"/>
        <w:left w:val="none" w:sz="0" w:space="0" w:color="auto"/>
        <w:bottom w:val="none" w:sz="0" w:space="0" w:color="auto"/>
        <w:right w:val="none" w:sz="0" w:space="0" w:color="auto"/>
      </w:divBdr>
    </w:div>
    <w:div w:id="1345206015">
      <w:bodyDiv w:val="1"/>
      <w:marLeft w:val="0"/>
      <w:marRight w:val="0"/>
      <w:marTop w:val="0"/>
      <w:marBottom w:val="0"/>
      <w:divBdr>
        <w:top w:val="none" w:sz="0" w:space="0" w:color="auto"/>
        <w:left w:val="none" w:sz="0" w:space="0" w:color="auto"/>
        <w:bottom w:val="none" w:sz="0" w:space="0" w:color="auto"/>
        <w:right w:val="none" w:sz="0" w:space="0" w:color="auto"/>
      </w:divBdr>
    </w:div>
    <w:div w:id="1345985143">
      <w:bodyDiv w:val="1"/>
      <w:marLeft w:val="0"/>
      <w:marRight w:val="0"/>
      <w:marTop w:val="0"/>
      <w:marBottom w:val="0"/>
      <w:divBdr>
        <w:top w:val="none" w:sz="0" w:space="0" w:color="auto"/>
        <w:left w:val="none" w:sz="0" w:space="0" w:color="auto"/>
        <w:bottom w:val="none" w:sz="0" w:space="0" w:color="auto"/>
        <w:right w:val="none" w:sz="0" w:space="0" w:color="auto"/>
      </w:divBdr>
    </w:div>
    <w:div w:id="1350375553">
      <w:bodyDiv w:val="1"/>
      <w:marLeft w:val="0"/>
      <w:marRight w:val="0"/>
      <w:marTop w:val="0"/>
      <w:marBottom w:val="0"/>
      <w:divBdr>
        <w:top w:val="none" w:sz="0" w:space="0" w:color="auto"/>
        <w:left w:val="none" w:sz="0" w:space="0" w:color="auto"/>
        <w:bottom w:val="none" w:sz="0" w:space="0" w:color="auto"/>
        <w:right w:val="none" w:sz="0" w:space="0" w:color="auto"/>
      </w:divBdr>
    </w:div>
    <w:div w:id="1356417970">
      <w:bodyDiv w:val="1"/>
      <w:marLeft w:val="0"/>
      <w:marRight w:val="0"/>
      <w:marTop w:val="0"/>
      <w:marBottom w:val="0"/>
      <w:divBdr>
        <w:top w:val="none" w:sz="0" w:space="0" w:color="auto"/>
        <w:left w:val="none" w:sz="0" w:space="0" w:color="auto"/>
        <w:bottom w:val="none" w:sz="0" w:space="0" w:color="auto"/>
        <w:right w:val="none" w:sz="0" w:space="0" w:color="auto"/>
      </w:divBdr>
    </w:div>
    <w:div w:id="1364676334">
      <w:bodyDiv w:val="1"/>
      <w:marLeft w:val="0"/>
      <w:marRight w:val="0"/>
      <w:marTop w:val="0"/>
      <w:marBottom w:val="0"/>
      <w:divBdr>
        <w:top w:val="none" w:sz="0" w:space="0" w:color="auto"/>
        <w:left w:val="none" w:sz="0" w:space="0" w:color="auto"/>
        <w:bottom w:val="none" w:sz="0" w:space="0" w:color="auto"/>
        <w:right w:val="none" w:sz="0" w:space="0" w:color="auto"/>
      </w:divBdr>
    </w:div>
    <w:div w:id="1366057748">
      <w:bodyDiv w:val="1"/>
      <w:marLeft w:val="0"/>
      <w:marRight w:val="0"/>
      <w:marTop w:val="0"/>
      <w:marBottom w:val="0"/>
      <w:divBdr>
        <w:top w:val="none" w:sz="0" w:space="0" w:color="auto"/>
        <w:left w:val="none" w:sz="0" w:space="0" w:color="auto"/>
        <w:bottom w:val="none" w:sz="0" w:space="0" w:color="auto"/>
        <w:right w:val="none" w:sz="0" w:space="0" w:color="auto"/>
      </w:divBdr>
    </w:div>
    <w:div w:id="1367750566">
      <w:bodyDiv w:val="1"/>
      <w:marLeft w:val="0"/>
      <w:marRight w:val="0"/>
      <w:marTop w:val="0"/>
      <w:marBottom w:val="0"/>
      <w:divBdr>
        <w:top w:val="none" w:sz="0" w:space="0" w:color="auto"/>
        <w:left w:val="none" w:sz="0" w:space="0" w:color="auto"/>
        <w:bottom w:val="none" w:sz="0" w:space="0" w:color="auto"/>
        <w:right w:val="none" w:sz="0" w:space="0" w:color="auto"/>
      </w:divBdr>
    </w:div>
    <w:div w:id="1377663934">
      <w:bodyDiv w:val="1"/>
      <w:marLeft w:val="0"/>
      <w:marRight w:val="0"/>
      <w:marTop w:val="0"/>
      <w:marBottom w:val="0"/>
      <w:divBdr>
        <w:top w:val="none" w:sz="0" w:space="0" w:color="auto"/>
        <w:left w:val="none" w:sz="0" w:space="0" w:color="auto"/>
        <w:bottom w:val="none" w:sz="0" w:space="0" w:color="auto"/>
        <w:right w:val="none" w:sz="0" w:space="0" w:color="auto"/>
      </w:divBdr>
    </w:div>
    <w:div w:id="1383553745">
      <w:bodyDiv w:val="1"/>
      <w:marLeft w:val="0"/>
      <w:marRight w:val="0"/>
      <w:marTop w:val="0"/>
      <w:marBottom w:val="0"/>
      <w:divBdr>
        <w:top w:val="none" w:sz="0" w:space="0" w:color="auto"/>
        <w:left w:val="none" w:sz="0" w:space="0" w:color="auto"/>
        <w:bottom w:val="none" w:sz="0" w:space="0" w:color="auto"/>
        <w:right w:val="none" w:sz="0" w:space="0" w:color="auto"/>
      </w:divBdr>
    </w:div>
    <w:div w:id="1394890451">
      <w:bodyDiv w:val="1"/>
      <w:marLeft w:val="0"/>
      <w:marRight w:val="0"/>
      <w:marTop w:val="0"/>
      <w:marBottom w:val="0"/>
      <w:divBdr>
        <w:top w:val="none" w:sz="0" w:space="0" w:color="auto"/>
        <w:left w:val="none" w:sz="0" w:space="0" w:color="auto"/>
        <w:bottom w:val="none" w:sz="0" w:space="0" w:color="auto"/>
        <w:right w:val="none" w:sz="0" w:space="0" w:color="auto"/>
      </w:divBdr>
    </w:div>
    <w:div w:id="1397360375">
      <w:bodyDiv w:val="1"/>
      <w:marLeft w:val="0"/>
      <w:marRight w:val="0"/>
      <w:marTop w:val="0"/>
      <w:marBottom w:val="0"/>
      <w:divBdr>
        <w:top w:val="none" w:sz="0" w:space="0" w:color="auto"/>
        <w:left w:val="none" w:sz="0" w:space="0" w:color="auto"/>
        <w:bottom w:val="none" w:sz="0" w:space="0" w:color="auto"/>
        <w:right w:val="none" w:sz="0" w:space="0" w:color="auto"/>
      </w:divBdr>
    </w:div>
    <w:div w:id="1398045085">
      <w:bodyDiv w:val="1"/>
      <w:marLeft w:val="0"/>
      <w:marRight w:val="0"/>
      <w:marTop w:val="0"/>
      <w:marBottom w:val="0"/>
      <w:divBdr>
        <w:top w:val="none" w:sz="0" w:space="0" w:color="auto"/>
        <w:left w:val="none" w:sz="0" w:space="0" w:color="auto"/>
        <w:bottom w:val="none" w:sz="0" w:space="0" w:color="auto"/>
        <w:right w:val="none" w:sz="0" w:space="0" w:color="auto"/>
      </w:divBdr>
    </w:div>
    <w:div w:id="1401057928">
      <w:bodyDiv w:val="1"/>
      <w:marLeft w:val="0"/>
      <w:marRight w:val="0"/>
      <w:marTop w:val="0"/>
      <w:marBottom w:val="0"/>
      <w:divBdr>
        <w:top w:val="none" w:sz="0" w:space="0" w:color="auto"/>
        <w:left w:val="none" w:sz="0" w:space="0" w:color="auto"/>
        <w:bottom w:val="none" w:sz="0" w:space="0" w:color="auto"/>
        <w:right w:val="none" w:sz="0" w:space="0" w:color="auto"/>
      </w:divBdr>
    </w:div>
    <w:div w:id="1402871662">
      <w:bodyDiv w:val="1"/>
      <w:marLeft w:val="0"/>
      <w:marRight w:val="0"/>
      <w:marTop w:val="0"/>
      <w:marBottom w:val="0"/>
      <w:divBdr>
        <w:top w:val="none" w:sz="0" w:space="0" w:color="auto"/>
        <w:left w:val="none" w:sz="0" w:space="0" w:color="auto"/>
        <w:bottom w:val="none" w:sz="0" w:space="0" w:color="auto"/>
        <w:right w:val="none" w:sz="0" w:space="0" w:color="auto"/>
      </w:divBdr>
    </w:div>
    <w:div w:id="1402946365">
      <w:bodyDiv w:val="1"/>
      <w:marLeft w:val="0"/>
      <w:marRight w:val="0"/>
      <w:marTop w:val="0"/>
      <w:marBottom w:val="0"/>
      <w:divBdr>
        <w:top w:val="none" w:sz="0" w:space="0" w:color="auto"/>
        <w:left w:val="none" w:sz="0" w:space="0" w:color="auto"/>
        <w:bottom w:val="none" w:sz="0" w:space="0" w:color="auto"/>
        <w:right w:val="none" w:sz="0" w:space="0" w:color="auto"/>
      </w:divBdr>
    </w:div>
    <w:div w:id="1422028554">
      <w:bodyDiv w:val="1"/>
      <w:marLeft w:val="0"/>
      <w:marRight w:val="0"/>
      <w:marTop w:val="0"/>
      <w:marBottom w:val="0"/>
      <w:divBdr>
        <w:top w:val="none" w:sz="0" w:space="0" w:color="auto"/>
        <w:left w:val="none" w:sz="0" w:space="0" w:color="auto"/>
        <w:bottom w:val="none" w:sz="0" w:space="0" w:color="auto"/>
        <w:right w:val="none" w:sz="0" w:space="0" w:color="auto"/>
      </w:divBdr>
    </w:div>
    <w:div w:id="1431244601">
      <w:bodyDiv w:val="1"/>
      <w:marLeft w:val="0"/>
      <w:marRight w:val="0"/>
      <w:marTop w:val="0"/>
      <w:marBottom w:val="0"/>
      <w:divBdr>
        <w:top w:val="none" w:sz="0" w:space="0" w:color="auto"/>
        <w:left w:val="none" w:sz="0" w:space="0" w:color="auto"/>
        <w:bottom w:val="none" w:sz="0" w:space="0" w:color="auto"/>
        <w:right w:val="none" w:sz="0" w:space="0" w:color="auto"/>
      </w:divBdr>
    </w:div>
    <w:div w:id="1452017581">
      <w:bodyDiv w:val="1"/>
      <w:marLeft w:val="0"/>
      <w:marRight w:val="0"/>
      <w:marTop w:val="0"/>
      <w:marBottom w:val="0"/>
      <w:divBdr>
        <w:top w:val="none" w:sz="0" w:space="0" w:color="auto"/>
        <w:left w:val="none" w:sz="0" w:space="0" w:color="auto"/>
        <w:bottom w:val="none" w:sz="0" w:space="0" w:color="auto"/>
        <w:right w:val="none" w:sz="0" w:space="0" w:color="auto"/>
      </w:divBdr>
    </w:div>
    <w:div w:id="1457597562">
      <w:bodyDiv w:val="1"/>
      <w:marLeft w:val="0"/>
      <w:marRight w:val="0"/>
      <w:marTop w:val="0"/>
      <w:marBottom w:val="0"/>
      <w:divBdr>
        <w:top w:val="none" w:sz="0" w:space="0" w:color="auto"/>
        <w:left w:val="none" w:sz="0" w:space="0" w:color="auto"/>
        <w:bottom w:val="none" w:sz="0" w:space="0" w:color="auto"/>
        <w:right w:val="none" w:sz="0" w:space="0" w:color="auto"/>
      </w:divBdr>
    </w:div>
    <w:div w:id="1461610030">
      <w:bodyDiv w:val="1"/>
      <w:marLeft w:val="0"/>
      <w:marRight w:val="0"/>
      <w:marTop w:val="0"/>
      <w:marBottom w:val="0"/>
      <w:divBdr>
        <w:top w:val="none" w:sz="0" w:space="0" w:color="auto"/>
        <w:left w:val="none" w:sz="0" w:space="0" w:color="auto"/>
        <w:bottom w:val="none" w:sz="0" w:space="0" w:color="auto"/>
        <w:right w:val="none" w:sz="0" w:space="0" w:color="auto"/>
      </w:divBdr>
    </w:div>
    <w:div w:id="1474056950">
      <w:bodyDiv w:val="1"/>
      <w:marLeft w:val="0"/>
      <w:marRight w:val="0"/>
      <w:marTop w:val="0"/>
      <w:marBottom w:val="0"/>
      <w:divBdr>
        <w:top w:val="none" w:sz="0" w:space="0" w:color="auto"/>
        <w:left w:val="none" w:sz="0" w:space="0" w:color="auto"/>
        <w:bottom w:val="none" w:sz="0" w:space="0" w:color="auto"/>
        <w:right w:val="none" w:sz="0" w:space="0" w:color="auto"/>
      </w:divBdr>
    </w:div>
    <w:div w:id="1474329449">
      <w:bodyDiv w:val="1"/>
      <w:marLeft w:val="0"/>
      <w:marRight w:val="0"/>
      <w:marTop w:val="0"/>
      <w:marBottom w:val="0"/>
      <w:divBdr>
        <w:top w:val="none" w:sz="0" w:space="0" w:color="auto"/>
        <w:left w:val="none" w:sz="0" w:space="0" w:color="auto"/>
        <w:bottom w:val="none" w:sz="0" w:space="0" w:color="auto"/>
        <w:right w:val="none" w:sz="0" w:space="0" w:color="auto"/>
      </w:divBdr>
    </w:div>
    <w:div w:id="1479489852">
      <w:bodyDiv w:val="1"/>
      <w:marLeft w:val="0"/>
      <w:marRight w:val="0"/>
      <w:marTop w:val="0"/>
      <w:marBottom w:val="0"/>
      <w:divBdr>
        <w:top w:val="none" w:sz="0" w:space="0" w:color="auto"/>
        <w:left w:val="none" w:sz="0" w:space="0" w:color="auto"/>
        <w:bottom w:val="none" w:sz="0" w:space="0" w:color="auto"/>
        <w:right w:val="none" w:sz="0" w:space="0" w:color="auto"/>
      </w:divBdr>
    </w:div>
    <w:div w:id="1494026764">
      <w:bodyDiv w:val="1"/>
      <w:marLeft w:val="0"/>
      <w:marRight w:val="0"/>
      <w:marTop w:val="0"/>
      <w:marBottom w:val="0"/>
      <w:divBdr>
        <w:top w:val="none" w:sz="0" w:space="0" w:color="auto"/>
        <w:left w:val="none" w:sz="0" w:space="0" w:color="auto"/>
        <w:bottom w:val="none" w:sz="0" w:space="0" w:color="auto"/>
        <w:right w:val="none" w:sz="0" w:space="0" w:color="auto"/>
      </w:divBdr>
    </w:div>
    <w:div w:id="1501459187">
      <w:bodyDiv w:val="1"/>
      <w:marLeft w:val="0"/>
      <w:marRight w:val="0"/>
      <w:marTop w:val="0"/>
      <w:marBottom w:val="0"/>
      <w:divBdr>
        <w:top w:val="none" w:sz="0" w:space="0" w:color="auto"/>
        <w:left w:val="none" w:sz="0" w:space="0" w:color="auto"/>
        <w:bottom w:val="none" w:sz="0" w:space="0" w:color="auto"/>
        <w:right w:val="none" w:sz="0" w:space="0" w:color="auto"/>
      </w:divBdr>
    </w:div>
    <w:div w:id="1515068707">
      <w:bodyDiv w:val="1"/>
      <w:marLeft w:val="0"/>
      <w:marRight w:val="0"/>
      <w:marTop w:val="0"/>
      <w:marBottom w:val="0"/>
      <w:divBdr>
        <w:top w:val="none" w:sz="0" w:space="0" w:color="auto"/>
        <w:left w:val="none" w:sz="0" w:space="0" w:color="auto"/>
        <w:bottom w:val="none" w:sz="0" w:space="0" w:color="auto"/>
        <w:right w:val="none" w:sz="0" w:space="0" w:color="auto"/>
      </w:divBdr>
    </w:div>
    <w:div w:id="1557468880">
      <w:bodyDiv w:val="1"/>
      <w:marLeft w:val="0"/>
      <w:marRight w:val="0"/>
      <w:marTop w:val="0"/>
      <w:marBottom w:val="0"/>
      <w:divBdr>
        <w:top w:val="none" w:sz="0" w:space="0" w:color="auto"/>
        <w:left w:val="none" w:sz="0" w:space="0" w:color="auto"/>
        <w:bottom w:val="none" w:sz="0" w:space="0" w:color="auto"/>
        <w:right w:val="none" w:sz="0" w:space="0" w:color="auto"/>
      </w:divBdr>
    </w:div>
    <w:div w:id="1569457509">
      <w:bodyDiv w:val="1"/>
      <w:marLeft w:val="0"/>
      <w:marRight w:val="0"/>
      <w:marTop w:val="0"/>
      <w:marBottom w:val="0"/>
      <w:divBdr>
        <w:top w:val="none" w:sz="0" w:space="0" w:color="auto"/>
        <w:left w:val="none" w:sz="0" w:space="0" w:color="auto"/>
        <w:bottom w:val="none" w:sz="0" w:space="0" w:color="auto"/>
        <w:right w:val="none" w:sz="0" w:space="0" w:color="auto"/>
      </w:divBdr>
    </w:div>
    <w:div w:id="1581215733">
      <w:bodyDiv w:val="1"/>
      <w:marLeft w:val="0"/>
      <w:marRight w:val="0"/>
      <w:marTop w:val="0"/>
      <w:marBottom w:val="0"/>
      <w:divBdr>
        <w:top w:val="none" w:sz="0" w:space="0" w:color="auto"/>
        <w:left w:val="none" w:sz="0" w:space="0" w:color="auto"/>
        <w:bottom w:val="none" w:sz="0" w:space="0" w:color="auto"/>
        <w:right w:val="none" w:sz="0" w:space="0" w:color="auto"/>
      </w:divBdr>
    </w:div>
    <w:div w:id="1581712302">
      <w:bodyDiv w:val="1"/>
      <w:marLeft w:val="0"/>
      <w:marRight w:val="0"/>
      <w:marTop w:val="0"/>
      <w:marBottom w:val="0"/>
      <w:divBdr>
        <w:top w:val="none" w:sz="0" w:space="0" w:color="auto"/>
        <w:left w:val="none" w:sz="0" w:space="0" w:color="auto"/>
        <w:bottom w:val="none" w:sz="0" w:space="0" w:color="auto"/>
        <w:right w:val="none" w:sz="0" w:space="0" w:color="auto"/>
      </w:divBdr>
    </w:div>
    <w:div w:id="1586526927">
      <w:bodyDiv w:val="1"/>
      <w:marLeft w:val="0"/>
      <w:marRight w:val="0"/>
      <w:marTop w:val="0"/>
      <w:marBottom w:val="0"/>
      <w:divBdr>
        <w:top w:val="none" w:sz="0" w:space="0" w:color="auto"/>
        <w:left w:val="none" w:sz="0" w:space="0" w:color="auto"/>
        <w:bottom w:val="none" w:sz="0" w:space="0" w:color="auto"/>
        <w:right w:val="none" w:sz="0" w:space="0" w:color="auto"/>
      </w:divBdr>
    </w:div>
    <w:div w:id="1592347768">
      <w:bodyDiv w:val="1"/>
      <w:marLeft w:val="0"/>
      <w:marRight w:val="0"/>
      <w:marTop w:val="0"/>
      <w:marBottom w:val="0"/>
      <w:divBdr>
        <w:top w:val="none" w:sz="0" w:space="0" w:color="auto"/>
        <w:left w:val="none" w:sz="0" w:space="0" w:color="auto"/>
        <w:bottom w:val="none" w:sz="0" w:space="0" w:color="auto"/>
        <w:right w:val="none" w:sz="0" w:space="0" w:color="auto"/>
      </w:divBdr>
    </w:div>
    <w:div w:id="1603026798">
      <w:bodyDiv w:val="1"/>
      <w:marLeft w:val="0"/>
      <w:marRight w:val="0"/>
      <w:marTop w:val="0"/>
      <w:marBottom w:val="0"/>
      <w:divBdr>
        <w:top w:val="none" w:sz="0" w:space="0" w:color="auto"/>
        <w:left w:val="none" w:sz="0" w:space="0" w:color="auto"/>
        <w:bottom w:val="none" w:sz="0" w:space="0" w:color="auto"/>
        <w:right w:val="none" w:sz="0" w:space="0" w:color="auto"/>
      </w:divBdr>
      <w:divsChild>
        <w:div w:id="1789199152">
          <w:marLeft w:val="0"/>
          <w:marRight w:val="0"/>
          <w:marTop w:val="0"/>
          <w:marBottom w:val="0"/>
          <w:divBdr>
            <w:top w:val="none" w:sz="0" w:space="0" w:color="auto"/>
            <w:left w:val="none" w:sz="0" w:space="0" w:color="auto"/>
            <w:bottom w:val="none" w:sz="0" w:space="0" w:color="auto"/>
            <w:right w:val="none" w:sz="0" w:space="0" w:color="auto"/>
          </w:divBdr>
          <w:divsChild>
            <w:div w:id="1364012018">
              <w:marLeft w:val="0"/>
              <w:marRight w:val="0"/>
              <w:marTop w:val="0"/>
              <w:marBottom w:val="0"/>
              <w:divBdr>
                <w:top w:val="none" w:sz="0" w:space="0" w:color="auto"/>
                <w:left w:val="none" w:sz="0" w:space="0" w:color="auto"/>
                <w:bottom w:val="none" w:sz="0" w:space="0" w:color="auto"/>
                <w:right w:val="none" w:sz="0" w:space="0" w:color="auto"/>
              </w:divBdr>
              <w:divsChild>
                <w:div w:id="675617629">
                  <w:marLeft w:val="0"/>
                  <w:marRight w:val="0"/>
                  <w:marTop w:val="0"/>
                  <w:marBottom w:val="0"/>
                  <w:divBdr>
                    <w:top w:val="none" w:sz="0" w:space="0" w:color="auto"/>
                    <w:left w:val="none" w:sz="0" w:space="0" w:color="auto"/>
                    <w:bottom w:val="none" w:sz="0" w:space="0" w:color="auto"/>
                    <w:right w:val="none" w:sz="0" w:space="0" w:color="auto"/>
                  </w:divBdr>
                  <w:divsChild>
                    <w:div w:id="17063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3484">
      <w:bodyDiv w:val="1"/>
      <w:marLeft w:val="0"/>
      <w:marRight w:val="0"/>
      <w:marTop w:val="0"/>
      <w:marBottom w:val="0"/>
      <w:divBdr>
        <w:top w:val="none" w:sz="0" w:space="0" w:color="auto"/>
        <w:left w:val="none" w:sz="0" w:space="0" w:color="auto"/>
        <w:bottom w:val="none" w:sz="0" w:space="0" w:color="auto"/>
        <w:right w:val="none" w:sz="0" w:space="0" w:color="auto"/>
      </w:divBdr>
    </w:div>
    <w:div w:id="1619945257">
      <w:bodyDiv w:val="1"/>
      <w:marLeft w:val="0"/>
      <w:marRight w:val="0"/>
      <w:marTop w:val="0"/>
      <w:marBottom w:val="0"/>
      <w:divBdr>
        <w:top w:val="none" w:sz="0" w:space="0" w:color="auto"/>
        <w:left w:val="none" w:sz="0" w:space="0" w:color="auto"/>
        <w:bottom w:val="none" w:sz="0" w:space="0" w:color="auto"/>
        <w:right w:val="none" w:sz="0" w:space="0" w:color="auto"/>
      </w:divBdr>
    </w:div>
    <w:div w:id="1622764292">
      <w:bodyDiv w:val="1"/>
      <w:marLeft w:val="0"/>
      <w:marRight w:val="0"/>
      <w:marTop w:val="0"/>
      <w:marBottom w:val="0"/>
      <w:divBdr>
        <w:top w:val="none" w:sz="0" w:space="0" w:color="auto"/>
        <w:left w:val="none" w:sz="0" w:space="0" w:color="auto"/>
        <w:bottom w:val="none" w:sz="0" w:space="0" w:color="auto"/>
        <w:right w:val="none" w:sz="0" w:space="0" w:color="auto"/>
      </w:divBdr>
      <w:divsChild>
        <w:div w:id="582957285">
          <w:marLeft w:val="0"/>
          <w:marRight w:val="0"/>
          <w:marTop w:val="0"/>
          <w:marBottom w:val="0"/>
          <w:divBdr>
            <w:top w:val="none" w:sz="0" w:space="0" w:color="auto"/>
            <w:left w:val="none" w:sz="0" w:space="0" w:color="auto"/>
            <w:bottom w:val="none" w:sz="0" w:space="0" w:color="auto"/>
            <w:right w:val="none" w:sz="0" w:space="0" w:color="auto"/>
          </w:divBdr>
        </w:div>
        <w:div w:id="2035694835">
          <w:marLeft w:val="0"/>
          <w:marRight w:val="0"/>
          <w:marTop w:val="0"/>
          <w:marBottom w:val="0"/>
          <w:divBdr>
            <w:top w:val="none" w:sz="0" w:space="0" w:color="auto"/>
            <w:left w:val="none" w:sz="0" w:space="0" w:color="auto"/>
            <w:bottom w:val="none" w:sz="0" w:space="0" w:color="auto"/>
            <w:right w:val="none" w:sz="0" w:space="0" w:color="auto"/>
          </w:divBdr>
        </w:div>
      </w:divsChild>
    </w:div>
    <w:div w:id="1627010069">
      <w:bodyDiv w:val="1"/>
      <w:marLeft w:val="0"/>
      <w:marRight w:val="0"/>
      <w:marTop w:val="0"/>
      <w:marBottom w:val="0"/>
      <w:divBdr>
        <w:top w:val="none" w:sz="0" w:space="0" w:color="auto"/>
        <w:left w:val="none" w:sz="0" w:space="0" w:color="auto"/>
        <w:bottom w:val="none" w:sz="0" w:space="0" w:color="auto"/>
        <w:right w:val="none" w:sz="0" w:space="0" w:color="auto"/>
      </w:divBdr>
    </w:div>
    <w:div w:id="1627199542">
      <w:bodyDiv w:val="1"/>
      <w:marLeft w:val="0"/>
      <w:marRight w:val="0"/>
      <w:marTop w:val="0"/>
      <w:marBottom w:val="0"/>
      <w:divBdr>
        <w:top w:val="none" w:sz="0" w:space="0" w:color="auto"/>
        <w:left w:val="none" w:sz="0" w:space="0" w:color="auto"/>
        <w:bottom w:val="none" w:sz="0" w:space="0" w:color="auto"/>
        <w:right w:val="none" w:sz="0" w:space="0" w:color="auto"/>
      </w:divBdr>
    </w:div>
    <w:div w:id="1628972337">
      <w:bodyDiv w:val="1"/>
      <w:marLeft w:val="0"/>
      <w:marRight w:val="0"/>
      <w:marTop w:val="0"/>
      <w:marBottom w:val="0"/>
      <w:divBdr>
        <w:top w:val="none" w:sz="0" w:space="0" w:color="auto"/>
        <w:left w:val="none" w:sz="0" w:space="0" w:color="auto"/>
        <w:bottom w:val="none" w:sz="0" w:space="0" w:color="auto"/>
        <w:right w:val="none" w:sz="0" w:space="0" w:color="auto"/>
      </w:divBdr>
    </w:div>
    <w:div w:id="1642273044">
      <w:bodyDiv w:val="1"/>
      <w:marLeft w:val="0"/>
      <w:marRight w:val="0"/>
      <w:marTop w:val="0"/>
      <w:marBottom w:val="0"/>
      <w:divBdr>
        <w:top w:val="none" w:sz="0" w:space="0" w:color="auto"/>
        <w:left w:val="none" w:sz="0" w:space="0" w:color="auto"/>
        <w:bottom w:val="none" w:sz="0" w:space="0" w:color="auto"/>
        <w:right w:val="none" w:sz="0" w:space="0" w:color="auto"/>
      </w:divBdr>
    </w:div>
    <w:div w:id="1654068867">
      <w:bodyDiv w:val="1"/>
      <w:marLeft w:val="0"/>
      <w:marRight w:val="0"/>
      <w:marTop w:val="0"/>
      <w:marBottom w:val="0"/>
      <w:divBdr>
        <w:top w:val="none" w:sz="0" w:space="0" w:color="auto"/>
        <w:left w:val="none" w:sz="0" w:space="0" w:color="auto"/>
        <w:bottom w:val="none" w:sz="0" w:space="0" w:color="auto"/>
        <w:right w:val="none" w:sz="0" w:space="0" w:color="auto"/>
      </w:divBdr>
    </w:div>
    <w:div w:id="1657026204">
      <w:bodyDiv w:val="1"/>
      <w:marLeft w:val="0"/>
      <w:marRight w:val="0"/>
      <w:marTop w:val="0"/>
      <w:marBottom w:val="0"/>
      <w:divBdr>
        <w:top w:val="none" w:sz="0" w:space="0" w:color="auto"/>
        <w:left w:val="none" w:sz="0" w:space="0" w:color="auto"/>
        <w:bottom w:val="none" w:sz="0" w:space="0" w:color="auto"/>
        <w:right w:val="none" w:sz="0" w:space="0" w:color="auto"/>
      </w:divBdr>
    </w:div>
    <w:div w:id="1662463348">
      <w:bodyDiv w:val="1"/>
      <w:marLeft w:val="0"/>
      <w:marRight w:val="0"/>
      <w:marTop w:val="0"/>
      <w:marBottom w:val="0"/>
      <w:divBdr>
        <w:top w:val="none" w:sz="0" w:space="0" w:color="auto"/>
        <w:left w:val="none" w:sz="0" w:space="0" w:color="auto"/>
        <w:bottom w:val="none" w:sz="0" w:space="0" w:color="auto"/>
        <w:right w:val="none" w:sz="0" w:space="0" w:color="auto"/>
      </w:divBdr>
    </w:div>
    <w:div w:id="1671522455">
      <w:bodyDiv w:val="1"/>
      <w:marLeft w:val="0"/>
      <w:marRight w:val="0"/>
      <w:marTop w:val="0"/>
      <w:marBottom w:val="0"/>
      <w:divBdr>
        <w:top w:val="none" w:sz="0" w:space="0" w:color="auto"/>
        <w:left w:val="none" w:sz="0" w:space="0" w:color="auto"/>
        <w:bottom w:val="none" w:sz="0" w:space="0" w:color="auto"/>
        <w:right w:val="none" w:sz="0" w:space="0" w:color="auto"/>
      </w:divBdr>
    </w:div>
    <w:div w:id="1689989384">
      <w:bodyDiv w:val="1"/>
      <w:marLeft w:val="0"/>
      <w:marRight w:val="0"/>
      <w:marTop w:val="0"/>
      <w:marBottom w:val="0"/>
      <w:divBdr>
        <w:top w:val="none" w:sz="0" w:space="0" w:color="auto"/>
        <w:left w:val="none" w:sz="0" w:space="0" w:color="auto"/>
        <w:bottom w:val="none" w:sz="0" w:space="0" w:color="auto"/>
        <w:right w:val="none" w:sz="0" w:space="0" w:color="auto"/>
      </w:divBdr>
    </w:div>
    <w:div w:id="1691878278">
      <w:bodyDiv w:val="1"/>
      <w:marLeft w:val="0"/>
      <w:marRight w:val="0"/>
      <w:marTop w:val="0"/>
      <w:marBottom w:val="0"/>
      <w:divBdr>
        <w:top w:val="none" w:sz="0" w:space="0" w:color="auto"/>
        <w:left w:val="none" w:sz="0" w:space="0" w:color="auto"/>
        <w:bottom w:val="none" w:sz="0" w:space="0" w:color="auto"/>
        <w:right w:val="none" w:sz="0" w:space="0" w:color="auto"/>
      </w:divBdr>
    </w:div>
    <w:div w:id="1693338979">
      <w:bodyDiv w:val="1"/>
      <w:marLeft w:val="0"/>
      <w:marRight w:val="0"/>
      <w:marTop w:val="0"/>
      <w:marBottom w:val="0"/>
      <w:divBdr>
        <w:top w:val="none" w:sz="0" w:space="0" w:color="auto"/>
        <w:left w:val="none" w:sz="0" w:space="0" w:color="auto"/>
        <w:bottom w:val="none" w:sz="0" w:space="0" w:color="auto"/>
        <w:right w:val="none" w:sz="0" w:space="0" w:color="auto"/>
      </w:divBdr>
    </w:div>
    <w:div w:id="1693454057">
      <w:bodyDiv w:val="1"/>
      <w:marLeft w:val="0"/>
      <w:marRight w:val="0"/>
      <w:marTop w:val="0"/>
      <w:marBottom w:val="0"/>
      <w:divBdr>
        <w:top w:val="none" w:sz="0" w:space="0" w:color="auto"/>
        <w:left w:val="none" w:sz="0" w:space="0" w:color="auto"/>
        <w:bottom w:val="none" w:sz="0" w:space="0" w:color="auto"/>
        <w:right w:val="none" w:sz="0" w:space="0" w:color="auto"/>
      </w:divBdr>
    </w:div>
    <w:div w:id="1693605944">
      <w:bodyDiv w:val="1"/>
      <w:marLeft w:val="0"/>
      <w:marRight w:val="0"/>
      <w:marTop w:val="0"/>
      <w:marBottom w:val="0"/>
      <w:divBdr>
        <w:top w:val="none" w:sz="0" w:space="0" w:color="auto"/>
        <w:left w:val="none" w:sz="0" w:space="0" w:color="auto"/>
        <w:bottom w:val="none" w:sz="0" w:space="0" w:color="auto"/>
        <w:right w:val="none" w:sz="0" w:space="0" w:color="auto"/>
      </w:divBdr>
    </w:div>
    <w:div w:id="1694186077">
      <w:bodyDiv w:val="1"/>
      <w:marLeft w:val="0"/>
      <w:marRight w:val="0"/>
      <w:marTop w:val="0"/>
      <w:marBottom w:val="0"/>
      <w:divBdr>
        <w:top w:val="none" w:sz="0" w:space="0" w:color="auto"/>
        <w:left w:val="none" w:sz="0" w:space="0" w:color="auto"/>
        <w:bottom w:val="none" w:sz="0" w:space="0" w:color="auto"/>
        <w:right w:val="none" w:sz="0" w:space="0" w:color="auto"/>
      </w:divBdr>
      <w:divsChild>
        <w:div w:id="913125545">
          <w:marLeft w:val="0"/>
          <w:marRight w:val="0"/>
          <w:marTop w:val="0"/>
          <w:marBottom w:val="0"/>
          <w:divBdr>
            <w:top w:val="none" w:sz="0" w:space="0" w:color="auto"/>
            <w:left w:val="none" w:sz="0" w:space="0" w:color="auto"/>
            <w:bottom w:val="none" w:sz="0" w:space="0" w:color="auto"/>
            <w:right w:val="none" w:sz="0" w:space="0" w:color="auto"/>
          </w:divBdr>
        </w:div>
        <w:div w:id="2004506075">
          <w:marLeft w:val="0"/>
          <w:marRight w:val="0"/>
          <w:marTop w:val="0"/>
          <w:marBottom w:val="0"/>
          <w:divBdr>
            <w:top w:val="none" w:sz="0" w:space="0" w:color="auto"/>
            <w:left w:val="none" w:sz="0" w:space="0" w:color="auto"/>
            <w:bottom w:val="none" w:sz="0" w:space="0" w:color="auto"/>
            <w:right w:val="none" w:sz="0" w:space="0" w:color="auto"/>
          </w:divBdr>
          <w:divsChild>
            <w:div w:id="244146301">
              <w:marLeft w:val="0"/>
              <w:marRight w:val="0"/>
              <w:marTop w:val="0"/>
              <w:marBottom w:val="0"/>
              <w:divBdr>
                <w:top w:val="none" w:sz="0" w:space="0" w:color="auto"/>
                <w:left w:val="none" w:sz="0" w:space="0" w:color="auto"/>
                <w:bottom w:val="none" w:sz="0" w:space="0" w:color="auto"/>
                <w:right w:val="none" w:sz="0" w:space="0" w:color="auto"/>
              </w:divBdr>
            </w:div>
            <w:div w:id="667294988">
              <w:marLeft w:val="0"/>
              <w:marRight w:val="0"/>
              <w:marTop w:val="0"/>
              <w:marBottom w:val="0"/>
              <w:divBdr>
                <w:top w:val="none" w:sz="0" w:space="0" w:color="auto"/>
                <w:left w:val="none" w:sz="0" w:space="0" w:color="auto"/>
                <w:bottom w:val="none" w:sz="0" w:space="0" w:color="auto"/>
                <w:right w:val="none" w:sz="0" w:space="0" w:color="auto"/>
              </w:divBdr>
            </w:div>
            <w:div w:id="745029857">
              <w:marLeft w:val="0"/>
              <w:marRight w:val="0"/>
              <w:marTop w:val="0"/>
              <w:marBottom w:val="0"/>
              <w:divBdr>
                <w:top w:val="none" w:sz="0" w:space="0" w:color="auto"/>
                <w:left w:val="none" w:sz="0" w:space="0" w:color="auto"/>
                <w:bottom w:val="none" w:sz="0" w:space="0" w:color="auto"/>
                <w:right w:val="none" w:sz="0" w:space="0" w:color="auto"/>
              </w:divBdr>
            </w:div>
            <w:div w:id="1028406302">
              <w:marLeft w:val="0"/>
              <w:marRight w:val="0"/>
              <w:marTop w:val="0"/>
              <w:marBottom w:val="0"/>
              <w:divBdr>
                <w:top w:val="none" w:sz="0" w:space="0" w:color="auto"/>
                <w:left w:val="none" w:sz="0" w:space="0" w:color="auto"/>
                <w:bottom w:val="none" w:sz="0" w:space="0" w:color="auto"/>
                <w:right w:val="none" w:sz="0" w:space="0" w:color="auto"/>
              </w:divBdr>
            </w:div>
            <w:div w:id="2000383399">
              <w:marLeft w:val="0"/>
              <w:marRight w:val="0"/>
              <w:marTop w:val="0"/>
              <w:marBottom w:val="0"/>
              <w:divBdr>
                <w:top w:val="none" w:sz="0" w:space="0" w:color="auto"/>
                <w:left w:val="none" w:sz="0" w:space="0" w:color="auto"/>
                <w:bottom w:val="none" w:sz="0" w:space="0" w:color="auto"/>
                <w:right w:val="none" w:sz="0" w:space="0" w:color="auto"/>
              </w:divBdr>
            </w:div>
          </w:divsChild>
        </w:div>
        <w:div w:id="2056080791">
          <w:marLeft w:val="0"/>
          <w:marRight w:val="0"/>
          <w:marTop w:val="0"/>
          <w:marBottom w:val="0"/>
          <w:divBdr>
            <w:top w:val="none" w:sz="0" w:space="0" w:color="auto"/>
            <w:left w:val="none" w:sz="0" w:space="0" w:color="auto"/>
            <w:bottom w:val="none" w:sz="0" w:space="0" w:color="auto"/>
            <w:right w:val="none" w:sz="0" w:space="0" w:color="auto"/>
          </w:divBdr>
          <w:divsChild>
            <w:div w:id="514030634">
              <w:marLeft w:val="0"/>
              <w:marRight w:val="0"/>
              <w:marTop w:val="0"/>
              <w:marBottom w:val="0"/>
              <w:divBdr>
                <w:top w:val="none" w:sz="0" w:space="0" w:color="auto"/>
                <w:left w:val="none" w:sz="0" w:space="0" w:color="auto"/>
                <w:bottom w:val="none" w:sz="0" w:space="0" w:color="auto"/>
                <w:right w:val="none" w:sz="0" w:space="0" w:color="auto"/>
              </w:divBdr>
            </w:div>
            <w:div w:id="718479340">
              <w:marLeft w:val="0"/>
              <w:marRight w:val="0"/>
              <w:marTop w:val="0"/>
              <w:marBottom w:val="0"/>
              <w:divBdr>
                <w:top w:val="none" w:sz="0" w:space="0" w:color="auto"/>
                <w:left w:val="none" w:sz="0" w:space="0" w:color="auto"/>
                <w:bottom w:val="none" w:sz="0" w:space="0" w:color="auto"/>
                <w:right w:val="none" w:sz="0" w:space="0" w:color="auto"/>
              </w:divBdr>
            </w:div>
            <w:div w:id="999389326">
              <w:marLeft w:val="0"/>
              <w:marRight w:val="0"/>
              <w:marTop w:val="0"/>
              <w:marBottom w:val="0"/>
              <w:divBdr>
                <w:top w:val="none" w:sz="0" w:space="0" w:color="auto"/>
                <w:left w:val="none" w:sz="0" w:space="0" w:color="auto"/>
                <w:bottom w:val="none" w:sz="0" w:space="0" w:color="auto"/>
                <w:right w:val="none" w:sz="0" w:space="0" w:color="auto"/>
              </w:divBdr>
            </w:div>
            <w:div w:id="1039862509">
              <w:marLeft w:val="0"/>
              <w:marRight w:val="0"/>
              <w:marTop w:val="0"/>
              <w:marBottom w:val="0"/>
              <w:divBdr>
                <w:top w:val="none" w:sz="0" w:space="0" w:color="auto"/>
                <w:left w:val="none" w:sz="0" w:space="0" w:color="auto"/>
                <w:bottom w:val="none" w:sz="0" w:space="0" w:color="auto"/>
                <w:right w:val="none" w:sz="0" w:space="0" w:color="auto"/>
              </w:divBdr>
            </w:div>
            <w:div w:id="17306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7213">
      <w:bodyDiv w:val="1"/>
      <w:marLeft w:val="0"/>
      <w:marRight w:val="0"/>
      <w:marTop w:val="0"/>
      <w:marBottom w:val="0"/>
      <w:divBdr>
        <w:top w:val="none" w:sz="0" w:space="0" w:color="auto"/>
        <w:left w:val="none" w:sz="0" w:space="0" w:color="auto"/>
        <w:bottom w:val="none" w:sz="0" w:space="0" w:color="auto"/>
        <w:right w:val="none" w:sz="0" w:space="0" w:color="auto"/>
      </w:divBdr>
    </w:div>
    <w:div w:id="1702198440">
      <w:bodyDiv w:val="1"/>
      <w:marLeft w:val="0"/>
      <w:marRight w:val="0"/>
      <w:marTop w:val="0"/>
      <w:marBottom w:val="0"/>
      <w:divBdr>
        <w:top w:val="none" w:sz="0" w:space="0" w:color="auto"/>
        <w:left w:val="none" w:sz="0" w:space="0" w:color="auto"/>
        <w:bottom w:val="none" w:sz="0" w:space="0" w:color="auto"/>
        <w:right w:val="none" w:sz="0" w:space="0" w:color="auto"/>
      </w:divBdr>
    </w:div>
    <w:div w:id="1716587279">
      <w:bodyDiv w:val="1"/>
      <w:marLeft w:val="0"/>
      <w:marRight w:val="0"/>
      <w:marTop w:val="0"/>
      <w:marBottom w:val="0"/>
      <w:divBdr>
        <w:top w:val="none" w:sz="0" w:space="0" w:color="auto"/>
        <w:left w:val="none" w:sz="0" w:space="0" w:color="auto"/>
        <w:bottom w:val="none" w:sz="0" w:space="0" w:color="auto"/>
        <w:right w:val="none" w:sz="0" w:space="0" w:color="auto"/>
      </w:divBdr>
    </w:div>
    <w:div w:id="1725132182">
      <w:bodyDiv w:val="1"/>
      <w:marLeft w:val="0"/>
      <w:marRight w:val="0"/>
      <w:marTop w:val="0"/>
      <w:marBottom w:val="0"/>
      <w:divBdr>
        <w:top w:val="none" w:sz="0" w:space="0" w:color="auto"/>
        <w:left w:val="none" w:sz="0" w:space="0" w:color="auto"/>
        <w:bottom w:val="none" w:sz="0" w:space="0" w:color="auto"/>
        <w:right w:val="none" w:sz="0" w:space="0" w:color="auto"/>
      </w:divBdr>
    </w:div>
    <w:div w:id="1733845518">
      <w:bodyDiv w:val="1"/>
      <w:marLeft w:val="0"/>
      <w:marRight w:val="0"/>
      <w:marTop w:val="0"/>
      <w:marBottom w:val="0"/>
      <w:divBdr>
        <w:top w:val="none" w:sz="0" w:space="0" w:color="auto"/>
        <w:left w:val="none" w:sz="0" w:space="0" w:color="auto"/>
        <w:bottom w:val="none" w:sz="0" w:space="0" w:color="auto"/>
        <w:right w:val="none" w:sz="0" w:space="0" w:color="auto"/>
      </w:divBdr>
    </w:div>
    <w:div w:id="1740205808">
      <w:bodyDiv w:val="1"/>
      <w:marLeft w:val="0"/>
      <w:marRight w:val="0"/>
      <w:marTop w:val="0"/>
      <w:marBottom w:val="0"/>
      <w:divBdr>
        <w:top w:val="none" w:sz="0" w:space="0" w:color="auto"/>
        <w:left w:val="none" w:sz="0" w:space="0" w:color="auto"/>
        <w:bottom w:val="none" w:sz="0" w:space="0" w:color="auto"/>
        <w:right w:val="none" w:sz="0" w:space="0" w:color="auto"/>
      </w:divBdr>
    </w:div>
    <w:div w:id="1741321398">
      <w:bodyDiv w:val="1"/>
      <w:marLeft w:val="0"/>
      <w:marRight w:val="0"/>
      <w:marTop w:val="0"/>
      <w:marBottom w:val="0"/>
      <w:divBdr>
        <w:top w:val="none" w:sz="0" w:space="0" w:color="auto"/>
        <w:left w:val="none" w:sz="0" w:space="0" w:color="auto"/>
        <w:bottom w:val="none" w:sz="0" w:space="0" w:color="auto"/>
        <w:right w:val="none" w:sz="0" w:space="0" w:color="auto"/>
      </w:divBdr>
    </w:div>
    <w:div w:id="1747991124">
      <w:bodyDiv w:val="1"/>
      <w:marLeft w:val="0"/>
      <w:marRight w:val="0"/>
      <w:marTop w:val="0"/>
      <w:marBottom w:val="0"/>
      <w:divBdr>
        <w:top w:val="none" w:sz="0" w:space="0" w:color="auto"/>
        <w:left w:val="none" w:sz="0" w:space="0" w:color="auto"/>
        <w:bottom w:val="none" w:sz="0" w:space="0" w:color="auto"/>
        <w:right w:val="none" w:sz="0" w:space="0" w:color="auto"/>
      </w:divBdr>
    </w:div>
    <w:div w:id="1752384373">
      <w:bodyDiv w:val="1"/>
      <w:marLeft w:val="0"/>
      <w:marRight w:val="0"/>
      <w:marTop w:val="0"/>
      <w:marBottom w:val="0"/>
      <w:divBdr>
        <w:top w:val="none" w:sz="0" w:space="0" w:color="auto"/>
        <w:left w:val="none" w:sz="0" w:space="0" w:color="auto"/>
        <w:bottom w:val="none" w:sz="0" w:space="0" w:color="auto"/>
        <w:right w:val="none" w:sz="0" w:space="0" w:color="auto"/>
      </w:divBdr>
    </w:div>
    <w:div w:id="1773938452">
      <w:bodyDiv w:val="1"/>
      <w:marLeft w:val="0"/>
      <w:marRight w:val="0"/>
      <w:marTop w:val="0"/>
      <w:marBottom w:val="0"/>
      <w:divBdr>
        <w:top w:val="none" w:sz="0" w:space="0" w:color="auto"/>
        <w:left w:val="none" w:sz="0" w:space="0" w:color="auto"/>
        <w:bottom w:val="none" w:sz="0" w:space="0" w:color="auto"/>
        <w:right w:val="none" w:sz="0" w:space="0" w:color="auto"/>
      </w:divBdr>
      <w:divsChild>
        <w:div w:id="1131940113">
          <w:marLeft w:val="0"/>
          <w:marRight w:val="0"/>
          <w:marTop w:val="82"/>
          <w:marBottom w:val="0"/>
          <w:divBdr>
            <w:top w:val="none" w:sz="0" w:space="0" w:color="auto"/>
            <w:left w:val="none" w:sz="0" w:space="0" w:color="auto"/>
            <w:bottom w:val="none" w:sz="0" w:space="0" w:color="auto"/>
            <w:right w:val="none" w:sz="0" w:space="0" w:color="auto"/>
          </w:divBdr>
        </w:div>
        <w:div w:id="1426533794">
          <w:marLeft w:val="0"/>
          <w:marRight w:val="0"/>
          <w:marTop w:val="82"/>
          <w:marBottom w:val="0"/>
          <w:divBdr>
            <w:top w:val="none" w:sz="0" w:space="0" w:color="auto"/>
            <w:left w:val="none" w:sz="0" w:space="0" w:color="auto"/>
            <w:bottom w:val="none" w:sz="0" w:space="0" w:color="auto"/>
            <w:right w:val="none" w:sz="0" w:space="0" w:color="auto"/>
          </w:divBdr>
        </w:div>
        <w:div w:id="1668559695">
          <w:marLeft w:val="0"/>
          <w:marRight w:val="0"/>
          <w:marTop w:val="82"/>
          <w:marBottom w:val="0"/>
          <w:divBdr>
            <w:top w:val="none" w:sz="0" w:space="0" w:color="auto"/>
            <w:left w:val="none" w:sz="0" w:space="0" w:color="auto"/>
            <w:bottom w:val="none" w:sz="0" w:space="0" w:color="auto"/>
            <w:right w:val="none" w:sz="0" w:space="0" w:color="auto"/>
          </w:divBdr>
        </w:div>
      </w:divsChild>
    </w:div>
    <w:div w:id="1776517111">
      <w:bodyDiv w:val="1"/>
      <w:marLeft w:val="0"/>
      <w:marRight w:val="0"/>
      <w:marTop w:val="0"/>
      <w:marBottom w:val="0"/>
      <w:divBdr>
        <w:top w:val="none" w:sz="0" w:space="0" w:color="auto"/>
        <w:left w:val="none" w:sz="0" w:space="0" w:color="auto"/>
        <w:bottom w:val="none" w:sz="0" w:space="0" w:color="auto"/>
        <w:right w:val="none" w:sz="0" w:space="0" w:color="auto"/>
      </w:divBdr>
    </w:div>
    <w:div w:id="1778133829">
      <w:bodyDiv w:val="1"/>
      <w:marLeft w:val="0"/>
      <w:marRight w:val="0"/>
      <w:marTop w:val="0"/>
      <w:marBottom w:val="0"/>
      <w:divBdr>
        <w:top w:val="none" w:sz="0" w:space="0" w:color="auto"/>
        <w:left w:val="none" w:sz="0" w:space="0" w:color="auto"/>
        <w:bottom w:val="none" w:sz="0" w:space="0" w:color="auto"/>
        <w:right w:val="none" w:sz="0" w:space="0" w:color="auto"/>
      </w:divBdr>
    </w:div>
    <w:div w:id="1779717620">
      <w:bodyDiv w:val="1"/>
      <w:marLeft w:val="0"/>
      <w:marRight w:val="0"/>
      <w:marTop w:val="0"/>
      <w:marBottom w:val="0"/>
      <w:divBdr>
        <w:top w:val="none" w:sz="0" w:space="0" w:color="auto"/>
        <w:left w:val="none" w:sz="0" w:space="0" w:color="auto"/>
        <w:bottom w:val="none" w:sz="0" w:space="0" w:color="auto"/>
        <w:right w:val="none" w:sz="0" w:space="0" w:color="auto"/>
      </w:divBdr>
    </w:div>
    <w:div w:id="1786269635">
      <w:bodyDiv w:val="1"/>
      <w:marLeft w:val="0"/>
      <w:marRight w:val="0"/>
      <w:marTop w:val="0"/>
      <w:marBottom w:val="0"/>
      <w:divBdr>
        <w:top w:val="none" w:sz="0" w:space="0" w:color="auto"/>
        <w:left w:val="none" w:sz="0" w:space="0" w:color="auto"/>
        <w:bottom w:val="none" w:sz="0" w:space="0" w:color="auto"/>
        <w:right w:val="none" w:sz="0" w:space="0" w:color="auto"/>
      </w:divBdr>
    </w:div>
    <w:div w:id="1789816786">
      <w:bodyDiv w:val="1"/>
      <w:marLeft w:val="0"/>
      <w:marRight w:val="0"/>
      <w:marTop w:val="0"/>
      <w:marBottom w:val="0"/>
      <w:divBdr>
        <w:top w:val="none" w:sz="0" w:space="0" w:color="auto"/>
        <w:left w:val="none" w:sz="0" w:space="0" w:color="auto"/>
        <w:bottom w:val="none" w:sz="0" w:space="0" w:color="auto"/>
        <w:right w:val="none" w:sz="0" w:space="0" w:color="auto"/>
      </w:divBdr>
    </w:div>
    <w:div w:id="1789859769">
      <w:bodyDiv w:val="1"/>
      <w:marLeft w:val="0"/>
      <w:marRight w:val="0"/>
      <w:marTop w:val="0"/>
      <w:marBottom w:val="0"/>
      <w:divBdr>
        <w:top w:val="none" w:sz="0" w:space="0" w:color="auto"/>
        <w:left w:val="none" w:sz="0" w:space="0" w:color="auto"/>
        <w:bottom w:val="none" w:sz="0" w:space="0" w:color="auto"/>
        <w:right w:val="none" w:sz="0" w:space="0" w:color="auto"/>
      </w:divBdr>
    </w:div>
    <w:div w:id="1798335143">
      <w:bodyDiv w:val="1"/>
      <w:marLeft w:val="0"/>
      <w:marRight w:val="0"/>
      <w:marTop w:val="0"/>
      <w:marBottom w:val="0"/>
      <w:divBdr>
        <w:top w:val="none" w:sz="0" w:space="0" w:color="auto"/>
        <w:left w:val="none" w:sz="0" w:space="0" w:color="auto"/>
        <w:bottom w:val="none" w:sz="0" w:space="0" w:color="auto"/>
        <w:right w:val="none" w:sz="0" w:space="0" w:color="auto"/>
      </w:divBdr>
    </w:div>
    <w:div w:id="1800102253">
      <w:bodyDiv w:val="1"/>
      <w:marLeft w:val="0"/>
      <w:marRight w:val="0"/>
      <w:marTop w:val="0"/>
      <w:marBottom w:val="0"/>
      <w:divBdr>
        <w:top w:val="none" w:sz="0" w:space="0" w:color="auto"/>
        <w:left w:val="none" w:sz="0" w:space="0" w:color="auto"/>
        <w:bottom w:val="none" w:sz="0" w:space="0" w:color="auto"/>
        <w:right w:val="none" w:sz="0" w:space="0" w:color="auto"/>
      </w:divBdr>
    </w:div>
    <w:div w:id="1814179964">
      <w:bodyDiv w:val="1"/>
      <w:marLeft w:val="0"/>
      <w:marRight w:val="0"/>
      <w:marTop w:val="0"/>
      <w:marBottom w:val="0"/>
      <w:divBdr>
        <w:top w:val="none" w:sz="0" w:space="0" w:color="auto"/>
        <w:left w:val="none" w:sz="0" w:space="0" w:color="auto"/>
        <w:bottom w:val="none" w:sz="0" w:space="0" w:color="auto"/>
        <w:right w:val="none" w:sz="0" w:space="0" w:color="auto"/>
      </w:divBdr>
    </w:div>
    <w:div w:id="1821581522">
      <w:bodyDiv w:val="1"/>
      <w:marLeft w:val="0"/>
      <w:marRight w:val="0"/>
      <w:marTop w:val="0"/>
      <w:marBottom w:val="0"/>
      <w:divBdr>
        <w:top w:val="none" w:sz="0" w:space="0" w:color="auto"/>
        <w:left w:val="none" w:sz="0" w:space="0" w:color="auto"/>
        <w:bottom w:val="none" w:sz="0" w:space="0" w:color="auto"/>
        <w:right w:val="none" w:sz="0" w:space="0" w:color="auto"/>
      </w:divBdr>
    </w:div>
    <w:div w:id="1827555290">
      <w:bodyDiv w:val="1"/>
      <w:marLeft w:val="0"/>
      <w:marRight w:val="0"/>
      <w:marTop w:val="0"/>
      <w:marBottom w:val="0"/>
      <w:divBdr>
        <w:top w:val="none" w:sz="0" w:space="0" w:color="auto"/>
        <w:left w:val="none" w:sz="0" w:space="0" w:color="auto"/>
        <w:bottom w:val="none" w:sz="0" w:space="0" w:color="auto"/>
        <w:right w:val="none" w:sz="0" w:space="0" w:color="auto"/>
      </w:divBdr>
    </w:div>
    <w:div w:id="1839222638">
      <w:bodyDiv w:val="1"/>
      <w:marLeft w:val="0"/>
      <w:marRight w:val="0"/>
      <w:marTop w:val="0"/>
      <w:marBottom w:val="0"/>
      <w:divBdr>
        <w:top w:val="none" w:sz="0" w:space="0" w:color="auto"/>
        <w:left w:val="none" w:sz="0" w:space="0" w:color="auto"/>
        <w:bottom w:val="none" w:sz="0" w:space="0" w:color="auto"/>
        <w:right w:val="none" w:sz="0" w:space="0" w:color="auto"/>
      </w:divBdr>
    </w:div>
    <w:div w:id="1843011132">
      <w:bodyDiv w:val="1"/>
      <w:marLeft w:val="0"/>
      <w:marRight w:val="0"/>
      <w:marTop w:val="0"/>
      <w:marBottom w:val="0"/>
      <w:divBdr>
        <w:top w:val="none" w:sz="0" w:space="0" w:color="auto"/>
        <w:left w:val="none" w:sz="0" w:space="0" w:color="auto"/>
        <w:bottom w:val="none" w:sz="0" w:space="0" w:color="auto"/>
        <w:right w:val="none" w:sz="0" w:space="0" w:color="auto"/>
      </w:divBdr>
    </w:div>
    <w:div w:id="1843161265">
      <w:bodyDiv w:val="1"/>
      <w:marLeft w:val="0"/>
      <w:marRight w:val="0"/>
      <w:marTop w:val="0"/>
      <w:marBottom w:val="0"/>
      <w:divBdr>
        <w:top w:val="none" w:sz="0" w:space="0" w:color="auto"/>
        <w:left w:val="none" w:sz="0" w:space="0" w:color="auto"/>
        <w:bottom w:val="none" w:sz="0" w:space="0" w:color="auto"/>
        <w:right w:val="none" w:sz="0" w:space="0" w:color="auto"/>
      </w:divBdr>
    </w:div>
    <w:div w:id="1848471840">
      <w:bodyDiv w:val="1"/>
      <w:marLeft w:val="0"/>
      <w:marRight w:val="0"/>
      <w:marTop w:val="0"/>
      <w:marBottom w:val="0"/>
      <w:divBdr>
        <w:top w:val="none" w:sz="0" w:space="0" w:color="auto"/>
        <w:left w:val="none" w:sz="0" w:space="0" w:color="auto"/>
        <w:bottom w:val="none" w:sz="0" w:space="0" w:color="auto"/>
        <w:right w:val="none" w:sz="0" w:space="0" w:color="auto"/>
      </w:divBdr>
      <w:divsChild>
        <w:div w:id="401029213">
          <w:marLeft w:val="0"/>
          <w:marRight w:val="0"/>
          <w:marTop w:val="0"/>
          <w:marBottom w:val="0"/>
          <w:divBdr>
            <w:top w:val="none" w:sz="0" w:space="0" w:color="auto"/>
            <w:left w:val="none" w:sz="0" w:space="0" w:color="auto"/>
            <w:bottom w:val="none" w:sz="0" w:space="0" w:color="auto"/>
            <w:right w:val="none" w:sz="0" w:space="0" w:color="auto"/>
          </w:divBdr>
        </w:div>
        <w:div w:id="742993319">
          <w:marLeft w:val="0"/>
          <w:marRight w:val="0"/>
          <w:marTop w:val="0"/>
          <w:marBottom w:val="0"/>
          <w:divBdr>
            <w:top w:val="none" w:sz="0" w:space="0" w:color="auto"/>
            <w:left w:val="none" w:sz="0" w:space="0" w:color="auto"/>
            <w:bottom w:val="none" w:sz="0" w:space="0" w:color="auto"/>
            <w:right w:val="none" w:sz="0" w:space="0" w:color="auto"/>
          </w:divBdr>
        </w:div>
        <w:div w:id="958293758">
          <w:marLeft w:val="0"/>
          <w:marRight w:val="0"/>
          <w:marTop w:val="0"/>
          <w:marBottom w:val="0"/>
          <w:divBdr>
            <w:top w:val="none" w:sz="0" w:space="0" w:color="auto"/>
            <w:left w:val="none" w:sz="0" w:space="0" w:color="auto"/>
            <w:bottom w:val="none" w:sz="0" w:space="0" w:color="auto"/>
            <w:right w:val="none" w:sz="0" w:space="0" w:color="auto"/>
          </w:divBdr>
        </w:div>
        <w:div w:id="1027753912">
          <w:marLeft w:val="0"/>
          <w:marRight w:val="0"/>
          <w:marTop w:val="0"/>
          <w:marBottom w:val="0"/>
          <w:divBdr>
            <w:top w:val="none" w:sz="0" w:space="0" w:color="auto"/>
            <w:left w:val="none" w:sz="0" w:space="0" w:color="auto"/>
            <w:bottom w:val="none" w:sz="0" w:space="0" w:color="auto"/>
            <w:right w:val="none" w:sz="0" w:space="0" w:color="auto"/>
          </w:divBdr>
        </w:div>
        <w:div w:id="1042899783">
          <w:marLeft w:val="0"/>
          <w:marRight w:val="0"/>
          <w:marTop w:val="0"/>
          <w:marBottom w:val="0"/>
          <w:divBdr>
            <w:top w:val="none" w:sz="0" w:space="0" w:color="auto"/>
            <w:left w:val="none" w:sz="0" w:space="0" w:color="auto"/>
            <w:bottom w:val="none" w:sz="0" w:space="0" w:color="auto"/>
            <w:right w:val="none" w:sz="0" w:space="0" w:color="auto"/>
          </w:divBdr>
        </w:div>
        <w:div w:id="1235507638">
          <w:marLeft w:val="0"/>
          <w:marRight w:val="0"/>
          <w:marTop w:val="0"/>
          <w:marBottom w:val="0"/>
          <w:divBdr>
            <w:top w:val="none" w:sz="0" w:space="0" w:color="auto"/>
            <w:left w:val="none" w:sz="0" w:space="0" w:color="auto"/>
            <w:bottom w:val="none" w:sz="0" w:space="0" w:color="auto"/>
            <w:right w:val="none" w:sz="0" w:space="0" w:color="auto"/>
          </w:divBdr>
        </w:div>
      </w:divsChild>
    </w:div>
    <w:div w:id="1849441168">
      <w:bodyDiv w:val="1"/>
      <w:marLeft w:val="0"/>
      <w:marRight w:val="0"/>
      <w:marTop w:val="0"/>
      <w:marBottom w:val="0"/>
      <w:divBdr>
        <w:top w:val="none" w:sz="0" w:space="0" w:color="auto"/>
        <w:left w:val="none" w:sz="0" w:space="0" w:color="auto"/>
        <w:bottom w:val="none" w:sz="0" w:space="0" w:color="auto"/>
        <w:right w:val="none" w:sz="0" w:space="0" w:color="auto"/>
      </w:divBdr>
    </w:div>
    <w:div w:id="1850290849">
      <w:bodyDiv w:val="1"/>
      <w:marLeft w:val="0"/>
      <w:marRight w:val="0"/>
      <w:marTop w:val="0"/>
      <w:marBottom w:val="0"/>
      <w:divBdr>
        <w:top w:val="none" w:sz="0" w:space="0" w:color="auto"/>
        <w:left w:val="none" w:sz="0" w:space="0" w:color="auto"/>
        <w:bottom w:val="none" w:sz="0" w:space="0" w:color="auto"/>
        <w:right w:val="none" w:sz="0" w:space="0" w:color="auto"/>
      </w:divBdr>
      <w:divsChild>
        <w:div w:id="440493681">
          <w:marLeft w:val="0"/>
          <w:marRight w:val="0"/>
          <w:marTop w:val="0"/>
          <w:marBottom w:val="0"/>
          <w:divBdr>
            <w:top w:val="none" w:sz="0" w:space="0" w:color="auto"/>
            <w:left w:val="none" w:sz="0" w:space="0" w:color="auto"/>
            <w:bottom w:val="none" w:sz="0" w:space="0" w:color="auto"/>
            <w:right w:val="none" w:sz="0" w:space="0" w:color="auto"/>
          </w:divBdr>
        </w:div>
        <w:div w:id="817696922">
          <w:marLeft w:val="0"/>
          <w:marRight w:val="0"/>
          <w:marTop w:val="0"/>
          <w:marBottom w:val="0"/>
          <w:divBdr>
            <w:top w:val="none" w:sz="0" w:space="0" w:color="auto"/>
            <w:left w:val="none" w:sz="0" w:space="0" w:color="auto"/>
            <w:bottom w:val="none" w:sz="0" w:space="0" w:color="auto"/>
            <w:right w:val="none" w:sz="0" w:space="0" w:color="auto"/>
          </w:divBdr>
        </w:div>
        <w:div w:id="1001733951">
          <w:marLeft w:val="0"/>
          <w:marRight w:val="0"/>
          <w:marTop w:val="0"/>
          <w:marBottom w:val="0"/>
          <w:divBdr>
            <w:top w:val="none" w:sz="0" w:space="0" w:color="auto"/>
            <w:left w:val="none" w:sz="0" w:space="0" w:color="auto"/>
            <w:bottom w:val="none" w:sz="0" w:space="0" w:color="auto"/>
            <w:right w:val="none" w:sz="0" w:space="0" w:color="auto"/>
          </w:divBdr>
        </w:div>
        <w:div w:id="1160461250">
          <w:marLeft w:val="0"/>
          <w:marRight w:val="0"/>
          <w:marTop w:val="0"/>
          <w:marBottom w:val="0"/>
          <w:divBdr>
            <w:top w:val="none" w:sz="0" w:space="0" w:color="auto"/>
            <w:left w:val="none" w:sz="0" w:space="0" w:color="auto"/>
            <w:bottom w:val="none" w:sz="0" w:space="0" w:color="auto"/>
            <w:right w:val="none" w:sz="0" w:space="0" w:color="auto"/>
          </w:divBdr>
        </w:div>
        <w:div w:id="2111777133">
          <w:marLeft w:val="0"/>
          <w:marRight w:val="0"/>
          <w:marTop w:val="0"/>
          <w:marBottom w:val="0"/>
          <w:divBdr>
            <w:top w:val="none" w:sz="0" w:space="0" w:color="auto"/>
            <w:left w:val="none" w:sz="0" w:space="0" w:color="auto"/>
            <w:bottom w:val="none" w:sz="0" w:space="0" w:color="auto"/>
            <w:right w:val="none" w:sz="0" w:space="0" w:color="auto"/>
          </w:divBdr>
        </w:div>
      </w:divsChild>
    </w:div>
    <w:div w:id="1851141546">
      <w:bodyDiv w:val="1"/>
      <w:marLeft w:val="0"/>
      <w:marRight w:val="0"/>
      <w:marTop w:val="0"/>
      <w:marBottom w:val="0"/>
      <w:divBdr>
        <w:top w:val="none" w:sz="0" w:space="0" w:color="auto"/>
        <w:left w:val="none" w:sz="0" w:space="0" w:color="auto"/>
        <w:bottom w:val="none" w:sz="0" w:space="0" w:color="auto"/>
        <w:right w:val="none" w:sz="0" w:space="0" w:color="auto"/>
      </w:divBdr>
    </w:div>
    <w:div w:id="1851675415">
      <w:bodyDiv w:val="1"/>
      <w:marLeft w:val="0"/>
      <w:marRight w:val="0"/>
      <w:marTop w:val="0"/>
      <w:marBottom w:val="0"/>
      <w:divBdr>
        <w:top w:val="none" w:sz="0" w:space="0" w:color="auto"/>
        <w:left w:val="none" w:sz="0" w:space="0" w:color="auto"/>
        <w:bottom w:val="none" w:sz="0" w:space="0" w:color="auto"/>
        <w:right w:val="none" w:sz="0" w:space="0" w:color="auto"/>
      </w:divBdr>
    </w:div>
    <w:div w:id="1858039593">
      <w:bodyDiv w:val="1"/>
      <w:marLeft w:val="0"/>
      <w:marRight w:val="0"/>
      <w:marTop w:val="0"/>
      <w:marBottom w:val="0"/>
      <w:divBdr>
        <w:top w:val="none" w:sz="0" w:space="0" w:color="auto"/>
        <w:left w:val="none" w:sz="0" w:space="0" w:color="auto"/>
        <w:bottom w:val="none" w:sz="0" w:space="0" w:color="auto"/>
        <w:right w:val="none" w:sz="0" w:space="0" w:color="auto"/>
      </w:divBdr>
    </w:div>
    <w:div w:id="1870794630">
      <w:bodyDiv w:val="1"/>
      <w:marLeft w:val="0"/>
      <w:marRight w:val="0"/>
      <w:marTop w:val="0"/>
      <w:marBottom w:val="0"/>
      <w:divBdr>
        <w:top w:val="none" w:sz="0" w:space="0" w:color="auto"/>
        <w:left w:val="none" w:sz="0" w:space="0" w:color="auto"/>
        <w:bottom w:val="none" w:sz="0" w:space="0" w:color="auto"/>
        <w:right w:val="none" w:sz="0" w:space="0" w:color="auto"/>
      </w:divBdr>
    </w:div>
    <w:div w:id="1877041984">
      <w:bodyDiv w:val="1"/>
      <w:marLeft w:val="0"/>
      <w:marRight w:val="0"/>
      <w:marTop w:val="0"/>
      <w:marBottom w:val="0"/>
      <w:divBdr>
        <w:top w:val="none" w:sz="0" w:space="0" w:color="auto"/>
        <w:left w:val="none" w:sz="0" w:space="0" w:color="auto"/>
        <w:bottom w:val="none" w:sz="0" w:space="0" w:color="auto"/>
        <w:right w:val="none" w:sz="0" w:space="0" w:color="auto"/>
      </w:divBdr>
    </w:div>
    <w:div w:id="1895192663">
      <w:bodyDiv w:val="1"/>
      <w:marLeft w:val="0"/>
      <w:marRight w:val="0"/>
      <w:marTop w:val="0"/>
      <w:marBottom w:val="0"/>
      <w:divBdr>
        <w:top w:val="none" w:sz="0" w:space="0" w:color="auto"/>
        <w:left w:val="none" w:sz="0" w:space="0" w:color="auto"/>
        <w:bottom w:val="none" w:sz="0" w:space="0" w:color="auto"/>
        <w:right w:val="none" w:sz="0" w:space="0" w:color="auto"/>
      </w:divBdr>
    </w:div>
    <w:div w:id="1895919779">
      <w:bodyDiv w:val="1"/>
      <w:marLeft w:val="0"/>
      <w:marRight w:val="0"/>
      <w:marTop w:val="0"/>
      <w:marBottom w:val="0"/>
      <w:divBdr>
        <w:top w:val="none" w:sz="0" w:space="0" w:color="auto"/>
        <w:left w:val="none" w:sz="0" w:space="0" w:color="auto"/>
        <w:bottom w:val="none" w:sz="0" w:space="0" w:color="auto"/>
        <w:right w:val="none" w:sz="0" w:space="0" w:color="auto"/>
      </w:divBdr>
      <w:divsChild>
        <w:div w:id="1053577048">
          <w:marLeft w:val="0"/>
          <w:marRight w:val="0"/>
          <w:marTop w:val="0"/>
          <w:marBottom w:val="0"/>
          <w:divBdr>
            <w:top w:val="none" w:sz="0" w:space="0" w:color="auto"/>
            <w:left w:val="none" w:sz="0" w:space="0" w:color="auto"/>
            <w:bottom w:val="none" w:sz="0" w:space="0" w:color="auto"/>
            <w:right w:val="none" w:sz="0" w:space="0" w:color="auto"/>
          </w:divBdr>
        </w:div>
        <w:div w:id="1361855344">
          <w:marLeft w:val="0"/>
          <w:marRight w:val="0"/>
          <w:marTop w:val="0"/>
          <w:marBottom w:val="0"/>
          <w:divBdr>
            <w:top w:val="none" w:sz="0" w:space="0" w:color="auto"/>
            <w:left w:val="none" w:sz="0" w:space="0" w:color="auto"/>
            <w:bottom w:val="none" w:sz="0" w:space="0" w:color="auto"/>
            <w:right w:val="none" w:sz="0" w:space="0" w:color="auto"/>
          </w:divBdr>
          <w:divsChild>
            <w:div w:id="12517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2943">
      <w:bodyDiv w:val="1"/>
      <w:marLeft w:val="0"/>
      <w:marRight w:val="0"/>
      <w:marTop w:val="0"/>
      <w:marBottom w:val="0"/>
      <w:divBdr>
        <w:top w:val="none" w:sz="0" w:space="0" w:color="auto"/>
        <w:left w:val="none" w:sz="0" w:space="0" w:color="auto"/>
        <w:bottom w:val="none" w:sz="0" w:space="0" w:color="auto"/>
        <w:right w:val="none" w:sz="0" w:space="0" w:color="auto"/>
      </w:divBdr>
    </w:div>
    <w:div w:id="1899364463">
      <w:bodyDiv w:val="1"/>
      <w:marLeft w:val="0"/>
      <w:marRight w:val="0"/>
      <w:marTop w:val="0"/>
      <w:marBottom w:val="0"/>
      <w:divBdr>
        <w:top w:val="none" w:sz="0" w:space="0" w:color="auto"/>
        <w:left w:val="none" w:sz="0" w:space="0" w:color="auto"/>
        <w:bottom w:val="none" w:sz="0" w:space="0" w:color="auto"/>
        <w:right w:val="none" w:sz="0" w:space="0" w:color="auto"/>
      </w:divBdr>
    </w:div>
    <w:div w:id="1916166136">
      <w:bodyDiv w:val="1"/>
      <w:marLeft w:val="0"/>
      <w:marRight w:val="0"/>
      <w:marTop w:val="0"/>
      <w:marBottom w:val="0"/>
      <w:divBdr>
        <w:top w:val="none" w:sz="0" w:space="0" w:color="auto"/>
        <w:left w:val="none" w:sz="0" w:space="0" w:color="auto"/>
        <w:bottom w:val="none" w:sz="0" w:space="0" w:color="auto"/>
        <w:right w:val="none" w:sz="0" w:space="0" w:color="auto"/>
      </w:divBdr>
    </w:div>
    <w:div w:id="1920364264">
      <w:bodyDiv w:val="1"/>
      <w:marLeft w:val="0"/>
      <w:marRight w:val="0"/>
      <w:marTop w:val="0"/>
      <w:marBottom w:val="0"/>
      <w:divBdr>
        <w:top w:val="none" w:sz="0" w:space="0" w:color="auto"/>
        <w:left w:val="none" w:sz="0" w:space="0" w:color="auto"/>
        <w:bottom w:val="none" w:sz="0" w:space="0" w:color="auto"/>
        <w:right w:val="none" w:sz="0" w:space="0" w:color="auto"/>
      </w:divBdr>
    </w:div>
    <w:div w:id="1955745384">
      <w:bodyDiv w:val="1"/>
      <w:marLeft w:val="0"/>
      <w:marRight w:val="0"/>
      <w:marTop w:val="0"/>
      <w:marBottom w:val="0"/>
      <w:divBdr>
        <w:top w:val="none" w:sz="0" w:space="0" w:color="auto"/>
        <w:left w:val="none" w:sz="0" w:space="0" w:color="auto"/>
        <w:bottom w:val="none" w:sz="0" w:space="0" w:color="auto"/>
        <w:right w:val="none" w:sz="0" w:space="0" w:color="auto"/>
      </w:divBdr>
    </w:div>
    <w:div w:id="1960839367">
      <w:bodyDiv w:val="1"/>
      <w:marLeft w:val="0"/>
      <w:marRight w:val="0"/>
      <w:marTop w:val="0"/>
      <w:marBottom w:val="0"/>
      <w:divBdr>
        <w:top w:val="none" w:sz="0" w:space="0" w:color="auto"/>
        <w:left w:val="none" w:sz="0" w:space="0" w:color="auto"/>
        <w:bottom w:val="none" w:sz="0" w:space="0" w:color="auto"/>
        <w:right w:val="none" w:sz="0" w:space="0" w:color="auto"/>
      </w:divBdr>
    </w:div>
    <w:div w:id="1961036442">
      <w:bodyDiv w:val="1"/>
      <w:marLeft w:val="0"/>
      <w:marRight w:val="0"/>
      <w:marTop w:val="0"/>
      <w:marBottom w:val="0"/>
      <w:divBdr>
        <w:top w:val="none" w:sz="0" w:space="0" w:color="auto"/>
        <w:left w:val="none" w:sz="0" w:space="0" w:color="auto"/>
        <w:bottom w:val="none" w:sz="0" w:space="0" w:color="auto"/>
        <w:right w:val="none" w:sz="0" w:space="0" w:color="auto"/>
      </w:divBdr>
      <w:divsChild>
        <w:div w:id="82646247">
          <w:marLeft w:val="0"/>
          <w:marRight w:val="0"/>
          <w:marTop w:val="0"/>
          <w:marBottom w:val="0"/>
          <w:divBdr>
            <w:top w:val="none" w:sz="0" w:space="0" w:color="auto"/>
            <w:left w:val="none" w:sz="0" w:space="0" w:color="auto"/>
            <w:bottom w:val="none" w:sz="0" w:space="0" w:color="auto"/>
            <w:right w:val="none" w:sz="0" w:space="0" w:color="auto"/>
          </w:divBdr>
        </w:div>
        <w:div w:id="1822234155">
          <w:marLeft w:val="0"/>
          <w:marRight w:val="0"/>
          <w:marTop w:val="0"/>
          <w:marBottom w:val="0"/>
          <w:divBdr>
            <w:top w:val="none" w:sz="0" w:space="0" w:color="auto"/>
            <w:left w:val="none" w:sz="0" w:space="0" w:color="auto"/>
            <w:bottom w:val="none" w:sz="0" w:space="0" w:color="auto"/>
            <w:right w:val="none" w:sz="0" w:space="0" w:color="auto"/>
          </w:divBdr>
          <w:divsChild>
            <w:div w:id="736779480">
              <w:marLeft w:val="0"/>
              <w:marRight w:val="0"/>
              <w:marTop w:val="0"/>
              <w:marBottom w:val="0"/>
              <w:divBdr>
                <w:top w:val="none" w:sz="0" w:space="0" w:color="auto"/>
                <w:left w:val="none" w:sz="0" w:space="0" w:color="auto"/>
                <w:bottom w:val="none" w:sz="0" w:space="0" w:color="auto"/>
                <w:right w:val="none" w:sz="0" w:space="0" w:color="auto"/>
              </w:divBdr>
              <w:divsChild>
                <w:div w:id="432826286">
                  <w:marLeft w:val="0"/>
                  <w:marRight w:val="0"/>
                  <w:marTop w:val="0"/>
                  <w:marBottom w:val="0"/>
                  <w:divBdr>
                    <w:top w:val="none" w:sz="0" w:space="0" w:color="auto"/>
                    <w:left w:val="none" w:sz="0" w:space="0" w:color="auto"/>
                    <w:bottom w:val="none" w:sz="0" w:space="0" w:color="auto"/>
                    <w:right w:val="none" w:sz="0" w:space="0" w:color="auto"/>
                  </w:divBdr>
                  <w:divsChild>
                    <w:div w:id="1549956174">
                      <w:marLeft w:val="0"/>
                      <w:marRight w:val="0"/>
                      <w:marTop w:val="0"/>
                      <w:marBottom w:val="0"/>
                      <w:divBdr>
                        <w:top w:val="none" w:sz="0" w:space="0" w:color="auto"/>
                        <w:left w:val="none" w:sz="0" w:space="0" w:color="auto"/>
                        <w:bottom w:val="none" w:sz="0" w:space="0" w:color="auto"/>
                        <w:right w:val="none" w:sz="0" w:space="0" w:color="auto"/>
                      </w:divBdr>
                    </w:div>
                    <w:div w:id="19995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4568">
          <w:marLeft w:val="0"/>
          <w:marRight w:val="0"/>
          <w:marTop w:val="0"/>
          <w:marBottom w:val="0"/>
          <w:divBdr>
            <w:top w:val="none" w:sz="0" w:space="0" w:color="auto"/>
            <w:left w:val="none" w:sz="0" w:space="0" w:color="auto"/>
            <w:bottom w:val="none" w:sz="0" w:space="0" w:color="auto"/>
            <w:right w:val="none" w:sz="0" w:space="0" w:color="auto"/>
          </w:divBdr>
        </w:div>
      </w:divsChild>
    </w:div>
    <w:div w:id="1965037229">
      <w:bodyDiv w:val="1"/>
      <w:marLeft w:val="0"/>
      <w:marRight w:val="0"/>
      <w:marTop w:val="0"/>
      <w:marBottom w:val="0"/>
      <w:divBdr>
        <w:top w:val="none" w:sz="0" w:space="0" w:color="auto"/>
        <w:left w:val="none" w:sz="0" w:space="0" w:color="auto"/>
        <w:bottom w:val="none" w:sz="0" w:space="0" w:color="auto"/>
        <w:right w:val="none" w:sz="0" w:space="0" w:color="auto"/>
      </w:divBdr>
    </w:div>
    <w:div w:id="1968925124">
      <w:bodyDiv w:val="1"/>
      <w:marLeft w:val="0"/>
      <w:marRight w:val="0"/>
      <w:marTop w:val="0"/>
      <w:marBottom w:val="0"/>
      <w:divBdr>
        <w:top w:val="none" w:sz="0" w:space="0" w:color="auto"/>
        <w:left w:val="none" w:sz="0" w:space="0" w:color="auto"/>
        <w:bottom w:val="none" w:sz="0" w:space="0" w:color="auto"/>
        <w:right w:val="none" w:sz="0" w:space="0" w:color="auto"/>
      </w:divBdr>
    </w:div>
    <w:div w:id="1972443477">
      <w:bodyDiv w:val="1"/>
      <w:marLeft w:val="0"/>
      <w:marRight w:val="0"/>
      <w:marTop w:val="0"/>
      <w:marBottom w:val="0"/>
      <w:divBdr>
        <w:top w:val="none" w:sz="0" w:space="0" w:color="auto"/>
        <w:left w:val="none" w:sz="0" w:space="0" w:color="auto"/>
        <w:bottom w:val="none" w:sz="0" w:space="0" w:color="auto"/>
        <w:right w:val="none" w:sz="0" w:space="0" w:color="auto"/>
      </w:divBdr>
    </w:div>
    <w:div w:id="1974796450">
      <w:bodyDiv w:val="1"/>
      <w:marLeft w:val="0"/>
      <w:marRight w:val="0"/>
      <w:marTop w:val="0"/>
      <w:marBottom w:val="0"/>
      <w:divBdr>
        <w:top w:val="none" w:sz="0" w:space="0" w:color="auto"/>
        <w:left w:val="none" w:sz="0" w:space="0" w:color="auto"/>
        <w:bottom w:val="none" w:sz="0" w:space="0" w:color="auto"/>
        <w:right w:val="none" w:sz="0" w:space="0" w:color="auto"/>
      </w:divBdr>
    </w:div>
    <w:div w:id="1982884404">
      <w:bodyDiv w:val="1"/>
      <w:marLeft w:val="0"/>
      <w:marRight w:val="0"/>
      <w:marTop w:val="0"/>
      <w:marBottom w:val="0"/>
      <w:divBdr>
        <w:top w:val="none" w:sz="0" w:space="0" w:color="auto"/>
        <w:left w:val="none" w:sz="0" w:space="0" w:color="auto"/>
        <w:bottom w:val="none" w:sz="0" w:space="0" w:color="auto"/>
        <w:right w:val="none" w:sz="0" w:space="0" w:color="auto"/>
      </w:divBdr>
    </w:div>
    <w:div w:id="1988707870">
      <w:bodyDiv w:val="1"/>
      <w:marLeft w:val="0"/>
      <w:marRight w:val="0"/>
      <w:marTop w:val="0"/>
      <w:marBottom w:val="0"/>
      <w:divBdr>
        <w:top w:val="none" w:sz="0" w:space="0" w:color="auto"/>
        <w:left w:val="none" w:sz="0" w:space="0" w:color="auto"/>
        <w:bottom w:val="none" w:sz="0" w:space="0" w:color="auto"/>
        <w:right w:val="none" w:sz="0" w:space="0" w:color="auto"/>
      </w:divBdr>
    </w:div>
    <w:div w:id="1990019508">
      <w:bodyDiv w:val="1"/>
      <w:marLeft w:val="0"/>
      <w:marRight w:val="0"/>
      <w:marTop w:val="0"/>
      <w:marBottom w:val="0"/>
      <w:divBdr>
        <w:top w:val="none" w:sz="0" w:space="0" w:color="auto"/>
        <w:left w:val="none" w:sz="0" w:space="0" w:color="auto"/>
        <w:bottom w:val="none" w:sz="0" w:space="0" w:color="auto"/>
        <w:right w:val="none" w:sz="0" w:space="0" w:color="auto"/>
      </w:divBdr>
    </w:div>
    <w:div w:id="1997488857">
      <w:bodyDiv w:val="1"/>
      <w:marLeft w:val="0"/>
      <w:marRight w:val="0"/>
      <w:marTop w:val="0"/>
      <w:marBottom w:val="0"/>
      <w:divBdr>
        <w:top w:val="none" w:sz="0" w:space="0" w:color="auto"/>
        <w:left w:val="none" w:sz="0" w:space="0" w:color="auto"/>
        <w:bottom w:val="none" w:sz="0" w:space="0" w:color="auto"/>
        <w:right w:val="none" w:sz="0" w:space="0" w:color="auto"/>
      </w:divBdr>
    </w:div>
    <w:div w:id="2006932827">
      <w:bodyDiv w:val="1"/>
      <w:marLeft w:val="0"/>
      <w:marRight w:val="0"/>
      <w:marTop w:val="0"/>
      <w:marBottom w:val="0"/>
      <w:divBdr>
        <w:top w:val="none" w:sz="0" w:space="0" w:color="auto"/>
        <w:left w:val="none" w:sz="0" w:space="0" w:color="auto"/>
        <w:bottom w:val="none" w:sz="0" w:space="0" w:color="auto"/>
        <w:right w:val="none" w:sz="0" w:space="0" w:color="auto"/>
      </w:divBdr>
    </w:div>
    <w:div w:id="2025521383">
      <w:bodyDiv w:val="1"/>
      <w:marLeft w:val="0"/>
      <w:marRight w:val="0"/>
      <w:marTop w:val="0"/>
      <w:marBottom w:val="0"/>
      <w:divBdr>
        <w:top w:val="none" w:sz="0" w:space="0" w:color="auto"/>
        <w:left w:val="none" w:sz="0" w:space="0" w:color="auto"/>
        <w:bottom w:val="none" w:sz="0" w:space="0" w:color="auto"/>
        <w:right w:val="none" w:sz="0" w:space="0" w:color="auto"/>
      </w:divBdr>
    </w:div>
    <w:div w:id="2029410395">
      <w:bodyDiv w:val="1"/>
      <w:marLeft w:val="0"/>
      <w:marRight w:val="0"/>
      <w:marTop w:val="0"/>
      <w:marBottom w:val="0"/>
      <w:divBdr>
        <w:top w:val="none" w:sz="0" w:space="0" w:color="auto"/>
        <w:left w:val="none" w:sz="0" w:space="0" w:color="auto"/>
        <w:bottom w:val="none" w:sz="0" w:space="0" w:color="auto"/>
        <w:right w:val="none" w:sz="0" w:space="0" w:color="auto"/>
      </w:divBdr>
    </w:div>
    <w:div w:id="2029912456">
      <w:bodyDiv w:val="1"/>
      <w:marLeft w:val="0"/>
      <w:marRight w:val="0"/>
      <w:marTop w:val="0"/>
      <w:marBottom w:val="0"/>
      <w:divBdr>
        <w:top w:val="none" w:sz="0" w:space="0" w:color="auto"/>
        <w:left w:val="none" w:sz="0" w:space="0" w:color="auto"/>
        <w:bottom w:val="none" w:sz="0" w:space="0" w:color="auto"/>
        <w:right w:val="none" w:sz="0" w:space="0" w:color="auto"/>
      </w:divBdr>
    </w:div>
    <w:div w:id="2040541297">
      <w:bodyDiv w:val="1"/>
      <w:marLeft w:val="0"/>
      <w:marRight w:val="0"/>
      <w:marTop w:val="0"/>
      <w:marBottom w:val="0"/>
      <w:divBdr>
        <w:top w:val="none" w:sz="0" w:space="0" w:color="auto"/>
        <w:left w:val="none" w:sz="0" w:space="0" w:color="auto"/>
        <w:bottom w:val="none" w:sz="0" w:space="0" w:color="auto"/>
        <w:right w:val="none" w:sz="0" w:space="0" w:color="auto"/>
      </w:divBdr>
    </w:div>
    <w:div w:id="2041858717">
      <w:bodyDiv w:val="1"/>
      <w:marLeft w:val="0"/>
      <w:marRight w:val="0"/>
      <w:marTop w:val="0"/>
      <w:marBottom w:val="0"/>
      <w:divBdr>
        <w:top w:val="none" w:sz="0" w:space="0" w:color="auto"/>
        <w:left w:val="none" w:sz="0" w:space="0" w:color="auto"/>
        <w:bottom w:val="none" w:sz="0" w:space="0" w:color="auto"/>
        <w:right w:val="none" w:sz="0" w:space="0" w:color="auto"/>
      </w:divBdr>
    </w:div>
    <w:div w:id="2050716305">
      <w:bodyDiv w:val="1"/>
      <w:marLeft w:val="0"/>
      <w:marRight w:val="0"/>
      <w:marTop w:val="0"/>
      <w:marBottom w:val="0"/>
      <w:divBdr>
        <w:top w:val="none" w:sz="0" w:space="0" w:color="auto"/>
        <w:left w:val="none" w:sz="0" w:space="0" w:color="auto"/>
        <w:bottom w:val="none" w:sz="0" w:space="0" w:color="auto"/>
        <w:right w:val="none" w:sz="0" w:space="0" w:color="auto"/>
      </w:divBdr>
    </w:div>
    <w:div w:id="2055232883">
      <w:bodyDiv w:val="1"/>
      <w:marLeft w:val="0"/>
      <w:marRight w:val="0"/>
      <w:marTop w:val="0"/>
      <w:marBottom w:val="0"/>
      <w:divBdr>
        <w:top w:val="none" w:sz="0" w:space="0" w:color="auto"/>
        <w:left w:val="none" w:sz="0" w:space="0" w:color="auto"/>
        <w:bottom w:val="none" w:sz="0" w:space="0" w:color="auto"/>
        <w:right w:val="none" w:sz="0" w:space="0" w:color="auto"/>
      </w:divBdr>
    </w:div>
    <w:div w:id="2056536082">
      <w:bodyDiv w:val="1"/>
      <w:marLeft w:val="0"/>
      <w:marRight w:val="0"/>
      <w:marTop w:val="0"/>
      <w:marBottom w:val="0"/>
      <w:divBdr>
        <w:top w:val="none" w:sz="0" w:space="0" w:color="auto"/>
        <w:left w:val="none" w:sz="0" w:space="0" w:color="auto"/>
        <w:bottom w:val="none" w:sz="0" w:space="0" w:color="auto"/>
        <w:right w:val="none" w:sz="0" w:space="0" w:color="auto"/>
      </w:divBdr>
    </w:div>
    <w:div w:id="2071344293">
      <w:bodyDiv w:val="1"/>
      <w:marLeft w:val="0"/>
      <w:marRight w:val="0"/>
      <w:marTop w:val="0"/>
      <w:marBottom w:val="0"/>
      <w:divBdr>
        <w:top w:val="none" w:sz="0" w:space="0" w:color="auto"/>
        <w:left w:val="none" w:sz="0" w:space="0" w:color="auto"/>
        <w:bottom w:val="none" w:sz="0" w:space="0" w:color="auto"/>
        <w:right w:val="none" w:sz="0" w:space="0" w:color="auto"/>
      </w:divBdr>
    </w:div>
    <w:div w:id="2079279349">
      <w:bodyDiv w:val="1"/>
      <w:marLeft w:val="0"/>
      <w:marRight w:val="0"/>
      <w:marTop w:val="0"/>
      <w:marBottom w:val="0"/>
      <w:divBdr>
        <w:top w:val="none" w:sz="0" w:space="0" w:color="auto"/>
        <w:left w:val="none" w:sz="0" w:space="0" w:color="auto"/>
        <w:bottom w:val="none" w:sz="0" w:space="0" w:color="auto"/>
        <w:right w:val="none" w:sz="0" w:space="0" w:color="auto"/>
      </w:divBdr>
    </w:div>
    <w:div w:id="2087797303">
      <w:bodyDiv w:val="1"/>
      <w:marLeft w:val="0"/>
      <w:marRight w:val="0"/>
      <w:marTop w:val="0"/>
      <w:marBottom w:val="0"/>
      <w:divBdr>
        <w:top w:val="none" w:sz="0" w:space="0" w:color="auto"/>
        <w:left w:val="none" w:sz="0" w:space="0" w:color="auto"/>
        <w:bottom w:val="none" w:sz="0" w:space="0" w:color="auto"/>
        <w:right w:val="none" w:sz="0" w:space="0" w:color="auto"/>
      </w:divBdr>
    </w:div>
    <w:div w:id="2090688332">
      <w:bodyDiv w:val="1"/>
      <w:marLeft w:val="0"/>
      <w:marRight w:val="0"/>
      <w:marTop w:val="0"/>
      <w:marBottom w:val="0"/>
      <w:divBdr>
        <w:top w:val="none" w:sz="0" w:space="0" w:color="auto"/>
        <w:left w:val="none" w:sz="0" w:space="0" w:color="auto"/>
        <w:bottom w:val="none" w:sz="0" w:space="0" w:color="auto"/>
        <w:right w:val="none" w:sz="0" w:space="0" w:color="auto"/>
      </w:divBdr>
    </w:div>
    <w:div w:id="2101289127">
      <w:bodyDiv w:val="1"/>
      <w:marLeft w:val="0"/>
      <w:marRight w:val="0"/>
      <w:marTop w:val="0"/>
      <w:marBottom w:val="0"/>
      <w:divBdr>
        <w:top w:val="none" w:sz="0" w:space="0" w:color="auto"/>
        <w:left w:val="none" w:sz="0" w:space="0" w:color="auto"/>
        <w:bottom w:val="none" w:sz="0" w:space="0" w:color="auto"/>
        <w:right w:val="none" w:sz="0" w:space="0" w:color="auto"/>
      </w:divBdr>
      <w:divsChild>
        <w:div w:id="226035542">
          <w:marLeft w:val="0"/>
          <w:marRight w:val="0"/>
          <w:marTop w:val="0"/>
          <w:marBottom w:val="0"/>
          <w:divBdr>
            <w:top w:val="none" w:sz="0" w:space="0" w:color="auto"/>
            <w:left w:val="none" w:sz="0" w:space="0" w:color="auto"/>
            <w:bottom w:val="none" w:sz="0" w:space="0" w:color="auto"/>
            <w:right w:val="none" w:sz="0" w:space="0" w:color="auto"/>
          </w:divBdr>
        </w:div>
        <w:div w:id="1730835303">
          <w:marLeft w:val="0"/>
          <w:marRight w:val="0"/>
          <w:marTop w:val="0"/>
          <w:marBottom w:val="0"/>
          <w:divBdr>
            <w:top w:val="none" w:sz="0" w:space="0" w:color="auto"/>
            <w:left w:val="none" w:sz="0" w:space="0" w:color="auto"/>
            <w:bottom w:val="none" w:sz="0" w:space="0" w:color="auto"/>
            <w:right w:val="none" w:sz="0" w:space="0" w:color="auto"/>
          </w:divBdr>
        </w:div>
      </w:divsChild>
    </w:div>
    <w:div w:id="2126461648">
      <w:bodyDiv w:val="1"/>
      <w:marLeft w:val="0"/>
      <w:marRight w:val="0"/>
      <w:marTop w:val="0"/>
      <w:marBottom w:val="0"/>
      <w:divBdr>
        <w:top w:val="none" w:sz="0" w:space="0" w:color="auto"/>
        <w:left w:val="none" w:sz="0" w:space="0" w:color="auto"/>
        <w:bottom w:val="none" w:sz="0" w:space="0" w:color="auto"/>
        <w:right w:val="none" w:sz="0" w:space="0" w:color="auto"/>
      </w:divBdr>
    </w:div>
    <w:div w:id="2138405188">
      <w:bodyDiv w:val="1"/>
      <w:marLeft w:val="0"/>
      <w:marRight w:val="0"/>
      <w:marTop w:val="0"/>
      <w:marBottom w:val="0"/>
      <w:divBdr>
        <w:top w:val="none" w:sz="0" w:space="0" w:color="auto"/>
        <w:left w:val="none" w:sz="0" w:space="0" w:color="auto"/>
        <w:bottom w:val="none" w:sz="0" w:space="0" w:color="auto"/>
        <w:right w:val="none" w:sz="0" w:space="0" w:color="auto"/>
      </w:divBdr>
    </w:div>
    <w:div w:id="2139256054">
      <w:bodyDiv w:val="1"/>
      <w:marLeft w:val="0"/>
      <w:marRight w:val="0"/>
      <w:marTop w:val="0"/>
      <w:marBottom w:val="0"/>
      <w:divBdr>
        <w:top w:val="none" w:sz="0" w:space="0" w:color="auto"/>
        <w:left w:val="none" w:sz="0" w:space="0" w:color="auto"/>
        <w:bottom w:val="none" w:sz="0" w:space="0" w:color="auto"/>
        <w:right w:val="none" w:sz="0" w:space="0" w:color="auto"/>
      </w:divBdr>
    </w:div>
    <w:div w:id="2146073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header" Target="header14.xml"/><Relationship Id="rId21" Type="http://schemas.openxmlformats.org/officeDocument/2006/relationships/header" Target="header2.xml"/><Relationship Id="rId34" Type="http://schemas.openxmlformats.org/officeDocument/2006/relationships/footer" Target="footer5.xml"/><Relationship Id="rId42" Type="http://schemas.openxmlformats.org/officeDocument/2006/relationships/header" Target="header17.xml"/><Relationship Id="rId47" Type="http://schemas.openxmlformats.org/officeDocument/2006/relationships/header" Target="header22.xml"/><Relationship Id="rId50" Type="http://schemas.openxmlformats.org/officeDocument/2006/relationships/header" Target="header25.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header" Target="header26.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4.xml"/><Relationship Id="rId44" Type="http://schemas.openxmlformats.org/officeDocument/2006/relationships/header" Target="header19.xml"/><Relationship Id="rId52" Type="http://schemas.openxmlformats.org/officeDocument/2006/relationships/hyperlink" Target="mailto:com@lawcom.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eader" Target="header23.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lawcom.govt.nz" TargetMode="External"/><Relationship Id="rId25" Type="http://schemas.openxmlformats.org/officeDocument/2006/relationships/header" Target="header4.xml"/><Relationship Id="rId33" Type="http://schemas.openxmlformats.org/officeDocument/2006/relationships/header" Target="header11.xml"/><Relationship Id="rId38" Type="http://schemas.openxmlformats.org/officeDocument/2006/relationships/footer" Target="footer7.xml"/><Relationship Id="rId46" Type="http://schemas.openxmlformats.org/officeDocument/2006/relationships/header" Target="header21.xml"/><Relationship Id="rId20" Type="http://schemas.openxmlformats.org/officeDocument/2006/relationships/hyperlink" Target="https://creativecommons.org/licenses/by/4" TargetMode="External"/><Relationship Id="rId41" Type="http://schemas.openxmlformats.org/officeDocument/2006/relationships/header" Target="header16.xml"/><Relationship Id="rId54"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footer" Target="footer6.xml"/><Relationship Id="rId49" Type="http://schemas.openxmlformats.org/officeDocument/2006/relationships/header" Target="header2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www.lawcom.govt.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Issues%20Paper%20-%20Chapter%20-%20Templa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85b4a20-75c1-47a1-b80d-c24888539def" xsi:nil="true"/>
    <_dlc_DocId xmlns="a85b4a20-75c1-47a1-b80d-c24888539def">EFJMHPFX6CZM-614390009-75</_dlc_DocId>
    <_dlc_DocIdUrl xmlns="a85b4a20-75c1-47a1-b80d-c24888539def">
      <Url>https://lawcomnz.sharepoint.com/Projects/EA3/_layouts/15/DocIdRedir.aspx?ID=EFJMHPFX6CZM-614390009-75</Url>
      <Description>EFJMHPFX6CZM-614390009-75</Description>
    </_dlc_DocIdUrl>
    <SharedWithUsers xmlns="8aef46b2-e9f9-4668-ba1f-6f3688fcd530">
      <UserInfo>
        <DisplayName>Jenny Ryan</DisplayName>
        <AccountId>552</AccountId>
        <AccountType/>
      </UserInfo>
      <UserInfo>
        <DisplayName>John-Luke Day</DisplayName>
        <AccountId>76</AccountId>
        <AccountType/>
      </UserInfo>
      <UserInfo>
        <DisplayName>Amelia Jeffares</DisplayName>
        <AccountId>5864</AccountId>
        <AccountType/>
      </UserInfo>
      <UserInfo>
        <DisplayName>Dena Valente</DisplayName>
        <AccountId>5606</AccountId>
        <AccountType/>
      </UserInfo>
      <UserInfo>
        <DisplayName>Nichola Lambie</DisplayName>
        <AccountId>50</AccountId>
        <AccountType/>
      </UserInfo>
      <UserInfo>
        <DisplayName>Duke Nguyen</DisplayName>
        <AccountId>41</AccountId>
        <AccountType/>
      </UserInfo>
      <UserInfo>
        <DisplayName>Judy McLuskie</DisplayName>
        <AccountId>2430</AccountId>
        <AccountType/>
      </UserInfo>
      <UserInfo>
        <DisplayName>Amokura Kawharu</DisplayName>
        <AccountId>2891</AccountId>
        <AccountType/>
      </UserInfo>
      <UserInfo>
        <DisplayName>Geof Shirtcliffe</DisplayName>
        <AccountId>4678</AccountId>
        <AccountType/>
      </UserInfo>
      <UserInfo>
        <DisplayName>Christian Whata</DisplayName>
        <AccountId>5051</AccountId>
        <AccountType/>
      </UserInfo>
      <UserInfo>
        <DisplayName>Claudia Geiringer</DisplayName>
        <AccountId>5708</AccountId>
        <AccountType/>
      </UserInfo>
      <UserInfo>
        <DisplayName>Jesse Watts</DisplayName>
        <AccountId>827</AccountId>
        <AccountType/>
      </UserInfo>
      <UserInfo>
        <DisplayName>Kaea Hudson</DisplayName>
        <AccountId>5619</AccountId>
        <AccountType/>
      </UserInfo>
      <UserInfo>
        <DisplayName>Ruth Campbell</DisplayName>
        <AccountId>6210</AccountId>
        <AccountType/>
      </UserInfo>
    </SharedWithUsers>
    <Document_x0020_Type xmlns="DA9162C7-6BDE-4B5A-B627-7F0988A0C3A4">Full publication</Document_x0020_Type>
    <From_x002d_Address xmlns="DA9162C7-6BDE-4B5A-B627-7F0988A0C3A4" xsi:nil="true"/>
    <From xmlns="DA9162C7-6BDE-4B5A-B627-7F0988A0C3A4" xsi:nil="true"/>
    <Topic xmlns="DA9162C7-6BDE-4B5A-B627-7F0988A0C3A4">Writing</Topic>
    <Publication_x0020_Type xmlns="DA9162C7-6BDE-4B5A-B627-7F0988A0C3A4">Issues Paper</Publication_x0020_Type>
    <Description0 xmlns="DA9162C7-6BDE-4B5A-B627-7F0988A0C3A4" xsi:nil="true"/>
    <To_x002d_Address xmlns="DA9162C7-6BDE-4B5A-B627-7F0988A0C3A4" xsi:nil="true"/>
    <To xmlns="DA9162C7-6BDE-4B5A-B627-7F0988A0C3A4" xsi:nil="true"/>
    <Sent xmlns="DA9162C7-6BDE-4B5A-B627-7F0988A0C3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0A2CCE6F31274A89718DADAE6AC0DB" ma:contentTypeVersion="1" ma:contentTypeDescription="Create a new document." ma:contentTypeScope="" ma:versionID="b929ec429a15bea8bfcf95caea7fe617">
  <xsd:schema xmlns:xsd="http://www.w3.org/2001/XMLSchema" xmlns:xs="http://www.w3.org/2001/XMLSchema" xmlns:p="http://schemas.microsoft.com/office/2006/metadata/properties" xmlns:ns2="a85b4a20-75c1-47a1-b80d-c24888539def" xmlns:ns3="DA9162C7-6BDE-4B5A-B627-7F0988A0C3A4" xmlns:ns4="8aef46b2-e9f9-4668-ba1f-6f3688fcd530" xmlns:ns5="da9162c7-6bde-4b5a-b627-7f0988a0c3a4" targetNamespace="http://schemas.microsoft.com/office/2006/metadata/properties" ma:root="true" ma:fieldsID="028b9b3322af0da50e5fbed7627161d7" ns2:_="" ns3:_="" ns4:_="" ns5:_="">
    <xsd:import namespace="a85b4a20-75c1-47a1-b80d-c24888539def"/>
    <xsd:import namespace="DA9162C7-6BDE-4B5A-B627-7F0988A0C3A4"/>
    <xsd:import namespace="8aef46b2-e9f9-4668-ba1f-6f3688fcd530"/>
    <xsd:import namespace="da9162c7-6bde-4b5a-b627-7f0988a0c3a4"/>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9162C7-6BDE-4B5A-B627-7F0988A0C3A4"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9162c7-6bde-4b5a-b627-7f0988a0c3a4" elementFormDefault="qualified">
    <xsd:import namespace="http://schemas.microsoft.com/office/2006/documentManagement/types"/>
    <xsd:import namespace="http://schemas.microsoft.com/office/infopath/2007/PartnerControls"/>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F3EC2C9-C112-4F11-BE3C-950236AF4C41}">
  <ds:schemaRefs>
    <ds:schemaRef ds:uri="http://schemas.openxmlformats.org/officeDocument/2006/bibliography"/>
  </ds:schemaRefs>
</ds:datastoreItem>
</file>

<file path=customXml/itemProps2.xml><?xml version="1.0" encoding="utf-8"?>
<ds:datastoreItem xmlns:ds="http://schemas.openxmlformats.org/officeDocument/2006/customXml" ds:itemID="{7975D17D-13AF-4FAC-9EF1-D5342562857D}">
  <ds:schemaRefs>
    <ds:schemaRef ds:uri="8aef46b2-e9f9-4668-ba1f-6f3688fcd530"/>
    <ds:schemaRef ds:uri="http://purl.org/dc/dcmitype/"/>
    <ds:schemaRef ds:uri="http://purl.org/dc/terms/"/>
    <ds:schemaRef ds:uri="a85b4a20-75c1-47a1-b80d-c24888539def"/>
    <ds:schemaRef ds:uri="DA9162C7-6BDE-4B5A-B627-7F0988A0C3A4"/>
    <ds:schemaRef ds:uri="da9162c7-6bde-4b5a-b627-7f0988a0c3a4"/>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B70C7991-87CD-4DD0-8378-FFD2945F38C5}">
  <ds:schemaRefs>
    <ds:schemaRef ds:uri="http://schemas.microsoft.com/sharepoint/v3/contenttype/forms"/>
  </ds:schemaRefs>
</ds:datastoreItem>
</file>

<file path=customXml/itemProps4.xml><?xml version="1.0" encoding="utf-8"?>
<ds:datastoreItem xmlns:ds="http://schemas.openxmlformats.org/officeDocument/2006/customXml" ds:itemID="{C4FA907B-2BE5-4128-AB6D-BBB688D6D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DA9162C7-6BDE-4B5A-B627-7F0988A0C3A4"/>
    <ds:schemaRef ds:uri="8aef46b2-e9f9-4668-ba1f-6f3688fcd530"/>
    <ds:schemaRef ds:uri="da9162c7-6bde-4b5a-b627-7f0988a0c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D353E8-DCB9-4886-9308-93A1612E0F28}">
  <ds:schemaRefs>
    <ds:schemaRef ds:uri="http://schemas.microsoft.com/sharepoint/event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Issues%20Paper%20-%20Chapter%20-%20Template</Template>
  <TotalTime>2</TotalTime>
  <Pages>242</Pages>
  <Words>81259</Words>
  <Characters>463179</Characters>
  <Application>Microsoft Office Word</Application>
  <DocSecurity>6</DocSecurity>
  <Lines>3859</Lines>
  <Paragraphs>1086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543352</CharactersWithSpaces>
  <SharedDoc>false</SharedDoc>
  <HLinks>
    <vt:vector size="480" baseType="variant">
      <vt:variant>
        <vt:i4>4390965</vt:i4>
      </vt:variant>
      <vt:variant>
        <vt:i4>466</vt:i4>
      </vt:variant>
      <vt:variant>
        <vt:i4>0</vt:i4>
      </vt:variant>
      <vt:variant>
        <vt:i4>5</vt:i4>
      </vt:variant>
      <vt:variant>
        <vt:lpwstr>mailto:com@lawcom.govt.nz</vt:lpwstr>
      </vt:variant>
      <vt:variant>
        <vt:lpwstr/>
      </vt:variant>
      <vt:variant>
        <vt:i4>1966131</vt:i4>
      </vt:variant>
      <vt:variant>
        <vt:i4>459</vt:i4>
      </vt:variant>
      <vt:variant>
        <vt:i4>0</vt:i4>
      </vt:variant>
      <vt:variant>
        <vt:i4>5</vt:i4>
      </vt:variant>
      <vt:variant>
        <vt:lpwstr/>
      </vt:variant>
      <vt:variant>
        <vt:lpwstr>_Toc132962611</vt:lpwstr>
      </vt:variant>
      <vt:variant>
        <vt:i4>1966131</vt:i4>
      </vt:variant>
      <vt:variant>
        <vt:i4>453</vt:i4>
      </vt:variant>
      <vt:variant>
        <vt:i4>0</vt:i4>
      </vt:variant>
      <vt:variant>
        <vt:i4>5</vt:i4>
      </vt:variant>
      <vt:variant>
        <vt:lpwstr/>
      </vt:variant>
      <vt:variant>
        <vt:lpwstr>_Toc132962610</vt:lpwstr>
      </vt:variant>
      <vt:variant>
        <vt:i4>2031667</vt:i4>
      </vt:variant>
      <vt:variant>
        <vt:i4>447</vt:i4>
      </vt:variant>
      <vt:variant>
        <vt:i4>0</vt:i4>
      </vt:variant>
      <vt:variant>
        <vt:i4>5</vt:i4>
      </vt:variant>
      <vt:variant>
        <vt:lpwstr/>
      </vt:variant>
      <vt:variant>
        <vt:lpwstr>_Toc132962609</vt:lpwstr>
      </vt:variant>
      <vt:variant>
        <vt:i4>2031667</vt:i4>
      </vt:variant>
      <vt:variant>
        <vt:i4>441</vt:i4>
      </vt:variant>
      <vt:variant>
        <vt:i4>0</vt:i4>
      </vt:variant>
      <vt:variant>
        <vt:i4>5</vt:i4>
      </vt:variant>
      <vt:variant>
        <vt:lpwstr/>
      </vt:variant>
      <vt:variant>
        <vt:lpwstr>_Toc132962608</vt:lpwstr>
      </vt:variant>
      <vt:variant>
        <vt:i4>2031667</vt:i4>
      </vt:variant>
      <vt:variant>
        <vt:i4>435</vt:i4>
      </vt:variant>
      <vt:variant>
        <vt:i4>0</vt:i4>
      </vt:variant>
      <vt:variant>
        <vt:i4>5</vt:i4>
      </vt:variant>
      <vt:variant>
        <vt:lpwstr/>
      </vt:variant>
      <vt:variant>
        <vt:lpwstr>_Toc132962607</vt:lpwstr>
      </vt:variant>
      <vt:variant>
        <vt:i4>2031667</vt:i4>
      </vt:variant>
      <vt:variant>
        <vt:i4>429</vt:i4>
      </vt:variant>
      <vt:variant>
        <vt:i4>0</vt:i4>
      </vt:variant>
      <vt:variant>
        <vt:i4>5</vt:i4>
      </vt:variant>
      <vt:variant>
        <vt:lpwstr/>
      </vt:variant>
      <vt:variant>
        <vt:lpwstr>_Toc132962606</vt:lpwstr>
      </vt:variant>
      <vt:variant>
        <vt:i4>2031667</vt:i4>
      </vt:variant>
      <vt:variant>
        <vt:i4>423</vt:i4>
      </vt:variant>
      <vt:variant>
        <vt:i4>0</vt:i4>
      </vt:variant>
      <vt:variant>
        <vt:i4>5</vt:i4>
      </vt:variant>
      <vt:variant>
        <vt:lpwstr/>
      </vt:variant>
      <vt:variant>
        <vt:lpwstr>_Toc132962605</vt:lpwstr>
      </vt:variant>
      <vt:variant>
        <vt:i4>2031667</vt:i4>
      </vt:variant>
      <vt:variant>
        <vt:i4>417</vt:i4>
      </vt:variant>
      <vt:variant>
        <vt:i4>0</vt:i4>
      </vt:variant>
      <vt:variant>
        <vt:i4>5</vt:i4>
      </vt:variant>
      <vt:variant>
        <vt:lpwstr/>
      </vt:variant>
      <vt:variant>
        <vt:lpwstr>_Toc132962604</vt:lpwstr>
      </vt:variant>
      <vt:variant>
        <vt:i4>2031667</vt:i4>
      </vt:variant>
      <vt:variant>
        <vt:i4>411</vt:i4>
      </vt:variant>
      <vt:variant>
        <vt:i4>0</vt:i4>
      </vt:variant>
      <vt:variant>
        <vt:i4>5</vt:i4>
      </vt:variant>
      <vt:variant>
        <vt:lpwstr/>
      </vt:variant>
      <vt:variant>
        <vt:lpwstr>_Toc132962603</vt:lpwstr>
      </vt:variant>
      <vt:variant>
        <vt:i4>2031667</vt:i4>
      </vt:variant>
      <vt:variant>
        <vt:i4>405</vt:i4>
      </vt:variant>
      <vt:variant>
        <vt:i4>0</vt:i4>
      </vt:variant>
      <vt:variant>
        <vt:i4>5</vt:i4>
      </vt:variant>
      <vt:variant>
        <vt:lpwstr/>
      </vt:variant>
      <vt:variant>
        <vt:lpwstr>_Toc132962602</vt:lpwstr>
      </vt:variant>
      <vt:variant>
        <vt:i4>2031667</vt:i4>
      </vt:variant>
      <vt:variant>
        <vt:i4>399</vt:i4>
      </vt:variant>
      <vt:variant>
        <vt:i4>0</vt:i4>
      </vt:variant>
      <vt:variant>
        <vt:i4>5</vt:i4>
      </vt:variant>
      <vt:variant>
        <vt:lpwstr/>
      </vt:variant>
      <vt:variant>
        <vt:lpwstr>_Toc132962601</vt:lpwstr>
      </vt:variant>
      <vt:variant>
        <vt:i4>2031667</vt:i4>
      </vt:variant>
      <vt:variant>
        <vt:i4>393</vt:i4>
      </vt:variant>
      <vt:variant>
        <vt:i4>0</vt:i4>
      </vt:variant>
      <vt:variant>
        <vt:i4>5</vt:i4>
      </vt:variant>
      <vt:variant>
        <vt:lpwstr/>
      </vt:variant>
      <vt:variant>
        <vt:lpwstr>_Toc132962600</vt:lpwstr>
      </vt:variant>
      <vt:variant>
        <vt:i4>1441840</vt:i4>
      </vt:variant>
      <vt:variant>
        <vt:i4>387</vt:i4>
      </vt:variant>
      <vt:variant>
        <vt:i4>0</vt:i4>
      </vt:variant>
      <vt:variant>
        <vt:i4>5</vt:i4>
      </vt:variant>
      <vt:variant>
        <vt:lpwstr/>
      </vt:variant>
      <vt:variant>
        <vt:lpwstr>_Toc132962599</vt:lpwstr>
      </vt:variant>
      <vt:variant>
        <vt:i4>1441840</vt:i4>
      </vt:variant>
      <vt:variant>
        <vt:i4>381</vt:i4>
      </vt:variant>
      <vt:variant>
        <vt:i4>0</vt:i4>
      </vt:variant>
      <vt:variant>
        <vt:i4>5</vt:i4>
      </vt:variant>
      <vt:variant>
        <vt:lpwstr/>
      </vt:variant>
      <vt:variant>
        <vt:lpwstr>_Toc132962598</vt:lpwstr>
      </vt:variant>
      <vt:variant>
        <vt:i4>1441840</vt:i4>
      </vt:variant>
      <vt:variant>
        <vt:i4>375</vt:i4>
      </vt:variant>
      <vt:variant>
        <vt:i4>0</vt:i4>
      </vt:variant>
      <vt:variant>
        <vt:i4>5</vt:i4>
      </vt:variant>
      <vt:variant>
        <vt:lpwstr/>
      </vt:variant>
      <vt:variant>
        <vt:lpwstr>_Toc132962597</vt:lpwstr>
      </vt:variant>
      <vt:variant>
        <vt:i4>1441840</vt:i4>
      </vt:variant>
      <vt:variant>
        <vt:i4>369</vt:i4>
      </vt:variant>
      <vt:variant>
        <vt:i4>0</vt:i4>
      </vt:variant>
      <vt:variant>
        <vt:i4>5</vt:i4>
      </vt:variant>
      <vt:variant>
        <vt:lpwstr/>
      </vt:variant>
      <vt:variant>
        <vt:lpwstr>_Toc132962596</vt:lpwstr>
      </vt:variant>
      <vt:variant>
        <vt:i4>1441840</vt:i4>
      </vt:variant>
      <vt:variant>
        <vt:i4>363</vt:i4>
      </vt:variant>
      <vt:variant>
        <vt:i4>0</vt:i4>
      </vt:variant>
      <vt:variant>
        <vt:i4>5</vt:i4>
      </vt:variant>
      <vt:variant>
        <vt:lpwstr/>
      </vt:variant>
      <vt:variant>
        <vt:lpwstr>_Toc132962595</vt:lpwstr>
      </vt:variant>
      <vt:variant>
        <vt:i4>1441840</vt:i4>
      </vt:variant>
      <vt:variant>
        <vt:i4>357</vt:i4>
      </vt:variant>
      <vt:variant>
        <vt:i4>0</vt:i4>
      </vt:variant>
      <vt:variant>
        <vt:i4>5</vt:i4>
      </vt:variant>
      <vt:variant>
        <vt:lpwstr/>
      </vt:variant>
      <vt:variant>
        <vt:lpwstr>_Toc132962594</vt:lpwstr>
      </vt:variant>
      <vt:variant>
        <vt:i4>1441840</vt:i4>
      </vt:variant>
      <vt:variant>
        <vt:i4>351</vt:i4>
      </vt:variant>
      <vt:variant>
        <vt:i4>0</vt:i4>
      </vt:variant>
      <vt:variant>
        <vt:i4>5</vt:i4>
      </vt:variant>
      <vt:variant>
        <vt:lpwstr/>
      </vt:variant>
      <vt:variant>
        <vt:lpwstr>_Toc132962593</vt:lpwstr>
      </vt:variant>
      <vt:variant>
        <vt:i4>1441840</vt:i4>
      </vt:variant>
      <vt:variant>
        <vt:i4>345</vt:i4>
      </vt:variant>
      <vt:variant>
        <vt:i4>0</vt:i4>
      </vt:variant>
      <vt:variant>
        <vt:i4>5</vt:i4>
      </vt:variant>
      <vt:variant>
        <vt:lpwstr/>
      </vt:variant>
      <vt:variant>
        <vt:lpwstr>_Toc132962592</vt:lpwstr>
      </vt:variant>
      <vt:variant>
        <vt:i4>1441840</vt:i4>
      </vt:variant>
      <vt:variant>
        <vt:i4>339</vt:i4>
      </vt:variant>
      <vt:variant>
        <vt:i4>0</vt:i4>
      </vt:variant>
      <vt:variant>
        <vt:i4>5</vt:i4>
      </vt:variant>
      <vt:variant>
        <vt:lpwstr/>
      </vt:variant>
      <vt:variant>
        <vt:lpwstr>_Toc132962591</vt:lpwstr>
      </vt:variant>
      <vt:variant>
        <vt:i4>1441840</vt:i4>
      </vt:variant>
      <vt:variant>
        <vt:i4>333</vt:i4>
      </vt:variant>
      <vt:variant>
        <vt:i4>0</vt:i4>
      </vt:variant>
      <vt:variant>
        <vt:i4>5</vt:i4>
      </vt:variant>
      <vt:variant>
        <vt:lpwstr/>
      </vt:variant>
      <vt:variant>
        <vt:lpwstr>_Toc132962590</vt:lpwstr>
      </vt:variant>
      <vt:variant>
        <vt:i4>1507376</vt:i4>
      </vt:variant>
      <vt:variant>
        <vt:i4>327</vt:i4>
      </vt:variant>
      <vt:variant>
        <vt:i4>0</vt:i4>
      </vt:variant>
      <vt:variant>
        <vt:i4>5</vt:i4>
      </vt:variant>
      <vt:variant>
        <vt:lpwstr/>
      </vt:variant>
      <vt:variant>
        <vt:lpwstr>_Toc132962589</vt:lpwstr>
      </vt:variant>
      <vt:variant>
        <vt:i4>1507376</vt:i4>
      </vt:variant>
      <vt:variant>
        <vt:i4>321</vt:i4>
      </vt:variant>
      <vt:variant>
        <vt:i4>0</vt:i4>
      </vt:variant>
      <vt:variant>
        <vt:i4>5</vt:i4>
      </vt:variant>
      <vt:variant>
        <vt:lpwstr/>
      </vt:variant>
      <vt:variant>
        <vt:lpwstr>_Toc132962588</vt:lpwstr>
      </vt:variant>
      <vt:variant>
        <vt:i4>1507376</vt:i4>
      </vt:variant>
      <vt:variant>
        <vt:i4>315</vt:i4>
      </vt:variant>
      <vt:variant>
        <vt:i4>0</vt:i4>
      </vt:variant>
      <vt:variant>
        <vt:i4>5</vt:i4>
      </vt:variant>
      <vt:variant>
        <vt:lpwstr/>
      </vt:variant>
      <vt:variant>
        <vt:lpwstr>_Toc132962587</vt:lpwstr>
      </vt:variant>
      <vt:variant>
        <vt:i4>1507376</vt:i4>
      </vt:variant>
      <vt:variant>
        <vt:i4>309</vt:i4>
      </vt:variant>
      <vt:variant>
        <vt:i4>0</vt:i4>
      </vt:variant>
      <vt:variant>
        <vt:i4>5</vt:i4>
      </vt:variant>
      <vt:variant>
        <vt:lpwstr/>
      </vt:variant>
      <vt:variant>
        <vt:lpwstr>_Toc132962586</vt:lpwstr>
      </vt:variant>
      <vt:variant>
        <vt:i4>1507376</vt:i4>
      </vt:variant>
      <vt:variant>
        <vt:i4>303</vt:i4>
      </vt:variant>
      <vt:variant>
        <vt:i4>0</vt:i4>
      </vt:variant>
      <vt:variant>
        <vt:i4>5</vt:i4>
      </vt:variant>
      <vt:variant>
        <vt:lpwstr/>
      </vt:variant>
      <vt:variant>
        <vt:lpwstr>_Toc132962585</vt:lpwstr>
      </vt:variant>
      <vt:variant>
        <vt:i4>1507376</vt:i4>
      </vt:variant>
      <vt:variant>
        <vt:i4>297</vt:i4>
      </vt:variant>
      <vt:variant>
        <vt:i4>0</vt:i4>
      </vt:variant>
      <vt:variant>
        <vt:i4>5</vt:i4>
      </vt:variant>
      <vt:variant>
        <vt:lpwstr/>
      </vt:variant>
      <vt:variant>
        <vt:lpwstr>_Toc132962584</vt:lpwstr>
      </vt:variant>
      <vt:variant>
        <vt:i4>1507376</vt:i4>
      </vt:variant>
      <vt:variant>
        <vt:i4>291</vt:i4>
      </vt:variant>
      <vt:variant>
        <vt:i4>0</vt:i4>
      </vt:variant>
      <vt:variant>
        <vt:i4>5</vt:i4>
      </vt:variant>
      <vt:variant>
        <vt:lpwstr/>
      </vt:variant>
      <vt:variant>
        <vt:lpwstr>_Toc132962583</vt:lpwstr>
      </vt:variant>
      <vt:variant>
        <vt:i4>1507376</vt:i4>
      </vt:variant>
      <vt:variant>
        <vt:i4>285</vt:i4>
      </vt:variant>
      <vt:variant>
        <vt:i4>0</vt:i4>
      </vt:variant>
      <vt:variant>
        <vt:i4>5</vt:i4>
      </vt:variant>
      <vt:variant>
        <vt:lpwstr/>
      </vt:variant>
      <vt:variant>
        <vt:lpwstr>_Toc132962582</vt:lpwstr>
      </vt:variant>
      <vt:variant>
        <vt:i4>1507376</vt:i4>
      </vt:variant>
      <vt:variant>
        <vt:i4>279</vt:i4>
      </vt:variant>
      <vt:variant>
        <vt:i4>0</vt:i4>
      </vt:variant>
      <vt:variant>
        <vt:i4>5</vt:i4>
      </vt:variant>
      <vt:variant>
        <vt:lpwstr/>
      </vt:variant>
      <vt:variant>
        <vt:lpwstr>_Toc132962581</vt:lpwstr>
      </vt:variant>
      <vt:variant>
        <vt:i4>1507376</vt:i4>
      </vt:variant>
      <vt:variant>
        <vt:i4>273</vt:i4>
      </vt:variant>
      <vt:variant>
        <vt:i4>0</vt:i4>
      </vt:variant>
      <vt:variant>
        <vt:i4>5</vt:i4>
      </vt:variant>
      <vt:variant>
        <vt:lpwstr/>
      </vt:variant>
      <vt:variant>
        <vt:lpwstr>_Toc132962580</vt:lpwstr>
      </vt:variant>
      <vt:variant>
        <vt:i4>1572912</vt:i4>
      </vt:variant>
      <vt:variant>
        <vt:i4>267</vt:i4>
      </vt:variant>
      <vt:variant>
        <vt:i4>0</vt:i4>
      </vt:variant>
      <vt:variant>
        <vt:i4>5</vt:i4>
      </vt:variant>
      <vt:variant>
        <vt:lpwstr/>
      </vt:variant>
      <vt:variant>
        <vt:lpwstr>_Toc132962579</vt:lpwstr>
      </vt:variant>
      <vt:variant>
        <vt:i4>1572912</vt:i4>
      </vt:variant>
      <vt:variant>
        <vt:i4>261</vt:i4>
      </vt:variant>
      <vt:variant>
        <vt:i4>0</vt:i4>
      </vt:variant>
      <vt:variant>
        <vt:i4>5</vt:i4>
      </vt:variant>
      <vt:variant>
        <vt:lpwstr/>
      </vt:variant>
      <vt:variant>
        <vt:lpwstr>_Toc132962578</vt:lpwstr>
      </vt:variant>
      <vt:variant>
        <vt:i4>1572912</vt:i4>
      </vt:variant>
      <vt:variant>
        <vt:i4>255</vt:i4>
      </vt:variant>
      <vt:variant>
        <vt:i4>0</vt:i4>
      </vt:variant>
      <vt:variant>
        <vt:i4>5</vt:i4>
      </vt:variant>
      <vt:variant>
        <vt:lpwstr/>
      </vt:variant>
      <vt:variant>
        <vt:lpwstr>_Toc132962577</vt:lpwstr>
      </vt:variant>
      <vt:variant>
        <vt:i4>1572912</vt:i4>
      </vt:variant>
      <vt:variant>
        <vt:i4>249</vt:i4>
      </vt:variant>
      <vt:variant>
        <vt:i4>0</vt:i4>
      </vt:variant>
      <vt:variant>
        <vt:i4>5</vt:i4>
      </vt:variant>
      <vt:variant>
        <vt:lpwstr/>
      </vt:variant>
      <vt:variant>
        <vt:lpwstr>_Toc132962576</vt:lpwstr>
      </vt:variant>
      <vt:variant>
        <vt:i4>1572912</vt:i4>
      </vt:variant>
      <vt:variant>
        <vt:i4>243</vt:i4>
      </vt:variant>
      <vt:variant>
        <vt:i4>0</vt:i4>
      </vt:variant>
      <vt:variant>
        <vt:i4>5</vt:i4>
      </vt:variant>
      <vt:variant>
        <vt:lpwstr/>
      </vt:variant>
      <vt:variant>
        <vt:lpwstr>_Toc132962575</vt:lpwstr>
      </vt:variant>
      <vt:variant>
        <vt:i4>1572912</vt:i4>
      </vt:variant>
      <vt:variant>
        <vt:i4>237</vt:i4>
      </vt:variant>
      <vt:variant>
        <vt:i4>0</vt:i4>
      </vt:variant>
      <vt:variant>
        <vt:i4>5</vt:i4>
      </vt:variant>
      <vt:variant>
        <vt:lpwstr/>
      </vt:variant>
      <vt:variant>
        <vt:lpwstr>_Toc132962574</vt:lpwstr>
      </vt:variant>
      <vt:variant>
        <vt:i4>1572912</vt:i4>
      </vt:variant>
      <vt:variant>
        <vt:i4>231</vt:i4>
      </vt:variant>
      <vt:variant>
        <vt:i4>0</vt:i4>
      </vt:variant>
      <vt:variant>
        <vt:i4>5</vt:i4>
      </vt:variant>
      <vt:variant>
        <vt:lpwstr/>
      </vt:variant>
      <vt:variant>
        <vt:lpwstr>_Toc132962573</vt:lpwstr>
      </vt:variant>
      <vt:variant>
        <vt:i4>1572912</vt:i4>
      </vt:variant>
      <vt:variant>
        <vt:i4>225</vt:i4>
      </vt:variant>
      <vt:variant>
        <vt:i4>0</vt:i4>
      </vt:variant>
      <vt:variant>
        <vt:i4>5</vt:i4>
      </vt:variant>
      <vt:variant>
        <vt:lpwstr/>
      </vt:variant>
      <vt:variant>
        <vt:lpwstr>_Toc132962572</vt:lpwstr>
      </vt:variant>
      <vt:variant>
        <vt:i4>1572912</vt:i4>
      </vt:variant>
      <vt:variant>
        <vt:i4>219</vt:i4>
      </vt:variant>
      <vt:variant>
        <vt:i4>0</vt:i4>
      </vt:variant>
      <vt:variant>
        <vt:i4>5</vt:i4>
      </vt:variant>
      <vt:variant>
        <vt:lpwstr/>
      </vt:variant>
      <vt:variant>
        <vt:lpwstr>_Toc132962571</vt:lpwstr>
      </vt:variant>
      <vt:variant>
        <vt:i4>1572912</vt:i4>
      </vt:variant>
      <vt:variant>
        <vt:i4>213</vt:i4>
      </vt:variant>
      <vt:variant>
        <vt:i4>0</vt:i4>
      </vt:variant>
      <vt:variant>
        <vt:i4>5</vt:i4>
      </vt:variant>
      <vt:variant>
        <vt:lpwstr/>
      </vt:variant>
      <vt:variant>
        <vt:lpwstr>_Toc132962570</vt:lpwstr>
      </vt:variant>
      <vt:variant>
        <vt:i4>1638448</vt:i4>
      </vt:variant>
      <vt:variant>
        <vt:i4>207</vt:i4>
      </vt:variant>
      <vt:variant>
        <vt:i4>0</vt:i4>
      </vt:variant>
      <vt:variant>
        <vt:i4>5</vt:i4>
      </vt:variant>
      <vt:variant>
        <vt:lpwstr/>
      </vt:variant>
      <vt:variant>
        <vt:lpwstr>_Toc132962569</vt:lpwstr>
      </vt:variant>
      <vt:variant>
        <vt:i4>1638448</vt:i4>
      </vt:variant>
      <vt:variant>
        <vt:i4>201</vt:i4>
      </vt:variant>
      <vt:variant>
        <vt:i4>0</vt:i4>
      </vt:variant>
      <vt:variant>
        <vt:i4>5</vt:i4>
      </vt:variant>
      <vt:variant>
        <vt:lpwstr/>
      </vt:variant>
      <vt:variant>
        <vt:lpwstr>_Toc132962568</vt:lpwstr>
      </vt:variant>
      <vt:variant>
        <vt:i4>1638448</vt:i4>
      </vt:variant>
      <vt:variant>
        <vt:i4>195</vt:i4>
      </vt:variant>
      <vt:variant>
        <vt:i4>0</vt:i4>
      </vt:variant>
      <vt:variant>
        <vt:i4>5</vt:i4>
      </vt:variant>
      <vt:variant>
        <vt:lpwstr/>
      </vt:variant>
      <vt:variant>
        <vt:lpwstr>_Toc132962567</vt:lpwstr>
      </vt:variant>
      <vt:variant>
        <vt:i4>1638448</vt:i4>
      </vt:variant>
      <vt:variant>
        <vt:i4>189</vt:i4>
      </vt:variant>
      <vt:variant>
        <vt:i4>0</vt:i4>
      </vt:variant>
      <vt:variant>
        <vt:i4>5</vt:i4>
      </vt:variant>
      <vt:variant>
        <vt:lpwstr/>
      </vt:variant>
      <vt:variant>
        <vt:lpwstr>_Toc132962566</vt:lpwstr>
      </vt:variant>
      <vt:variant>
        <vt:i4>1638448</vt:i4>
      </vt:variant>
      <vt:variant>
        <vt:i4>183</vt:i4>
      </vt:variant>
      <vt:variant>
        <vt:i4>0</vt:i4>
      </vt:variant>
      <vt:variant>
        <vt:i4>5</vt:i4>
      </vt:variant>
      <vt:variant>
        <vt:lpwstr/>
      </vt:variant>
      <vt:variant>
        <vt:lpwstr>_Toc132962565</vt:lpwstr>
      </vt:variant>
      <vt:variant>
        <vt:i4>1638448</vt:i4>
      </vt:variant>
      <vt:variant>
        <vt:i4>177</vt:i4>
      </vt:variant>
      <vt:variant>
        <vt:i4>0</vt:i4>
      </vt:variant>
      <vt:variant>
        <vt:i4>5</vt:i4>
      </vt:variant>
      <vt:variant>
        <vt:lpwstr/>
      </vt:variant>
      <vt:variant>
        <vt:lpwstr>_Toc132962564</vt:lpwstr>
      </vt:variant>
      <vt:variant>
        <vt:i4>1638448</vt:i4>
      </vt:variant>
      <vt:variant>
        <vt:i4>171</vt:i4>
      </vt:variant>
      <vt:variant>
        <vt:i4>0</vt:i4>
      </vt:variant>
      <vt:variant>
        <vt:i4>5</vt:i4>
      </vt:variant>
      <vt:variant>
        <vt:lpwstr/>
      </vt:variant>
      <vt:variant>
        <vt:lpwstr>_Toc132962563</vt:lpwstr>
      </vt:variant>
      <vt:variant>
        <vt:i4>1638448</vt:i4>
      </vt:variant>
      <vt:variant>
        <vt:i4>165</vt:i4>
      </vt:variant>
      <vt:variant>
        <vt:i4>0</vt:i4>
      </vt:variant>
      <vt:variant>
        <vt:i4>5</vt:i4>
      </vt:variant>
      <vt:variant>
        <vt:lpwstr/>
      </vt:variant>
      <vt:variant>
        <vt:lpwstr>_Toc132962562</vt:lpwstr>
      </vt:variant>
      <vt:variant>
        <vt:i4>1638448</vt:i4>
      </vt:variant>
      <vt:variant>
        <vt:i4>159</vt:i4>
      </vt:variant>
      <vt:variant>
        <vt:i4>0</vt:i4>
      </vt:variant>
      <vt:variant>
        <vt:i4>5</vt:i4>
      </vt:variant>
      <vt:variant>
        <vt:lpwstr/>
      </vt:variant>
      <vt:variant>
        <vt:lpwstr>_Toc132962561</vt:lpwstr>
      </vt:variant>
      <vt:variant>
        <vt:i4>1638448</vt:i4>
      </vt:variant>
      <vt:variant>
        <vt:i4>153</vt:i4>
      </vt:variant>
      <vt:variant>
        <vt:i4>0</vt:i4>
      </vt:variant>
      <vt:variant>
        <vt:i4>5</vt:i4>
      </vt:variant>
      <vt:variant>
        <vt:lpwstr/>
      </vt:variant>
      <vt:variant>
        <vt:lpwstr>_Toc132962560</vt:lpwstr>
      </vt:variant>
      <vt:variant>
        <vt:i4>1703984</vt:i4>
      </vt:variant>
      <vt:variant>
        <vt:i4>147</vt:i4>
      </vt:variant>
      <vt:variant>
        <vt:i4>0</vt:i4>
      </vt:variant>
      <vt:variant>
        <vt:i4>5</vt:i4>
      </vt:variant>
      <vt:variant>
        <vt:lpwstr/>
      </vt:variant>
      <vt:variant>
        <vt:lpwstr>_Toc132962559</vt:lpwstr>
      </vt:variant>
      <vt:variant>
        <vt:i4>1703984</vt:i4>
      </vt:variant>
      <vt:variant>
        <vt:i4>141</vt:i4>
      </vt:variant>
      <vt:variant>
        <vt:i4>0</vt:i4>
      </vt:variant>
      <vt:variant>
        <vt:i4>5</vt:i4>
      </vt:variant>
      <vt:variant>
        <vt:lpwstr/>
      </vt:variant>
      <vt:variant>
        <vt:lpwstr>_Toc132962558</vt:lpwstr>
      </vt:variant>
      <vt:variant>
        <vt:i4>1703984</vt:i4>
      </vt:variant>
      <vt:variant>
        <vt:i4>135</vt:i4>
      </vt:variant>
      <vt:variant>
        <vt:i4>0</vt:i4>
      </vt:variant>
      <vt:variant>
        <vt:i4>5</vt:i4>
      </vt:variant>
      <vt:variant>
        <vt:lpwstr/>
      </vt:variant>
      <vt:variant>
        <vt:lpwstr>_Toc132962557</vt:lpwstr>
      </vt:variant>
      <vt:variant>
        <vt:i4>1703984</vt:i4>
      </vt:variant>
      <vt:variant>
        <vt:i4>129</vt:i4>
      </vt:variant>
      <vt:variant>
        <vt:i4>0</vt:i4>
      </vt:variant>
      <vt:variant>
        <vt:i4>5</vt:i4>
      </vt:variant>
      <vt:variant>
        <vt:lpwstr/>
      </vt:variant>
      <vt:variant>
        <vt:lpwstr>_Toc132962556</vt:lpwstr>
      </vt:variant>
      <vt:variant>
        <vt:i4>1703984</vt:i4>
      </vt:variant>
      <vt:variant>
        <vt:i4>123</vt:i4>
      </vt:variant>
      <vt:variant>
        <vt:i4>0</vt:i4>
      </vt:variant>
      <vt:variant>
        <vt:i4>5</vt:i4>
      </vt:variant>
      <vt:variant>
        <vt:lpwstr/>
      </vt:variant>
      <vt:variant>
        <vt:lpwstr>_Toc132962555</vt:lpwstr>
      </vt:variant>
      <vt:variant>
        <vt:i4>1703984</vt:i4>
      </vt:variant>
      <vt:variant>
        <vt:i4>117</vt:i4>
      </vt:variant>
      <vt:variant>
        <vt:i4>0</vt:i4>
      </vt:variant>
      <vt:variant>
        <vt:i4>5</vt:i4>
      </vt:variant>
      <vt:variant>
        <vt:lpwstr/>
      </vt:variant>
      <vt:variant>
        <vt:lpwstr>_Toc132962554</vt:lpwstr>
      </vt:variant>
      <vt:variant>
        <vt:i4>1703984</vt:i4>
      </vt:variant>
      <vt:variant>
        <vt:i4>111</vt:i4>
      </vt:variant>
      <vt:variant>
        <vt:i4>0</vt:i4>
      </vt:variant>
      <vt:variant>
        <vt:i4>5</vt:i4>
      </vt:variant>
      <vt:variant>
        <vt:lpwstr/>
      </vt:variant>
      <vt:variant>
        <vt:lpwstr>_Toc132962553</vt:lpwstr>
      </vt:variant>
      <vt:variant>
        <vt:i4>1703984</vt:i4>
      </vt:variant>
      <vt:variant>
        <vt:i4>105</vt:i4>
      </vt:variant>
      <vt:variant>
        <vt:i4>0</vt:i4>
      </vt:variant>
      <vt:variant>
        <vt:i4>5</vt:i4>
      </vt:variant>
      <vt:variant>
        <vt:lpwstr/>
      </vt:variant>
      <vt:variant>
        <vt:lpwstr>_Toc132962552</vt:lpwstr>
      </vt:variant>
      <vt:variant>
        <vt:i4>1703984</vt:i4>
      </vt:variant>
      <vt:variant>
        <vt:i4>99</vt:i4>
      </vt:variant>
      <vt:variant>
        <vt:i4>0</vt:i4>
      </vt:variant>
      <vt:variant>
        <vt:i4>5</vt:i4>
      </vt:variant>
      <vt:variant>
        <vt:lpwstr/>
      </vt:variant>
      <vt:variant>
        <vt:lpwstr>_Toc132962551</vt:lpwstr>
      </vt:variant>
      <vt:variant>
        <vt:i4>1703984</vt:i4>
      </vt:variant>
      <vt:variant>
        <vt:i4>93</vt:i4>
      </vt:variant>
      <vt:variant>
        <vt:i4>0</vt:i4>
      </vt:variant>
      <vt:variant>
        <vt:i4>5</vt:i4>
      </vt:variant>
      <vt:variant>
        <vt:lpwstr/>
      </vt:variant>
      <vt:variant>
        <vt:lpwstr>_Toc132962550</vt:lpwstr>
      </vt:variant>
      <vt:variant>
        <vt:i4>1769520</vt:i4>
      </vt:variant>
      <vt:variant>
        <vt:i4>87</vt:i4>
      </vt:variant>
      <vt:variant>
        <vt:i4>0</vt:i4>
      </vt:variant>
      <vt:variant>
        <vt:i4>5</vt:i4>
      </vt:variant>
      <vt:variant>
        <vt:lpwstr/>
      </vt:variant>
      <vt:variant>
        <vt:lpwstr>_Toc132962549</vt:lpwstr>
      </vt:variant>
      <vt:variant>
        <vt:i4>1769520</vt:i4>
      </vt:variant>
      <vt:variant>
        <vt:i4>81</vt:i4>
      </vt:variant>
      <vt:variant>
        <vt:i4>0</vt:i4>
      </vt:variant>
      <vt:variant>
        <vt:i4>5</vt:i4>
      </vt:variant>
      <vt:variant>
        <vt:lpwstr/>
      </vt:variant>
      <vt:variant>
        <vt:lpwstr>_Toc132962548</vt:lpwstr>
      </vt:variant>
      <vt:variant>
        <vt:i4>1769520</vt:i4>
      </vt:variant>
      <vt:variant>
        <vt:i4>75</vt:i4>
      </vt:variant>
      <vt:variant>
        <vt:i4>0</vt:i4>
      </vt:variant>
      <vt:variant>
        <vt:i4>5</vt:i4>
      </vt:variant>
      <vt:variant>
        <vt:lpwstr/>
      </vt:variant>
      <vt:variant>
        <vt:lpwstr>_Toc132962547</vt:lpwstr>
      </vt:variant>
      <vt:variant>
        <vt:i4>1769520</vt:i4>
      </vt:variant>
      <vt:variant>
        <vt:i4>69</vt:i4>
      </vt:variant>
      <vt:variant>
        <vt:i4>0</vt:i4>
      </vt:variant>
      <vt:variant>
        <vt:i4>5</vt:i4>
      </vt:variant>
      <vt:variant>
        <vt:lpwstr/>
      </vt:variant>
      <vt:variant>
        <vt:lpwstr>_Toc132962546</vt:lpwstr>
      </vt:variant>
      <vt:variant>
        <vt:i4>1769520</vt:i4>
      </vt:variant>
      <vt:variant>
        <vt:i4>63</vt:i4>
      </vt:variant>
      <vt:variant>
        <vt:i4>0</vt:i4>
      </vt:variant>
      <vt:variant>
        <vt:i4>5</vt:i4>
      </vt:variant>
      <vt:variant>
        <vt:lpwstr/>
      </vt:variant>
      <vt:variant>
        <vt:lpwstr>_Toc132962545</vt:lpwstr>
      </vt:variant>
      <vt:variant>
        <vt:i4>1769520</vt:i4>
      </vt:variant>
      <vt:variant>
        <vt:i4>57</vt:i4>
      </vt:variant>
      <vt:variant>
        <vt:i4>0</vt:i4>
      </vt:variant>
      <vt:variant>
        <vt:i4>5</vt:i4>
      </vt:variant>
      <vt:variant>
        <vt:lpwstr/>
      </vt:variant>
      <vt:variant>
        <vt:lpwstr>_Toc132962544</vt:lpwstr>
      </vt:variant>
      <vt:variant>
        <vt:i4>1769520</vt:i4>
      </vt:variant>
      <vt:variant>
        <vt:i4>51</vt:i4>
      </vt:variant>
      <vt:variant>
        <vt:i4>0</vt:i4>
      </vt:variant>
      <vt:variant>
        <vt:i4>5</vt:i4>
      </vt:variant>
      <vt:variant>
        <vt:lpwstr/>
      </vt:variant>
      <vt:variant>
        <vt:lpwstr>_Toc132962543</vt:lpwstr>
      </vt:variant>
      <vt:variant>
        <vt:i4>1769520</vt:i4>
      </vt:variant>
      <vt:variant>
        <vt:i4>45</vt:i4>
      </vt:variant>
      <vt:variant>
        <vt:i4>0</vt:i4>
      </vt:variant>
      <vt:variant>
        <vt:i4>5</vt:i4>
      </vt:variant>
      <vt:variant>
        <vt:lpwstr/>
      </vt:variant>
      <vt:variant>
        <vt:lpwstr>_Toc132962542</vt:lpwstr>
      </vt:variant>
      <vt:variant>
        <vt:i4>1769520</vt:i4>
      </vt:variant>
      <vt:variant>
        <vt:i4>39</vt:i4>
      </vt:variant>
      <vt:variant>
        <vt:i4>0</vt:i4>
      </vt:variant>
      <vt:variant>
        <vt:i4>5</vt:i4>
      </vt:variant>
      <vt:variant>
        <vt:lpwstr/>
      </vt:variant>
      <vt:variant>
        <vt:lpwstr>_Toc132962541</vt:lpwstr>
      </vt:variant>
      <vt:variant>
        <vt:i4>1769520</vt:i4>
      </vt:variant>
      <vt:variant>
        <vt:i4>33</vt:i4>
      </vt:variant>
      <vt:variant>
        <vt:i4>0</vt:i4>
      </vt:variant>
      <vt:variant>
        <vt:i4>5</vt:i4>
      </vt:variant>
      <vt:variant>
        <vt:lpwstr/>
      </vt:variant>
      <vt:variant>
        <vt:lpwstr>_Toc132962540</vt:lpwstr>
      </vt:variant>
      <vt:variant>
        <vt:i4>1835056</vt:i4>
      </vt:variant>
      <vt:variant>
        <vt:i4>27</vt:i4>
      </vt:variant>
      <vt:variant>
        <vt:i4>0</vt:i4>
      </vt:variant>
      <vt:variant>
        <vt:i4>5</vt:i4>
      </vt:variant>
      <vt:variant>
        <vt:lpwstr/>
      </vt:variant>
      <vt:variant>
        <vt:lpwstr>_Toc132962539</vt:lpwstr>
      </vt:variant>
      <vt:variant>
        <vt:i4>1835056</vt:i4>
      </vt:variant>
      <vt:variant>
        <vt:i4>21</vt:i4>
      </vt:variant>
      <vt:variant>
        <vt:i4>0</vt:i4>
      </vt:variant>
      <vt:variant>
        <vt:i4>5</vt:i4>
      </vt:variant>
      <vt:variant>
        <vt:lpwstr/>
      </vt:variant>
      <vt:variant>
        <vt:lpwstr>_Toc132962538</vt:lpwstr>
      </vt:variant>
      <vt:variant>
        <vt:i4>1835056</vt:i4>
      </vt:variant>
      <vt:variant>
        <vt:i4>15</vt:i4>
      </vt:variant>
      <vt:variant>
        <vt:i4>0</vt:i4>
      </vt:variant>
      <vt:variant>
        <vt:i4>5</vt:i4>
      </vt:variant>
      <vt:variant>
        <vt:lpwstr/>
      </vt:variant>
      <vt:variant>
        <vt:lpwstr>_Toc132962537</vt:lpwstr>
      </vt:variant>
      <vt:variant>
        <vt:i4>1835056</vt:i4>
      </vt:variant>
      <vt:variant>
        <vt:i4>10</vt:i4>
      </vt:variant>
      <vt:variant>
        <vt:i4>0</vt:i4>
      </vt:variant>
      <vt:variant>
        <vt:i4>5</vt:i4>
      </vt:variant>
      <vt:variant>
        <vt:lpwstr/>
      </vt:variant>
      <vt:variant>
        <vt:lpwstr>_Toc132962534</vt:lpwstr>
      </vt:variant>
      <vt:variant>
        <vt:i4>1835056</vt:i4>
      </vt:variant>
      <vt:variant>
        <vt:i4>5</vt:i4>
      </vt:variant>
      <vt:variant>
        <vt:i4>0</vt:i4>
      </vt:variant>
      <vt:variant>
        <vt:i4>5</vt:i4>
      </vt:variant>
      <vt:variant>
        <vt:lpwstr/>
      </vt:variant>
      <vt:variant>
        <vt:lpwstr>_Toc132962531</vt:lpwstr>
      </vt:variant>
      <vt:variant>
        <vt:i4>2818170</vt:i4>
      </vt:variant>
      <vt:variant>
        <vt:i4>0</vt:i4>
      </vt:variant>
      <vt:variant>
        <vt:i4>0</vt:i4>
      </vt:variant>
      <vt:variant>
        <vt:i4>5</vt:i4>
      </vt:variant>
      <vt:variant>
        <vt:lpwstr>http://www.lawcom.govt.nz/</vt:lpwstr>
      </vt:variant>
      <vt:variant>
        <vt:lpwstr/>
      </vt:variant>
      <vt:variant>
        <vt:i4>2818170</vt:i4>
      </vt:variant>
      <vt:variant>
        <vt:i4>0</vt:i4>
      </vt:variant>
      <vt:variant>
        <vt:i4>0</vt:i4>
      </vt:variant>
      <vt:variant>
        <vt:i4>5</vt:i4>
      </vt:variant>
      <vt:variant>
        <vt:lpwstr>http://www.lawcom.govt.nz/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dc:description/>
  <cp:lastModifiedBy>Barbara Blake</cp:lastModifiedBy>
  <cp:revision>2</cp:revision>
  <cp:lastPrinted>2021-04-10T09:15:00Z</cp:lastPrinted>
  <dcterms:created xsi:type="dcterms:W3CDTF">2023-05-11T01:04:00Z</dcterms:created>
  <dcterms:modified xsi:type="dcterms:W3CDTF">2023-05-11T01:04:00Z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2018-05-28T00:00:00Z</vt:filetime>
  </property>
  <property fmtid="{D5CDD505-2E9C-101B-9397-08002B2CF9AE}" pid="4" name="ContentTypeId">
    <vt:lpwstr>0x010100F00A2CCE6F31274A89718DADAE6AC0DB</vt:lpwstr>
  </property>
  <property fmtid="{D5CDD505-2E9C-101B-9397-08002B2CF9AE}" pid="5" name="_dlc_DocIdItemGuid">
    <vt:lpwstr>c20d209a-71e6-49b7-a79c-3b9485723391</vt:lpwstr>
  </property>
  <property fmtid="{D5CDD505-2E9C-101B-9397-08002B2CF9AE}" pid="6" name="_MarkAsFinal">
    <vt:bool>true</vt:bool>
  </property>
</Properties>
</file>